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03ba07d1349e4276" Type="http://schemas.openxmlformats.org/officeDocument/2006/relationships/officeDocument" Target="word/document.xml" /></Relationships>
</file>

<file path=word/document.xml><?xml version="1.0" encoding="utf-8"?>
<w:document xmlns:w="http://schemas.openxmlformats.org/wordprocessingml/2006/main">
  <w:body>
    <w:p>
      <w:pPr>
        <w:pStyle w:val="Normal"/>
        <w:spacing w:before="4000"/>
      </w:pPr>
    </w:p>
    <w:p>
      <w:pPr>
        <w:pStyle w:val="Normal"/>
        <w:spacing w:after="200"/>
        <w:jc w:val="center"/>
      </w:pPr>
      <w:r>
        <w:rPr>
          <w:rFonts w:ascii="Cambria" w:hAnsi="Cambria" w:eastAsia="Cambria" w:cs="Cambria"/>
          <w:b/>
          <w:color w:val="3D5A80"/>
          <w:sz w:val="56"/>
          <w:szCs w:val="56"/>
        </w:rPr>
        <w:t>HORMUZ SYNCHRONIZATION COMPACT</w:t>
      </w:r>
    </w:p>
    <w:p>
      <w:pPr>
        <w:pStyle w:val="Normal"/>
        <w:spacing w:after="600"/>
        <w:jc w:val="center"/>
      </w:pPr>
      <w:r>
        <w:rPr>
          <w:rFonts w:ascii="Cambria" w:hAnsi="Cambria" w:eastAsia="Cambria" w:cs="Cambria"/>
          <w:color w:val="5C7A96"/>
          <w:sz w:val="32"/>
          <w:szCs w:val="32"/>
        </w:rPr>
        <w:t>Version 7.3 — Integrated Multi-Band Architecture with Wartime Protocol</w:t>
      </w:r>
    </w:p>
    <w:p>
      <w:pPr>
        <w:pStyle w:val="Normal"/>
        <w:spacing w:after="100"/>
        <w:jc w:val="center"/>
      </w:pPr>
      <w:r>
        <w:rPr>
          <w:rFonts w:ascii="Cambria" w:hAnsi="Cambria" w:eastAsia="Cambria" w:cs="Cambria"/>
          <w:i/>
          <w:color w:val="4A5D6E"/>
          <w:sz w:val="24"/>
          <w:szCs w:val="24"/>
        </w:rPr>
        <w:t>A Memorandum of Understanding Between</w:t>
      </w:r>
    </w:p>
    <w:p>
      <w:pPr>
        <w:pStyle w:val="Normal"/>
        <w:spacing w:after="100"/>
        <w:jc w:val="center"/>
      </w:pPr>
      <w:r>
        <w:rPr>
          <w:rFonts w:ascii="Cambria" w:hAnsi="Cambria" w:eastAsia="Cambria" w:cs="Cambria"/>
          <w:b/>
          <w:color w:val="1D2D3F"/>
          <w:sz w:val="26"/>
          <w:szCs w:val="26"/>
        </w:rPr>
        <w:t>The United States of America</w:t>
      </w:r>
    </w:p>
    <w:p>
      <w:pPr>
        <w:pStyle w:val="Normal"/>
        <w:spacing w:after="100"/>
        <w:jc w:val="center"/>
      </w:pPr>
      <w:r>
        <w:rPr>
          <w:rFonts w:ascii="Cambria" w:hAnsi="Cambria" w:eastAsia="Cambria" w:cs="Cambria"/>
          <w:color w:val="4A5D6E"/>
          <w:sz w:val="24"/>
          <w:szCs w:val="24"/>
        </w:rPr>
        <w:t>and</w:t>
      </w:r>
    </w:p>
    <w:p>
      <w:pPr>
        <w:pStyle w:val="Normal"/>
        <w:spacing w:after="800"/>
        <w:jc w:val="center"/>
      </w:pPr>
      <w:r>
        <w:rPr>
          <w:rFonts w:ascii="Cambria" w:hAnsi="Cambria" w:eastAsia="Cambria" w:cs="Cambria"/>
          <w:b/>
          <w:color w:val="1D2D3F"/>
          <w:sz w:val="26"/>
          <w:szCs w:val="26"/>
        </w:rPr>
        <w:t>The Islamic Republic of Iran</w:t>
      </w:r>
    </w:p>
    <w:p>
      <w:pPr>
        <w:pStyle w:val="Normal"/>
        <w:spacing w:after="200"/>
        <w:jc w:val="center"/>
      </w:pPr>
      <w:r>
        <w:rPr>
          <w:rFonts w:ascii="Cambria" w:hAnsi="Cambria" w:eastAsia="Cambria" w:cs="Cambria"/>
          <w:color w:val="8A9DAA"/>
          <w:sz w:val="22"/>
          <w:szCs w:val="22"/>
        </w:rPr>
        <w:t>Incorporating Differential Band Processing, Reciprocity Ledger Architecture,</w:t>
      </w:r>
    </w:p>
    <w:p>
      <w:pPr>
        <w:pStyle w:val="Normal"/>
        <w:spacing w:after="200"/>
        <w:jc w:val="center"/>
      </w:pPr>
      <w:r>
        <w:rPr>
          <w:rFonts w:ascii="Cambria" w:hAnsi="Cambria" w:eastAsia="Cambria" w:cs="Cambria"/>
          <w:color w:val="8A9DAA"/>
          <w:sz w:val="22"/>
          <w:szCs w:val="22"/>
        </w:rPr>
        <w:t>Forward Drift Accumulation, Tiered State Compliance, Pattern Monitoring,</w:t>
      </w:r>
    </w:p>
    <w:p>
      <w:pPr>
        <w:pStyle w:val="Normal"/>
        <w:spacing w:after="2000"/>
        <w:jc w:val="center"/>
      </w:pPr>
      <w:r>
        <w:rPr>
          <w:rFonts w:ascii="Cambria" w:hAnsi="Cambria" w:eastAsia="Cambria" w:cs="Cambria"/>
          <w:color w:val="8A9DAA"/>
          <w:sz w:val="22"/>
          <w:szCs w:val="22"/>
        </w:rPr>
        <w:t>and Crisis Anchor Protocols</w:t>
      </w:r>
    </w:p>
    <w:p>
      <w:pPr>
        <w:pStyle w:val="Normal"/>
        <w:jc w:val="center"/>
      </w:pPr>
      <w:r>
        <w:rPr>
          <w:rFonts w:ascii="Cambria" w:hAnsi="Cambria" w:eastAsia="Cambria" w:cs="Cambria"/>
          <w:color w:val="4A5D6E"/>
          <w:sz w:val="22"/>
          <w:szCs w:val="22"/>
        </w:rPr>
        <w:t>June 2026</w:t>
      </w:r>
    </w:p>
    <w:p>
      <w:pPr>
        <w:pStyle w:val="Normal"/>
        <w:sectPr>
          <w:type w:val="nextPage"/>
          <w:pgSz w:w="11906" w:h="16838"/>
          <w:pgMar w:top="1440" w:right="1440" w:bottom="1440" w:left="1440" w:header="720" w:footer="720"/>
        </w:sectPr>
      </w:pPr>
    </w:p>
    <w:p>
      <w:pPr>
        <w:pStyle w:val="Heading1"/>
      </w:pPr>
      <w:r>
        <w:rPr>
          <w:rFonts w:ascii="Cambria" w:hAnsi="Cambria" w:eastAsia="Cambria" w:cs="Cambria"/>
          <w:b/>
          <w:color w:val="3D5A80"/>
          <w:sz w:val="40"/>
          <w:szCs w:val="40"/>
        </w:rPr>
        <w:t>Table of Contents</w:t>
      </w:r>
    </w:p>
    <w:p>
      <w:pPr>
        <w:pStyle w:val="Normal"/>
        <w:spacing w:after="160" w:line="288" w:lineRule="auto"/>
      </w:pPr>
      <w:r>
        <w:rPr>
          <w:rFonts w:ascii="Cambria" w:hAnsi="Cambria" w:eastAsia="Cambria" w:cs="Cambria"/>
          <w:color w:val="1D2D3F"/>
          <w:sz w:val="22"/>
          <w:szCs w:val="22"/>
        </w:rPr>
        <w:t>This Compact contains eleven articles and fifteen annexes. Update the TOC field to refresh page numbers after editing.</w:t>
      </w:r>
    </w:p>
    <w:p>
      <w:pPr>
        <w:pStyle w:val="Normal"/>
      </w:pPr>
    </w:p>
    <w:p>
      <w:pPr>
        <w:pStyle w:val="Normal"/>
      </w:pPr>
      <w:r>
        <w:fldChar w:fldCharType="begin"/>
      </w:r>
      <w:r>
        <w:instrText xml:space="preserve"> TOC \o "1-3" \h \z \u </w:instrText>
      </w:r>
      <w:r>
        <w:fldChar w:fldCharType="separate"/>
      </w:r>
    </w:p>
    <w:p>
      <w:pPr>
        <w:pStyle w:val="TOC1"/>
      </w:pPr>
      <w:r>
        <w:rPr>
          <w:rFonts w:ascii="Cambria" w:hAnsi="Cambria" w:eastAsia="Cambria" w:cs="Cambria"/>
          <w:sz w:val="22"/>
          <w:b/>
          <w:color w:val="1D2D3F"/>
          <w:szCs w:val="22"/>
        </w:rPr>
        <w:t>Preamble and Governing Principles</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Article I: Differential Band Architecture</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Article II: Synchronization Engine</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Article III: Reciprocity Ledger and Benefit Corridors</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Article IV: Phase Architecture with Forward Drift</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Article V: Continuous Verification and Monitoring</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Article VI: Tiered Compliance State Machine</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Article VII: Crisis Protocols</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Article VIII: Neutral Guarantor and Governance</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Article IX: Public Architecture and Domestic Framing</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Article X: Prisoner Exchange and Humanitarian Protocol</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Article XI: Lebanon Firewall Protocol</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A: Implementation Timelines and Reciprocity Matrix</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B: Forward Drift Registry and Lock Points</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C: Frozen Asset Release Schedule</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D: Definitions and Interpretive Notes</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E: Nuclear Reciprocity Matrix</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F: Verification Sequencing and Telemetry Protocol</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G: Public Messaging and Transparency Architecture</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H: Operational One-Page Tools</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I: Crisis Communication and Guarantor Messaging</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J: Sounding Exchange Templates and Status Instruments</w:t>
      </w:r>
      <w:r>
        <w:rPr>
          <w:rFonts w:ascii="Cambria" w:hAnsi="Cambria"/>
          <w:sz w:val="22"/>
          <w:b/>
          <w:color w:val="1D2D3F"/>
        </w:rPr>
        <w:tab/>
      </w:r>
      <w:r>
        <w:rPr>
          <w:rFonts w:ascii="Cambria" w:hAnsi="Cambria" w:eastAsia="Cambria" w:cs="Cambria"/>
          <w:sz w:val="22"/>
          <w:b/>
          <w:color w:val="1D2D3F"/>
          <w:szCs w:val="22"/>
        </w:rPr>
        <w:t>1</w:t>
      </w:r>
    </w:p>
    <w:p>
      <w:pPr>
        <w:pStyle w:val="Normal"/>
      </w:pPr>
      <w:r>
        <w:fldChar w:fldCharType="end"/>
      </w:r>
    </w:p>
    <w:p>
      <w:pPr>
        <w:pStyle w:val="Normal"/>
        <w:sectPr>
          <w:type w:val="nextPage"/>
          <w:pgSz w:w="11906" w:h="16838"/>
          <w:pgMar w:top="1440" w:right="1440" w:bottom="1440" w:left="1440" w:header="720" w:footer="720"/>
        </w:sectPr>
      </w:pPr>
    </w:p>
    <w:p>
      <w:pPr>
        <w:pStyle w:val="Heading1"/>
      </w:pPr>
      <w:r>
        <w:rPr>
          <w:rFonts w:ascii="Cambria" w:hAnsi="Cambria" w:eastAsia="Cambria" w:cs="Cambria"/>
          <w:b/>
          <w:color w:val="3D5A80"/>
          <w:sz w:val="40"/>
          <w:szCs w:val="40"/>
        </w:rPr>
        <w:t>Preamble and Governing Principles</w:t>
      </w:r>
    </w:p>
    <w:p>
      <w:pPr>
        <w:pStyle w:val="Normal"/>
        <w:spacing w:after="160" w:line="288" w:lineRule="auto"/>
      </w:pPr>
      <w:r>
        <w:rPr>
          <w:rFonts w:ascii="Cambria" w:hAnsi="Cambria" w:eastAsia="Cambria" w:cs="Cambria"/>
          <w:color w:val="1D2D3F"/>
          <w:sz w:val="22"/>
          <w:szCs w:val="22"/>
        </w:rPr>
        <w:t>The United States of America and the Islamic Republic of Iran enter this Memorandum of Understanding with the shared recognition that sustainable peace between their nations demands a framework rooted in reciprocity, mutual dignity, and synchronized action. This document establishes the architecture for a phased transition from confrontation to normalized relations through verifiable commitments that activate simultaneously.</w:t>
      </w:r>
    </w:p>
    <w:p>
      <w:pPr>
        <w:pStyle w:val="Normal"/>
        <w:spacing w:after="160" w:line="288" w:lineRule="auto"/>
      </w:pPr>
      <w:r>
        <w:rPr>
          <w:rFonts w:ascii="Cambria" w:hAnsi="Cambria" w:eastAsia="Cambria" w:cs="Cambria"/>
          <w:color w:val="1D2D3F"/>
          <w:sz w:val="22"/>
          <w:szCs w:val="22"/>
        </w:rPr>
        <w:t>Both Parties acknowledge that neither side holds a unilateral obligation to move first. Every commitment described within this Compact pairs with a corresponding commitment from the other side, and both commitments activate at the same moment. This principle of synchronized reciprocal motion governs every operational provision.</w:t>
      </w:r>
    </w:p>
    <w:p>
      <w:pPr>
        <w:pStyle w:val="Normal"/>
        <w:spacing w:after="160" w:line="288" w:lineRule="auto"/>
      </w:pPr>
      <w:r>
        <w:rPr>
          <w:rFonts w:ascii="Cambria" w:hAnsi="Cambria" w:eastAsia="Cambria" w:cs="Cambria"/>
          <w:color w:val="1D2D3F"/>
          <w:sz w:val="22"/>
          <w:szCs w:val="22"/>
        </w:rPr>
        <w:t>The architecture recognizes three fundamental truths about durable peace processes. First, conflict generates disputes at every scale simultaneously — from a border incident between local commanders to a constitutional question about enrichment rights. A viable architecture processes small irritants and existential threats through separate channels, preventing minor disputes from collapsing the entire framework. Second, peace rises and settles in cycles, not along a straight line. Every breakthrough invites verification, every concession requires domestic absorption, and every quiet period holds the seed of the next advance. A durable framework harnesses this oscillation rather than fearing it. Third, the invisible forces of trust, legitimacy, and shared norms hold the framework together more powerfully than any institution or escrow fund. The architecture cultivates these forces as a primary design output, not as a byproduct.</w:t>
      </w:r>
    </w:p>
    <w:p>
      <w:pPr>
        <w:pStyle w:val="Heading2"/>
      </w:pPr>
      <w:r>
        <w:rPr>
          <w:rFonts w:ascii="Cambria" w:hAnsi="Cambria" w:eastAsia="Cambria" w:cs="Cambria"/>
          <w:b/>
          <w:color w:val="5C7A96"/>
          <w:sz w:val="30"/>
          <w:szCs w:val="30"/>
        </w:rPr>
        <w:t>Fundamental Principles</w:t>
      </w:r>
    </w:p>
    <w:p>
      <w:pPr>
        <w:pStyle w:val="Normal"/>
        <w:spacing w:after="160" w:line="288" w:lineRule="auto"/>
      </w:pPr>
      <w:r>
        <w:rPr>
          <w:rFonts w:ascii="Cambria" w:hAnsi="Cambria" w:eastAsia="Cambria" w:cs="Cambria"/>
          <w:color w:val="1D2D3F"/>
          <w:sz w:val="22"/>
          <w:szCs w:val="22"/>
        </w:rPr>
        <w:t>The following principles apply throughout this Compact and all its annexes:</w:t>
      </w:r>
    </w:p>
    <w:p>
      <w:pPr>
        <w:pStyle w:val="Normal"/>
        <w:spacing w:after="120" w:line="276" w:lineRule="auto"/>
        <w:ind w:left="720" w:hanging="360"/>
      </w:pPr>
      <w:r>
        <w:rPr>
          <w:rFonts w:ascii="Cambria" w:hAnsi="Cambria" w:eastAsia="Cambria" w:cs="Cambria"/>
          <w:b/>
          <w:color w:val="1D2D3F"/>
          <w:sz w:val="22"/>
          <w:szCs w:val="22"/>
        </w:rPr>
        <w:t xml:space="preserve">• Synchronized Reciprocal Motion — </w:t>
      </w:r>
      <w:r>
        <w:rPr>
          <w:rFonts w:ascii="Cambria" w:hAnsi="Cambria" w:eastAsia="Cambria" w:cs="Cambria"/>
          <w:color w:val="1D2D3F"/>
          <w:sz w:val="22"/>
          <w:szCs w:val="22"/>
        </w:rPr>
        <w:t>Neither Party moves alone. Every commitment pairs with a reciprocal commitment, and both commitments activate simultaneously. No provision creates a sequential obligation where one side acts before the other.</w:t>
      </w:r>
    </w:p>
    <w:p>
      <w:pPr>
        <w:spacing w:after="120" w:line="276" w:lineRule="auto"/>
        <w:ind w:left="720" w:hanging="360"/>
      </w:pPr>
      <w:r>
        <w:rPr>
          <w:rFonts w:ascii="Cambria" w:hAnsi="Cambria"/>
          <w:b/>
          <w:color w:val="1D2D3F"/>
          <w:sz w:val="22"/>
        </w:rPr>
        <w:t>• Differential Processing — </w:t>
      </w:r>
      <w:r>
        <w:rPr>
          <w:rFonts w:ascii="Cambria" w:hAnsi="Cambria"/>
          <w:color w:val="1D2D3F"/>
          <w:sz w:val="22"/>
        </w:rPr>
        <w:t>Disputes process through three concentric bands, each operating at a different speed and each handling a different class of concern. The architecture routes each dispute to the band appropriate to its intensity, preventing small conflicts from collapsing the core and large conflicts from overwhelming the fast-processing channels.</w:t>
      </w:r>
    </w:p>
    <w:p>
      <w:pPr>
        <w:spacing w:after="120" w:line="276" w:lineRule="auto"/>
        <w:ind w:left="720" w:hanging="360"/>
      </w:pPr>
      <w:r>
        <w:rPr>
          <w:rFonts w:ascii="Cambria" w:hAnsi="Cambria"/>
          <w:b/>
          <w:color w:val="1D2D3F"/>
          <w:sz w:val="22"/>
        </w:rPr>
        <w:t>• Reciprocity Ledger Integrity — </w:t>
      </w:r>
      <w:r>
        <w:rPr>
          <w:rFonts w:ascii="Cambria" w:hAnsi="Cambria"/>
          <w:color w:val="1D2D3F"/>
          <w:sz w:val="22"/>
        </w:rPr>
        <w:t>The framework maintains a formal ledger of political lift generated and consumed within each Benefit Corridor. The ledger records verified actions, quantifies their environmental effects, and tracks the running balance between lift produced and lift consumed. A positive ledger balance indicates a net positive environment. A negative balance constitutes the framework's primary early-warning signal.</w:t>
      </w:r>
    </w:p>
    <w:p>
      <w:pPr>
        <w:spacing w:after="120" w:line="276" w:lineRule="auto"/>
        <w:ind w:left="720" w:hanging="360"/>
      </w:pPr>
      <w:r>
        <w:rPr>
          <w:rFonts w:ascii="Cambria" w:hAnsi="Cambria"/>
          <w:b/>
          <w:color w:val="1D2D3F"/>
          <w:sz w:val="22"/>
        </w:rPr>
        <w:t>• Forward Drift Protection — </w:t>
      </w:r>
      <w:r>
        <w:rPr>
          <w:rFonts w:ascii="Cambria" w:hAnsi="Cambria"/>
          <w:color w:val="1D2D3F"/>
          <w:sz w:val="22"/>
        </w:rPr>
        <w:t>Every verified structural gain enters a permanent Forward Drift Archive that no later setback reverses. The parties lose pace during downturns, never ground. This ratchet converts fragile achievements into fixed features of the landscape — nodes around which the live process no longer oscillates.</w:t>
      </w:r>
    </w:p>
    <w:p>
      <w:pPr>
        <w:spacing w:after="120" w:line="276" w:lineRule="auto"/>
        <w:ind w:left="720" w:hanging="360"/>
      </w:pPr>
      <w:r>
        <w:rPr>
          <w:rFonts w:ascii="Cambria" w:hAnsi="Cambria"/>
          <w:b/>
          <w:color w:val="1D2D3F"/>
          <w:sz w:val="22"/>
        </w:rPr>
        <w:t>• No-Precedent Clause — </w:t>
      </w:r>
      <w:r>
        <w:rPr>
          <w:rFonts w:ascii="Cambria" w:hAnsi="Cambria"/>
          <w:color w:val="1D2D3F"/>
          <w:sz w:val="22"/>
        </w:rPr>
        <w:t>This MOU creates no legal or political precedent for any future negotiation. This document addresses the specific circumstances of June 2026 and the immediate requirements for peace between the Parties. Nothing in this Compact binds either side in future diplomatic engagements.</w:t>
      </w:r>
    </w:p>
    <w:p>
      <w:pPr>
        <w:spacing w:after="120" w:line="276" w:lineRule="auto"/>
        <w:ind w:left="720" w:hanging="360"/>
      </w:pPr>
      <w:r>
        <w:rPr>
          <w:rFonts w:ascii="Cambria" w:hAnsi="Cambria"/>
          <w:b/>
          <w:color w:val="1D2D3F"/>
          <w:sz w:val="22"/>
        </w:rPr>
        <w:t>• No Endorsement of Boycotts or Economic Measures — </w:t>
      </w:r>
      <w:r>
        <w:rPr>
          <w:rFonts w:ascii="Cambria" w:hAnsi="Cambria"/>
          <w:color w:val="1D2D3F"/>
          <w:sz w:val="22"/>
        </w:rPr>
        <w:t>This Compact does not endorse, encourage, or facilitate boycotts, divestment, sanctions, or other economic measures against any State. The Compact's transparency and reporting provisions are purely factual. Any actions taken by third-party States in response to information disclosed through the Compact are sovereign decisions independent of the Compact and its signatories.</w:t>
      </w:r>
    </w:p>
    <w:p>
      <w:pPr>
        <w:spacing w:after="120" w:line="276" w:lineRule="auto"/>
        <w:ind w:left="720" w:hanging="360"/>
      </w:pPr>
      <w:r>
        <w:rPr>
          <w:rFonts w:ascii="Cambria" w:hAnsi="Cambria"/>
          <w:b/>
          <w:color w:val="1D2D3F"/>
          <w:sz w:val="22"/>
        </w:rPr>
        <w:t>• Domestic Framing Autonomy — </w:t>
      </w:r>
      <w:r>
        <w:rPr>
          <w:rFonts w:ascii="Cambria" w:hAnsi="Cambria"/>
          <w:color w:val="1D2D3F"/>
          <w:sz w:val="22"/>
        </w:rPr>
        <w:t>Each Party describes this Compact to its own public in its own terminology. Neither Party dictates the narrative language the other uses. Both Parties possess full freedom to characterize the agreement according to their respective domestic political requirements.</w:t>
      </w:r>
    </w:p>
    <w:p>
      <w:pPr>
        <w:spacing w:after="120" w:line="276" w:lineRule="auto"/>
        <w:ind w:left="720" w:hanging="360"/>
      </w:pPr>
      <w:r>
        <w:rPr>
          <w:rFonts w:ascii="Cambria" w:hAnsi="Cambria"/>
          <w:b/>
          <w:color w:val="1D2D3F"/>
          <w:sz w:val="22"/>
        </w:rPr>
        <w:t>• Telemetry-First Verification — </w:t>
      </w:r>
      <w:r>
        <w:rPr>
          <w:rFonts w:ascii="Cambria" w:hAnsi="Cambria"/>
          <w:color w:val="1D2D3F"/>
          <w:sz w:val="22"/>
        </w:rPr>
        <w:t>Commitments achieve verification through sensor readings, financial records, physical lock confirmations, IAEA reports, and other objective telemetry data. Human judgment supplements but does not override mechanical confirmation.</w:t>
      </w:r>
    </w:p>
    <w:p>
      <w:pPr>
        <w:spacing w:after="120" w:line="276" w:lineRule="auto"/>
        <w:ind w:left="720" w:hanging="360"/>
      </w:pPr>
      <w:r>
        <w:rPr>
          <w:rFonts w:ascii="Cambria" w:hAnsi="Cambria"/>
          <w:b/>
          <w:color w:val="1D2D3F"/>
          <w:sz w:val="22"/>
        </w:rPr>
        <w:t>• Respect for Sovereign Red Lines — </w:t>
      </w:r>
      <w:r>
        <w:rPr>
          <w:rFonts w:ascii="Cambria" w:hAnsi="Cambria"/>
          <w:color w:val="1D2D3F"/>
          <w:sz w:val="22"/>
        </w:rPr>
        <w:t>Each Party retains non-negotiable positions that this Compact does not address. The United States maintains its position that Iran does not possess, develop, or acquire nuclear weapons. Iran retains its right to peaceful nuclear technology and its position as a coastal state under international maritime law with attendant rights and responsibilities in the Strait of Hormuz.</w:t>
      </w:r>
    </w:p>
    <w:p>
      <w:pPr>
        <w:spacing w:after="120" w:line="276" w:lineRule="auto"/>
        <w:ind w:left="720" w:hanging="360"/>
      </w:pPr>
      <w:r>
        <w:rPr>
          <w:rFonts w:ascii="Cambria" w:hAnsi="Cambria"/>
          <w:b/>
          <w:color w:val="1D2D3F"/>
          <w:sz w:val="22"/>
        </w:rPr>
        <w:t>• Firewalled Provisions — </w:t>
      </w:r>
      <w:r>
        <w:rPr>
          <w:rFonts w:ascii="Cambria" w:hAnsi="Cambria"/>
          <w:color w:val="1D2D3F"/>
          <w:sz w:val="22"/>
        </w:rPr>
        <w:t>Annexes exist as standalone modules. A breach in one annex does not automatically terminate provisions in another annex or in the core body of this Compact. Each annex carries its own compliance and remedy mechanisms.</w:t>
      </w:r>
    </w:p>
    <w:p>
      <w:pPr>
        <w:spacing w:after="120" w:line="276" w:lineRule="auto"/>
        <w:ind w:left="720" w:hanging="360"/>
      </w:pPr>
      <w:r>
        <w:rPr>
          <w:rFonts w:ascii="Cambria" w:hAnsi="Cambria"/>
          <w:b/>
          <w:color w:val="1D2D3F"/>
          <w:sz w:val="22"/>
        </w:rPr>
        <w:t>• No Missile Limits — </w:t>
      </w:r>
      <w:r>
        <w:rPr>
          <w:rFonts w:ascii="Cambria" w:hAnsi="Cambria"/>
          <w:color w:val="1D2D3F"/>
          <w:sz w:val="22"/>
        </w:rPr>
        <w:t>Ballistic missile programs are not within the scope of this Compact. Any future discussion of missile issues proceeds on a voluntary basis and is not linked to sanctions relief or nuclear commitments.</w:t>
      </w:r>
    </w:p>
    <w:p>
      <w:pPr>
        <w:spacing w:after="120" w:line="276" w:lineRule="auto"/>
        <w:ind w:left="720" w:hanging="360"/>
      </w:pPr>
      <w:r>
        <w:rPr>
          <w:rFonts w:ascii="Cambria" w:hAnsi="Cambria"/>
          <w:b/>
          <w:color w:val="1D2D3F"/>
          <w:sz w:val="22"/>
        </w:rPr>
        <w:t>• Mutual Architecture Framing — </w:t>
      </w:r>
      <w:r>
        <w:rPr>
          <w:rFonts w:ascii="Cambria" w:hAnsi="Cambria"/>
          <w:color w:val="1D2D3F"/>
          <w:sz w:val="22"/>
        </w:rPr>
        <w:t>The framework attributes constraints to the system itself, not to either Party's choice. The architecture excludes actions rather than commanding restraint. Both Parties are bound equally by the framework's design, not by one Party restraining itself for the other's benefit.</w:t>
      </w:r>
    </w:p>
    <w:p>
      <w:pPr>
        <w:pStyle w:val="Heading2"/>
      </w:pPr>
      <w:r>
        <w:t>Sanctions Relief Acknowledgment</w:t>
      </w:r>
    </w:p>
    <w:p>
      <w:pPr>
        <w:spacing w:after="160" w:line="288" w:lineRule="auto"/>
      </w:pPr>
      <w:r>
        <w:rPr>
          <w:rFonts w:ascii="Cambria" w:hAnsi="Cambria"/>
          <w:color w:val="1D2D3F"/>
          <w:sz w:val="22"/>
        </w:rPr>
        <w:t>The Parties acknowledge that sanctions relief under this Compact reflects a mutual decision to create conditions for diplomatic progress, not a concession extracted from either side. The United States frames relief as a strategic choice that advances American interests in regional stability and non-proliferation. Iran frames relief as recognition of Iran's right to economic normalization under international law. Neither frame contradicts the other. Both frames are valid. The framework architecture treats sanctions relief as a synchronized operational measure, not a reward for Iranian compliance or a cost imposed on the United States.</w:t>
      </w:r>
    </w:p>
    <w:p>
      <w:pPr>
        <w:pStyle w:val="Heading2"/>
      </w:pPr>
      <w:r>
        <w:t>Optional Annexes</w:t>
      </w:r>
    </w:p>
    <w:p>
      <w:pPr>
        <w:spacing w:after="160" w:line="288" w:lineRule="auto"/>
      </w:pPr>
      <w:r>
        <w:rPr>
          <w:rFonts w:ascii="Cambria" w:hAnsi="Cambria"/>
          <w:color w:val="1D2D3F"/>
          <w:sz w:val="22"/>
        </w:rPr>
        <w:t>Annexes designated as optional do not affect the core Compact. A Party activates an optional annex at its sole discretion. Activation does not require consent or consultation with the other Party. Optional annexes create no obligations on the non-activating Party. The core Compact operates regardless of whether optional annexes are activated.</w:t>
      </w:r>
    </w:p>
    <w:p>
      <w:pPr>
        <w:pStyle w:val="Heading2"/>
      </w:pPr>
      <w:r>
        <w:t>Congressional Engagement Note</w:t>
      </w:r>
    </w:p>
    <w:p>
      <w:pPr>
        <w:spacing w:after="160" w:line="288" w:lineRule="auto"/>
      </w:pPr>
      <w:r>
        <w:rPr>
          <w:rFonts w:ascii="Cambria" w:hAnsi="Cambria"/>
          <w:color w:val="1D2D3F"/>
          <w:sz w:val="22"/>
        </w:rPr>
        <w:t>The Parties acknowledge that the United States operates within a constitutional framework that includes robust congressional engagement on matters of national security. The Administration commits to transparent consultation with the relevant congressional committees throughout the Compact's implementation. This Compact operates within existing executive authority and does not require new legislation. The Administration's commitment to transparency is matched by Iran's commitment to the reciprocal implementation of its obligations under the synchronized framework.</w:t>
      </w:r>
    </w:p>
    <w:p>
      <w:pPr>
        <w:pStyle w:val="Heading3"/>
      </w:pPr>
      <w:r>
        <w:t>Congressional Review Protocol</w:t>
      </w:r>
    </w:p>
    <w:p>
      <w:pPr>
        <w:spacing w:after="160" w:line="288" w:lineRule="auto"/>
      </w:pPr>
      <w:r>
        <w:rPr>
          <w:rFonts w:ascii="Cambria" w:hAnsi="Cambria"/>
          <w:color w:val="1D2D3F"/>
          <w:sz w:val="22"/>
        </w:rPr>
        <w:t>The Administration submits the Phase Three framework to the relevant congressional committees for a 60-day review period prior to finalization. The Administration responds in writing to any formal committee resolution within 30 days. This protocol is a transparency measure, not a condition precedent to implementation. Iran's rights under the Compact are not subject to congressional approval.</w:t>
      </w:r>
    </w:p>
    <w:p>
      <w:pPr>
        <w:sectPr>
          <w:type w:val="nextPage"/>
          <w:pgSz w:w="11906" w:h="16838"/>
          <w:pgMar w:top="1440" w:right="1440" w:bottom="1440" w:left="1440" w:header="720" w:footer="720"/>
        </w:sectPr>
      </w:pPr>
    </w:p>
    <w:p>
      <w:pPr>
        <w:pStyle w:val="Heading1"/>
      </w:pPr>
      <w:r>
        <w:t>Article I: Differential Band Architecture</w:t>
      </w:r>
    </w:p>
    <w:p>
      <w:pPr>
        <w:spacing w:after="160" w:line="288" w:lineRule="auto"/>
      </w:pPr>
      <w:r>
        <w:rPr>
          <w:rFonts w:ascii="Cambria" w:hAnsi="Cambria"/>
          <w:color w:val="1D2D3F"/>
          <w:sz w:val="22"/>
        </w:rPr>
        <w:t>This article establishes the differential processing system that governs how the framework handles disputes, compliance concerns, and operational challenges at multiple scales simultaneously. The architecture rejects the single-channel approach in favor of three concentric processing bands, each operating at a speed calibrated to the class of issue it addresses. The governing insight is kinetic: movement in the outer bands protects the stability of the core.</w:t>
      </w:r>
    </w:p>
    <w:p>
      <w:pPr>
        <w:pStyle w:val="Heading2"/>
      </w:pPr>
      <w:r>
        <w:t>Section 1.1 — The Three Processing Bands</w:t>
      </w:r>
    </w:p>
    <w:p>
      <w:pPr>
        <w:spacing w:after="160" w:line="288" w:lineRule="auto"/>
      </w:pPr>
      <w:r>
        <w:rPr>
          <w:rFonts w:ascii="Cambria" w:hAnsi="Cambria"/>
          <w:color w:val="1D2D3F"/>
          <w:sz w:val="22"/>
        </w:rPr>
        <w:t>The framework organizes all dispute processing and compliance monitoring into three concentric bands. Each band rotates at a fixed speed relative to the others. No actor adjusts band speed unilaterally.</w:t>
      </w:r>
    </w:p>
    <w:p>
      <w:pPr>
        <w:spacing w:after="120" w:line="276" w:lineRule="auto"/>
        <w:ind w:left="720" w:hanging="360"/>
      </w:pPr>
      <w:r>
        <w:rPr>
          <w:rFonts w:ascii="Cambria" w:hAnsi="Cambria"/>
          <w:b/>
          <w:color w:val="1D2D3F"/>
          <w:sz w:val="22"/>
        </w:rPr>
        <w:t>• Band One (Micro-Processing) — </w:t>
      </w:r>
      <w:r>
        <w:rPr>
          <w:rFonts w:ascii="Cambria" w:hAnsi="Cambria"/>
          <w:color w:val="1D2D3F"/>
          <w:sz w:val="22"/>
        </w:rPr>
        <w:t>The outermost, fastest-moving band. Band One processes local, operational, and low-stakes disputes through rapid-response channels. One full rotation cycle completes every 14 days. The band handles: localized ceasefire violations, transit scheduling conflicts, minor verification anomalies, and administrative coordination issues. Band One's high rotation speed prevents small conflicts from stagnating or hardening.</w:t>
      </w:r>
    </w:p>
    <w:p>
      <w:pPr>
        <w:spacing w:after="120" w:line="276" w:lineRule="auto"/>
        <w:ind w:left="720" w:hanging="360"/>
      </w:pPr>
      <w:r>
        <w:rPr>
          <w:rFonts w:ascii="Cambria" w:hAnsi="Cambria"/>
          <w:b/>
          <w:color w:val="1D2D3F"/>
          <w:sz w:val="22"/>
        </w:rPr>
        <w:t>• Band Two (Meso-Processing) — </w:t>
      </w:r>
      <w:r>
        <w:rPr>
          <w:rFonts w:ascii="Cambria" w:hAnsi="Cambria"/>
          <w:color w:val="1D2D3F"/>
          <w:sz w:val="22"/>
        </w:rPr>
        <w:t>The middle band processing policy-level, inter-agency, and structural conflicts. One full rotation cycle completes every 45 days. The band handles: sanctions relief sequencing disputes, enrichment monitoring policy disagreements, asset release timing conflicts, and Strait coordination protocol questions. Band Two carries more institutional mass than Band One and produces documented precedents that inform future disputes.</w:t>
      </w:r>
    </w:p>
    <w:p>
      <w:pPr>
        <w:spacing w:after="120" w:line="276" w:lineRule="auto"/>
        <w:ind w:left="720" w:hanging="360"/>
      </w:pPr>
      <w:r>
        <w:rPr>
          <w:rFonts w:ascii="Cambria" w:hAnsi="Cambria"/>
          <w:b/>
          <w:color w:val="1D2D3F"/>
          <w:sz w:val="22"/>
        </w:rPr>
        <w:t>• Band Three (Macro-Processing) — </w:t>
      </w:r>
      <w:r>
        <w:rPr>
          <w:rFonts w:ascii="Cambria" w:hAnsi="Cambria"/>
          <w:color w:val="1D2D3F"/>
          <w:sz w:val="22"/>
        </w:rPr>
        <w:t>The innermost rotating band, processing sovereignty-level, politically sensitive, or existentially rooted disputes. One full rotation cycle completes every 120 days. The band handles: fundamental Compact interpretation questions, territorial sovereignty disputes, core red line challenges, and structural relationship questions. Band Three rotates slowest but possesses the highest buffering capacity and the most rigorous documentation standards.</w:t>
      </w:r>
    </w:p>
    <w:p>
      <w:pPr>
        <w:pStyle w:val="Heading2"/>
      </w:pPr>
      <w:r>
        <w:t>Section 1.2 — Core Protection Filter</w:t>
      </w:r>
    </w:p>
    <w:p>
      <w:pPr>
        <w:spacing w:after="160" w:line="288" w:lineRule="auto"/>
      </w:pPr>
      <w:r>
        <w:rPr>
          <w:rFonts w:ascii="Cambria" w:hAnsi="Cambria"/>
          <w:color w:val="1D2D3F"/>
          <w:sz w:val="22"/>
        </w:rPr>
        <w:t>The Core Protection Filter is the selective membrane between the rotating bands and the still center of the Compact. It performs two functions: it filters inward pressure so that only disputes genuinely threatening the foundational commitments reach the core, and it radiates core values outward so that every band processes disputes with awareness of the central principles.</w:t>
      </w:r>
    </w:p>
    <w:p>
      <w:pPr>
        <w:pStyle w:val="Heading3"/>
      </w:pPr>
      <w:r>
        <w:t>The Three-Criteria Pressure Test</w:t>
      </w:r>
    </w:p>
    <w:p>
      <w:pPr>
        <w:spacing w:after="160" w:line="288" w:lineRule="auto"/>
      </w:pPr>
      <w:r>
        <w:rPr>
          <w:rFonts w:ascii="Cambria" w:hAnsi="Cambria"/>
          <w:color w:val="1D2D3F"/>
          <w:sz w:val="22"/>
        </w:rPr>
        <w:t>A dispute passes through the Core Protection Filter only after satisfying all three of the following criteria simultaneously:</w:t>
      </w:r>
    </w:p>
    <w:p>
      <w:pPr>
        <w:spacing w:after="120" w:line="276" w:lineRule="auto"/>
        <w:ind w:left="720" w:hanging="360"/>
      </w:pPr>
      <w:r>
        <w:rPr>
          <w:rFonts w:ascii="Cambria" w:hAnsi="Cambria"/>
          <w:b/>
          <w:color w:val="1D2D3F"/>
          <w:sz w:val="22"/>
        </w:rPr>
        <w:t>1. </w:t>
      </w:r>
      <w:r>
        <w:rPr>
          <w:rFonts w:ascii="Cambria" w:hAnsi="Cambria"/>
          <w:color w:val="1D2D3F"/>
          <w:sz w:val="22"/>
        </w:rPr>
        <w:t>Core-Level Threat Criterion — The dispute directly threatens one or more of the fundamental commitments listed in the Preamble, including synchronized reciprocal motion, sovereign red lines, or the firewalled annex architecture.</w:t>
      </w:r>
    </w:p>
    <w:p>
      <w:pPr>
        <w:spacing w:after="120" w:line="276" w:lineRule="auto"/>
        <w:ind w:left="720" w:hanging="360"/>
      </w:pPr>
      <w:r>
        <w:rPr>
          <w:rFonts w:ascii="Cambria" w:hAnsi="Cambria"/>
          <w:b/>
          <w:color w:val="1D2D3F"/>
          <w:sz w:val="22"/>
        </w:rPr>
        <w:t>2. </w:t>
      </w:r>
      <w:r>
        <w:rPr>
          <w:rFonts w:ascii="Cambria" w:hAnsi="Cambria"/>
          <w:color w:val="1D2D3F"/>
          <w:sz w:val="22"/>
        </w:rPr>
        <w:t>Band Exhaustion Criterion — The dispute has processed through its originating band for at least one full rotation cycle without resolution. The Lateral Transfer Protocol confirms that sideways referral to parallel tracks within the same band also failed to resolve the matter.</w:t>
      </w:r>
    </w:p>
    <w:p>
      <w:pPr>
        <w:spacing w:after="120" w:line="276" w:lineRule="auto"/>
        <w:ind w:left="720" w:hanging="360"/>
      </w:pPr>
      <w:r>
        <w:rPr>
          <w:rFonts w:ascii="Cambria" w:hAnsi="Cambria"/>
          <w:b/>
          <w:color w:val="1D2D3F"/>
          <w:sz w:val="22"/>
        </w:rPr>
        <w:t>3. </w:t>
      </w:r>
      <w:r>
        <w:rPr>
          <w:rFonts w:ascii="Cambria" w:hAnsi="Cambria"/>
          <w:color w:val="1D2D3F"/>
          <w:sz w:val="22"/>
        </w:rPr>
        <w:t>Party Confirmation Criterion — Both Parties confirm through their Band Representatives that core-level attention is warranted. No single Party forces a dispute into the core without corroboration from the other Party.</w:t>
      </w:r>
    </w:p>
    <w:p>
      <w:pPr>
        <w:spacing w:after="160" w:line="288" w:lineRule="auto"/>
      </w:pPr>
      <w:r>
        <w:rPr>
          <w:rFonts w:ascii="Cambria" w:hAnsi="Cambria"/>
          <w:color w:val="1D2D3F"/>
          <w:sz w:val="22"/>
        </w:rPr>
        <w:t>The Human-in-the-Loop Review Panel administers the Pressure Test. The Panel publishes its finding within 7 days of receiving a request for core-level access. A dispute that fails any criterion returns to its originating band for continued processing.</w:t>
      </w:r>
    </w:p>
    <w:p>
      <w:pPr>
        <w:pStyle w:val="Heading3"/>
      </w:pPr>
      <w:r>
        <w:t>Outward Radiation</w:t>
      </w:r>
    </w:p>
    <w:p>
      <w:pPr>
        <w:spacing w:after="160" w:line="288" w:lineRule="auto"/>
      </w:pPr>
      <w:r>
        <w:rPr>
          <w:rFonts w:ascii="Cambria" w:hAnsi="Cambria"/>
          <w:color w:val="1D2D3F"/>
          <w:sz w:val="22"/>
        </w:rPr>
        <w:t>Core commitments radiate outward through the Core Protection Filter without restriction. Every band receives, at the start of each rotation cycle, an updated Core Commitment Digest. This digest reminds all actors at all bands of the foundational values that anchor the system. The radiation ensures that even the fastest-moving Band One processes disputes with awareness of the core commitments.</w:t>
      </w:r>
    </w:p>
    <w:p>
      <w:pPr>
        <w:pStyle w:val="Heading2"/>
      </w:pPr>
      <w:r>
        <w:t>Section 1.3 — Lateral Transfer Protocol</w:t>
      </w:r>
    </w:p>
    <w:p>
      <w:pPr>
        <w:spacing w:after="160" w:line="288" w:lineRule="auto"/>
      </w:pPr>
      <w:r>
        <w:rPr>
          <w:rFonts w:ascii="Cambria" w:hAnsi="Cambria"/>
          <w:color w:val="1D2D3F"/>
          <w:sz w:val="22"/>
        </w:rPr>
        <w:t>The Lateral Transfer Protocol introduces sideways dispute movement between bands or to parallel tracks within the same band. In conventional frameworks, a dispute either escalates upward or de-escalates downward. The Lateral Transfer Protocol provides a third option: a dispute deflects sideways to a parallel channel rather than following a rigid vertical path.</w:t>
      </w:r>
    </w:p>
    <w:p>
      <w:pPr>
        <w:pStyle w:val="Heading3"/>
      </w:pPr>
      <w:r>
        <w:t>Trigger Conditions</w:t>
      </w:r>
    </w:p>
    <w:p>
      <w:pPr>
        <w:spacing w:after="160" w:line="288" w:lineRule="auto"/>
      </w:pPr>
      <w:r>
        <w:rPr>
          <w:rFonts w:ascii="Cambria" w:hAnsi="Cambria"/>
          <w:color w:val="1D2D3F"/>
          <w:sz w:val="22"/>
        </w:rPr>
        <w:t>A Lateral Transfer activates when one or more of the following conditions are met:</w:t>
      </w:r>
    </w:p>
    <w:p>
      <w:pPr>
        <w:spacing w:after="120" w:line="276" w:lineRule="auto"/>
        <w:ind w:left="720" w:hanging="360"/>
      </w:pPr>
      <w:r>
        <w:rPr>
          <w:rFonts w:ascii="Cambria" w:hAnsi="Cambria"/>
          <w:color w:val="1D2D3F"/>
          <w:sz w:val="22"/>
        </w:rPr>
        <w:t>• The dispute stalls in its current channel for more than 50% of the band's rotation cycle.</w:t>
      </w:r>
    </w:p>
    <w:p>
      <w:pPr>
        <w:spacing w:after="120" w:line="276" w:lineRule="auto"/>
        <w:ind w:left="720" w:hanging="360"/>
      </w:pPr>
      <w:r>
        <w:rPr>
          <w:rFonts w:ascii="Cambria" w:hAnsi="Cambria"/>
          <w:color w:val="1D2D3F"/>
          <w:sz w:val="22"/>
        </w:rPr>
        <w:t>• A parallel track within the same band possesses tools or relationships better suited to the dispute's character.</w:t>
      </w:r>
    </w:p>
    <w:p>
      <w:pPr>
        <w:spacing w:after="120" w:line="276" w:lineRule="auto"/>
        <w:ind w:left="720" w:hanging="360"/>
      </w:pPr>
      <w:r>
        <w:rPr>
          <w:rFonts w:ascii="Cambria" w:hAnsi="Cambria"/>
          <w:color w:val="1D2D3F"/>
          <w:sz w:val="22"/>
        </w:rPr>
        <w:t>• The dispute's intensity shifts — it no longer matches the channel that received it.</w:t>
      </w:r>
    </w:p>
    <w:p>
      <w:pPr>
        <w:spacing w:after="120" w:line="276" w:lineRule="auto"/>
        <w:ind w:left="720" w:hanging="360"/>
      </w:pPr>
      <w:r>
        <w:rPr>
          <w:rFonts w:ascii="Cambria" w:hAnsi="Cambria"/>
          <w:color w:val="1D2D3F"/>
          <w:sz w:val="22"/>
        </w:rPr>
        <w:t>• Either Party requests Lateral Transfer review and the other Party concurs.</w:t>
      </w:r>
    </w:p>
    <w:p>
      <w:pPr>
        <w:pStyle w:val="Heading3"/>
      </w:pPr>
      <w:r>
        <w:t>Transfer Execution</w:t>
      </w:r>
    </w:p>
    <w:p>
      <w:pPr>
        <w:spacing w:after="160" w:line="288" w:lineRule="auto"/>
      </w:pPr>
      <w:r>
        <w:rPr>
          <w:rFonts w:ascii="Cambria" w:hAnsi="Cambria"/>
          <w:color w:val="1D2D3F"/>
          <w:sz w:val="22"/>
        </w:rPr>
        <w:t>When a Lateral Transfer activates, the following sequence executes: the Band Representative identifies the most appropriate parallel track; the receiving track confirms capacity and appropriateness within 3 days; the dispute transfers with full documentation of its processing history; the originating track maintains a shadow record for continuity; and the receiving track reports outcomes to both its own band cycle and the originating track.</w:t>
      </w:r>
    </w:p>
    <w:p>
      <w:pPr>
        <w:pStyle w:val="Heading2"/>
      </w:pPr>
      <w:r>
        <w:t>Section 1.4 — Stability Coefficient</w:t>
      </w:r>
    </w:p>
    <w:p>
      <w:pPr>
        <w:spacing w:after="160" w:line="288" w:lineRule="auto"/>
      </w:pPr>
      <w:r>
        <w:rPr>
          <w:rFonts w:ascii="Cambria" w:hAnsi="Cambria"/>
          <w:color w:val="1D2D3F"/>
          <w:sz w:val="22"/>
        </w:rPr>
        <w:t>The Stability Coefficient is the measurable mechanism through which rotation in the outer bands protects the core commitments. It is a calculated relationship between band speed, dispute volume, and Core Protection Filter integrity.</w:t>
      </w:r>
    </w:p>
    <w:p>
      <w:pPr>
        <w:pStyle w:val="Heading3"/>
      </w:pPr>
      <w:r>
        <w:t>The Coefficient Formula</w:t>
      </w:r>
    </w:p>
    <w:p>
      <w:pPr>
        <w:spacing w:after="160" w:line="288" w:lineRule="auto"/>
      </w:pPr>
      <w:r>
        <w:rPr>
          <w:rFonts w:ascii="Cambria" w:hAnsi="Cambria"/>
          <w:color w:val="1D2D3F"/>
          <w:sz w:val="22"/>
        </w:rPr>
        <w:t>The Joint Coordination Center calculates the Stability Coefficient weekly:</w:t>
      </w:r>
    </w:p>
    <w:p>
      <w:pPr>
        <w:spacing w:after="160" w:line="288" w:lineRule="auto"/>
        <w:ind w:left="720"/>
      </w:pPr>
      <w:r>
        <w:rPr>
          <w:rFonts w:ascii="Cambria" w:hAnsi="Cambria"/>
          <w:i/>
          <w:color w:val="4A5D6E"/>
          <w:sz w:val="22"/>
        </w:rPr>
        <w:t>SC = (Band One Rotation Speed x Band One Resolved Volume x 0.4) + (Band Two Rotation Speed x Band Two Resolved Volume x 0.3) + (Band Three Rotation Speed x Band Three Resolved Volume x 0.3)</w:t>
      </w:r>
    </w:p>
    <w:p>
      <w:pPr>
        <w:spacing w:after="160" w:line="288" w:lineRule="auto"/>
      </w:pPr>
      <w:r>
        <w:rPr>
          <w:rFonts w:ascii="Cambria" w:hAnsi="Cambria"/>
          <w:color w:val="1D2D3F"/>
          <w:sz w:val="22"/>
        </w:rPr>
        <w:t>All rotation speeds normalize to a 0-100 scale. Resolved volume counts disputes fully processed (not merely received) in the most recent complete cycle. The SC produces a score between 0 and 100.</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tblGrid>
      <w:tr>
        <w:tc>
          <w:tcPr>
            <w:shd w:val="clear" w:fill="E8EEF2"/>
          </w:tcPr>
          <w:p>
            <w:pPr>
              <w:spacing w:before="60" w:after="60"/>
            </w:pPr>
            <w:r>
              <w:rPr>
                <w:rFonts w:ascii="Cambria" w:hAnsi="Cambria"/>
                <w:b/>
                <w:color w:val="1D2D3F"/>
                <w:sz w:val="20"/>
              </w:rPr>
              <w:t>SC Range</w:t>
            </w:r>
          </w:p>
        </w:tc>
        <w:tc>
          <w:tcPr>
            <w:shd w:val="clear" w:fill="E8EEF2"/>
          </w:tcPr>
          <w:p>
            <w:pPr>
              <w:spacing w:before="60" w:after="60"/>
            </w:pPr>
            <w:r>
              <w:rPr>
                <w:rFonts w:ascii="Cambria" w:hAnsi="Cambria"/>
                <w:b/>
                <w:color w:val="1D2D3F"/>
                <w:sz w:val="20"/>
              </w:rPr>
              <w:t>Filter Effect</w:t>
            </w:r>
          </w:p>
        </w:tc>
        <w:tc>
          <w:tcPr>
            <w:shd w:val="clear" w:fill="E8EEF2"/>
          </w:tcPr>
          <w:p>
            <w:pPr>
              <w:spacing w:before="60" w:after="60"/>
            </w:pPr>
            <w:r>
              <w:rPr>
                <w:rFonts w:ascii="Cambria" w:hAnsi="Cambria"/>
                <w:b/>
                <w:color w:val="1D2D3F"/>
                <w:sz w:val="20"/>
              </w:rPr>
              <w:t>Framework Response</w:t>
            </w:r>
          </w:p>
        </w:tc>
      </w:tr>
      <w:tr>
        <w:tc>
          <w:tcPr/>
          <w:p>
            <w:pPr>
              <w:spacing w:before="60" w:after="60"/>
            </w:pPr>
            <w:r>
              <w:rPr>
                <w:rFonts w:ascii="Cambria" w:hAnsi="Cambria"/>
                <w:color w:val="1D2D3F"/>
                <w:sz w:val="20"/>
              </w:rPr>
              <w:t>0-25</w:t>
            </w:r>
          </w:p>
        </w:tc>
        <w:tc>
          <w:tcPr/>
          <w:p>
            <w:pPr>
              <w:spacing w:before="60" w:after="60"/>
            </w:pPr>
            <w:r>
              <w:rPr>
                <w:rFonts w:ascii="Cambria" w:hAnsi="Cambria"/>
                <w:color w:val="1D2D3F"/>
                <w:sz w:val="20"/>
              </w:rPr>
              <w:t>Minimal protection. Core vulnerable.</w:t>
            </w:r>
          </w:p>
        </w:tc>
        <w:tc>
          <w:tcPr/>
          <w:p>
            <w:pPr>
              <w:spacing w:before="60" w:after="60"/>
            </w:pPr>
            <w:r>
              <w:rPr>
                <w:rFonts w:ascii="Cambria" w:hAnsi="Cambria"/>
                <w:color w:val="1D2D3F"/>
                <w:sz w:val="20"/>
              </w:rPr>
              <w:t>Activate compressed processing. All bands speed up by 20%. Panel convenes within 7 days.</w:t>
            </w:r>
          </w:p>
        </w:tc>
      </w:tr>
      <w:tr>
        <w:tc>
          <w:tcPr/>
          <w:p>
            <w:pPr>
              <w:spacing w:before="60" w:after="60"/>
            </w:pPr>
            <w:r>
              <w:rPr>
                <w:rFonts w:ascii="Cambria" w:hAnsi="Cambria"/>
                <w:color w:val="1D2D3F"/>
                <w:sz w:val="20"/>
              </w:rPr>
              <w:t>26-50</w:t>
            </w:r>
          </w:p>
        </w:tc>
        <w:tc>
          <w:tcPr/>
          <w:p>
            <w:pPr>
              <w:spacing w:before="60" w:after="60"/>
            </w:pPr>
            <w:r>
              <w:rPr>
                <w:rFonts w:ascii="Cambria" w:hAnsi="Cambria"/>
                <w:color w:val="1D2D3F"/>
                <w:sz w:val="20"/>
              </w:rPr>
              <w:t>Moderate protection. Standard filter strength.</w:t>
            </w:r>
          </w:p>
        </w:tc>
        <w:tc>
          <w:tcPr/>
          <w:p>
            <w:pPr>
              <w:spacing w:before="60" w:after="60"/>
            </w:pPr>
            <w:r>
              <w:rPr>
                <w:rFonts w:ascii="Cambria" w:hAnsi="Cambria"/>
                <w:color w:val="1D2D3F"/>
                <w:sz w:val="20"/>
              </w:rPr>
              <w:t>Normal operations. Enhanced monitoring of Band Three throughput.</w:t>
            </w:r>
          </w:p>
        </w:tc>
      </w:tr>
      <w:tr>
        <w:tc>
          <w:tcPr/>
          <w:p>
            <w:pPr>
              <w:spacing w:before="60" w:after="60"/>
            </w:pPr>
            <w:r>
              <w:rPr>
                <w:rFonts w:ascii="Cambria" w:hAnsi="Cambria"/>
                <w:color w:val="1D2D3F"/>
                <w:sz w:val="20"/>
              </w:rPr>
              <w:t>51-75</w:t>
            </w:r>
          </w:p>
        </w:tc>
        <w:tc>
          <w:tcPr/>
          <w:p>
            <w:pPr>
              <w:spacing w:before="60" w:after="60"/>
            </w:pPr>
            <w:r>
              <w:rPr>
                <w:rFonts w:ascii="Cambria" w:hAnsi="Cambria"/>
                <w:color w:val="1D2D3F"/>
                <w:sz w:val="20"/>
              </w:rPr>
              <w:t>Strong protection. Filter exceeds standard.</w:t>
            </w:r>
          </w:p>
        </w:tc>
        <w:tc>
          <w:tcPr/>
          <w:p>
            <w:pPr>
              <w:spacing w:before="60" w:after="60"/>
            </w:pPr>
            <w:r>
              <w:rPr>
                <w:rFonts w:ascii="Cambria" w:hAnsi="Cambria"/>
                <w:color w:val="1D2D3F"/>
                <w:sz w:val="20"/>
              </w:rPr>
              <w:t>Normal operations. Lateral Transfers expand to include inter-band transfers.</w:t>
            </w:r>
          </w:p>
        </w:tc>
      </w:tr>
      <w:tr>
        <w:tc>
          <w:tcPr/>
          <w:p>
            <w:pPr>
              <w:spacing w:before="60" w:after="60"/>
            </w:pPr>
            <w:r>
              <w:rPr>
                <w:rFonts w:ascii="Cambria" w:hAnsi="Cambria"/>
                <w:color w:val="1D2D3F"/>
                <w:sz w:val="20"/>
              </w:rPr>
              <w:t>76-100</w:t>
            </w:r>
          </w:p>
        </w:tc>
        <w:tc>
          <w:tcPr/>
          <w:p>
            <w:pPr>
              <w:spacing w:before="60" w:after="60"/>
            </w:pPr>
            <w:r>
              <w:rPr>
                <w:rFonts w:ascii="Cambria" w:hAnsi="Cambria"/>
                <w:color w:val="1D2D3F"/>
                <w:sz w:val="20"/>
              </w:rPr>
              <w:t>Maximum protection. Filter at peak.</w:t>
            </w:r>
          </w:p>
        </w:tc>
        <w:tc>
          <w:tcPr/>
          <w:p>
            <w:pPr>
              <w:spacing w:before="60" w:after="60"/>
            </w:pPr>
            <w:r>
              <w:rPr>
                <w:rFonts w:ascii="Cambria" w:hAnsi="Cambria"/>
                <w:color w:val="1D2D3F"/>
                <w:sz w:val="20"/>
              </w:rPr>
              <w:t>Normal operations with acceleration option. Panel may approve expanded Band Three mandates.</w:t>
            </w:r>
          </w:p>
        </w:tc>
      </w:tr>
    </w:tbl>
    <w:p>
      <w:pPr>
        <w:pStyle w:val="Heading2"/>
      </w:pPr>
      <w:r>
        <w:t>Section 1.5 — Band Entry and Routing</w:t>
      </w:r>
    </w:p>
    <w:p>
      <w:pPr>
        <w:spacing w:after="160" w:line="288" w:lineRule="auto"/>
      </w:pPr>
      <w:r>
        <w:rPr>
          <w:rFonts w:ascii="Cambria" w:hAnsi="Cambria"/>
          <w:color w:val="1D2D3F"/>
          <w:sz w:val="22"/>
        </w:rPr>
        <w:t>Every dispute enters the band architecture through the Entry Protocol. The Protocol classifies the dispute by intensity and routes it to the appropriate band. A dispute never processes through a channel designed for a different scale.</w:t>
      </w:r>
    </w:p>
    <w:p>
      <w:pPr>
        <w:pStyle w:val="Heading3"/>
      </w:pPr>
      <w:r>
        <w:t>Band One Entry</w:t>
      </w:r>
    </w:p>
    <w:p>
      <w:pPr>
        <w:spacing w:after="160" w:line="288" w:lineRule="auto"/>
      </w:pPr>
      <w:r>
        <w:rPr>
          <w:rFonts w:ascii="Cambria" w:hAnsi="Cambria"/>
          <w:color w:val="1D2D3F"/>
          <w:sz w:val="22"/>
        </w:rPr>
        <w:t>A dispute enters Band One when it meets all of the following: the dispute involves operational or local interests only; no core commitment is directly implicated; resolution requires no policy change beyond the local level; and the stakes affect routine implementation rather than strategic direction.</w:t>
      </w:r>
    </w:p>
    <w:p>
      <w:pPr>
        <w:pStyle w:val="Heading3"/>
      </w:pPr>
      <w:r>
        <w:t>Band Two Entry</w:t>
      </w:r>
    </w:p>
    <w:p>
      <w:pPr>
        <w:spacing w:after="160" w:line="288" w:lineRule="auto"/>
      </w:pPr>
      <w:r>
        <w:rPr>
          <w:rFonts w:ascii="Cambria" w:hAnsi="Cambria"/>
          <w:color w:val="1D2D3F"/>
          <w:sz w:val="22"/>
        </w:rPr>
        <w:t>A dispute enters Band Two when it meets any of the following: the dispute involves policy, resource allocation, or inter-agency relations; institutional change is a potential outcome; the dispute originated in Band One and survived one full rotation cycle without resolution; or multiple operational units report related concerns that suggest a structural pattern.</w:t>
      </w:r>
    </w:p>
    <w:p>
      <w:pPr>
        <w:pStyle w:val="Heading3"/>
      </w:pPr>
      <w:r>
        <w:t>Band Three Entry</w:t>
      </w:r>
    </w:p>
    <w:p>
      <w:pPr>
        <w:spacing w:after="160" w:line="288" w:lineRule="auto"/>
      </w:pPr>
      <w:r>
        <w:rPr>
          <w:rFonts w:ascii="Cambria" w:hAnsi="Cambria"/>
          <w:color w:val="1D2D3F"/>
          <w:sz w:val="22"/>
        </w:rPr>
        <w:t>A dispute enters Band Three when it meets any of the following: the dispute implicates sovereignty-level interests or fundamental Compact structure; resolution requires high-level political decisions committing significant resources or authority; the dispute originated in Band Two and survived one full rotation cycle without resolution; or either Party formally requests Band Three classification and the other Party does not object.</w:t>
      </w:r>
    </w:p>
    <w:p>
      <w:pPr>
        <w:sectPr>
          <w:type w:val="nextPage"/>
          <w:pgSz w:w="11906" w:h="16838"/>
          <w:pgMar w:top="1440" w:right="1440" w:bottom="1440" w:left="1440" w:header="720" w:footer="720"/>
        </w:sectPr>
      </w:pPr>
    </w:p>
    <w:p>
      <w:pPr>
        <w:pStyle w:val="Heading1"/>
      </w:pPr>
      <w:r>
        <w:t>Article II: Synchronization Engine</w:t>
      </w:r>
    </w:p>
    <w:p>
      <w:pPr>
        <w:spacing w:after="160" w:line="288" w:lineRule="auto"/>
      </w:pPr>
      <w:r>
        <w:rPr>
          <w:rFonts w:ascii="Cambria" w:hAnsi="Cambria"/>
          <w:color w:val="1D2D3F"/>
          <w:sz w:val="22"/>
        </w:rPr>
        <w:t>This article establishes the mechanical rules that govern how commitments activate, how the Parties verify each other's performance, and how the framework maintains equilibrium throughout the implementation window. The engine integrates reciprocal activation, interlocking commitment sequences, cumulative ratchets, and reversal prevention into a single mechanical system.</w:t>
      </w:r>
    </w:p>
    <w:p>
      <w:pPr>
        <w:pStyle w:val="Heading2"/>
      </w:pPr>
      <w:r>
        <w:t>Section 2.1 — Reciprocal Activation Engine</w:t>
      </w:r>
    </w:p>
    <w:p>
      <w:pPr>
        <w:spacing w:after="160" w:line="288" w:lineRule="auto"/>
      </w:pPr>
      <w:r>
        <w:rPr>
          <w:rFonts w:ascii="Cambria" w:hAnsi="Cambria"/>
          <w:color w:val="1D2D3F"/>
          <w:sz w:val="22"/>
        </w:rPr>
        <w:t>Every commitment in this Compact operates through the following mechanics:</w:t>
      </w:r>
    </w:p>
    <w:p>
      <w:pPr>
        <w:spacing w:after="120" w:line="276" w:lineRule="auto"/>
        <w:ind w:left="720" w:hanging="360"/>
      </w:pPr>
      <w:r>
        <w:rPr>
          <w:rFonts w:ascii="Cambria" w:hAnsi="Cambria"/>
          <w:b/>
          <w:color w:val="1D2D3F"/>
          <w:sz w:val="22"/>
        </w:rPr>
        <w:t>• Pairing — </w:t>
      </w:r>
      <w:r>
        <w:rPr>
          <w:rFonts w:ascii="Cambria" w:hAnsi="Cambria"/>
          <w:color w:val="1D2D3F"/>
          <w:sz w:val="22"/>
        </w:rPr>
        <w:t>Each commitment from one Party matches with a corresponding commitment from the other Party. The pairing creates a single reciprocity unit.</w:t>
      </w:r>
    </w:p>
    <w:p>
      <w:pPr>
        <w:spacing w:after="120" w:line="276" w:lineRule="auto"/>
        <w:ind w:left="720" w:hanging="360"/>
      </w:pPr>
      <w:r>
        <w:rPr>
          <w:rFonts w:ascii="Cambria" w:hAnsi="Cambria"/>
          <w:b/>
          <w:color w:val="1D2D3F"/>
          <w:sz w:val="22"/>
        </w:rPr>
        <w:t>• Simultaneous Activation — </w:t>
      </w:r>
      <w:r>
        <w:rPr>
          <w:rFonts w:ascii="Cambria" w:hAnsi="Cambria"/>
          <w:color w:val="1D2D3F"/>
          <w:sz w:val="22"/>
        </w:rPr>
        <w:t>Both commitments in a reciprocity unit activate at the same moment. Neither side activates its commitment before the other side activates the corresponding commitment.</w:t>
      </w:r>
    </w:p>
    <w:p>
      <w:pPr>
        <w:spacing w:after="120" w:line="276" w:lineRule="auto"/>
        <w:ind w:left="720" w:hanging="360"/>
      </w:pPr>
      <w:r>
        <w:rPr>
          <w:rFonts w:ascii="Cambria" w:hAnsi="Cambria"/>
          <w:b/>
          <w:color w:val="1D2D3F"/>
          <w:sz w:val="22"/>
        </w:rPr>
        <w:t>• Joint Confirmation — </w:t>
      </w:r>
      <w:r>
        <w:rPr>
          <w:rFonts w:ascii="Cambria" w:hAnsi="Cambria"/>
          <w:color w:val="1D2D3F"/>
          <w:sz w:val="22"/>
        </w:rPr>
        <w:t>The Neutral Guarantor confirms simultaneous activation. Either Party holds veto power over unilateral activation.</w:t>
      </w:r>
    </w:p>
    <w:p>
      <w:pPr>
        <w:pStyle w:val="Heading2"/>
      </w:pPr>
      <w:r>
        <w:t>Section 2.2 — Interlocking Commitment Sequence</w:t>
      </w:r>
    </w:p>
    <w:p>
      <w:pPr>
        <w:spacing w:after="160" w:line="288" w:lineRule="auto"/>
      </w:pPr>
      <w:r>
        <w:rPr>
          <w:rFonts w:ascii="Cambria" w:hAnsi="Cambria"/>
          <w:color w:val="1D2D3F"/>
          <w:sz w:val="22"/>
        </w:rPr>
        <w:t>The framework structures commitments as an interlocking sequence of discrete, verifiable steps. Each step locks the previous one in place. Forward momentum is mechanical: each interlock pulls the next one into position. The architecture creates its own momentum once started.</w:t>
      </w:r>
    </w:p>
    <w:p>
      <w:pPr>
        <w:pStyle w:val="Heading3"/>
      </w:pPr>
      <w:r>
        <w:t>Sequence Architecture</w:t>
      </w:r>
    </w:p>
    <w:p>
      <w:pPr>
        <w:spacing w:after="160" w:line="288" w:lineRule="auto"/>
      </w:pPr>
      <w:r>
        <w:rPr>
          <w:rFonts w:ascii="Cambria" w:hAnsi="Cambria"/>
          <w:color w:val="1D2D3F"/>
          <w:sz w:val="22"/>
        </w:rPr>
        <w:t>Each step in the sequence contains the following elements:</w:t>
      </w:r>
    </w:p>
    <w:p>
      <w:pPr>
        <w:spacing w:after="120" w:line="276" w:lineRule="auto"/>
        <w:ind w:left="720" w:hanging="360"/>
      </w:pPr>
      <w:r>
        <w:rPr>
          <w:rFonts w:ascii="Cambria" w:hAnsi="Cambria"/>
          <w:color w:val="1D2D3F"/>
          <w:sz w:val="22"/>
        </w:rPr>
        <w:t>• A unique identifier, sequence number, and responsible Party.</w:t>
      </w:r>
    </w:p>
    <w:p>
      <w:pPr>
        <w:spacing w:after="120" w:line="276" w:lineRule="auto"/>
        <w:ind w:left="720" w:hanging="360"/>
      </w:pPr>
      <w:r>
        <w:rPr>
          <w:rFonts w:ascii="Cambria" w:hAnsi="Cambria"/>
          <w:color w:val="1D2D3F"/>
          <w:sz w:val="22"/>
        </w:rPr>
        <w:t>• A precise specification of the act required.</w:t>
      </w:r>
    </w:p>
    <w:p>
      <w:pPr>
        <w:spacing w:after="120" w:line="276" w:lineRule="auto"/>
        <w:ind w:left="720" w:hanging="360"/>
      </w:pPr>
      <w:r>
        <w:rPr>
          <w:rFonts w:ascii="Cambria" w:hAnsi="Cambria"/>
          <w:color w:val="1D2D3F"/>
          <w:sz w:val="22"/>
        </w:rPr>
        <w:t>• A standard of proof for verification.</w:t>
      </w:r>
    </w:p>
    <w:p>
      <w:pPr>
        <w:spacing w:after="120" w:line="276" w:lineRule="auto"/>
        <w:ind w:left="720" w:hanging="360"/>
      </w:pPr>
      <w:r>
        <w:rPr>
          <w:rFonts w:ascii="Cambria" w:hAnsi="Cambria"/>
          <w:color w:val="1D2D3F"/>
          <w:sz w:val="22"/>
        </w:rPr>
        <w:t>• A tempo window — the maximum time allowed between the verified completion of one step and the formal proposal of the next.</w:t>
      </w:r>
    </w:p>
    <w:p>
      <w:pPr>
        <w:spacing w:after="120" w:line="276" w:lineRule="auto"/>
        <w:ind w:left="720" w:hanging="360"/>
      </w:pPr>
      <w:r>
        <w:rPr>
          <w:rFonts w:ascii="Cambria" w:hAnsi="Cambria"/>
          <w:color w:val="1D2D3F"/>
          <w:sz w:val="22"/>
        </w:rPr>
        <w:t>• A penalty schedule for non-completion.</w:t>
      </w:r>
    </w:p>
    <w:p>
      <w:pPr>
        <w:spacing w:after="120" w:line="276" w:lineRule="auto"/>
        <w:ind w:left="720" w:hanging="360"/>
      </w:pPr>
      <w:r>
        <w:rPr>
          <w:rFonts w:ascii="Cambria" w:hAnsi="Cambria"/>
          <w:color w:val="1D2D3F"/>
          <w:sz w:val="22"/>
        </w:rPr>
        <w:t>• A dependency list specifying which steps must complete before this one activates.</w:t>
      </w:r>
    </w:p>
    <w:p>
      <w:pPr>
        <w:pStyle w:val="Heading3"/>
      </w:pPr>
      <w:r>
        <w:t>Three Step Types</w:t>
      </w:r>
    </w:p>
    <w:p>
      <w:pPr>
        <w:spacing w:after="160" w:line="288" w:lineRule="auto"/>
      </w:pPr>
      <w:r>
        <w:rPr>
          <w:rFonts w:ascii="Cambria" w:hAnsi="Cambria"/>
          <w:color w:val="1D2D3F"/>
          <w:sz w:val="22"/>
        </w:rPr>
        <w:t>Steps are typed by their strategic function. The type determines the tempo window, the verification intensity, and the financial backing.</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gridCol/>
      </w:tblGrid>
      <w:tr>
        <w:tc>
          <w:tcPr>
            <w:shd w:val="clear" w:fill="E8EEF2"/>
          </w:tcPr>
          <w:p>
            <w:pPr>
              <w:spacing w:before="60" w:after="60"/>
            </w:pPr>
            <w:r>
              <w:rPr>
                <w:rFonts w:ascii="Cambria" w:hAnsi="Cambria"/>
                <w:b/>
                <w:color w:val="1D2D3F"/>
                <w:sz w:val="20"/>
              </w:rPr>
              <w:t>Type</w:t>
            </w:r>
          </w:p>
        </w:tc>
        <w:tc>
          <w:tcPr>
            <w:shd w:val="clear" w:fill="E8EEF2"/>
          </w:tcPr>
          <w:p>
            <w:pPr>
              <w:spacing w:before="60" w:after="60"/>
            </w:pPr>
            <w:r>
              <w:rPr>
                <w:rFonts w:ascii="Cambria" w:hAnsi="Cambria"/>
                <w:b/>
                <w:color w:val="1D2D3F"/>
                <w:sz w:val="20"/>
              </w:rPr>
              <w:t>Function</w:t>
            </w:r>
          </w:p>
        </w:tc>
        <w:tc>
          <w:tcPr>
            <w:shd w:val="clear" w:fill="E8EEF2"/>
          </w:tcPr>
          <w:p>
            <w:pPr>
              <w:spacing w:before="60" w:after="60"/>
            </w:pPr>
            <w:r>
              <w:rPr>
                <w:rFonts w:ascii="Cambria" w:hAnsi="Cambria"/>
                <w:b/>
                <w:color w:val="1D2D3F"/>
                <w:sz w:val="20"/>
              </w:rPr>
              <w:t>Tempo Window</w:t>
            </w:r>
          </w:p>
        </w:tc>
        <w:tc>
          <w:tcPr>
            <w:shd w:val="clear" w:fill="E8EEF2"/>
          </w:tcPr>
          <w:p>
            <w:pPr>
              <w:spacing w:before="60" w:after="60"/>
            </w:pPr>
            <w:r>
              <w:rPr>
                <w:rFonts w:ascii="Cambria" w:hAnsi="Cambria"/>
                <w:b/>
                <w:color w:val="1D2D3F"/>
                <w:sz w:val="20"/>
              </w:rPr>
              <w:t>Verification</w:t>
            </w:r>
          </w:p>
        </w:tc>
      </w:tr>
      <w:tr>
        <w:tc>
          <w:tcPr/>
          <w:p>
            <w:pPr>
              <w:spacing w:before="60" w:after="60"/>
            </w:pPr>
            <w:r>
              <w:rPr>
                <w:rFonts w:ascii="Cambria" w:hAnsi="Cambria"/>
                <w:color w:val="1D2D3F"/>
                <w:sz w:val="20"/>
              </w:rPr>
              <w:t>Convergence (C-Type)</w:t>
            </w:r>
          </w:p>
        </w:tc>
        <w:tc>
          <w:tcPr/>
          <w:p>
            <w:pPr>
              <w:spacing w:before="60" w:after="60"/>
            </w:pPr>
            <w:r>
              <w:rPr>
                <w:rFonts w:ascii="Cambria" w:hAnsi="Cambria"/>
                <w:color w:val="1D2D3F"/>
                <w:sz w:val="20"/>
              </w:rPr>
              <w:t>Fast, visible, low-cost commitments that build momentum. Prisoner releases, checkpoint adjustments, access permits.</w:t>
            </w:r>
          </w:p>
        </w:tc>
        <w:tc>
          <w:tcPr/>
          <w:p>
            <w:pPr>
              <w:spacing w:before="60" w:after="60"/>
            </w:pPr>
            <w:r>
              <w:rPr>
                <w:rFonts w:ascii="Cambria" w:hAnsi="Cambria"/>
                <w:color w:val="1D2D3F"/>
                <w:sz w:val="20"/>
              </w:rPr>
              <w:t>30 days</w:t>
            </w:r>
          </w:p>
        </w:tc>
        <w:tc>
          <w:tcPr/>
          <w:p>
            <w:pPr>
              <w:spacing w:before="60" w:after="60"/>
            </w:pPr>
            <w:r>
              <w:rPr>
                <w:rFonts w:ascii="Cambria" w:hAnsi="Cambria"/>
                <w:color w:val="1D2D3F"/>
                <w:sz w:val="20"/>
              </w:rPr>
              <w:t>Light but independent</w:t>
            </w:r>
          </w:p>
        </w:tc>
      </w:tr>
      <w:tr>
        <w:tc>
          <w:tcPr/>
          <w:p>
            <w:pPr>
              <w:spacing w:before="60" w:after="60"/>
            </w:pPr>
            <w:r>
              <w:rPr>
                <w:rFonts w:ascii="Cambria" w:hAnsi="Cambria"/>
                <w:color w:val="1D2D3F"/>
                <w:sz w:val="20"/>
              </w:rPr>
              <w:t>Structural (S-Type)</w:t>
            </w:r>
          </w:p>
        </w:tc>
        <w:tc>
          <w:tcPr/>
          <w:p>
            <w:pPr>
              <w:spacing w:before="60" w:after="60"/>
            </w:pPr>
            <w:r>
              <w:rPr>
                <w:rFonts w:ascii="Cambria" w:hAnsi="Cambria"/>
                <w:color w:val="1D2D3F"/>
                <w:sz w:val="20"/>
              </w:rPr>
              <w:t>Underlying architecture of the conflict relationship. Military positioning, asset arrangements, monitoring frameworks.</w:t>
            </w:r>
          </w:p>
        </w:tc>
        <w:tc>
          <w:tcPr/>
          <w:p>
            <w:pPr>
              <w:spacing w:before="60" w:after="60"/>
            </w:pPr>
            <w:r>
              <w:rPr>
                <w:rFonts w:ascii="Cambria" w:hAnsi="Cambria"/>
                <w:color w:val="1D2D3F"/>
                <w:sz w:val="20"/>
              </w:rPr>
              <w:t>60 days</w:t>
            </w:r>
          </w:p>
        </w:tc>
        <w:tc>
          <w:tcPr/>
          <w:p>
            <w:pPr>
              <w:spacing w:before="60" w:after="60"/>
            </w:pPr>
            <w:r>
              <w:rPr>
                <w:rFonts w:ascii="Cambria" w:hAnsi="Cambria"/>
                <w:color w:val="1D2D3F"/>
                <w:sz w:val="20"/>
              </w:rPr>
              <w:t>Intensive — multiple methods, third-party observers</w:t>
            </w:r>
          </w:p>
        </w:tc>
      </w:tr>
      <w:tr>
        <w:tc>
          <w:tcPr/>
          <w:p>
            <w:pPr>
              <w:spacing w:before="60" w:after="60"/>
            </w:pPr>
            <w:r>
              <w:rPr>
                <w:rFonts w:ascii="Cambria" w:hAnsi="Cambria"/>
                <w:color w:val="1D2D3F"/>
                <w:sz w:val="20"/>
              </w:rPr>
              <w:t>Confidence (F-Type)</w:t>
            </w:r>
          </w:p>
        </w:tc>
        <w:tc>
          <w:tcPr/>
          <w:p>
            <w:pPr>
              <w:spacing w:before="60" w:after="60"/>
            </w:pPr>
            <w:r>
              <w:rPr>
                <w:rFonts w:ascii="Cambria" w:hAnsi="Cambria"/>
                <w:color w:val="1D2D3F"/>
                <w:sz w:val="20"/>
              </w:rPr>
              <w:t>Long-term, high-investment commitments that transform the relationship. Joint institutions, shared infrastructure, mutual recognition protocols.</w:t>
            </w:r>
          </w:p>
        </w:tc>
        <w:tc>
          <w:tcPr/>
          <w:p>
            <w:pPr>
              <w:spacing w:before="60" w:after="60"/>
            </w:pPr>
            <w:r>
              <w:rPr>
                <w:rFonts w:ascii="Cambria" w:hAnsi="Cambria"/>
                <w:color w:val="1D2D3F"/>
                <w:sz w:val="20"/>
              </w:rPr>
              <w:t>90 days</w:t>
            </w:r>
          </w:p>
        </w:tc>
        <w:tc>
          <w:tcPr/>
          <w:p>
            <w:pPr>
              <w:spacing w:before="60" w:after="60"/>
            </w:pPr>
            <w:r>
              <w:rPr>
                <w:rFonts w:ascii="Cambria" w:hAnsi="Cambria"/>
                <w:color w:val="1D2D3F"/>
                <w:sz w:val="20"/>
              </w:rPr>
              <w:t>Continuous monitoring over extended periods</w:t>
            </w:r>
          </w:p>
        </w:tc>
      </w:tr>
    </w:tbl>
    <w:p>
      <w:pPr>
        <w:pStyle w:val="Heading2"/>
      </w:pPr>
      <w:r>
        <w:t>Section 2.3 — Cumulative Ratchet</w:t>
      </w:r>
    </w:p>
    <w:p>
      <w:pPr>
        <w:spacing w:after="160" w:line="288" w:lineRule="auto"/>
      </w:pPr>
      <w:r>
        <w:rPr>
          <w:rFonts w:ascii="Cambria" w:hAnsi="Cambria"/>
          <w:color w:val="1D2D3F"/>
          <w:sz w:val="22"/>
        </w:rPr>
        <w:t>The framework constructs a ratchet in the political domain: each step, once verified and locked, raises the baseline against which future behavior is measured. Reversal requires unzipping multiple subsequent steps — an act that is structurally visible, diplomatically costly, and mechanically prevented by the reversal prevention mechanism.</w:t>
      </w:r>
    </w:p>
    <w:p>
      <w:pPr>
        <w:pStyle w:val="Heading3"/>
      </w:pPr>
      <w:r>
        <w:t>Ratchet Points</w:t>
      </w:r>
    </w:p>
    <w:p>
      <w:pPr>
        <w:spacing w:after="160" w:line="288" w:lineRule="auto"/>
      </w:pPr>
      <w:r>
        <w:rPr>
          <w:rFonts w:ascii="Cambria" w:hAnsi="Cambria"/>
          <w:color w:val="1D2D3F"/>
          <w:sz w:val="22"/>
        </w:rPr>
        <w:t>Ratchet points are designed into the sequence, not emergent. A ratchet point activates after every third Structural step and after every Confidence step. At a ratchet point, the following occurs: the escrow fund increases proportionally; the public dashboard updates to reflect cumulative progress; and the Reciprocity Ledger records the ratchet as a permanent milestone.</w:t>
      </w:r>
    </w:p>
    <w:p>
      <w:pPr>
        <w:pStyle w:val="Heading2"/>
      </w:pPr>
      <w:r>
        <w:t>Section 2.4 — Reversal Prevention Mechanism</w:t>
      </w:r>
    </w:p>
    <w:p>
      <w:pPr>
        <w:spacing w:after="160" w:line="288" w:lineRule="auto"/>
      </w:pPr>
      <w:r>
        <w:rPr>
          <w:rFonts w:ascii="Cambria" w:hAnsi="Cambria"/>
          <w:color w:val="1D2D3F"/>
          <w:sz w:val="22"/>
        </w:rPr>
        <w:t>The reversal prevention mechanism creates structural barriers to backsliding. It operates through three layers:</w:t>
      </w:r>
    </w:p>
    <w:p>
      <w:pPr>
        <w:spacing w:after="120" w:line="276" w:lineRule="auto"/>
        <w:ind w:left="720" w:hanging="360"/>
      </w:pPr>
      <w:r>
        <w:rPr>
          <w:rFonts w:ascii="Cambria" w:hAnsi="Cambria"/>
          <w:b/>
          <w:color w:val="1D2D3F"/>
          <w:sz w:val="22"/>
        </w:rPr>
        <w:t>• Escrow Layer — </w:t>
      </w:r>
      <w:r>
        <w:rPr>
          <w:rFonts w:ascii="Cambria" w:hAnsi="Cambria"/>
          <w:color w:val="1D2D3F"/>
          <w:sz w:val="22"/>
        </w:rPr>
        <w:t>Both Parties contribute equally to a pre-funded escrow at the outset. Each step carries an escrow allocation. A Party that backslides loses funds it has already committed, not merely future benefits.</w:t>
      </w:r>
    </w:p>
    <w:p>
      <w:pPr>
        <w:spacing w:after="120" w:line="276" w:lineRule="auto"/>
        <w:ind w:left="720" w:hanging="360"/>
      </w:pPr>
      <w:r>
        <w:rPr>
          <w:rFonts w:ascii="Cambria" w:hAnsi="Cambria"/>
          <w:b/>
          <w:color w:val="1D2D3F"/>
          <w:sz w:val="22"/>
        </w:rPr>
        <w:t>• Visibility Layer — </w:t>
      </w:r>
      <w:r>
        <w:rPr>
          <w:rFonts w:ascii="Cambria" w:hAnsi="Cambria"/>
          <w:color w:val="1D2D3F"/>
          <w:sz w:val="22"/>
        </w:rPr>
        <w:t>The public sequencing creates audience costs. A Party that stalls does so visibly, in a framework designed to make delay obvious through the Swiss-hosted dashboard and the Quarterly Public Accountability Report.</w:t>
      </w:r>
    </w:p>
    <w:p>
      <w:pPr>
        <w:spacing w:after="120" w:line="276" w:lineRule="auto"/>
        <w:ind w:left="720" w:hanging="360"/>
      </w:pPr>
      <w:r>
        <w:rPr>
          <w:rFonts w:ascii="Cambria" w:hAnsi="Cambria"/>
          <w:b/>
          <w:color w:val="1D2D3F"/>
          <w:sz w:val="22"/>
        </w:rPr>
        <w:t>• Mechanical Layer — </w:t>
      </w:r>
      <w:r>
        <w:rPr>
          <w:rFonts w:ascii="Cambria" w:hAnsi="Cambria"/>
          <w:color w:val="1D2D3F"/>
          <w:sz w:val="22"/>
        </w:rPr>
        <w:t>Each step creates facts on the ground that reduce the cost of the next step. Each successful verification builds confidence in the verification system. The escrow fund grows as steps are completed, increasing the cost of reversal.</w:t>
      </w:r>
    </w:p>
    <w:p>
      <w:pPr>
        <w:pStyle w:val="Heading2"/>
      </w:pPr>
      <w:r>
        <w:t>Section 2.5 — Veto Architecture</w:t>
      </w:r>
    </w:p>
    <w:p>
      <w:pPr>
        <w:spacing w:after="160" w:line="288" w:lineRule="auto"/>
      </w:pPr>
      <w:r>
        <w:rPr>
          <w:rFonts w:ascii="Cambria" w:hAnsi="Cambria"/>
          <w:color w:val="1D2D3F"/>
          <w:sz w:val="22"/>
        </w:rPr>
        <w:t>Each Party possesses one veto per week during the 60-day implementation period. A Party exercises its veto by submitting a written objection to the Neutral Guarantor within 24 hours of a proposed activation. The veto suspends the specific reciprocity unit under dispute while all other reciprocity units continue operating. The Parties resolve suspended units through the Human-in-the-Loop Review process described in Article VIII.</w:t>
      </w:r>
    </w:p>
    <w:p>
      <w:pPr>
        <w:pStyle w:val="Heading2"/>
      </w:pPr>
      <w:r>
        <w:t>Section 2.6 — Communication Protocols</w:t>
      </w:r>
    </w:p>
    <w:p>
      <w:pPr>
        <w:spacing w:after="160" w:line="288" w:lineRule="auto"/>
      </w:pPr>
      <w:r>
        <w:rPr>
          <w:rFonts w:ascii="Cambria" w:hAnsi="Cambria"/>
          <w:color w:val="1D2D3F"/>
          <w:sz w:val="22"/>
        </w:rPr>
        <w:t>The Parties communicate through the following channels: the Joint Coordination Center in Muscat, Oman serves as the primary liaison hub; the Neutral Guarantor maintains secure diplomatic backchannels for sensitive matters; and both Parties retain the right to public statements provided such statements do not disclose classified operational details.</w:t>
      </w:r>
    </w:p>
    <w:p>
      <w:pPr>
        <w:pStyle w:val="Heading2"/>
      </w:pPr>
      <w:r>
        <w:t>Section 2.7 — Synchronization Clock</w:t>
      </w:r>
    </w:p>
    <w:p>
      <w:pPr>
        <w:spacing w:after="160" w:line="288" w:lineRule="auto"/>
      </w:pPr>
      <w:r>
        <w:rPr>
          <w:rFonts w:ascii="Cambria" w:hAnsi="Cambria"/>
          <w:color w:val="1D2D3F"/>
          <w:sz w:val="22"/>
        </w:rPr>
        <w:t>The Synchronization Clock is the governance instrument that sets the rhythm of the framework's advance. It is not a rigid calendar. It is a conditional schedule in which the next event activates when the previous event's verification is confirmed. The Clock runs forward on verified compliance and pauses on the detection of a drift event. It does not reverse, and it does not reset to zero on any single breach. The framework loses pace on a breach, not ground.</w:t>
      </w:r>
    </w:p>
    <w:p>
      <w:pPr>
        <w:pStyle w:val="Heading3"/>
      </w:pPr>
      <w:r>
        <w:t>Clock Phases</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tblGrid>
      <w:tr>
        <w:tc>
          <w:tcPr>
            <w:shd w:val="clear" w:fill="E8EEF2"/>
          </w:tcPr>
          <w:p>
            <w:pPr>
              <w:spacing w:before="60" w:after="60"/>
            </w:pPr>
            <w:r>
              <w:rPr>
                <w:rFonts w:ascii="Cambria" w:hAnsi="Cambria"/>
                <w:b/>
                <w:color w:val="1D2D3F"/>
                <w:sz w:val="20"/>
              </w:rPr>
              <w:t>Phase</w:t>
            </w:r>
          </w:p>
        </w:tc>
        <w:tc>
          <w:tcPr>
            <w:shd w:val="clear" w:fill="E8EEF2"/>
          </w:tcPr>
          <w:p>
            <w:pPr>
              <w:spacing w:before="60" w:after="60"/>
            </w:pPr>
            <w:r>
              <w:rPr>
                <w:rFonts w:ascii="Cambria" w:hAnsi="Cambria"/>
                <w:b/>
                <w:color w:val="1D2D3F"/>
                <w:sz w:val="20"/>
              </w:rPr>
              <w:t>Trigger</w:t>
            </w:r>
          </w:p>
        </w:tc>
        <w:tc>
          <w:tcPr>
            <w:shd w:val="clear" w:fill="E8EEF2"/>
          </w:tcPr>
          <w:p>
            <w:pPr>
              <w:spacing w:before="60" w:after="60"/>
            </w:pPr>
            <w:r>
              <w:rPr>
                <w:rFonts w:ascii="Cambria" w:hAnsi="Cambria"/>
                <w:b/>
                <w:color w:val="1D2D3F"/>
                <w:sz w:val="20"/>
              </w:rPr>
              <w:t>Operational Content</w:t>
            </w:r>
          </w:p>
        </w:tc>
      </w:tr>
      <w:tr>
        <w:tc>
          <w:tcPr/>
          <w:p>
            <w:pPr>
              <w:spacing w:before="60" w:after="60"/>
            </w:pPr>
            <w:r>
              <w:rPr>
                <w:rFonts w:ascii="Cambria" w:hAnsi="Cambria"/>
                <w:color w:val="1D2D3F"/>
                <w:sz w:val="20"/>
              </w:rPr>
              <w:t>Activation Phase</w:t>
            </w:r>
          </w:p>
        </w:tc>
        <w:tc>
          <w:tcPr/>
          <w:p>
            <w:pPr>
              <w:spacing w:before="60" w:after="60"/>
            </w:pPr>
            <w:r>
              <w:rPr>
                <w:rFonts w:ascii="Cambria" w:hAnsi="Cambria"/>
                <w:color w:val="1D2D3F"/>
                <w:sz w:val="20"/>
              </w:rPr>
              <w:t>Compact signature and all initial reciprocity units confirmed</w:t>
            </w:r>
          </w:p>
        </w:tc>
        <w:tc>
          <w:tcPr/>
          <w:p>
            <w:pPr>
              <w:spacing w:before="60" w:after="60"/>
            </w:pPr>
            <w:r>
              <w:rPr>
                <w:rFonts w:ascii="Cambria" w:hAnsi="Cambria"/>
                <w:color w:val="1D2D3F"/>
                <w:sz w:val="20"/>
              </w:rPr>
              <w:t>Band One begins first rotation cycle. Joint Coordination Center establishes baseline Stability Coefficient readings. Dashboard goes live.</w:t>
            </w:r>
          </w:p>
        </w:tc>
      </w:tr>
      <w:tr>
        <w:tc>
          <w:tcPr/>
          <w:p>
            <w:pPr>
              <w:spacing w:before="60" w:after="60"/>
            </w:pPr>
            <w:r>
              <w:rPr>
                <w:rFonts w:ascii="Cambria" w:hAnsi="Cambria"/>
                <w:color w:val="1D2D3F"/>
                <w:sz w:val="20"/>
              </w:rPr>
              <w:t>Confirmation Phase</w:t>
            </w:r>
          </w:p>
        </w:tc>
        <w:tc>
          <w:tcPr/>
          <w:p>
            <w:pPr>
              <w:spacing w:before="60" w:after="60"/>
            </w:pPr>
            <w:r>
              <w:rPr>
                <w:rFonts w:ascii="Cambria" w:hAnsi="Cambria"/>
                <w:color w:val="1D2D3F"/>
                <w:sz w:val="20"/>
              </w:rPr>
              <w:t>Initial obligations verified at or above 60% completion</w:t>
            </w:r>
          </w:p>
        </w:tc>
        <w:tc>
          <w:tcPr/>
          <w:p>
            <w:pPr>
              <w:spacing w:before="60" w:after="60"/>
            </w:pPr>
            <w:r>
              <w:rPr>
                <w:rFonts w:ascii="Cambria" w:hAnsi="Cambria"/>
                <w:color w:val="1D2D3F"/>
                <w:sz w:val="20"/>
              </w:rPr>
              <w:t>Reciprocity Index calculated for active Benefit Corridors. Index above 40 confirms corridor activation. Index below 25 triggers Deficit Recovery Protocol.</w:t>
            </w:r>
          </w:p>
        </w:tc>
      </w:tr>
      <w:tr>
        <w:tc>
          <w:tcPr/>
          <w:p>
            <w:pPr>
              <w:spacing w:before="60" w:after="60"/>
            </w:pPr>
            <w:r>
              <w:rPr>
                <w:rFonts w:ascii="Cambria" w:hAnsi="Cambria"/>
                <w:color w:val="1D2D3F"/>
                <w:sz w:val="20"/>
              </w:rPr>
              <w:t>Full Operation Phase</w:t>
            </w:r>
          </w:p>
        </w:tc>
        <w:tc>
          <w:tcPr/>
          <w:p>
            <w:pPr>
              <w:spacing w:before="60" w:after="60"/>
            </w:pPr>
            <w:r>
              <w:rPr>
                <w:rFonts w:ascii="Cambria" w:hAnsi="Cambria"/>
                <w:color w:val="1D2D3F"/>
                <w:sz w:val="20"/>
              </w:rPr>
              <w:t>Core obligations verified at 60% or above</w:t>
            </w:r>
          </w:p>
        </w:tc>
        <w:tc>
          <w:tcPr/>
          <w:p>
            <w:pPr>
              <w:spacing w:before="60" w:after="60"/>
            </w:pPr>
            <w:r>
              <w:rPr>
                <w:rFonts w:ascii="Cambria" w:hAnsi="Cambria"/>
                <w:color w:val="1D2D3F"/>
                <w:sz w:val="20"/>
              </w:rPr>
              <w:t>Framework running at full configuration. Reciprocity Ledger recording at maximum rate. Stability Coefficient monitors all bands continuously.</w:t>
            </w:r>
          </w:p>
        </w:tc>
      </w:tr>
      <w:tr>
        <w:tc>
          <w:tcPr/>
          <w:p>
            <w:pPr>
              <w:spacing w:before="60" w:after="60"/>
            </w:pPr>
            <w:r>
              <w:rPr>
                <w:rFonts w:ascii="Cambria" w:hAnsi="Cambria"/>
                <w:color w:val="1D2D3F"/>
                <w:sz w:val="20"/>
              </w:rPr>
              <w:t>Transition Phase</w:t>
            </w:r>
          </w:p>
        </w:tc>
        <w:tc>
          <w:tcPr/>
          <w:p>
            <w:pPr>
              <w:spacing w:before="60" w:after="60"/>
            </w:pPr>
            <w:r>
              <w:rPr>
                <w:rFonts w:ascii="Cambria" w:hAnsi="Cambria"/>
                <w:color w:val="1D2D3F"/>
                <w:sz w:val="20"/>
              </w:rPr>
              <w:t>Phase Two completion conditions met</w:t>
            </w:r>
          </w:p>
        </w:tc>
        <w:tc>
          <w:tcPr/>
          <w:p>
            <w:pPr>
              <w:spacing w:before="60" w:after="60"/>
            </w:pPr>
            <w:r>
              <w:rPr>
                <w:rFonts w:ascii="Cambria" w:hAnsi="Cambria"/>
                <w:color w:val="1D2D3F"/>
                <w:sz w:val="20"/>
              </w:rPr>
              <w:t>Phase Three activation protocol initiates. New Benefit Corridors calculated. Reciprocity Ledger resets corridor baselines. New Clock cycle initiates.</w:t>
            </w:r>
          </w:p>
        </w:tc>
      </w:tr>
    </w:tbl>
    <w:p>
      <w:pPr>
        <w:sectPr>
          <w:type w:val="nextPage"/>
          <w:pgSz w:w="11906" w:h="16838"/>
          <w:pgMar w:top="1440" w:right="1440" w:bottom="1440" w:left="1440" w:header="720" w:footer="720"/>
        </w:sectPr>
      </w:pPr>
    </w:p>
    <w:p>
      <w:pPr>
        <w:pStyle w:val="Heading1"/>
      </w:pPr>
      <w:r>
        <w:t>Article III: Reciprocity Ledger and Benefit Corridors</w:t>
      </w:r>
    </w:p>
    <w:p>
      <w:pPr>
        <w:spacing w:after="160" w:line="288" w:lineRule="auto"/>
      </w:pPr>
      <w:r>
        <w:rPr>
          <w:rFonts w:ascii="Cambria" w:hAnsi="Cambria"/>
          <w:color w:val="1D2D3F"/>
          <w:sz w:val="22"/>
        </w:rPr>
        <w:t>This article establishes the economic and diplomatic architecture that measures, records, and distributes the benefits generated by synchronized action. Every verified commitment produces effects that ripple through the relationship. This article makes those effects visible, quantifiable, and accountable.</w:t>
      </w:r>
    </w:p>
    <w:p>
      <w:pPr>
        <w:pStyle w:val="Heading2"/>
      </w:pPr>
      <w:r>
        <w:t>Section 3.1 — Reciprocity Ledger</w:t>
      </w:r>
    </w:p>
    <w:p>
      <w:pPr>
        <w:spacing w:after="160" w:line="288" w:lineRule="auto"/>
      </w:pPr>
      <w:r>
        <w:rPr>
          <w:rFonts w:ascii="Cambria" w:hAnsi="Cambria"/>
          <w:color w:val="1D2D3F"/>
          <w:sz w:val="22"/>
        </w:rPr>
        <w:t>The Reciprocity Ledger is the formal accountancy of political lift generated and consumed within the framework. The Ledger records, for each active Benefit Corridor: the verified action that generated the corridor, the quantified lift produced, the consumption of lift through subsequent commitments, and the running balance — the difference between lift generated and lift consumed. A positive Ledger balance indicates that the framework is producing more political lift than it consumes: a net positive environment. A negative balance is the Ledger's early-warning signal.</w:t>
      </w:r>
    </w:p>
    <w:p>
      <w:pPr>
        <w:pStyle w:val="Heading3"/>
      </w:pPr>
      <w:r>
        <w:t>Reciprocity Index</w:t>
      </w:r>
    </w:p>
    <w:p>
      <w:pPr>
        <w:spacing w:after="160" w:line="288" w:lineRule="auto"/>
      </w:pPr>
      <w:r>
        <w:rPr>
          <w:rFonts w:ascii="Cambria" w:hAnsi="Cambria"/>
          <w:color w:val="1D2D3F"/>
          <w:sz w:val="22"/>
        </w:rPr>
        <w:t>The Reciprocity Index is a four-component composite score measuring the degree to which a Party's verified action has changed the environment for the other Party. It is the framework's most critical measurement instrument.</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tblGrid>
      <w:tr>
        <w:tc>
          <w:tcPr>
            <w:shd w:val="clear" w:fill="E8EEF2"/>
          </w:tcPr>
          <w:p>
            <w:pPr>
              <w:spacing w:before="60" w:after="60"/>
            </w:pPr>
            <w:r>
              <w:rPr>
                <w:rFonts w:ascii="Cambria" w:hAnsi="Cambria"/>
                <w:b/>
                <w:color w:val="1D2D3F"/>
                <w:sz w:val="20"/>
              </w:rPr>
              <w:t>Component</w:t>
            </w:r>
          </w:p>
        </w:tc>
        <w:tc>
          <w:tcPr>
            <w:shd w:val="clear" w:fill="E8EEF2"/>
          </w:tcPr>
          <w:p>
            <w:pPr>
              <w:spacing w:before="60" w:after="60"/>
            </w:pPr>
            <w:r>
              <w:rPr>
                <w:rFonts w:ascii="Cambria" w:hAnsi="Cambria"/>
                <w:b/>
                <w:color w:val="1D2D3F"/>
                <w:sz w:val="20"/>
              </w:rPr>
              <w:t>Definition</w:t>
            </w:r>
          </w:p>
        </w:tc>
        <w:tc>
          <w:tcPr>
            <w:shd w:val="clear" w:fill="E8EEF2"/>
          </w:tcPr>
          <w:p>
            <w:pPr>
              <w:spacing w:before="60" w:after="60"/>
            </w:pPr>
            <w:r>
              <w:rPr>
                <w:rFonts w:ascii="Cambria" w:hAnsi="Cambria"/>
                <w:b/>
                <w:color w:val="1D2D3F"/>
                <w:sz w:val="20"/>
              </w:rPr>
              <w:t>Weight</w:t>
            </w:r>
          </w:p>
        </w:tc>
      </w:tr>
      <w:tr>
        <w:tc>
          <w:tcPr/>
          <w:p>
            <w:pPr>
              <w:spacing w:before="60" w:after="60"/>
            </w:pPr>
            <w:r>
              <w:rPr>
                <w:rFonts w:ascii="Cambria" w:hAnsi="Cambria"/>
                <w:color w:val="1D2D3F"/>
                <w:sz w:val="20"/>
              </w:rPr>
              <w:t>Security Uplift</w:t>
            </w:r>
          </w:p>
        </w:tc>
        <w:tc>
          <w:tcPr/>
          <w:p>
            <w:pPr>
              <w:spacing w:before="60" w:after="60"/>
            </w:pPr>
            <w:r>
              <w:rPr>
                <w:rFonts w:ascii="Cambria" w:hAnsi="Cambria"/>
                <w:color w:val="1D2D3F"/>
                <w:sz w:val="20"/>
              </w:rPr>
              <w:t>Measured reduction in incident frequency, armed activity, or security-related movement restrictions attributable to the verified action</w:t>
            </w:r>
          </w:p>
        </w:tc>
        <w:tc>
          <w:tcPr/>
          <w:p>
            <w:pPr>
              <w:spacing w:before="60" w:after="60"/>
            </w:pPr>
            <w:r>
              <w:rPr>
                <w:rFonts w:ascii="Cambria" w:hAnsi="Cambria"/>
                <w:color w:val="1D2D3F"/>
                <w:sz w:val="20"/>
              </w:rPr>
              <w:t>30%</w:t>
            </w:r>
          </w:p>
        </w:tc>
      </w:tr>
      <w:tr>
        <w:tc>
          <w:tcPr/>
          <w:p>
            <w:pPr>
              <w:spacing w:before="60" w:after="60"/>
            </w:pPr>
            <w:r>
              <w:rPr>
                <w:rFonts w:ascii="Cambria" w:hAnsi="Cambria"/>
                <w:color w:val="1D2D3F"/>
                <w:sz w:val="20"/>
              </w:rPr>
              <w:t>Political Viability Gain</w:t>
            </w:r>
          </w:p>
        </w:tc>
        <w:tc>
          <w:tcPr/>
          <w:p>
            <w:pPr>
              <w:spacing w:before="60" w:after="60"/>
            </w:pPr>
            <w:r>
              <w:rPr>
                <w:rFonts w:ascii="Cambria" w:hAnsi="Cambria"/>
                <w:color w:val="1D2D3F"/>
                <w:sz w:val="20"/>
              </w:rPr>
              <w:t>Increase in domestic political space for obligations, measured by public support data and elite statement analysis</w:t>
            </w:r>
          </w:p>
        </w:tc>
        <w:tc>
          <w:tcPr/>
          <w:p>
            <w:pPr>
              <w:spacing w:before="60" w:after="60"/>
            </w:pPr>
            <w:r>
              <w:rPr>
                <w:rFonts w:ascii="Cambria" w:hAnsi="Cambria"/>
                <w:color w:val="1D2D3F"/>
                <w:sz w:val="20"/>
              </w:rPr>
              <w:t>25%</w:t>
            </w:r>
          </w:p>
        </w:tc>
      </w:tr>
      <w:tr>
        <w:tc>
          <w:tcPr/>
          <w:p>
            <w:pPr>
              <w:spacing w:before="60" w:after="60"/>
            </w:pPr>
            <w:r>
              <w:rPr>
                <w:rFonts w:ascii="Cambria" w:hAnsi="Cambria"/>
                <w:color w:val="1D2D3F"/>
                <w:sz w:val="20"/>
              </w:rPr>
              <w:t>Economic Drag Reduction</w:t>
            </w:r>
          </w:p>
        </w:tc>
        <w:tc>
          <w:tcPr/>
          <w:p>
            <w:pPr>
              <w:spacing w:before="60" w:after="60"/>
            </w:pPr>
            <w:r>
              <w:rPr>
                <w:rFonts w:ascii="Cambria" w:hAnsi="Cambria"/>
                <w:color w:val="1D2D3F"/>
                <w:sz w:val="20"/>
              </w:rPr>
              <w:t>Measurable reduction in the economic cost of obligations: reduced trade friction, lower displacement costs, reduced infrastructure protection burden</w:t>
            </w:r>
          </w:p>
        </w:tc>
        <w:tc>
          <w:tcPr/>
          <w:p>
            <w:pPr>
              <w:spacing w:before="60" w:after="60"/>
            </w:pPr>
            <w:r>
              <w:rPr>
                <w:rFonts w:ascii="Cambria" w:hAnsi="Cambria"/>
                <w:color w:val="1D2D3F"/>
                <w:sz w:val="20"/>
              </w:rPr>
              <w:t>25%</w:t>
            </w:r>
          </w:p>
        </w:tc>
      </w:tr>
      <w:tr>
        <w:tc>
          <w:tcPr/>
          <w:p>
            <w:pPr>
              <w:spacing w:before="60" w:after="60"/>
            </w:pPr>
            <w:r>
              <w:rPr>
                <w:rFonts w:ascii="Cambria" w:hAnsi="Cambria"/>
                <w:color w:val="1D2D3F"/>
                <w:sz w:val="20"/>
              </w:rPr>
              <w:t>Norm Contagion Score</w:t>
            </w:r>
          </w:p>
        </w:tc>
        <w:tc>
          <w:tcPr/>
          <w:p>
            <w:pPr>
              <w:spacing w:before="60" w:after="60"/>
            </w:pPr>
            <w:r>
              <w:rPr>
                <w:rFonts w:ascii="Cambria" w:hAnsi="Cambria"/>
                <w:color w:val="1D2D3F"/>
                <w:sz w:val="20"/>
              </w:rPr>
              <w:t>Rate at which verified actions are emulated or cited as precedent by actors outside the bilateral framework</w:t>
            </w:r>
          </w:p>
        </w:tc>
        <w:tc>
          <w:tcPr/>
          <w:p>
            <w:pPr>
              <w:spacing w:before="60" w:after="60"/>
            </w:pPr>
            <w:r>
              <w:rPr>
                <w:rFonts w:ascii="Cambria" w:hAnsi="Cambria"/>
                <w:color w:val="1D2D3F"/>
                <w:sz w:val="20"/>
              </w:rPr>
              <w:t>20%</w:t>
            </w:r>
          </w:p>
        </w:tc>
      </w:tr>
    </w:tbl>
    <w:p>
      <w:pPr>
        <w:spacing w:after="160" w:line="288" w:lineRule="auto"/>
      </w:pPr>
      <w:r>
        <w:rPr>
          <w:rFonts w:ascii="Cambria" w:hAnsi="Cambria"/>
          <w:color w:val="1D2D3F"/>
          <w:sz w:val="22"/>
        </w:rPr>
        <w:t>Reciprocity Index scores range from 0 (no measurable lift) to 100 (maximum quantified lift across all components). A verified action that produces a Reciprocity Index of 40 or above validates the Benefit Corridor as active and triggers the next activation phase of the Synchronization Clock. An action producing a score below 25 is classified as a Lift Deficit and triggers the Deficit Recovery Protocol.</w:t>
      </w:r>
    </w:p>
    <w:p>
      <w:pPr>
        <w:pStyle w:val="Heading3"/>
      </w:pPr>
      <w:r>
        <w:t>Deficit Recovery Protocol</w:t>
      </w:r>
    </w:p>
    <w:p>
      <w:pPr>
        <w:spacing w:after="160" w:line="288" w:lineRule="auto"/>
      </w:pPr>
      <w:r>
        <w:rPr>
          <w:rFonts w:ascii="Cambria" w:hAnsi="Cambria"/>
          <w:color w:val="1D2D3F"/>
          <w:sz w:val="22"/>
        </w:rPr>
        <w:t>When the Reciprocity Index falls below 25 for any active Benefit Corridor, the following sequence activates: the Joint Coordination Center issues a Lift Deficit notice to both Parties within 48 hours; the Parties convene a technical consultation within 7 days to identify the source of the deficit; the consultation produces a written remediation plan with specific, verifiable corrective actions; and the Synchronization Clock pauses for the affected corridor until the remediation plan is verified. Other corridors continue operating without interruption.</w:t>
      </w:r>
    </w:p>
    <w:p>
      <w:pPr>
        <w:pStyle w:val="Heading2"/>
      </w:pPr>
      <w:r>
        <w:t>Section 3.2 — Benefit Corridors</w:t>
      </w:r>
    </w:p>
    <w:p>
      <w:pPr>
        <w:spacing w:after="160" w:line="288" w:lineRule="auto"/>
      </w:pPr>
      <w:r>
        <w:rPr>
          <w:rFonts w:ascii="Cambria" w:hAnsi="Cambria"/>
          <w:color w:val="1D2D3F"/>
          <w:sz w:val="22"/>
        </w:rPr>
        <w:t>A Benefit Corridor is a framework-defined zone of reduced political and security cost created by a Party's verified action. Each corridor is described in the Compact with its input action, its expected outputs, and the Ledger formula by which those outputs are quantified as political lift.</w:t>
      </w:r>
    </w:p>
    <w:p>
      <w:pPr>
        <w:pStyle w:val="Heading3"/>
      </w:pPr>
      <w:r>
        <w:t>Designated Corridors</w:t>
      </w:r>
    </w:p>
    <w:p>
      <w:pPr>
        <w:spacing w:after="160" w:line="288" w:lineRule="auto"/>
      </w:pPr>
      <w:r>
        <w:rPr>
          <w:rFonts w:ascii="Cambria" w:hAnsi="Cambria"/>
          <w:color w:val="1D2D3F"/>
          <w:sz w:val="22"/>
        </w:rPr>
        <w:t>The following Benefit Corridors are designated at Compact adoption:</w:t>
      </w:r>
    </w:p>
    <w:p>
      <w:pPr>
        <w:spacing w:after="120" w:line="276" w:lineRule="auto"/>
        <w:ind w:left="720" w:hanging="360"/>
      </w:pPr>
      <w:r>
        <w:rPr>
          <w:rFonts w:ascii="Cambria" w:hAnsi="Cambria"/>
          <w:b/>
          <w:color w:val="1D2D3F"/>
          <w:sz w:val="22"/>
        </w:rPr>
        <w:t>• Nuclear Corridor — </w:t>
      </w:r>
      <w:r>
        <w:rPr>
          <w:rFonts w:ascii="Cambria" w:hAnsi="Cambria"/>
          <w:color w:val="1D2D3F"/>
          <w:sz w:val="22"/>
        </w:rPr>
        <w:t>Generated by verified Iranian nuclear constraints (enrichment freeze, IAEA seal integrity, monitoring cooperation). Produces security uplift for the United States through extended breakout timelines and transparency. Produces political viability gain for Iran through recognition of civilian nuclear rights and sanctions relief sequencing.</w:t>
      </w:r>
    </w:p>
    <w:p>
      <w:pPr>
        <w:spacing w:after="120" w:line="276" w:lineRule="auto"/>
        <w:ind w:left="720" w:hanging="360"/>
      </w:pPr>
      <w:r>
        <w:rPr>
          <w:rFonts w:ascii="Cambria" w:hAnsi="Cambria"/>
          <w:b/>
          <w:color w:val="1D2D3F"/>
          <w:sz w:val="22"/>
        </w:rPr>
        <w:t>• Maritime Corridor — </w:t>
      </w:r>
      <w:r>
        <w:rPr>
          <w:rFonts w:ascii="Cambria" w:hAnsi="Cambria"/>
          <w:color w:val="1D2D3F"/>
          <w:sz w:val="22"/>
        </w:rPr>
        <w:t>Generated by verified Strait of Hormuz reopening and transit protocol adherence. Produces economic drag reduction for both Parties through stabilized energy prices and resumed commercial shipping. Produces norm contagion gains through demonstration of coastal state responsibility.</w:t>
      </w:r>
    </w:p>
    <w:p>
      <w:pPr>
        <w:spacing w:after="120" w:line="276" w:lineRule="auto"/>
        <w:ind w:left="720" w:hanging="360"/>
      </w:pPr>
      <w:r>
        <w:rPr>
          <w:rFonts w:ascii="Cambria" w:hAnsi="Cambria"/>
          <w:b/>
          <w:color w:val="1D2D3F"/>
          <w:sz w:val="22"/>
        </w:rPr>
        <w:t>• Economic Corridor — </w:t>
      </w:r>
      <w:r>
        <w:rPr>
          <w:rFonts w:ascii="Cambria" w:hAnsi="Cambria"/>
          <w:color w:val="1D2D3F"/>
          <w:sz w:val="22"/>
        </w:rPr>
        <w:t>Generated by synchronized sanctions relief and banking reconnection. Produces economic drag reduction for Iran through restored financial access. Produces security uplift for the United States through economic stabilization reducing conflict incentives.</w:t>
      </w:r>
    </w:p>
    <w:p>
      <w:pPr>
        <w:spacing w:after="120" w:line="276" w:lineRule="auto"/>
        <w:ind w:left="720" w:hanging="360"/>
      </w:pPr>
      <w:r>
        <w:rPr>
          <w:rFonts w:ascii="Cambria" w:hAnsi="Cambria"/>
          <w:b/>
          <w:color w:val="1D2D3F"/>
          <w:sz w:val="22"/>
        </w:rPr>
        <w:t>• Humanitarian Corridor — </w:t>
      </w:r>
      <w:r>
        <w:rPr>
          <w:rFonts w:ascii="Cambria" w:hAnsi="Cambria"/>
          <w:color w:val="1D2D3F"/>
          <w:sz w:val="22"/>
        </w:rPr>
        <w:t>Generated by verified humanitarian access, prisoner exchanges, and civilian protection measures. Produces political viability gain for both Parties through demonstrable humanitarian progress. Operates under absolute firewall protection — no compliance dispute affects humanitarian flows.</w:t>
      </w:r>
    </w:p>
    <w:p>
      <w:pPr>
        <w:pStyle w:val="Heading2"/>
      </w:pPr>
      <w:r>
        <w:t>Section 3.3 — Consensus Threshold System</w:t>
      </w:r>
    </w:p>
    <w:p>
      <w:pPr>
        <w:spacing w:after="160" w:line="288" w:lineRule="auto"/>
      </w:pPr>
      <w:r>
        <w:rPr>
          <w:rFonts w:ascii="Cambria" w:hAnsi="Cambria"/>
          <w:color w:val="1D2D3F"/>
          <w:sz w:val="22"/>
        </w:rPr>
        <w:t>The Consensus Threshold System governs how decisions are made within the framework. It replaces simple majority voting with weighted thresholds calibrated to the significance of the decision.</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tblGrid>
      <w:tr>
        <w:tc>
          <w:tcPr>
            <w:shd w:val="clear" w:fill="E8EEF2"/>
          </w:tcPr>
          <w:p>
            <w:pPr>
              <w:spacing w:before="60" w:after="60"/>
            </w:pPr>
            <w:r>
              <w:rPr>
                <w:rFonts w:ascii="Cambria" w:hAnsi="Cambria"/>
                <w:b/>
                <w:color w:val="1D2D3F"/>
                <w:sz w:val="20"/>
              </w:rPr>
              <w:t>Decision Type</w:t>
            </w:r>
          </w:p>
        </w:tc>
        <w:tc>
          <w:tcPr>
            <w:shd w:val="clear" w:fill="E8EEF2"/>
          </w:tcPr>
          <w:p>
            <w:pPr>
              <w:spacing w:before="60" w:after="60"/>
            </w:pPr>
            <w:r>
              <w:rPr>
                <w:rFonts w:ascii="Cambria" w:hAnsi="Cambria"/>
                <w:b/>
                <w:color w:val="1D2D3F"/>
                <w:sz w:val="20"/>
              </w:rPr>
              <w:t>Threshold</w:t>
            </w:r>
          </w:p>
        </w:tc>
        <w:tc>
          <w:tcPr>
            <w:shd w:val="clear" w:fill="E8EEF2"/>
          </w:tcPr>
          <w:p>
            <w:pPr>
              <w:spacing w:before="60" w:after="60"/>
            </w:pPr>
            <w:r>
              <w:rPr>
                <w:rFonts w:ascii="Cambria" w:hAnsi="Cambria"/>
                <w:b/>
                <w:color w:val="1D2D3F"/>
                <w:sz w:val="20"/>
              </w:rPr>
              <w:t>Body</w:t>
            </w:r>
          </w:p>
        </w:tc>
      </w:tr>
      <w:tr>
        <w:tc>
          <w:tcPr/>
          <w:p>
            <w:pPr>
              <w:spacing w:before="60" w:after="60"/>
            </w:pPr>
            <w:r>
              <w:rPr>
                <w:rFonts w:ascii="Cambria" w:hAnsi="Cambria"/>
                <w:color w:val="1D2D3F"/>
                <w:sz w:val="20"/>
              </w:rPr>
              <w:t>Routine coordination</w:t>
            </w:r>
          </w:p>
        </w:tc>
        <w:tc>
          <w:tcPr/>
          <w:p>
            <w:pPr>
              <w:spacing w:before="60" w:after="60"/>
            </w:pPr>
            <w:r>
              <w:rPr>
                <w:rFonts w:ascii="Cambria" w:hAnsi="Cambria"/>
                <w:color w:val="1D2D3F"/>
                <w:sz w:val="20"/>
              </w:rPr>
              <w:t>Simple majority of Joint Coordination Center representatives</w:t>
            </w:r>
          </w:p>
        </w:tc>
        <w:tc>
          <w:tcPr/>
          <w:p>
            <w:pPr>
              <w:spacing w:before="60" w:after="60"/>
            </w:pPr>
            <w:r>
              <w:rPr>
                <w:rFonts w:ascii="Cambria" w:hAnsi="Cambria"/>
                <w:color w:val="1D2D3F"/>
                <w:sz w:val="20"/>
              </w:rPr>
              <w:t>Joint Coordination Center</w:t>
            </w:r>
          </w:p>
        </w:tc>
      </w:tr>
      <w:tr>
        <w:tc>
          <w:tcPr/>
          <w:p>
            <w:pPr>
              <w:spacing w:before="60" w:after="60"/>
            </w:pPr>
            <w:r>
              <w:rPr>
                <w:rFonts w:ascii="Cambria" w:hAnsi="Cambria"/>
                <w:color w:val="1D2D3F"/>
                <w:sz w:val="20"/>
              </w:rPr>
              <w:t>Reciprocity unit modification</w:t>
            </w:r>
          </w:p>
        </w:tc>
        <w:tc>
          <w:tcPr/>
          <w:p>
            <w:pPr>
              <w:spacing w:before="60" w:after="60"/>
            </w:pPr>
            <w:r>
              <w:rPr>
                <w:rFonts w:ascii="Cambria" w:hAnsi="Cambria"/>
                <w:color w:val="1D2D3F"/>
                <w:sz w:val="20"/>
              </w:rPr>
              <w:t>Both Party representatives agree (consensus)</w:t>
            </w:r>
          </w:p>
        </w:tc>
        <w:tc>
          <w:tcPr/>
          <w:p>
            <w:pPr>
              <w:spacing w:before="60" w:after="60"/>
            </w:pPr>
            <w:r>
              <w:rPr>
                <w:rFonts w:ascii="Cambria" w:hAnsi="Cambria"/>
                <w:color w:val="1D2D3F"/>
                <w:sz w:val="20"/>
              </w:rPr>
              <w:t>Joint Coordination Center</w:t>
            </w:r>
          </w:p>
        </w:tc>
      </w:tr>
      <w:tr>
        <w:tc>
          <w:tcPr/>
          <w:p>
            <w:pPr>
              <w:spacing w:before="60" w:after="60"/>
            </w:pPr>
            <w:r>
              <w:rPr>
                <w:rFonts w:ascii="Cambria" w:hAnsi="Cambria"/>
                <w:color w:val="1D2D3F"/>
                <w:sz w:val="20"/>
              </w:rPr>
              <w:t>Benefit Corridor activation or suspension</w:t>
            </w:r>
          </w:p>
        </w:tc>
        <w:tc>
          <w:tcPr/>
          <w:p>
            <w:pPr>
              <w:spacing w:before="60" w:after="60"/>
            </w:pPr>
            <w:r>
              <w:rPr>
                <w:rFonts w:ascii="Cambria" w:hAnsi="Cambria"/>
                <w:color w:val="1D2D3F"/>
                <w:sz w:val="20"/>
              </w:rPr>
              <w:t>Four of five Human-in-the-Loop Panel members including at least two neutrals</w:t>
            </w:r>
          </w:p>
        </w:tc>
        <w:tc>
          <w:tcPr/>
          <w:p>
            <w:pPr>
              <w:spacing w:before="60" w:after="60"/>
            </w:pPr>
            <w:r>
              <w:rPr>
                <w:rFonts w:ascii="Cambria" w:hAnsi="Cambria"/>
                <w:color w:val="1D2D3F"/>
                <w:sz w:val="20"/>
              </w:rPr>
              <w:t>Human-in-the-Loop Review Panel</w:t>
            </w:r>
          </w:p>
        </w:tc>
      </w:tr>
      <w:tr>
        <w:tc>
          <w:tcPr/>
          <w:p>
            <w:pPr>
              <w:spacing w:before="60" w:after="60"/>
            </w:pPr>
            <w:r>
              <w:rPr>
                <w:rFonts w:ascii="Cambria" w:hAnsi="Cambria"/>
                <w:color w:val="1D2D3F"/>
                <w:sz w:val="20"/>
              </w:rPr>
              <w:t>Core Protection Filter override</w:t>
            </w:r>
          </w:p>
        </w:tc>
        <w:tc>
          <w:tcPr/>
          <w:p>
            <w:pPr>
              <w:spacing w:before="60" w:after="60"/>
            </w:pPr>
            <w:r>
              <w:rPr>
                <w:rFonts w:ascii="Cambria" w:hAnsi="Cambria"/>
                <w:color w:val="1D2D3F"/>
                <w:sz w:val="20"/>
              </w:rPr>
              <w:t>Unanimity of Panel plus Neutral Guarantor confirmation</w:t>
            </w:r>
          </w:p>
        </w:tc>
        <w:tc>
          <w:tcPr/>
          <w:p>
            <w:pPr>
              <w:spacing w:before="60" w:after="60"/>
            </w:pPr>
            <w:r>
              <w:rPr>
                <w:rFonts w:ascii="Cambria" w:hAnsi="Cambria"/>
                <w:color w:val="1D2D3F"/>
                <w:sz w:val="20"/>
              </w:rPr>
              <w:t>Human-in-the-Loop Review Panel</w:t>
            </w:r>
          </w:p>
        </w:tc>
      </w:tr>
      <w:tr>
        <w:tc>
          <w:tcPr/>
          <w:p>
            <w:pPr>
              <w:spacing w:before="60" w:after="60"/>
            </w:pPr>
            <w:r>
              <w:rPr>
                <w:rFonts w:ascii="Cambria" w:hAnsi="Cambria"/>
                <w:color w:val="1D2D3F"/>
                <w:sz w:val="20"/>
              </w:rPr>
              <w:t>Compact constitutional amendment</w:t>
            </w:r>
          </w:p>
        </w:tc>
        <w:tc>
          <w:tcPr/>
          <w:p>
            <w:pPr>
              <w:spacing w:before="60" w:after="60"/>
            </w:pPr>
            <w:r>
              <w:rPr>
                <w:rFonts w:ascii="Cambria" w:hAnsi="Cambria"/>
                <w:color w:val="1D2D3F"/>
                <w:sz w:val="20"/>
              </w:rPr>
              <w:t>Unanimity of both Parties plus Guarantor confirmation</w:t>
            </w:r>
          </w:p>
        </w:tc>
        <w:tc>
          <w:tcPr/>
          <w:p>
            <w:pPr>
              <w:spacing w:before="60" w:after="60"/>
            </w:pPr>
            <w:r>
              <w:rPr>
                <w:rFonts w:ascii="Cambria" w:hAnsi="Cambria"/>
                <w:color w:val="1D2D3F"/>
                <w:sz w:val="20"/>
              </w:rPr>
              <w:t>Compact Council</w:t>
            </w:r>
          </w:p>
        </w:tc>
      </w:tr>
    </w:tbl>
    <w:p>
      <w:pPr>
        <w:pStyle w:val="Heading2"/>
      </w:pPr>
      <w:r>
        <w:t>Section 3.4 — Sounding Exchange</w:t>
      </w:r>
    </w:p>
    <w:p>
      <w:pPr>
        <w:spacing w:after="160" w:line="288" w:lineRule="auto"/>
      </w:pPr>
      <w:r>
        <w:rPr>
          <w:rFonts w:ascii="Cambria" w:hAnsi="Cambria"/>
          <w:color w:val="1D2D3F"/>
          <w:sz w:val="22"/>
        </w:rPr>
        <w:t>At the close of each processing cycle, each Party privately records two notes: one development from the cycle that surprised it favorably, and one concern it carries into the next cycle. The Parties exchange these Soundings through the Neutral Guarantor. The exchange surfaces small concerns before they grow into systemic drift and gives each Party evidence that the other reads the process in good faith. A Sounding informs the next cycle's target. It never reopens a settled Forward Drift entry.</w:t>
      </w:r>
    </w:p>
    <w:p>
      <w:pPr>
        <w:pStyle w:val="Heading3"/>
      </w:pPr>
      <w:r>
        <w:t>Sounding Protocol</w:t>
      </w:r>
    </w:p>
    <w:p>
      <w:pPr>
        <w:spacing w:after="160" w:line="288" w:lineRule="auto"/>
      </w:pPr>
      <w:r>
        <w:rPr>
          <w:rFonts w:ascii="Cambria" w:hAnsi="Cambria"/>
          <w:color w:val="1D2D3F"/>
          <w:sz w:val="22"/>
        </w:rPr>
        <w:t>Each Sounding follows a fixed format: a one-paragraph factual description of the favorable surprise (no rhetoric, no attribution of motive); a one-paragraph factual description of the concern (no blame, no demands); and a one-sentence proposal for the next cycle's priority. The Neutral Guarantor receives both Soundings simultaneously, verifies that each follows the format, and delivers them to the receiving Party within 24 hours. The Guarantor does not edit, summarize, or comment on the content.</w:t>
      </w:r>
    </w:p>
    <w:p>
      <w:pPr>
        <w:sectPr>
          <w:type w:val="nextPage"/>
          <w:pgSz w:w="11906" w:h="16838"/>
          <w:pgMar w:top="1440" w:right="1440" w:bottom="1440" w:left="1440" w:header="720" w:footer="720"/>
        </w:sectPr>
      </w:pPr>
    </w:p>
    <w:p>
      <w:pPr>
        <w:pStyle w:val="Heading1"/>
      </w:pPr>
      <w:r>
        <w:t>Article IV: Phase Architecture with Forward Drift</w:t>
      </w:r>
    </w:p>
    <w:p>
      <w:pPr>
        <w:spacing w:after="160" w:line="288" w:lineRule="auto"/>
      </w:pPr>
      <w:r>
        <w:rPr>
          <w:rFonts w:ascii="Cambria" w:hAnsi="Cambria"/>
          <w:color w:val="1D2D3F"/>
          <w:sz w:val="22"/>
        </w:rPr>
        <w:t>This article organizes the Compact's implementation as a sequence of operational phases integrated with a cyclical processing architecture. Each phase operates within the four-phase cycle — Rise, Crest, Fall, and Trough — and each completed phase advances a permanent ledger of gains. The architecture treats political highs and lows as natural phases of one continuous system rather than as verdicts on success or failure.</w:t>
      </w:r>
    </w:p>
    <w:p>
      <w:pPr>
        <w:pStyle w:val="Heading2"/>
      </w:pPr>
      <w:r>
        <w:t>Section 4.1 — The Four-Phase Cycle</w:t>
      </w:r>
    </w:p>
    <w:p>
      <w:pPr>
        <w:spacing w:after="160" w:line="288" w:lineRule="auto"/>
      </w:pPr>
      <w:r>
        <w:rPr>
          <w:rFonts w:ascii="Cambria" w:hAnsi="Cambria"/>
          <w:color w:val="1D2D3F"/>
          <w:sz w:val="22"/>
        </w:rPr>
        <w:t>Every operation within the Compact processes through a four-phase cycle in fixed order. The phases are not sequential steps toward a destination. They are the rhythmic motion of a living system.</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gridCol/>
      </w:tblGrid>
      <w:tr>
        <w:tc>
          <w:tcPr>
            <w:shd w:val="clear" w:fill="E8EEF2"/>
          </w:tcPr>
          <w:p>
            <w:pPr>
              <w:spacing w:before="60" w:after="60"/>
            </w:pPr>
            <w:r>
              <w:rPr>
                <w:rFonts w:ascii="Cambria" w:hAnsi="Cambria"/>
                <w:b/>
                <w:color w:val="1D2D3F"/>
                <w:sz w:val="20"/>
              </w:rPr>
              <w:t>Phase</w:t>
            </w:r>
          </w:p>
        </w:tc>
        <w:tc>
          <w:tcPr>
            <w:shd w:val="clear" w:fill="E8EEF2"/>
          </w:tcPr>
          <w:p>
            <w:pPr>
              <w:spacing w:before="60" w:after="60"/>
            </w:pPr>
            <w:r>
              <w:rPr>
                <w:rFonts w:ascii="Cambria" w:hAnsi="Cambria"/>
                <w:b/>
                <w:color w:val="1D2D3F"/>
                <w:sz w:val="20"/>
              </w:rPr>
              <w:t>Function</w:t>
            </w:r>
          </w:p>
        </w:tc>
        <w:tc>
          <w:tcPr>
            <w:shd w:val="clear" w:fill="E8EEF2"/>
          </w:tcPr>
          <w:p>
            <w:pPr>
              <w:spacing w:before="60" w:after="60"/>
            </w:pPr>
            <w:r>
              <w:rPr>
                <w:rFonts w:ascii="Cambria" w:hAnsi="Cambria"/>
                <w:b/>
                <w:color w:val="1D2D3F"/>
                <w:sz w:val="20"/>
              </w:rPr>
              <w:t>Typical Duration</w:t>
            </w:r>
          </w:p>
        </w:tc>
        <w:tc>
          <w:tcPr>
            <w:shd w:val="clear" w:fill="E8EEF2"/>
          </w:tcPr>
          <w:p>
            <w:pPr>
              <w:spacing w:before="60" w:after="60"/>
            </w:pPr>
            <w:r>
              <w:rPr>
                <w:rFonts w:ascii="Cambria" w:hAnsi="Cambria"/>
                <w:b/>
                <w:color w:val="1D2D3F"/>
                <w:sz w:val="20"/>
              </w:rPr>
              <w:t>What It Advances</w:t>
            </w:r>
          </w:p>
        </w:tc>
      </w:tr>
      <w:tr>
        <w:tc>
          <w:tcPr/>
          <w:p>
            <w:pPr>
              <w:spacing w:before="60" w:after="60"/>
            </w:pPr>
            <w:r>
              <w:rPr>
                <w:rFonts w:ascii="Cambria" w:hAnsi="Cambria"/>
                <w:color w:val="1D2D3F"/>
                <w:sz w:val="20"/>
              </w:rPr>
              <w:t>Rise</w:t>
            </w:r>
          </w:p>
        </w:tc>
        <w:tc>
          <w:tcPr/>
          <w:p>
            <w:pPr>
              <w:spacing w:before="60" w:after="60"/>
            </w:pPr>
            <w:r>
              <w:rPr>
                <w:rFonts w:ascii="Cambria" w:hAnsi="Cambria"/>
                <w:color w:val="1D2D3F"/>
                <w:sz w:val="20"/>
              </w:rPr>
              <w:t>Confidence-building and visible, low-irreversibility action toward the cycle target</w:t>
            </w:r>
          </w:p>
        </w:tc>
        <w:tc>
          <w:tcPr/>
          <w:p>
            <w:pPr>
              <w:spacing w:before="60" w:after="60"/>
            </w:pPr>
            <w:r>
              <w:rPr>
                <w:rFonts w:ascii="Cambria" w:hAnsi="Cambria"/>
                <w:color w:val="1D2D3F"/>
                <w:sz w:val="20"/>
              </w:rPr>
              <w:t>2-4 weeks</w:t>
            </w:r>
          </w:p>
        </w:tc>
        <w:tc>
          <w:tcPr/>
          <w:p>
            <w:pPr>
              <w:spacing w:before="60" w:after="60"/>
            </w:pPr>
            <w:r>
              <w:rPr>
                <w:rFonts w:ascii="Cambria" w:hAnsi="Cambria"/>
                <w:color w:val="1D2D3F"/>
                <w:sz w:val="20"/>
              </w:rPr>
              <w:t>Trust and momentum</w:t>
            </w:r>
          </w:p>
        </w:tc>
      </w:tr>
      <w:tr>
        <w:tc>
          <w:tcPr/>
          <w:p>
            <w:pPr>
              <w:spacing w:before="60" w:after="60"/>
            </w:pPr>
            <w:r>
              <w:rPr>
                <w:rFonts w:ascii="Cambria" w:hAnsi="Cambria"/>
                <w:color w:val="1D2D3F"/>
                <w:sz w:val="20"/>
              </w:rPr>
              <w:t>Crest</w:t>
            </w:r>
          </w:p>
        </w:tc>
        <w:tc>
          <w:tcPr/>
          <w:p>
            <w:pPr>
              <w:spacing w:before="60" w:after="60"/>
            </w:pPr>
            <w:r>
              <w:rPr>
                <w:rFonts w:ascii="Cambria" w:hAnsi="Cambria"/>
                <w:color w:val="1D2D3F"/>
                <w:sz w:val="20"/>
              </w:rPr>
              <w:t>Execution of the headline deliverable; action only, no new negotiation</w:t>
            </w:r>
          </w:p>
        </w:tc>
        <w:tc>
          <w:tcPr/>
          <w:p>
            <w:pPr>
              <w:spacing w:before="60" w:after="60"/>
            </w:pPr>
            <w:r>
              <w:rPr>
                <w:rFonts w:ascii="Cambria" w:hAnsi="Cambria"/>
                <w:color w:val="1D2D3F"/>
                <w:sz w:val="20"/>
              </w:rPr>
              <w:t>About 1 week</w:t>
            </w:r>
          </w:p>
        </w:tc>
        <w:tc>
          <w:tcPr/>
          <w:p>
            <w:pPr>
              <w:spacing w:before="60" w:after="60"/>
            </w:pPr>
            <w:r>
              <w:rPr>
                <w:rFonts w:ascii="Cambria" w:hAnsi="Cambria"/>
                <w:color w:val="1D2D3F"/>
                <w:sz w:val="20"/>
              </w:rPr>
              <w:t>The cycle's concrete gain</w:t>
            </w:r>
          </w:p>
        </w:tc>
      </w:tr>
      <w:tr>
        <w:tc>
          <w:tcPr/>
          <w:p>
            <w:pPr>
              <w:spacing w:before="60" w:after="60"/>
            </w:pPr>
            <w:r>
              <w:rPr>
                <w:rFonts w:ascii="Cambria" w:hAnsi="Cambria"/>
                <w:color w:val="1D2D3F"/>
                <w:sz w:val="20"/>
              </w:rPr>
              <w:t>Fall</w:t>
            </w:r>
          </w:p>
        </w:tc>
        <w:tc>
          <w:tcPr/>
          <w:p>
            <w:pPr>
              <w:spacing w:before="60" w:after="60"/>
            </w:pPr>
            <w:r>
              <w:rPr>
                <w:rFonts w:ascii="Cambria" w:hAnsi="Cambria"/>
                <w:color w:val="1D2D3F"/>
                <w:sz w:val="20"/>
              </w:rPr>
              <w:t>Verification, domestic consultation, and recalibration</w:t>
            </w:r>
          </w:p>
        </w:tc>
        <w:tc>
          <w:tcPr/>
          <w:p>
            <w:pPr>
              <w:spacing w:before="60" w:after="60"/>
            </w:pPr>
            <w:r>
              <w:rPr>
                <w:rFonts w:ascii="Cambria" w:hAnsi="Cambria"/>
                <w:color w:val="1D2D3F"/>
                <w:sz w:val="20"/>
              </w:rPr>
              <w:t>2-4 weeks</w:t>
            </w:r>
          </w:p>
        </w:tc>
        <w:tc>
          <w:tcPr/>
          <w:p>
            <w:pPr>
              <w:spacing w:before="60" w:after="60"/>
            </w:pPr>
            <w:r>
              <w:rPr>
                <w:rFonts w:ascii="Cambria" w:hAnsi="Cambria"/>
                <w:color w:val="1D2D3F"/>
                <w:sz w:val="20"/>
              </w:rPr>
              <w:t>Stability and proof</w:t>
            </w:r>
          </w:p>
        </w:tc>
      </w:tr>
      <w:tr>
        <w:tc>
          <w:tcPr/>
          <w:p>
            <w:pPr>
              <w:spacing w:before="60" w:after="60"/>
            </w:pPr>
            <w:r>
              <w:rPr>
                <w:rFonts w:ascii="Cambria" w:hAnsi="Cambria"/>
                <w:color w:val="1D2D3F"/>
                <w:sz w:val="20"/>
              </w:rPr>
              <w:t>Trough</w:t>
            </w:r>
          </w:p>
        </w:tc>
        <w:tc>
          <w:tcPr/>
          <w:p>
            <w:pPr>
              <w:spacing w:before="60" w:after="60"/>
            </w:pPr>
            <w:r>
              <w:rPr>
                <w:rFonts w:ascii="Cambria" w:hAnsi="Cambria"/>
                <w:color w:val="1D2D3F"/>
                <w:sz w:val="20"/>
              </w:rPr>
              <w:t>Deliberate lull; no new demands; Soundings exchanged</w:t>
            </w:r>
          </w:p>
        </w:tc>
        <w:tc>
          <w:tcPr/>
          <w:p>
            <w:pPr>
              <w:spacing w:before="60" w:after="60"/>
            </w:pPr>
            <w:r>
              <w:rPr>
                <w:rFonts w:ascii="Cambria" w:hAnsi="Cambria"/>
                <w:color w:val="1D2D3F"/>
                <w:sz w:val="20"/>
              </w:rPr>
              <w:t>1-2 weeks</w:t>
            </w:r>
          </w:p>
        </w:tc>
        <w:tc>
          <w:tcPr/>
          <w:p>
            <w:pPr>
              <w:spacing w:before="60" w:after="60"/>
            </w:pPr>
            <w:r>
              <w:rPr>
                <w:rFonts w:ascii="Cambria" w:hAnsi="Cambria"/>
                <w:color w:val="1D2D3F"/>
                <w:sz w:val="20"/>
              </w:rPr>
              <w:t>Rest and a Drift increment</w:t>
            </w:r>
          </w:p>
        </w:tc>
      </w:tr>
    </w:tbl>
    <w:p>
      <w:pPr>
        <w:spacing w:after="160" w:line="288" w:lineRule="auto"/>
      </w:pPr>
      <w:r>
        <w:rPr>
          <w:rFonts w:ascii="Cambria" w:hAnsi="Cambria"/>
          <w:color w:val="1D2D3F"/>
          <w:sz w:val="22"/>
        </w:rPr>
        <w:t>The fixed order matters. The framework excludes phase-skipping and phase-reversal. A Party that reaches for the Crest before completing the Rise finds no mechanism to execute it, because the Crest deliverable draws on the confidence the Rise produces. Durations, by contrast, flex freely. The Parties stretch or compress any phase to fit conditions. The order stays constant; the tempo breathes.</w:t>
      </w:r>
    </w:p>
    <w:p>
      <w:pPr>
        <w:pStyle w:val="Heading2"/>
      </w:pPr>
      <w:r>
        <w:t>Section 4.2 — Phase One: Rise and Crest (Days 1-7)</w:t>
      </w:r>
    </w:p>
    <w:p>
      <w:pPr>
        <w:spacing w:after="160" w:line="288" w:lineRule="auto"/>
      </w:pPr>
      <w:r>
        <w:rPr>
          <w:rFonts w:ascii="Cambria" w:hAnsi="Cambria"/>
          <w:color w:val="1D2D3F"/>
          <w:sz w:val="22"/>
        </w:rPr>
        <w:t>Phase One establishes the foundation for all subsequent cooperation. The steps in this phase create the conditions of trust and operational security that enable the more complex commitments of Phase Two. Phase One operates entirely within the Rise and Crest phases of the first cycle.</w:t>
      </w:r>
    </w:p>
    <w:p>
      <w:pPr>
        <w:pStyle w:val="Heading3"/>
      </w:pPr>
      <w:r>
        <w:t>Immediate Ceasefire — Rise Action</w:t>
      </w:r>
    </w:p>
    <w:p>
      <w:pPr>
        <w:spacing w:after="160" w:line="288" w:lineRule="auto"/>
      </w:pPr>
      <w:r>
        <w:rPr>
          <w:rFonts w:ascii="Cambria" w:hAnsi="Cambria"/>
          <w:color w:val="1D2D3F"/>
          <w:sz w:val="22"/>
        </w:rPr>
        <w:t>Within 24 hours of signature, both Parties implement a complete cessation of all offensive military operations against each other's territory, forces, and interests. This ceasefire encompasses all domains and all fronts: land, air, sea, cyber, and proxy operations, including the Lebanon front explicitly.</w:t>
      </w:r>
    </w:p>
    <w:p>
      <w:pPr>
        <w:spacing w:after="160" w:line="288" w:lineRule="auto"/>
      </w:pPr>
      <w:r>
        <w:rPr>
          <w:rFonts w:ascii="Cambria" w:hAnsi="Cambria"/>
          <w:color w:val="1D2D3F"/>
          <w:sz w:val="22"/>
        </w:rPr>
        <w:t>On the Lebanon front, the United States exercises its influence toward an Israeli halt of offensive operations and Iran exercises its influence toward a Hezbollah halt of offensive operations. Defensive positions continue, and a spontaneous local clash routes to the crisis-communication consultation rather than to breach. The Lebanon ceasefire operates as a firewalled reciprocity unit under Annex K, so that a lapse on the Lebanon front suspends only the Lebanon unit while the nuclear, maritime, and economic tracks continue operating.</w:t>
      </w:r>
    </w:p>
    <w:p>
      <w:pPr>
        <w:spacing w:after="160" w:line="288" w:lineRule="auto"/>
      </w:pPr>
      <w:r>
        <w:rPr>
          <w:rFonts w:ascii="Cambria" w:hAnsi="Cambria"/>
          <w:color w:val="1D2D3F"/>
          <w:sz w:val="22"/>
        </w:rPr>
        <w:t>The ceasefire operates as a self-renewing 72-hour module. If both Parties confirm compliance at Hour 71, the ceasefire automatically renews for another 72 hours. This process continues indefinitely unless either Party provides 48 hours' written notice of non-renewal. Written notice triggers the Step-Back procedures in Article VI but does not automatically terminate the entire Compact. Silence at the renewal point constitutes confirmation of continuation.</w:t>
      </w:r>
    </w:p>
    <w:p>
      <w:pPr>
        <w:pStyle w:val="Heading3"/>
      </w:pPr>
      <w:r>
        <w:t>Strait of Hormuz Reopening — Crest Action</w:t>
      </w:r>
    </w:p>
    <w:p>
      <w:pPr>
        <w:spacing w:after="160" w:line="288" w:lineRule="auto"/>
      </w:pPr>
      <w:r>
        <w:rPr>
          <w:rFonts w:ascii="Cambria" w:hAnsi="Cambria"/>
          <w:color w:val="1D2D3F"/>
          <w:sz w:val="22"/>
        </w:rPr>
        <w:t>Beginning Day 1, Iran permits the unrestricted transit of all commercial vessels through the Strait of Hormuz. The Strait reopens without transit tolls or inspection delays, and a capped, transparent, non-discriminatory service-fee schedule for defined marine services operates under Joint Maritime Coordination Center oversight. The United States simultaneously lifts its naval blockade of Iranian commercial ports. Both Parties acknowledge that a return to pre-conflict shipping volumes requires a phased recovery period not exceeding 30 days.</w:t>
      </w:r>
    </w:p>
    <w:p>
      <w:pPr>
        <w:spacing w:after="160" w:line="288" w:lineRule="auto"/>
      </w:pPr>
      <w:r>
        <w:rPr>
          <w:rFonts w:ascii="Cambria" w:hAnsi="Cambria"/>
          <w:color w:val="1D2D3F"/>
          <w:sz w:val="22"/>
        </w:rPr>
        <w:t>During the 30-day recovery period, the Joint Maritime Coordination Center in Bandar Abbas coordinates traffic management and maintains a real-time public dashboard of transit volumes. The Neutral Guarantor publishes weekly reports on recovery progress. The framework architecture excludes new transit tolls, inspection requirements, and additional transit restrictions.</w:t>
      </w:r>
    </w:p>
    <w:p>
      <w:pPr>
        <w:pStyle w:val="Heading3"/>
      </w:pPr>
      <w:r>
        <w:t>Prisoner and Detainee Exchange — Rise Action</w:t>
      </w:r>
    </w:p>
    <w:p>
      <w:pPr>
        <w:spacing w:after="160" w:line="288" w:lineRule="auto"/>
      </w:pPr>
      <w:r>
        <w:rPr>
          <w:rFonts w:ascii="Cambria" w:hAnsi="Cambria"/>
          <w:color w:val="1D2D3F"/>
          <w:sz w:val="22"/>
        </w:rPr>
        <w:t>Within 72 hours of signature, both Parties exchange all prisoners and civilian detainees held in connection with the current conflict. The Neutral Guarantor verifies the roster and facilitates the physical transfer at a neutral location designated by mutual agreement.</w:t>
      </w:r>
    </w:p>
    <w:p>
      <w:pPr>
        <w:pStyle w:val="Heading3"/>
      </w:pPr>
      <w:r>
        <w:t>Humanitarian Tranche Release — Crest Action</w:t>
      </w:r>
    </w:p>
    <w:p>
      <w:pPr>
        <w:spacing w:after="160" w:line="288" w:lineRule="auto"/>
      </w:pPr>
      <w:r>
        <w:rPr>
          <w:rFonts w:ascii="Cambria" w:hAnsi="Cambria"/>
          <w:color w:val="1D2D3F"/>
          <w:sz w:val="22"/>
        </w:rPr>
        <w:t>Within 48 hours of signature, the United States releases $250 million in frozen Iranian assets designated exclusively for humanitarian purposes: medical supplies, food security, and civilian infrastructure repair. This release is non-reversible. In reciprocity, within the same 48-hour window, Iran provides the IAEA with full access to all declared nuclear facilities for baseline verification readings. This access establishes the telemetry baseline from which Phase Two operates.</w:t>
      </w:r>
    </w:p>
    <w:p>
      <w:pPr>
        <w:pStyle w:val="Heading3"/>
      </w:pPr>
      <w:r>
        <w:t>Fuel Swap — Crest Action</w:t>
      </w:r>
    </w:p>
    <w:p>
      <w:pPr>
        <w:spacing w:after="160" w:line="288" w:lineRule="auto"/>
      </w:pPr>
      <w:r>
        <w:rPr>
          <w:rFonts w:ascii="Cambria" w:hAnsi="Cambria"/>
          <w:color w:val="1D2D3F"/>
          <w:sz w:val="22"/>
        </w:rPr>
        <w:t>By Day 7, Iran transfers 50 kilograms of uranium enriched to 60 percent to a secure facility in Oman under IAEA custody with Iranian observer access. No US personnel enter the facility without Iran's explicit, revocable, per-visit consent. Simultaneously, the United States provides Iran with 200 kilograms of 19.75 percent enriched uranium fuel rods suitable for the Tehran Research Reactor.</w:t>
      </w:r>
    </w:p>
    <w:p>
      <w:pPr>
        <w:spacing w:after="160" w:line="288" w:lineRule="auto"/>
      </w:pPr>
      <w:r>
        <w:rPr>
          <w:rFonts w:ascii="Cambria" w:hAnsi="Cambria"/>
          <w:color w:val="1D2D3F"/>
          <w:sz w:val="22"/>
        </w:rPr>
        <w:t>All remaining enriched uranium stockpiled above 5 percent stays in Iran under IAEA seals at declared facilities. No additional material leaves Iranian territory during the 60-day period.</w:t>
      </w:r>
    </w:p>
    <w:p>
      <w:pPr>
        <w:pStyle w:val="Heading2"/>
      </w:pPr>
      <w:r>
        <w:t>Section 4.3 — Phase Two: Full Cycle Operation (Days 8-60)</w:t>
      </w:r>
    </w:p>
    <w:p>
      <w:pPr>
        <w:spacing w:after="160" w:line="288" w:lineRule="auto"/>
      </w:pPr>
      <w:r>
        <w:rPr>
          <w:rFonts w:ascii="Cambria" w:hAnsi="Cambria"/>
          <w:color w:val="1D2D3F"/>
          <w:sz w:val="22"/>
        </w:rPr>
        <w:t>Phase Two contains the core operational commitments of this Compact. The three subsections — Nuclear Material Custody, Strait Reopening, and Sanctions Relief — operate as parallel reciprocity tracks. Progress in one track does not depend on progress in another track, though simultaneous progress across all three tracks accelerates the overall stabilization. Phase Two operates through complete four-phase cycles.</w:t>
      </w:r>
    </w:p>
    <w:p>
      <w:pPr>
        <w:pStyle w:val="Heading3"/>
      </w:pPr>
      <w:r>
        <w:t>Nuclear Material Custody and Disposition</w:t>
      </w:r>
    </w:p>
    <w:p>
      <w:pPr>
        <w:spacing w:after="160" w:line="288" w:lineRule="auto"/>
      </w:pPr>
      <w:r>
        <w:rPr>
          <w:rFonts w:ascii="Cambria" w:hAnsi="Cambria"/>
          <w:color w:val="1D2D3F"/>
          <w:sz w:val="22"/>
        </w:rPr>
        <w:t>By Day 14, Iran places all uranium enriched above 5 percent under IAEA seals at declared facilities inside Iran. No material leaves Iranian territory except the 50 kilograms designated for the fuel swap. The sealed stockpile undergoes real-time IAEA monitoring through online enrichment monitors, remote camera surveillance, and regular inspector access. Iran retains ownership of all sealed material. Iran retains physical possession of all sealed material.</w:t>
      </w:r>
    </w:p>
    <w:p>
      <w:pPr>
        <w:spacing w:after="160" w:line="288" w:lineRule="auto"/>
      </w:pPr>
      <w:r>
        <w:rPr>
          <w:rFonts w:ascii="Cambria" w:hAnsi="Cambria"/>
          <w:color w:val="1D2D3F"/>
          <w:sz w:val="22"/>
        </w:rPr>
        <w:t>The Parties agree to negotiate the final disposition of all enriched uranium above 5 percent in Phase Three. During the 60-day Phase Two period, the material remains under IAEA seals in Iran. No disposition pathway is pre-decided. The Parties enter Phase Three negotiations with three reference options under discussion: downblending to 3.67 percent for civilian reactors; establishment of a regional fuel consortium with Iranian participation; and a verified buyback arrangement for reactor fuel.</w:t>
      </w:r>
    </w:p>
    <w:p>
      <w:pPr>
        <w:spacing w:after="160" w:line="288" w:lineRule="auto"/>
      </w:pPr>
      <w:r>
        <w:rPr>
          <w:rFonts w:ascii="Cambria" w:hAnsi="Cambria"/>
          <w:color w:val="1D2D3F"/>
          <w:sz w:val="22"/>
        </w:rPr>
        <w:t>This Compact explicitly excludes any requirement for Iran to dismantle its enrichment infrastructure. Iran retains its enrichment facilities at Natanz and Fordow. Iran retains the right to enrich uranium to 3.67 percent for civilian purposes. IAEA monitors all enrichment activities through continuous surveillance.</w:t>
      </w:r>
    </w:p>
    <w:p>
      <w:pPr>
        <w:spacing w:after="160" w:line="288" w:lineRule="auto"/>
      </w:pPr>
      <w:r>
        <w:rPr>
          <w:rFonts w:ascii="Cambria" w:hAnsi="Cambria"/>
          <w:color w:val="1D2D3F"/>
          <w:sz w:val="22"/>
        </w:rPr>
        <w:t>Iran continues research and development on advanced centrifuges at the Pilot Fuel Enrichment Plant at Natanz. All R&amp;D activities occur under IAEA monitoring. No cascade configuration exceeds 164 centrifuges. No enrichment above 3.67 percent occurs during the 60-day period. No new centrifuges are installed beyond the Day 1 baseline during Phase Two and Phase Three. The cap is reviewed at Phase Three completion.</w:t>
      </w:r>
    </w:p>
    <w:p>
      <w:pPr>
        <w:pStyle w:val="Heading3"/>
      </w:pPr>
      <w:r>
        <w:t>Strait of Hormuz Reopening Protocol</w:t>
      </w:r>
    </w:p>
    <w:p>
      <w:pPr>
        <w:spacing w:after="160" w:line="288" w:lineRule="auto"/>
      </w:pPr>
      <w:r>
        <w:rPr>
          <w:rFonts w:ascii="Cambria" w:hAnsi="Cambria"/>
          <w:color w:val="1D2D3F"/>
          <w:sz w:val="22"/>
        </w:rPr>
        <w:t>The Strait of Hormuz reopens to commercial shipping immediately upon signature of this Compact, without transit tolls or inspection delays. The United States simultaneously lifts its naval blockade of Iranian commercial ports. Both Parties acknowledge that a return to pre-conflict shipping volumes requires a phased recovery period not exceeding 30 days.</w:t>
      </w:r>
    </w:p>
    <w:p>
      <w:pPr>
        <w:spacing w:after="160" w:line="288" w:lineRule="auto"/>
      </w:pPr>
      <w:r>
        <w:rPr>
          <w:rFonts w:ascii="Cambria" w:hAnsi="Cambria"/>
          <w:color w:val="1D2D3F"/>
          <w:sz w:val="22"/>
        </w:rPr>
        <w:t>The United States acknowledges Iran's position as a coastal state with legitimate rights and responsibilities under international maritime law for vessels transiting the Strait of Hormuz. This acknowledgment does not constitute a legal determination; it reflects the factual reality that Iran's territorial waters abut the strait. Iran exercises its coastal state rights through the Joint Maritime Coordination Center, not through unilateral interdiction.</w:t>
      </w:r>
    </w:p>
    <w:p>
      <w:pPr>
        <w:spacing w:after="160" w:line="288" w:lineRule="auto"/>
      </w:pPr>
      <w:r>
        <w:rPr>
          <w:rFonts w:ascii="Cambria" w:hAnsi="Cambria"/>
          <w:color w:val="1D2D3F"/>
          <w:sz w:val="22"/>
        </w:rPr>
        <w:t>Commercial vessels transiting the Strait pay a standardized transit fee into an escrow account held by the Neutral Guarantor. Fifty percent of escrowed funds release to Iran on Day 60 if Iran maintains compliance with the reopening protocol. The remaining fifty percent release upon completion of Phase Three milestones.</w:t>
      </w:r>
    </w:p>
    <w:p>
      <w:pPr>
        <w:pStyle w:val="Heading3"/>
      </w:pPr>
      <w:r>
        <w:t>Sanctions Relief Sequencing</w:t>
      </w:r>
    </w:p>
    <w:p>
      <w:pPr>
        <w:spacing w:after="160" w:line="288" w:lineRule="auto"/>
      </w:pPr>
      <w:r>
        <w:rPr>
          <w:rFonts w:ascii="Cambria" w:hAnsi="Cambria"/>
          <w:color w:val="1D2D3F"/>
          <w:sz w:val="22"/>
        </w:rPr>
        <w:t>Sanctions relief operates through a three-tier unlock system:</w:t>
      </w:r>
    </w:p>
    <w:p>
      <w:pPr>
        <w:spacing w:after="120" w:line="276" w:lineRule="auto"/>
        <w:ind w:left="720" w:hanging="360"/>
      </w:pPr>
      <w:r>
        <w:rPr>
          <w:rFonts w:ascii="Cambria" w:hAnsi="Cambria"/>
          <w:b/>
          <w:color w:val="1D2D3F"/>
          <w:sz w:val="22"/>
        </w:rPr>
        <w:t>• Tier One Unlock (Day 1) — </w:t>
      </w:r>
      <w:r>
        <w:rPr>
          <w:rFonts w:ascii="Cambria" w:hAnsi="Cambria"/>
          <w:color w:val="1D2D3F"/>
          <w:sz w:val="22"/>
        </w:rPr>
        <w:t>The United States issues general licenses permitting the sale of food, medicine, medical devices, and civilian aircraft parts to Iran. Simultaneously, Iran provides IAEA baseline access.</w:t>
      </w:r>
    </w:p>
    <w:p>
      <w:pPr>
        <w:spacing w:after="120" w:line="276" w:lineRule="auto"/>
        <w:ind w:left="720" w:hanging="360"/>
      </w:pPr>
      <w:r>
        <w:rPr>
          <w:rFonts w:ascii="Cambria" w:hAnsi="Cambria"/>
          <w:b/>
          <w:color w:val="1D2D3F"/>
          <w:sz w:val="22"/>
        </w:rPr>
        <w:t>• Tier Two Unlock (Day 14) — </w:t>
      </w:r>
      <w:r>
        <w:rPr>
          <w:rFonts w:ascii="Cambria" w:hAnsi="Cambria"/>
          <w:color w:val="1D2D3F"/>
          <w:sz w:val="22"/>
        </w:rPr>
        <w:t>The United States suspends enforcement of secondary sanctions on purchasers of Iranian crude oil for 60 days, up to 1.0 million barrels per day. This suspension is renewable for additional 30-day periods upon IAEA certification of sustained compliance. Expansion to 1.5 million barrels per day follows 30 consecutive days of verified compliance. Simultaneously, Iran places enriched uranium under IAEA seals.</w:t>
      </w:r>
    </w:p>
    <w:p>
      <w:pPr>
        <w:spacing w:after="120" w:line="276" w:lineRule="auto"/>
        <w:ind w:left="720" w:hanging="360"/>
      </w:pPr>
      <w:r>
        <w:rPr>
          <w:rFonts w:ascii="Cambria" w:hAnsi="Cambria"/>
          <w:b/>
          <w:color w:val="1D2D3F"/>
          <w:sz w:val="22"/>
        </w:rPr>
        <w:t>• Tier Three Unlock (Day 45) — </w:t>
      </w:r>
      <w:r>
        <w:rPr>
          <w:rFonts w:ascii="Cambria" w:hAnsi="Cambria"/>
          <w:color w:val="1D2D3F"/>
          <w:sz w:val="22"/>
        </w:rPr>
        <w:t>The United States waives additional sanctions on Iranian financial institutions and supports reconnection to SWIFT for humanitarian and commercial transactions. Simultaneously, Iran confirms sustained compliance with the IAEA seal regime and the enrichment pause.</w:t>
      </w:r>
    </w:p>
    <w:p>
      <w:pPr>
        <w:spacing w:after="160" w:line="288" w:lineRule="auto"/>
      </w:pPr>
      <w:r>
        <w:rPr>
          <w:rFonts w:ascii="Cambria" w:hAnsi="Cambria"/>
          <w:color w:val="1D2D3F"/>
          <w:sz w:val="22"/>
        </w:rPr>
        <w:t>This Compact explicitly excludes any automatic snapback mechanism. Sanctions relief, once delivered, does not reimpose except through the Step-Back process in Article VI, which requires a Human-in-the-Loop finding of material breach. No unilateral snapback by executive order or legislative action is permitted under this Compact.</w:t>
      </w:r>
    </w:p>
    <w:p>
      <w:pPr>
        <w:pStyle w:val="Heading2"/>
      </w:pPr>
      <w:r>
        <w:t>Section 4.4 — Forward Drift Archive</w:t>
      </w:r>
    </w:p>
    <w:p>
      <w:pPr>
        <w:spacing w:after="160" w:line="288" w:lineRule="auto"/>
      </w:pPr>
      <w:r>
        <w:rPr>
          <w:rFonts w:ascii="Cambria" w:hAnsi="Cambria"/>
          <w:color w:val="1D2D3F"/>
          <w:sz w:val="22"/>
        </w:rPr>
        <w:t>The Forward Drift Archive is the permanent ledger of structural gains. Each completed phase advances the Archive by one increment. No event lowers the Archive. The Parties ride a surface that rises and falls, but the floor beneath them only rises.</w:t>
      </w:r>
    </w:p>
    <w:p>
      <w:pPr>
        <w:pStyle w:val="Heading3"/>
      </w:pPr>
      <w:r>
        <w:t>Lock Points</w:t>
      </w:r>
    </w:p>
    <w:p>
      <w:pPr>
        <w:spacing w:after="160" w:line="288" w:lineRule="auto"/>
      </w:pPr>
      <w:r>
        <w:rPr>
          <w:rFonts w:ascii="Cambria" w:hAnsi="Cambria"/>
          <w:color w:val="1D2D3F"/>
          <w:sz w:val="22"/>
        </w:rPr>
        <w:t>Each phase reaches its lock point at the close of its Trough phase. At that moment, the phase's verified structural gains become Drift entries, and each entry holds permanently. The framework excludes rollback of a Drift entry. A later phase builds on the entry, extends it, or works elsewhere, but no later phase and no external event unwinds it.</w:t>
      </w:r>
    </w:p>
    <w:p>
      <w:pPr>
        <w:pStyle w:val="Heading3"/>
      </w:pPr>
      <w:r>
        <w:t>What Qualifies as a Drift Entry</w:t>
      </w:r>
    </w:p>
    <w:p>
      <w:pPr>
        <w:spacing w:after="160" w:line="288" w:lineRule="auto"/>
      </w:pPr>
      <w:r>
        <w:rPr>
          <w:rFonts w:ascii="Cambria" w:hAnsi="Cambria"/>
          <w:color w:val="1D2D3F"/>
          <w:sz w:val="22"/>
        </w:rPr>
        <w:t>Not every pleasant outcome enters the Archive. A Drift entry meets three tests: it is structural (a standing arrangement rather than a one-time gesture); it is verifiable (the Joint Coordination Center confirms it against telemetry evidence); and it carries irreversibility by design (its undoing costs the undoer more than its keeping). The Center nominates candidate gains at each Trough; verification staff confirm each against the three tests; the Archive records those that pass.</w:t>
      </w:r>
    </w:p>
    <w:p>
      <w:pPr>
        <w:pStyle w:val="Heading3"/>
      </w:pPr>
      <w:r>
        <w:t>Setbacks Slow the Pace; They Never Reverse the Archive</w:t>
      </w:r>
    </w:p>
    <w:p>
      <w:pPr>
        <w:spacing w:after="160" w:line="288" w:lineRule="auto"/>
      </w:pPr>
      <w:r>
        <w:rPr>
          <w:rFonts w:ascii="Cambria" w:hAnsi="Cambria"/>
          <w:color w:val="1D2D3F"/>
          <w:sz w:val="22"/>
        </w:rPr>
        <w:t>A setback acts on tempo, not on the Archive. A violence spike, a hostile election result, or a stalled negotiation extends the downward half of the current cycle: the Fall lengthens, the Trough lengthens, and the next Rise opens later. Throughout, the Forward Drift Archive holds every prior entry intact. The Parties feel the cost as delay — a longer wait for the next Crest — and never as the loss of a gain already locked. This single property drains the catastrophe out of a setback: the worst a shock achieves is a slower cycle, not a lower floor.</w:t>
      </w:r>
    </w:p>
    <w:p>
      <w:pPr>
        <w:pStyle w:val="Heading2"/>
      </w:pPr>
      <w:r>
        <w:t>Section 4.5 — Phase Three: Transition to Follow-on Negotiations</w:t>
      </w:r>
    </w:p>
    <w:p>
      <w:pPr>
        <w:spacing w:after="160" w:line="288" w:lineRule="auto"/>
      </w:pPr>
      <w:r>
        <w:rPr>
          <w:rFonts w:ascii="Cambria" w:hAnsi="Cambria"/>
          <w:color w:val="1D2D3F"/>
          <w:sz w:val="22"/>
        </w:rPr>
        <w:t>Phase Three begins on Day 60 and continues for an initial period of 180 days unless extended by mutual agreement. This phase transitions the interim commitments of Phase Two into a permanent, comprehensive arrangement. Phase Three opens with a Rise phase targeting the permanent framework.</w:t>
      </w:r>
    </w:p>
    <w:p>
      <w:pPr>
        <w:pStyle w:val="Heading3"/>
      </w:pPr>
      <w:r>
        <w:t>Permanent Nuclear Framework</w:t>
      </w:r>
    </w:p>
    <w:p>
      <w:pPr>
        <w:spacing w:after="160" w:line="288" w:lineRule="auto"/>
      </w:pPr>
      <w:r>
        <w:rPr>
          <w:rFonts w:ascii="Cambria" w:hAnsi="Cambria"/>
          <w:color w:val="1D2D3F"/>
          <w:sz w:val="22"/>
        </w:rPr>
        <w:t>The Parties negotiate a Comprehensive Nuclear Cooperation Agreement that achieves the following objectives: Iran maintains a civilian nuclear program under full IAEA safeguards; Iran does not enrich uranium above 3.67 percent; both Parties aspire to a future arrangement that ensures any Iranian breakout timeline is measured in months and remains detectable; and the international community supports Iran's civilian nuclear energy development including construction of new power reactors.</w:t>
      </w:r>
    </w:p>
    <w:p>
      <w:pPr>
        <w:pStyle w:val="Heading3"/>
      </w:pPr>
      <w:r>
        <w:t>Regional Security Dialogue</w:t>
      </w:r>
    </w:p>
    <w:p>
      <w:pPr>
        <w:spacing w:after="160" w:line="288" w:lineRule="auto"/>
      </w:pPr>
      <w:r>
        <w:rPr>
          <w:rFonts w:ascii="Cambria" w:hAnsi="Cambria"/>
          <w:color w:val="1D2D3F"/>
          <w:sz w:val="22"/>
        </w:rPr>
        <w:t>The Parties establish a permanent Regional Security Dialogue that includes all Gulf states. The Dialogue addresses maritime security, missile proliferation, proxy force de-escalation, and counter-terrorism cooperation. The Dialogue operates independently of the nuclear track.</w:t>
      </w:r>
    </w:p>
    <w:p>
      <w:pPr>
        <w:pStyle w:val="Heading3"/>
      </w:pPr>
      <w:r>
        <w:t>Economic Normalization Pathway</w:t>
      </w:r>
    </w:p>
    <w:p>
      <w:pPr>
        <w:spacing w:after="160" w:line="288" w:lineRule="auto"/>
      </w:pPr>
      <w:r>
        <w:rPr>
          <w:rFonts w:ascii="Cambria" w:hAnsi="Cambria"/>
          <w:color w:val="1D2D3F"/>
          <w:sz w:val="22"/>
        </w:rPr>
        <w:t>The United States supports Iran's economic reintegration into the global economy through phased removal of remaining sanctions, access to international financial institutions, and technical assistance for economic modernization. Iran implements financial transparency reforms consistent with international standards.</w:t>
      </w:r>
    </w:p>
    <w:p>
      <w:pPr>
        <w:pStyle w:val="Heading3"/>
      </w:pPr>
      <w:r>
        <w:t>Diplomatic Relations</w:t>
      </w:r>
    </w:p>
    <w:p>
      <w:pPr>
        <w:spacing w:after="160" w:line="288" w:lineRule="auto"/>
      </w:pPr>
      <w:r>
        <w:rPr>
          <w:rFonts w:ascii="Cambria" w:hAnsi="Cambria"/>
          <w:color w:val="1D2D3F"/>
          <w:sz w:val="22"/>
        </w:rPr>
        <w:t>By Day 90 of Phase Three, both Parties establish Interests Sections in third-country embassies in each other's capitals. These Sections provide consular services and diplomatic liaison. By Day 180, the Parties evaluate upgrading to full diplomatic relations based on overall Compact performance.</w:t>
      </w:r>
    </w:p>
    <w:p>
      <w:pPr>
        <w:pStyle w:val="Heading2"/>
      </w:pPr>
      <w:r>
        <w:t>Section 4.6 — Resonance Windows</w:t>
      </w:r>
    </w:p>
    <w:p>
      <w:pPr>
        <w:spacing w:after="160" w:line="288" w:lineRule="auto"/>
      </w:pPr>
      <w:r>
        <w:rPr>
          <w:rFonts w:ascii="Cambria" w:hAnsi="Cambria"/>
          <w:color w:val="1D2D3F"/>
          <w:sz w:val="22"/>
        </w:rPr>
        <w:t>A Resonance Window opens when two conditions hold simultaneously: both Parties sit at the same phase position (full synchrony), and they accept a matched amplitude band for the cycle about to open. The Joint Coordination Center declares the window, and the next cycle runs as a resonance cycle. Inside the window, the cycle's gain compounds: the cycle advances Forward Drift by two increments instead of one, or it reaches a single stretch item one amplitude band above the standing cap. Resonance supplies the only path to a high-stakes item ahead of the ordinary Drift schedule — a path the Parties earn through alignment rather than force through pressure.</w:t>
      </w:r>
    </w:p>
    <w:p>
      <w:pPr>
        <w:pStyle w:val="Heading3"/>
      </w:pPr>
      <w:r>
        <w:t>Guardrails</w:t>
      </w:r>
    </w:p>
    <w:p>
      <w:pPr>
        <w:spacing w:after="160" w:line="288" w:lineRule="auto"/>
      </w:pPr>
      <w:r>
        <w:rPr>
          <w:rFonts w:ascii="Cambria" w:hAnsi="Cambria"/>
          <w:color w:val="1D2D3F"/>
          <w:sz w:val="22"/>
        </w:rPr>
        <w:t>Resonance carries strict guardrails. The window opens only at full synchrony, so a Party that wants the bonus first does the work of synchronizing. The window lasts exactly one cycle, and the framework closes it automatically at the next Trough. A resonance cycle that falls short of its stretch item still locks the ordinary single increment, so reaching for resonance costs nothing beyond the reach itself.</w:t>
      </w:r>
    </w:p>
    <w:p>
      <w:pPr>
        <w:pStyle w:val="Heading2"/>
      </w:pPr>
      <w:r>
        <w:t>Section 4.7 — Superposition: Layered Processing</w:t>
      </w:r>
    </w:p>
    <w:p>
      <w:pPr>
        <w:spacing w:after="160" w:line="288" w:lineRule="auto"/>
      </w:pPr>
      <w:r>
        <w:rPr>
          <w:rFonts w:ascii="Cambria" w:hAnsi="Cambria"/>
          <w:color w:val="1D2D3F"/>
          <w:sz w:val="22"/>
        </w:rPr>
        <w:t>The framework runs up to three concurrent processing trains, each on a separate issue, each at its own wavelength and amplitude. A fast humanitarian train runs short, low-amplitude cycles. A slow political train runs long, high-amplitude cycles beneath it. Each train keeps its own four-phase cycle and its own Forward Drift sub-ledger, and the master Archive sums the entries from every train. Because the trains run independently, a stall in one train leaves the others in motion.</w:t>
      </w:r>
    </w:p>
    <w:p>
      <w:pPr>
        <w:pStyle w:val="Heading3"/>
      </w:pPr>
      <w:r>
        <w:t>Crest Staggering</w:t>
      </w:r>
    </w:p>
    <w:p>
      <w:pPr>
        <w:spacing w:after="160" w:line="288" w:lineRule="auto"/>
      </w:pPr>
      <w:r>
        <w:rPr>
          <w:rFonts w:ascii="Cambria" w:hAnsi="Cambria"/>
          <w:color w:val="1D2D3F"/>
          <w:sz w:val="22"/>
        </w:rPr>
        <w:t>Two high-amplitude Crests that peak in the same week overload the Parties and stack their exposure dangerously. The framework staggers Crests across trains: the Joint Coordination Center schedules the trains so that no two high-amplitude Crests peak in the same week. Low-amplitude Crests overlap freely.</w:t>
      </w:r>
    </w:p>
    <w:p>
      <w:pPr>
        <w:sectPr>
          <w:type w:val="nextPage"/>
          <w:pgSz w:w="11906" w:h="16838"/>
          <w:pgMar w:top="1440" w:right="1440" w:bottom="1440" w:left="1440" w:header="720" w:footer="720"/>
        </w:sectPr>
      </w:pPr>
    </w:p>
    <w:p>
      <w:pPr>
        <w:pStyle w:val="Heading1"/>
      </w:pPr>
      <w:r>
        <w:t>Article V: Continuous Verification and Monitoring</w:t>
      </w:r>
    </w:p>
    <w:p>
      <w:pPr>
        <w:spacing w:after="160" w:line="288" w:lineRule="auto"/>
      </w:pPr>
      <w:r>
        <w:rPr>
          <w:rFonts w:ascii="Cambria" w:hAnsi="Cambria"/>
          <w:color w:val="1D2D3F"/>
          <w:sz w:val="22"/>
        </w:rPr>
        <w:t>This article establishes the verification system that confirms every commitment in this Compact through objective, tamper-resistant telemetry supplemented by human observation. The architecture integrates a Swiss-hosted digital dashboard, continuous verification pulses, pattern-based anomaly detection, a shared awareness network, and tiered monitoring into a single coherent system.</w:t>
      </w:r>
    </w:p>
    <w:p>
      <w:pPr>
        <w:pStyle w:val="Heading2"/>
      </w:pPr>
      <w:r>
        <w:t>Section 5.1 — Swiss-Hosted Digital Dashboard</w:t>
      </w:r>
    </w:p>
    <w:p>
      <w:pPr>
        <w:spacing w:after="160" w:line="288" w:lineRule="auto"/>
      </w:pPr>
      <w:r>
        <w:rPr>
          <w:rFonts w:ascii="Cambria" w:hAnsi="Cambria"/>
          <w:color w:val="1D2D3F"/>
          <w:sz w:val="22"/>
        </w:rPr>
        <w:t>All telemetry data, compliance confirmations, and dispute flags are displayed on a single Swiss-hosted digital dashboard accessible to both Parties in real time. No commitment activates or suspends without dashboard confirmation. The dashboard serves as the sole authoritative interface for tracking Compact implementation status.</w:t>
      </w:r>
    </w:p>
    <w:p>
      <w:pPr>
        <w:spacing w:after="160" w:line="288" w:lineRule="auto"/>
      </w:pPr>
      <w:r>
        <w:rPr>
          <w:rFonts w:ascii="Cambria" w:hAnsi="Cambria"/>
          <w:color w:val="1D2D3F"/>
          <w:sz w:val="22"/>
        </w:rPr>
        <w:t>The dashboard displays: IAEA verification status for all sealed material; maritime traffic data through the Strait of Hormuz; sanctions relief implementation status; asset release confirmations; Stability Coefficient scores; Reciprocity Index readings; Forward Drift Archive status; and any active dispute flags or Step-Back notifications. Both Parties receive automated alerts for any status change.</w:t>
      </w:r>
    </w:p>
    <w:p>
      <w:pPr>
        <w:pStyle w:val="Heading2"/>
      </w:pPr>
      <w:r>
        <w:t>Section 5.2 — Telemetry Types by Commitment</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tblGrid>
      <w:tr>
        <w:tc>
          <w:tcPr>
            <w:shd w:val="clear" w:fill="E8EEF2"/>
          </w:tcPr>
          <w:p>
            <w:pPr>
              <w:spacing w:before="60" w:after="60"/>
            </w:pPr>
            <w:r>
              <w:rPr>
                <w:rFonts w:ascii="Cambria" w:hAnsi="Cambria"/>
                <w:b/>
                <w:color w:val="1D2D3F"/>
                <w:sz w:val="20"/>
              </w:rPr>
              <w:t>Commitment</w:t>
            </w:r>
          </w:p>
        </w:tc>
        <w:tc>
          <w:tcPr>
            <w:shd w:val="clear" w:fill="E8EEF2"/>
          </w:tcPr>
          <w:p>
            <w:pPr>
              <w:spacing w:before="60" w:after="60"/>
            </w:pPr>
            <w:r>
              <w:rPr>
                <w:rFonts w:ascii="Cambria" w:hAnsi="Cambria"/>
                <w:b/>
                <w:color w:val="1D2D3F"/>
                <w:sz w:val="20"/>
              </w:rPr>
              <w:t>Telemetry Type</w:t>
            </w:r>
          </w:p>
        </w:tc>
        <w:tc>
          <w:tcPr>
            <w:shd w:val="clear" w:fill="E8EEF2"/>
          </w:tcPr>
          <w:p>
            <w:pPr>
              <w:spacing w:before="60" w:after="60"/>
            </w:pPr>
            <w:r>
              <w:rPr>
                <w:rFonts w:ascii="Cambria" w:hAnsi="Cambria"/>
                <w:b/>
                <w:color w:val="1D2D3F"/>
                <w:sz w:val="20"/>
              </w:rPr>
              <w:t>Verification Method</w:t>
            </w:r>
          </w:p>
        </w:tc>
      </w:tr>
      <w:tr>
        <w:tc>
          <w:tcPr/>
          <w:p>
            <w:pPr>
              <w:spacing w:before="60" w:after="60"/>
            </w:pPr>
            <w:r>
              <w:rPr>
                <w:rFonts w:ascii="Cambria" w:hAnsi="Cambria"/>
                <w:color w:val="1D2D3F"/>
                <w:sz w:val="20"/>
              </w:rPr>
              <w:t>Uranium IAEA Seals</w:t>
            </w:r>
          </w:p>
        </w:tc>
        <w:tc>
          <w:tcPr/>
          <w:p>
            <w:pPr>
              <w:spacing w:before="60" w:after="60"/>
            </w:pPr>
            <w:r>
              <w:rPr>
                <w:rFonts w:ascii="Cambria" w:hAnsi="Cambria"/>
                <w:color w:val="1D2D3F"/>
                <w:sz w:val="20"/>
              </w:rPr>
              <w:t>Sensor + Physical</w:t>
            </w:r>
          </w:p>
        </w:tc>
        <w:tc>
          <w:tcPr/>
          <w:p>
            <w:pPr>
              <w:spacing w:before="60" w:after="60"/>
            </w:pPr>
            <w:r>
              <w:rPr>
                <w:rFonts w:ascii="Cambria" w:hAnsi="Cambria"/>
                <w:color w:val="1D2D3F"/>
                <w:sz w:val="20"/>
              </w:rPr>
              <w:t>IAEA seals, online monitors, chain-of-custody logs</w:t>
            </w:r>
          </w:p>
        </w:tc>
      </w:tr>
      <w:tr>
        <w:tc>
          <w:tcPr/>
          <w:p>
            <w:pPr>
              <w:spacing w:before="60" w:after="60"/>
            </w:pPr>
            <w:r>
              <w:rPr>
                <w:rFonts w:ascii="Cambria" w:hAnsi="Cambria"/>
                <w:color w:val="1D2D3F"/>
                <w:sz w:val="20"/>
              </w:rPr>
              <w:t>Enrichment Level</w:t>
            </w:r>
          </w:p>
        </w:tc>
        <w:tc>
          <w:tcPr/>
          <w:p>
            <w:pPr>
              <w:spacing w:before="60" w:after="60"/>
            </w:pPr>
            <w:r>
              <w:rPr>
                <w:rFonts w:ascii="Cambria" w:hAnsi="Cambria"/>
                <w:color w:val="1D2D3F"/>
                <w:sz w:val="20"/>
              </w:rPr>
              <w:t>Sensor</w:t>
            </w:r>
          </w:p>
        </w:tc>
        <w:tc>
          <w:tcPr/>
          <w:p>
            <w:pPr>
              <w:spacing w:before="60" w:after="60"/>
            </w:pPr>
            <w:r>
              <w:rPr>
                <w:rFonts w:ascii="Cambria" w:hAnsi="Cambria"/>
                <w:color w:val="1D2D3F"/>
                <w:sz w:val="20"/>
              </w:rPr>
              <w:t>Online enrichment monitors, IAEA remote surveillance</w:t>
            </w:r>
          </w:p>
        </w:tc>
      </w:tr>
      <w:tr>
        <w:tc>
          <w:tcPr/>
          <w:p>
            <w:pPr>
              <w:spacing w:before="60" w:after="60"/>
            </w:pPr>
            <w:r>
              <w:rPr>
                <w:rFonts w:ascii="Cambria" w:hAnsi="Cambria"/>
                <w:color w:val="1D2D3F"/>
                <w:sz w:val="20"/>
              </w:rPr>
              <w:t>Strait Reopening</w:t>
            </w:r>
          </w:p>
        </w:tc>
        <w:tc>
          <w:tcPr/>
          <w:p>
            <w:pPr>
              <w:spacing w:before="60" w:after="60"/>
            </w:pPr>
            <w:r>
              <w:rPr>
                <w:rFonts w:ascii="Cambria" w:hAnsi="Cambria"/>
                <w:color w:val="1D2D3F"/>
                <w:sz w:val="20"/>
              </w:rPr>
              <w:t>Maritime AIS + Visual</w:t>
            </w:r>
          </w:p>
        </w:tc>
        <w:tc>
          <w:tcPr/>
          <w:p>
            <w:pPr>
              <w:spacing w:before="60" w:after="60"/>
            </w:pPr>
            <w:r>
              <w:rPr>
                <w:rFonts w:ascii="Cambria" w:hAnsi="Cambria"/>
                <w:color w:val="1D2D3F"/>
                <w:sz w:val="20"/>
              </w:rPr>
              <w:t>Neutral vessel tracking, port authority records</w:t>
            </w:r>
          </w:p>
        </w:tc>
      </w:tr>
      <w:tr>
        <w:tc>
          <w:tcPr/>
          <w:p>
            <w:pPr>
              <w:spacing w:before="60" w:after="60"/>
            </w:pPr>
            <w:r>
              <w:rPr>
                <w:rFonts w:ascii="Cambria" w:hAnsi="Cambria"/>
                <w:color w:val="1D2D3F"/>
                <w:sz w:val="20"/>
              </w:rPr>
              <w:t>Sanctions Relief</w:t>
            </w:r>
          </w:p>
        </w:tc>
        <w:tc>
          <w:tcPr/>
          <w:p>
            <w:pPr>
              <w:spacing w:before="60" w:after="60"/>
            </w:pPr>
            <w:r>
              <w:rPr>
                <w:rFonts w:ascii="Cambria" w:hAnsi="Cambria"/>
                <w:color w:val="1D2D3F"/>
                <w:sz w:val="20"/>
              </w:rPr>
              <w:t>Financial Records</w:t>
            </w:r>
          </w:p>
        </w:tc>
        <w:tc>
          <w:tcPr/>
          <w:p>
            <w:pPr>
              <w:spacing w:before="60" w:after="60"/>
            </w:pPr>
            <w:r>
              <w:rPr>
                <w:rFonts w:ascii="Cambria" w:hAnsi="Cambria"/>
                <w:color w:val="1D2D3F"/>
                <w:sz w:val="20"/>
              </w:rPr>
              <w:t>SWIFT transaction logs, bank reconciliation</w:t>
            </w:r>
          </w:p>
        </w:tc>
      </w:tr>
      <w:tr>
        <w:tc>
          <w:tcPr/>
          <w:p>
            <w:pPr>
              <w:spacing w:before="60" w:after="60"/>
            </w:pPr>
            <w:r>
              <w:rPr>
                <w:rFonts w:ascii="Cambria" w:hAnsi="Cambria"/>
                <w:color w:val="1D2D3F"/>
                <w:sz w:val="20"/>
              </w:rPr>
              <w:t>Asset Release</w:t>
            </w:r>
          </w:p>
        </w:tc>
        <w:tc>
          <w:tcPr/>
          <w:p>
            <w:pPr>
              <w:spacing w:before="60" w:after="60"/>
            </w:pPr>
            <w:r>
              <w:rPr>
                <w:rFonts w:ascii="Cambria" w:hAnsi="Cambria"/>
                <w:color w:val="1D2D3F"/>
                <w:sz w:val="20"/>
              </w:rPr>
              <w:t>Financial Records</w:t>
            </w:r>
          </w:p>
        </w:tc>
        <w:tc>
          <w:tcPr/>
          <w:p>
            <w:pPr>
              <w:spacing w:before="60" w:after="60"/>
            </w:pPr>
            <w:r>
              <w:rPr>
                <w:rFonts w:ascii="Cambria" w:hAnsi="Cambria"/>
                <w:color w:val="1D2D3F"/>
                <w:sz w:val="20"/>
              </w:rPr>
              <w:t>Escrow account statements, dashboard confirmation</w:t>
            </w:r>
          </w:p>
        </w:tc>
      </w:tr>
      <w:tr>
        <w:tc>
          <w:tcPr/>
          <w:p>
            <w:pPr>
              <w:spacing w:before="60" w:after="60"/>
            </w:pPr>
            <w:r>
              <w:rPr>
                <w:rFonts w:ascii="Cambria" w:hAnsi="Cambria"/>
                <w:color w:val="1D2D3F"/>
                <w:sz w:val="20"/>
              </w:rPr>
              <w:t>Ceasefire Compliance</w:t>
            </w:r>
          </w:p>
        </w:tc>
        <w:tc>
          <w:tcPr/>
          <w:p>
            <w:pPr>
              <w:spacing w:before="60" w:after="60"/>
            </w:pPr>
            <w:r>
              <w:rPr>
                <w:rFonts w:ascii="Cambria" w:hAnsi="Cambria"/>
                <w:color w:val="1D2D3F"/>
                <w:sz w:val="20"/>
              </w:rPr>
              <w:t>Satellite + Ground</w:t>
            </w:r>
          </w:p>
        </w:tc>
        <w:tc>
          <w:tcPr/>
          <w:p>
            <w:pPr>
              <w:spacing w:before="60" w:after="60"/>
            </w:pPr>
            <w:r>
              <w:rPr>
                <w:rFonts w:ascii="Cambria" w:hAnsi="Cambria"/>
                <w:color w:val="1D2D3F"/>
                <w:sz w:val="20"/>
              </w:rPr>
              <w:t>Commercial SAR imagery, JCC patrol reports</w:t>
            </w:r>
          </w:p>
        </w:tc>
      </w:tr>
      <w:tr>
        <w:tc>
          <w:tcPr/>
          <w:p>
            <w:pPr>
              <w:spacing w:before="60" w:after="60"/>
            </w:pPr>
            <w:r>
              <w:rPr>
                <w:rFonts w:ascii="Cambria" w:hAnsi="Cambria"/>
                <w:color w:val="1D2D3F"/>
                <w:sz w:val="20"/>
              </w:rPr>
              <w:t>Prisoner Exchange</w:t>
            </w:r>
          </w:p>
        </w:tc>
        <w:tc>
          <w:tcPr/>
          <w:p>
            <w:pPr>
              <w:spacing w:before="60" w:after="60"/>
            </w:pPr>
            <w:r>
              <w:rPr>
                <w:rFonts w:ascii="Cambria" w:hAnsi="Cambria"/>
                <w:color w:val="1D2D3F"/>
                <w:sz w:val="20"/>
              </w:rPr>
              <w:t>Physical Count</w:t>
            </w:r>
          </w:p>
        </w:tc>
        <w:tc>
          <w:tcPr/>
          <w:p>
            <w:pPr>
              <w:spacing w:before="60" w:after="60"/>
            </w:pPr>
            <w:r>
              <w:rPr>
                <w:rFonts w:ascii="Cambria" w:hAnsi="Cambria"/>
                <w:color w:val="1D2D3F"/>
                <w:sz w:val="20"/>
              </w:rPr>
              <w:t>ICRC witness certification, roster cross-check</w:t>
            </w:r>
          </w:p>
        </w:tc>
      </w:tr>
    </w:tbl>
    <w:p>
      <w:pPr>
        <w:pStyle w:val="Heading2"/>
      </w:pPr>
      <w:r>
        <w:t>Section 5.3 — IAEA Role and Mandate</w:t>
      </w:r>
    </w:p>
    <w:p>
      <w:pPr>
        <w:spacing w:after="160" w:line="288" w:lineRule="auto"/>
      </w:pPr>
      <w:r>
        <w:rPr>
          <w:rFonts w:ascii="Cambria" w:hAnsi="Cambria"/>
          <w:color w:val="1D2D3F"/>
          <w:sz w:val="22"/>
        </w:rPr>
        <w:t>The IAEA serves as the primary technical verification body for all nuclear-related commitments. Iran grants the IAEA continuous monitoring access at all declared facilities. IAEA inspectors operate under standard safeguards protocols. Iran cooperates with the IAEA to resolve all outstanding questions regarding past nuclear activities through a structured, time-bound process. IAEA findings are binding unless the Joint Coordination Center, excluding the disputing Party, overrules by consensus within 14 days.</w:t>
      </w:r>
    </w:p>
    <w:p>
      <w:pPr>
        <w:pStyle w:val="Heading2"/>
      </w:pPr>
      <w:r>
        <w:t>Section 5.4 — Neutral Verification Teams</w:t>
      </w:r>
    </w:p>
    <w:p>
      <w:pPr>
        <w:spacing w:after="160" w:line="288" w:lineRule="auto"/>
      </w:pPr>
      <w:r>
        <w:rPr>
          <w:rFonts w:ascii="Cambria" w:hAnsi="Cambria"/>
          <w:color w:val="1D2D3F"/>
          <w:sz w:val="22"/>
        </w:rPr>
        <w:t>For non-nuclear commitments, the Neutral Guarantor deploys verification teams comprising personnel from neutral nations with relevant technical expertise. These teams monitor: maritime traffic through the Strait, sanctions relief implementation, asset release transfers, and ceasefire compliance.</w:t>
      </w:r>
    </w:p>
    <w:p>
      <w:pPr>
        <w:pStyle w:val="Heading2"/>
      </w:pPr>
      <w:r>
        <w:t>Section 5.5 — Continuous Verification Pulse</w:t>
      </w:r>
    </w:p>
    <w:p>
      <w:pPr>
        <w:spacing w:after="160" w:line="288" w:lineRule="auto"/>
      </w:pPr>
      <w:r>
        <w:rPr>
          <w:rFonts w:ascii="Cambria" w:hAnsi="Cambria"/>
          <w:color w:val="1D2D3F"/>
          <w:sz w:val="22"/>
        </w:rPr>
        <w:t>The Continuous Verification Pulse is the framework's continuous monitoring backbone. It replaces episodic inspections with a steady, uninterrupted signal of compliance status. The Pulse operates at three cadences depending on obligation importance:</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gridCol/>
      </w:tblGrid>
      <w:tr>
        <w:tc>
          <w:tcPr>
            <w:shd w:val="clear" w:fill="E8EEF2"/>
          </w:tcPr>
          <w:p>
            <w:pPr>
              <w:spacing w:before="60" w:after="60"/>
            </w:pPr>
            <w:r>
              <w:rPr>
                <w:rFonts w:ascii="Cambria" w:hAnsi="Cambria"/>
                <w:b/>
                <w:color w:val="1D2D3F"/>
                <w:sz w:val="20"/>
              </w:rPr>
              <w:t>Tier</w:t>
            </w:r>
          </w:p>
        </w:tc>
        <w:tc>
          <w:tcPr>
            <w:shd w:val="clear" w:fill="E8EEF2"/>
          </w:tcPr>
          <w:p>
            <w:pPr>
              <w:spacing w:before="60" w:after="60"/>
            </w:pPr>
            <w:r>
              <w:rPr>
                <w:rFonts w:ascii="Cambria" w:hAnsi="Cambria"/>
                <w:b/>
                <w:color w:val="1D2D3F"/>
                <w:sz w:val="20"/>
              </w:rPr>
              <w:t>Obligation Type</w:t>
            </w:r>
          </w:p>
        </w:tc>
        <w:tc>
          <w:tcPr>
            <w:shd w:val="clear" w:fill="E8EEF2"/>
          </w:tcPr>
          <w:p>
            <w:pPr>
              <w:spacing w:before="60" w:after="60"/>
            </w:pPr>
            <w:r>
              <w:rPr>
                <w:rFonts w:ascii="Cambria" w:hAnsi="Cambria"/>
                <w:b/>
                <w:color w:val="1D2D3F"/>
                <w:sz w:val="20"/>
              </w:rPr>
              <w:t>Pulse Cadence</w:t>
            </w:r>
          </w:p>
        </w:tc>
        <w:tc>
          <w:tcPr>
            <w:shd w:val="clear" w:fill="E8EEF2"/>
          </w:tcPr>
          <w:p>
            <w:pPr>
              <w:spacing w:before="60" w:after="60"/>
            </w:pPr>
            <w:r>
              <w:rPr>
                <w:rFonts w:ascii="Cambria" w:hAnsi="Cambria"/>
                <w:b/>
                <w:color w:val="1D2D3F"/>
                <w:sz w:val="20"/>
              </w:rPr>
              <w:t>Examples</w:t>
            </w:r>
          </w:p>
        </w:tc>
      </w:tr>
      <w:tr>
        <w:tc>
          <w:tcPr/>
          <w:p>
            <w:pPr>
              <w:spacing w:before="60" w:after="60"/>
            </w:pPr>
            <w:r>
              <w:rPr>
                <w:rFonts w:ascii="Cambria" w:hAnsi="Cambria"/>
                <w:color w:val="1D2D3F"/>
                <w:sz w:val="20"/>
              </w:rPr>
              <w:t>Tier 1 (Core)</w:t>
            </w:r>
          </w:p>
        </w:tc>
        <w:tc>
          <w:tcPr/>
          <w:p>
            <w:pPr>
              <w:spacing w:before="60" w:after="60"/>
            </w:pPr>
            <w:r>
              <w:rPr>
                <w:rFonts w:ascii="Cambria" w:hAnsi="Cambria"/>
                <w:color w:val="1D2D3F"/>
                <w:sz w:val="20"/>
              </w:rPr>
              <w:t>Pivotal security and political obligations</w:t>
            </w:r>
          </w:p>
        </w:tc>
        <w:tc>
          <w:tcPr/>
          <w:p>
            <w:pPr>
              <w:spacing w:before="60" w:after="60"/>
            </w:pPr>
            <w:r>
              <w:rPr>
                <w:rFonts w:ascii="Cambria" w:hAnsi="Cambria"/>
                <w:color w:val="1D2D3F"/>
                <w:sz w:val="20"/>
              </w:rPr>
              <w:t>Daily pulse</w:t>
            </w:r>
          </w:p>
        </w:tc>
        <w:tc>
          <w:tcPr/>
          <w:p>
            <w:pPr>
              <w:spacing w:before="60" w:after="60"/>
            </w:pPr>
            <w:r>
              <w:rPr>
                <w:rFonts w:ascii="Cambria" w:hAnsi="Cambria"/>
                <w:color w:val="1D2D3F"/>
                <w:sz w:val="20"/>
              </w:rPr>
              <w:t>Enrichment levels, IAEA seal integrity, ceasefire status</w:t>
            </w:r>
          </w:p>
        </w:tc>
      </w:tr>
      <w:tr>
        <w:tc>
          <w:tcPr/>
          <w:p>
            <w:pPr>
              <w:spacing w:before="60" w:after="60"/>
            </w:pPr>
            <w:r>
              <w:rPr>
                <w:rFonts w:ascii="Cambria" w:hAnsi="Cambria"/>
                <w:color w:val="1D2D3F"/>
                <w:sz w:val="20"/>
              </w:rPr>
              <w:t>Tier 2 (Standard)</w:t>
            </w:r>
          </w:p>
        </w:tc>
        <w:tc>
          <w:tcPr/>
          <w:p>
            <w:pPr>
              <w:spacing w:before="60" w:after="60"/>
            </w:pPr>
            <w:r>
              <w:rPr>
                <w:rFonts w:ascii="Cambria" w:hAnsi="Cambria"/>
                <w:color w:val="1D2D3F"/>
                <w:sz w:val="20"/>
              </w:rPr>
              <w:t>Material but non-pivotal obligations</w:t>
            </w:r>
          </w:p>
        </w:tc>
        <w:tc>
          <w:tcPr/>
          <w:p>
            <w:pPr>
              <w:spacing w:before="60" w:after="60"/>
            </w:pPr>
            <w:r>
              <w:rPr>
                <w:rFonts w:ascii="Cambria" w:hAnsi="Cambria"/>
                <w:color w:val="1D2D3F"/>
                <w:sz w:val="20"/>
              </w:rPr>
              <w:t>Weekly pulse</w:t>
            </w:r>
          </w:p>
        </w:tc>
        <w:tc>
          <w:tcPr/>
          <w:p>
            <w:pPr>
              <w:spacing w:before="60" w:after="60"/>
            </w:pPr>
            <w:r>
              <w:rPr>
                <w:rFonts w:ascii="Cambria" w:hAnsi="Cambria"/>
                <w:color w:val="1D2D3F"/>
                <w:sz w:val="20"/>
              </w:rPr>
              <w:t>Asset release timing, transit volume reporting, prisoner exchange status</w:t>
            </w:r>
          </w:p>
        </w:tc>
      </w:tr>
      <w:tr>
        <w:tc>
          <w:tcPr/>
          <w:p>
            <w:pPr>
              <w:spacing w:before="60" w:after="60"/>
            </w:pPr>
            <w:r>
              <w:rPr>
                <w:rFonts w:ascii="Cambria" w:hAnsi="Cambria"/>
                <w:color w:val="1D2D3F"/>
                <w:sz w:val="20"/>
              </w:rPr>
              <w:t>Tier 3 (Routine)</w:t>
            </w:r>
          </w:p>
        </w:tc>
        <w:tc>
          <w:tcPr/>
          <w:p>
            <w:pPr>
              <w:spacing w:before="60" w:after="60"/>
            </w:pPr>
            <w:r>
              <w:rPr>
                <w:rFonts w:ascii="Cambria" w:hAnsi="Cambria"/>
                <w:color w:val="1D2D3F"/>
                <w:sz w:val="20"/>
              </w:rPr>
              <w:t>Administrative and procedural obligations</w:t>
            </w:r>
          </w:p>
        </w:tc>
        <w:tc>
          <w:tcPr/>
          <w:p>
            <w:pPr>
              <w:spacing w:before="60" w:after="60"/>
            </w:pPr>
            <w:r>
              <w:rPr>
                <w:rFonts w:ascii="Cambria" w:hAnsi="Cambria"/>
                <w:color w:val="1D2D3F"/>
                <w:sz w:val="20"/>
              </w:rPr>
              <w:t>Monthly pulse with 10% random audit</w:t>
            </w:r>
          </w:p>
        </w:tc>
        <w:tc>
          <w:tcPr/>
          <w:p>
            <w:pPr>
              <w:spacing w:before="60" w:after="60"/>
            </w:pPr>
            <w:r>
              <w:rPr>
                <w:rFonts w:ascii="Cambria" w:hAnsi="Cambria"/>
                <w:color w:val="1D2D3F"/>
                <w:sz w:val="20"/>
              </w:rPr>
              <w:t>Meeting minutes, data submissions, routine notifications</w:t>
            </w:r>
          </w:p>
        </w:tc>
      </w:tr>
    </w:tbl>
    <w:p>
      <w:pPr>
        <w:spacing w:after="160" w:line="288" w:lineRule="auto"/>
      </w:pPr>
      <w:r>
        <w:rPr>
          <w:rFonts w:ascii="Cambria" w:hAnsi="Cambria"/>
          <w:color w:val="1D2D3F"/>
          <w:sz w:val="22"/>
        </w:rPr>
        <w:t>The Joint Coordination Center administers the Pulse schedule and adjusts cadence based on the Compliance Score trend: Parties with sustained high scores receive relaxed Tier 2 and Tier 3 cadence; Parties with declining scores receive intensified monitoring.</w:t>
      </w:r>
    </w:p>
    <w:p>
      <w:pPr>
        <w:pStyle w:val="Heading2"/>
      </w:pPr>
      <w:r>
        <w:t>Section 5.6 — Pattern Monitoring System</w:t>
      </w:r>
    </w:p>
    <w:p>
      <w:pPr>
        <w:spacing w:after="160" w:line="288" w:lineRule="auto"/>
      </w:pPr>
      <w:r>
        <w:rPr>
          <w:rFonts w:ascii="Cambria" w:hAnsi="Cambria"/>
          <w:color w:val="1D2D3F"/>
          <w:sz w:val="22"/>
        </w:rPr>
        <w:t>The Pattern Monitoring System replaces punitive oversight with pattern-based integrity monitoring. Instead of monitoring individuals, it monitors patterns. Instead of naming violators, it flags anomalies. Instead of creating fear, it detects systemic drift.</w:t>
      </w:r>
    </w:p>
    <w:p>
      <w:pPr>
        <w:pStyle w:val="Heading3"/>
      </w:pPr>
      <w:r>
        <w:t>Monitoring Tools</w:t>
      </w:r>
    </w:p>
    <w:p>
      <w:pPr>
        <w:spacing w:after="120" w:line="276" w:lineRule="auto"/>
        <w:ind w:left="720" w:hanging="360"/>
      </w:pPr>
      <w:r>
        <w:rPr>
          <w:rFonts w:ascii="Cambria" w:hAnsi="Cambria"/>
          <w:color w:val="1D2D3F"/>
          <w:sz w:val="22"/>
        </w:rPr>
        <w:t>• Anonymized Reporting: every operational unit submits a weekly data digest containing only event type, decision summary, and compliance outcome. No names, no locations, no identifying details. All digests are cryptographically signed by multiple witnesses.</w:t>
      </w:r>
    </w:p>
    <w:p>
      <w:pPr>
        <w:spacing w:after="120" w:line="276" w:lineRule="auto"/>
        <w:ind w:left="720" w:hanging="360"/>
      </w:pPr>
      <w:r>
        <w:rPr>
          <w:rFonts w:ascii="Cambria" w:hAnsi="Cambria"/>
          <w:color w:val="1D2D3F"/>
          <w:sz w:val="22"/>
        </w:rPr>
        <w:t>• Pattern-Recognition Dashboards: aggregated, signed digests are processed to identify deviations from baselines. Deviations greater than two standard deviations trigger a soft inquiry.</w:t>
      </w:r>
    </w:p>
    <w:p>
      <w:pPr>
        <w:spacing w:after="120" w:line="276" w:lineRule="auto"/>
        <w:ind w:left="720" w:hanging="360"/>
      </w:pPr>
      <w:r>
        <w:rPr>
          <w:rFonts w:ascii="Cambria" w:hAnsi="Cambria"/>
          <w:color w:val="1D2D3F"/>
          <w:sz w:val="22"/>
        </w:rPr>
        <w:t>• Rotating External Observers: trained observers visit operational units on unpredictable schedules, witness proceedings, verify procedural compliance, and submit observation reports.</w:t>
      </w:r>
    </w:p>
    <w:p>
      <w:pPr>
        <w:pStyle w:val="Heading3"/>
      </w:pPr>
      <w:r>
        <w:t>Automatic Triggers</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tblGrid>
      <w:tr>
        <w:tc>
          <w:tcPr>
            <w:shd w:val="clear" w:fill="E8EEF2"/>
          </w:tcPr>
          <w:p>
            <w:pPr>
              <w:spacing w:before="60" w:after="60"/>
            </w:pPr>
            <w:r>
              <w:rPr>
                <w:rFonts w:ascii="Cambria" w:hAnsi="Cambria"/>
                <w:b/>
                <w:color w:val="1D2D3F"/>
                <w:sz w:val="20"/>
              </w:rPr>
              <w:t>Trigger Condition</w:t>
            </w:r>
          </w:p>
        </w:tc>
        <w:tc>
          <w:tcPr>
            <w:shd w:val="clear" w:fill="E8EEF2"/>
          </w:tcPr>
          <w:p>
            <w:pPr>
              <w:spacing w:before="60" w:after="60"/>
            </w:pPr>
            <w:r>
              <w:rPr>
                <w:rFonts w:ascii="Cambria" w:hAnsi="Cambria"/>
                <w:b/>
                <w:color w:val="1D2D3F"/>
                <w:sz w:val="20"/>
              </w:rPr>
              <w:t>Signal Type</w:t>
            </w:r>
          </w:p>
        </w:tc>
        <w:tc>
          <w:tcPr>
            <w:shd w:val="clear" w:fill="E8EEF2"/>
          </w:tcPr>
          <w:p>
            <w:pPr>
              <w:spacing w:before="60" w:after="60"/>
            </w:pPr>
            <w:r>
              <w:rPr>
                <w:rFonts w:ascii="Cambria" w:hAnsi="Cambria"/>
                <w:b/>
                <w:color w:val="1D2D3F"/>
                <w:sz w:val="20"/>
              </w:rPr>
              <w:t>Automatic Response</w:t>
            </w:r>
          </w:p>
        </w:tc>
      </w:tr>
      <w:tr>
        <w:tc>
          <w:tcPr/>
          <w:p>
            <w:pPr>
              <w:spacing w:before="60" w:after="60"/>
            </w:pPr>
            <w:r>
              <w:rPr>
                <w:rFonts w:ascii="Cambria" w:hAnsi="Cambria"/>
                <w:color w:val="1D2D3F"/>
                <w:sz w:val="20"/>
              </w:rPr>
              <w:t>Single unit exceeds 2 std dev from baseline</w:t>
            </w:r>
          </w:p>
        </w:tc>
        <w:tc>
          <w:tcPr/>
          <w:p>
            <w:pPr>
              <w:spacing w:before="60" w:after="60"/>
            </w:pPr>
            <w:r>
              <w:rPr>
                <w:rFonts w:ascii="Cambria" w:hAnsi="Cambria"/>
                <w:color w:val="1D2D3F"/>
                <w:sz w:val="20"/>
              </w:rPr>
              <w:t>Anomaly Alert</w:t>
            </w:r>
          </w:p>
        </w:tc>
        <w:tc>
          <w:tcPr/>
          <w:p>
            <w:pPr>
              <w:spacing w:before="60" w:after="60"/>
            </w:pPr>
            <w:r>
              <w:rPr>
                <w:rFonts w:ascii="Cambria" w:hAnsi="Cambria"/>
                <w:color w:val="1D2D3F"/>
                <w:sz w:val="20"/>
              </w:rPr>
              <w:t>Elevated monitoring; soft inquiry; node identity suppressed until confirmed</w:t>
            </w:r>
          </w:p>
        </w:tc>
      </w:tr>
      <w:tr>
        <w:tc>
          <w:tcPr/>
          <w:p>
            <w:pPr>
              <w:spacing w:before="60" w:after="60"/>
            </w:pPr>
            <w:r>
              <w:rPr>
                <w:rFonts w:ascii="Cambria" w:hAnsi="Cambria"/>
                <w:color w:val="1D2D3F"/>
                <w:sz w:val="20"/>
              </w:rPr>
              <w:t>Three or more units show concurrent deviation</w:t>
            </w:r>
          </w:p>
        </w:tc>
        <w:tc>
          <w:tcPr/>
          <w:p>
            <w:pPr>
              <w:spacing w:before="60" w:after="60"/>
            </w:pPr>
            <w:r>
              <w:rPr>
                <w:rFonts w:ascii="Cambria" w:hAnsi="Cambria"/>
                <w:color w:val="1D2D3F"/>
                <w:sz w:val="20"/>
              </w:rPr>
              <w:t>System Drift</w:t>
            </w:r>
          </w:p>
        </w:tc>
        <w:tc>
          <w:tcPr/>
          <w:p>
            <w:pPr>
              <w:spacing w:before="60" w:after="60"/>
            </w:pPr>
            <w:r>
              <w:rPr>
                <w:rFonts w:ascii="Cambria" w:hAnsi="Cambria"/>
                <w:color w:val="1D2D3F"/>
                <w:sz w:val="20"/>
              </w:rPr>
              <w:t>Panel convenes; pattern analysis; full band review</w:t>
            </w:r>
          </w:p>
        </w:tc>
      </w:tr>
      <w:tr>
        <w:tc>
          <w:tcPr/>
          <w:p>
            <w:pPr>
              <w:spacing w:before="60" w:after="60"/>
            </w:pPr>
            <w:r>
              <w:rPr>
                <w:rFonts w:ascii="Cambria" w:hAnsi="Cambria"/>
                <w:color w:val="1D2D3F"/>
                <w:sz w:val="20"/>
              </w:rPr>
              <w:t>Compliance rate falls below 60% for one sector</w:t>
            </w:r>
          </w:p>
        </w:tc>
        <w:tc>
          <w:tcPr/>
          <w:p>
            <w:pPr>
              <w:spacing w:before="60" w:after="60"/>
            </w:pPr>
            <w:r>
              <w:rPr>
                <w:rFonts w:ascii="Cambria" w:hAnsi="Cambria"/>
                <w:color w:val="1D2D3F"/>
                <w:sz w:val="20"/>
              </w:rPr>
              <w:t>Compliance Decay</w:t>
            </w:r>
          </w:p>
        </w:tc>
        <w:tc>
          <w:tcPr/>
          <w:p>
            <w:pPr>
              <w:spacing w:before="60" w:after="60"/>
            </w:pPr>
            <w:r>
              <w:rPr>
                <w:rFonts w:ascii="Cambria" w:hAnsi="Cambria"/>
                <w:color w:val="1D2D3F"/>
                <w:sz w:val="20"/>
              </w:rPr>
              <w:t>Steward initiates clarification process</w:t>
            </w:r>
          </w:p>
        </w:tc>
      </w:tr>
      <w:tr>
        <w:tc>
          <w:tcPr/>
          <w:p>
            <w:pPr>
              <w:spacing w:before="60" w:after="60"/>
            </w:pPr>
            <w:r>
              <w:rPr>
                <w:rFonts w:ascii="Cambria" w:hAnsi="Cambria"/>
                <w:color w:val="1D2D3F"/>
                <w:sz w:val="20"/>
              </w:rPr>
              <w:t>Weekly digest submission rate below 70%</w:t>
            </w:r>
          </w:p>
        </w:tc>
        <w:tc>
          <w:tcPr/>
          <w:p>
            <w:pPr>
              <w:spacing w:before="60" w:after="60"/>
            </w:pPr>
            <w:r>
              <w:rPr>
                <w:rFonts w:ascii="Cambria" w:hAnsi="Cambria"/>
                <w:color w:val="1D2D3F"/>
                <w:sz w:val="20"/>
              </w:rPr>
              <w:t>Participation Drop</w:t>
            </w:r>
          </w:p>
        </w:tc>
        <w:tc>
          <w:tcPr/>
          <w:p>
            <w:pPr>
              <w:spacing w:before="60" w:after="60"/>
            </w:pPr>
            <w:r>
              <w:rPr>
                <w:rFonts w:ascii="Cambria" w:hAnsi="Cambria"/>
                <w:color w:val="1D2D3F"/>
                <w:sz w:val="20"/>
              </w:rPr>
              <w:t>Panel contacts non-submitting units; offers support</w:t>
            </w:r>
          </w:p>
        </w:tc>
      </w:tr>
      <w:tr>
        <w:tc>
          <w:tcPr/>
          <w:p>
            <w:pPr>
              <w:spacing w:before="60" w:after="60"/>
            </w:pPr>
            <w:r>
              <w:rPr>
                <w:rFonts w:ascii="Cambria" w:hAnsi="Cambria"/>
                <w:color w:val="1D2D3F"/>
                <w:sz w:val="20"/>
              </w:rPr>
              <w:t>Multi-witness signature hash mismatch</w:t>
            </w:r>
          </w:p>
        </w:tc>
        <w:tc>
          <w:tcPr/>
          <w:p>
            <w:pPr>
              <w:spacing w:before="60" w:after="60"/>
            </w:pPr>
            <w:r>
              <w:rPr>
                <w:rFonts w:ascii="Cambria" w:hAnsi="Cambria"/>
                <w:color w:val="1D2D3F"/>
                <w:sz w:val="20"/>
              </w:rPr>
              <w:t>Data Integrity Alert</w:t>
            </w:r>
          </w:p>
        </w:tc>
        <w:tc>
          <w:tcPr/>
          <w:p>
            <w:pPr>
              <w:spacing w:before="60" w:after="60"/>
            </w:pPr>
            <w:r>
              <w:rPr>
                <w:rFonts w:ascii="Cambria" w:hAnsi="Cambria"/>
                <w:color w:val="1D2D3F"/>
                <w:sz w:val="20"/>
              </w:rPr>
              <w:t>Automatic flag; panel investigates; reputation frozen pending review</w:t>
            </w:r>
          </w:p>
        </w:tc>
      </w:tr>
    </w:tbl>
    <w:p>
      <w:pPr>
        <w:pStyle w:val="Heading3"/>
      </w:pPr>
      <w:r>
        <w:t>Pointer Ambiguity Rule</w:t>
      </w:r>
    </w:p>
    <w:p>
      <w:pPr>
        <w:spacing w:after="160" w:line="288" w:lineRule="auto"/>
      </w:pPr>
      <w:r>
        <w:rPr>
          <w:rFonts w:ascii="Cambria" w:hAnsi="Cambria"/>
          <w:color w:val="1D2D3F"/>
          <w:sz w:val="22"/>
        </w:rPr>
        <w:t>When a Pattern Monitoring signal would identify a single operational unit unambiguously, the dashboard suppresses unit-level reporting. The system waits for a second independent signal from a different data source to confirm the anomaly. Only then does the system publish a resolved pointer with the unit identity. This rule maintains early warning capability without creating identifiable targets.</w:t>
      </w:r>
    </w:p>
    <w:p>
      <w:pPr>
        <w:pStyle w:val="Heading2"/>
      </w:pPr>
      <w:r>
        <w:t>Section 5.7 — Shared Awareness Network</w:t>
      </w:r>
    </w:p>
    <w:p>
      <w:pPr>
        <w:spacing w:after="160" w:line="288" w:lineRule="auto"/>
      </w:pPr>
      <w:r>
        <w:rPr>
          <w:rFonts w:ascii="Cambria" w:hAnsi="Cambria"/>
          <w:color w:val="1D2D3F"/>
          <w:sz w:val="22"/>
        </w:rPr>
        <w:t>The Shared Awareness Network is the framework's early warning system. It creates a distributed sensory field across all operational units so that emerging threats are detected at the periphery before they reach the core. The Network operates through continuous, low-bandwidth information sharing: every unit reports status fluctuations, every report is correlated across the network, and correlated anomalies trigger proactive response before any single threshold is breached.</w:t>
      </w:r>
    </w:p>
    <w:p>
      <w:pPr>
        <w:spacing w:after="160" w:line="288" w:lineRule="auto"/>
      </w:pPr>
      <w:r>
        <w:rPr>
          <w:rFonts w:ascii="Cambria" w:hAnsi="Cambria"/>
          <w:color w:val="1D2D3F"/>
          <w:sz w:val="22"/>
        </w:rPr>
        <w:t>The Network does not centralize intelligence. It distributes awareness. Each unit maintains situational picture of its own domain and receives a filtered feed of relevant developments from adjacent units. The Neutral Guarantor maintains the correlation engine that connects unit-level observations into network-level pattern detection.</w:t>
      </w:r>
    </w:p>
    <w:p>
      <w:pPr>
        <w:pStyle w:val="Heading2"/>
      </w:pPr>
      <w:r>
        <w:t>Section 5.8 — Resilience Architecture</w:t>
      </w:r>
    </w:p>
    <w:p>
      <w:pPr>
        <w:spacing w:after="160" w:line="288" w:lineRule="auto"/>
      </w:pPr>
      <w:r>
        <w:rPr>
          <w:rFonts w:ascii="Cambria" w:hAnsi="Cambria"/>
          <w:color w:val="1D2D3F"/>
          <w:sz w:val="22"/>
        </w:rPr>
        <w:t>The Resilience Architecture provides partial breach tolerance. A single broken commitment does not collapse the entire framework, just as a single broken strand does not collapse a well-built web. The architecture maintains redundant pathways between every pair of operational nodes, so that information and verification signals flow through alternative routes when one path breaks.</w:t>
      </w:r>
    </w:p>
    <w:p>
      <w:pPr>
        <w:spacing w:after="160" w:line="288" w:lineRule="auto"/>
      </w:pPr>
      <w:r>
        <w:rPr>
          <w:rFonts w:ascii="Cambria" w:hAnsi="Cambria"/>
          <w:color w:val="1D2D3F"/>
          <w:sz w:val="22"/>
        </w:rPr>
        <w:t>The resilience operates through three principles: Binding Provisions (high-tension commitments that carry verification and enforcement) are separated from Framework Provisions (structural commitments that maintain the architecture itself), so that a breach of one binding provision does not damage the structural framework; redundant verification pathways ensure that no single point of failure breaks the monitoring chain; and the Partial Breach Protocol isolates a broken commitment to its immediate reciprocity unit while all other units continue operating.</w:t>
      </w:r>
    </w:p>
    <w:p>
      <w:pPr>
        <w:pStyle w:val="Heading2"/>
      </w:pPr>
      <w:r>
        <w:t>Section 5.9 — Data Sharing Protocol</w:t>
      </w:r>
    </w:p>
    <w:p>
      <w:pPr>
        <w:spacing w:after="160" w:line="288" w:lineRule="auto"/>
      </w:pPr>
      <w:r>
        <w:rPr>
          <w:rFonts w:ascii="Cambria" w:hAnsi="Cambria"/>
          <w:color w:val="1D2D3F"/>
          <w:sz w:val="22"/>
        </w:rPr>
        <w:t>All telemetry data flows to the Joint Coordination Center in Muscat and to the Swiss-hosted dashboard in real time. Both Parties possess equal access to all data. Neither Party unilaterally classifies or withholds data from the other. Disputes over data interpretation proceed to the Human-in-the-Loop Review.</w:t>
      </w:r>
    </w:p>
    <w:p>
      <w:pPr>
        <w:pStyle w:val="Heading2"/>
      </w:pPr>
      <w:r>
        <w:t>Section 5.10 — Public Transparency Layer</w:t>
      </w:r>
    </w:p>
    <w:p>
      <w:pPr>
        <w:spacing w:after="160" w:line="288" w:lineRule="auto"/>
      </w:pPr>
      <w:r>
        <w:rPr>
          <w:rFonts w:ascii="Cambria" w:hAnsi="Cambria"/>
          <w:color w:val="1D2D3F"/>
          <w:sz w:val="22"/>
        </w:rPr>
        <w:t>The Public Transparency Layer serves as a factual, non-political repository of verified information regarding Compact implementation. Its purpose is to: enhance public confidence in the verification process; provide journalists, researchers, and civil society with access to verified data; counter misinformation with documented facts; and create a credible public record of compliance and implementation progress.</w:t>
      </w:r>
    </w:p>
    <w:p>
      <w:pPr>
        <w:pStyle w:val="Heading3"/>
      </w:pPr>
      <w:r>
        <w:t>Public Dashboard Content</w:t>
      </w:r>
    </w:p>
    <w:p>
      <w:pPr>
        <w:spacing w:after="160" w:line="288" w:lineRule="auto"/>
      </w:pPr>
      <w:r>
        <w:rPr>
          <w:rFonts w:ascii="Cambria" w:hAnsi="Cambria"/>
          <w:color w:val="1D2D3F"/>
          <w:sz w:val="22"/>
        </w:rPr>
        <w:t>The Swiss-hosted digital dashboard includes a publicly accessible layer displaying: aggregate maritime transit volumes through the Strait of Hormuz without vessel identification; IAEA seal status for all declared nuclear material showing green, amber, or red status only; humanitarian goods flow volumes and destinations; confirmed milestone completions; Stability Coefficient score ranges; and Neutral Guarantor quarterly reports.</w:t>
      </w:r>
    </w:p>
    <w:p>
      <w:pPr>
        <w:pStyle w:val="Heading3"/>
      </w:pPr>
      <w:r>
        <w:t>Quarterly Public Accountability Report</w:t>
      </w:r>
    </w:p>
    <w:p>
      <w:pPr>
        <w:spacing w:after="160" w:line="288" w:lineRule="auto"/>
      </w:pPr>
      <w:r>
        <w:rPr>
          <w:rFonts w:ascii="Cambria" w:hAnsi="Cambria"/>
          <w:color w:val="1D2D3F"/>
          <w:sz w:val="22"/>
        </w:rPr>
        <w:t>The Neutral Guarantor publishes a Quarterly Public Accountability Report posted to the public dashboard. The report documents: implementation status of all reciprocity units; verified ceasefire compliance on all fronts; humanitarian access status; aggregate civilian impact data from neutral observers; and compliance with international humanitarian law principles without making legal determinations. The report addresses all Parties' compliance. It is not limited to one Party's performance. The report acknowledges when information is unavailable and explains why.</w:t>
      </w:r>
    </w:p>
    <w:p>
      <w:pPr>
        <w:pStyle w:val="Heading3"/>
      </w:pPr>
      <w:r>
        <w:t>Economic Impact Report</w:t>
      </w:r>
    </w:p>
    <w:p>
      <w:pPr>
        <w:spacing w:after="160" w:line="288" w:lineRule="auto"/>
      </w:pPr>
      <w:r>
        <w:rPr>
          <w:rFonts w:ascii="Cambria" w:hAnsi="Cambria"/>
          <w:color w:val="1D2D3F"/>
          <w:sz w:val="22"/>
        </w:rPr>
        <w:t>The Neutral Guarantor publishes a quarterly Economic Impact Report as part of the Public Transparency Layer. The report documents: maritime transit volumes through the Strait of Hormuz; verified humanitarian goods flows; sanctions relief implementation status; asset release schedule compliance; and independent assessment of the Compact's economic stabilization effects. The report is factual, non-attributive, and available to the public. It does not assign political credit or blame.</w:t>
      </w:r>
    </w:p>
    <w:p>
      <w:pPr>
        <w:sectPr>
          <w:type w:val="nextPage"/>
          <w:pgSz w:w="11906" w:h="16838"/>
          <w:pgMar w:top="1440" w:right="1440" w:bottom="1440" w:left="1440" w:header="720" w:footer="720"/>
        </w:sectPr>
      </w:pPr>
    </w:p>
    <w:p>
      <w:pPr>
        <w:pStyle w:val="Heading1"/>
      </w:pPr>
      <w:r>
        <w:t>Article VI: Tiered Compliance State Machine</w:t>
      </w:r>
    </w:p>
    <w:p>
      <w:pPr>
        <w:spacing w:after="160" w:line="288" w:lineRule="auto"/>
      </w:pPr>
      <w:r>
        <w:rPr>
          <w:rFonts w:ascii="Cambria" w:hAnsi="Cambria"/>
          <w:color w:val="1D2D3F"/>
          <w:sz w:val="22"/>
        </w:rPr>
        <w:t>This article replaces the conventional snapback mechanism with a graduated, human-mediated compliance system organized as a state machine. The machine operates in two primary states: Default Governance (0-State) and Exception Resolution (1-State). The architecture distinguishes three tiers of compliance deviation, each triggering a proportionate response. The article also provides a clean break exit ramp that removes fear of entrapment.</w:t>
      </w:r>
    </w:p>
    <w:p>
      <w:pPr>
        <w:pStyle w:val="Heading2"/>
      </w:pPr>
      <w:r>
        <w:t>Section 6.1 — The State Machine</w:t>
      </w:r>
    </w:p>
    <w:p>
      <w:pPr>
        <w:spacing w:after="160" w:line="288" w:lineRule="auto"/>
      </w:pPr>
      <w:r>
        <w:rPr>
          <w:rFonts w:ascii="Cambria" w:hAnsi="Cambria"/>
          <w:color w:val="1D2D3F"/>
          <w:sz w:val="22"/>
        </w:rPr>
        <w:t>The framework models compliance as a permanent finite-state machine with defined states and transition rules. The machine never halts. It never completes. It runs indefinitely and adapts through the mechanisms described in this article.</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tblGrid>
      <w:tr>
        <w:tc>
          <w:tcPr>
            <w:shd w:val="clear" w:fill="E8EEF2"/>
          </w:tcPr>
          <w:p>
            <w:pPr>
              <w:spacing w:before="60" w:after="60"/>
            </w:pPr>
            <w:r>
              <w:rPr>
                <w:rFonts w:ascii="Cambria" w:hAnsi="Cambria"/>
                <w:b/>
                <w:color w:val="1D2D3F"/>
                <w:sz w:val="20"/>
              </w:rPr>
              <w:t>State</w:t>
            </w:r>
          </w:p>
        </w:tc>
        <w:tc>
          <w:tcPr>
            <w:shd w:val="clear" w:fill="E8EEF2"/>
          </w:tcPr>
          <w:p>
            <w:pPr>
              <w:spacing w:before="60" w:after="60"/>
            </w:pPr>
            <w:r>
              <w:rPr>
                <w:rFonts w:ascii="Cambria" w:hAnsi="Cambria"/>
                <w:b/>
                <w:color w:val="1D2D3F"/>
                <w:sz w:val="20"/>
              </w:rPr>
              <w:t>Description</w:t>
            </w:r>
          </w:p>
        </w:tc>
        <w:tc>
          <w:tcPr>
            <w:shd w:val="clear" w:fill="E8EEF2"/>
          </w:tcPr>
          <w:p>
            <w:pPr>
              <w:spacing w:before="60" w:after="60"/>
            </w:pPr>
            <w:r>
              <w:rPr>
                <w:rFonts w:ascii="Cambria" w:hAnsi="Cambria"/>
                <w:b/>
                <w:color w:val="1D2D3F"/>
                <w:sz w:val="20"/>
              </w:rPr>
              <w:t>Transition</w:t>
            </w:r>
          </w:p>
        </w:tc>
      </w:tr>
      <w:tr>
        <w:tc>
          <w:tcPr/>
          <w:p>
            <w:pPr>
              <w:spacing w:before="60" w:after="60"/>
            </w:pPr>
            <w:r>
              <w:rPr>
                <w:rFonts w:ascii="Cambria" w:hAnsi="Cambria"/>
                <w:color w:val="1D2D3F"/>
                <w:sz w:val="20"/>
              </w:rPr>
              <w:t>0-Default</w:t>
            </w:r>
          </w:p>
        </w:tc>
        <w:tc>
          <w:tcPr/>
          <w:p>
            <w:pPr>
              <w:spacing w:before="60" w:after="60"/>
            </w:pPr>
            <w:r>
              <w:rPr>
                <w:rFonts w:ascii="Cambria" w:hAnsi="Cambria"/>
                <w:color w:val="1D2D3F"/>
                <w:sz w:val="20"/>
              </w:rPr>
              <w:t>Permanent symmetrical governance with continuous reciprocal obligations</w:t>
            </w:r>
          </w:p>
        </w:tc>
        <w:tc>
          <w:tcPr/>
          <w:p>
            <w:pPr>
              <w:spacing w:before="60" w:after="60"/>
            </w:pPr>
            <w:r>
              <w:rPr>
                <w:rFonts w:ascii="Cambria" w:hAnsi="Cambria"/>
                <w:color w:val="1D2D3F"/>
                <w:sz w:val="20"/>
              </w:rPr>
              <w:t>Dispute triggers 1-Exception</w:t>
            </w:r>
          </w:p>
        </w:tc>
      </w:tr>
      <w:tr>
        <w:tc>
          <w:tcPr/>
          <w:p>
            <w:pPr>
              <w:spacing w:before="60" w:after="60"/>
            </w:pPr>
            <w:r>
              <w:rPr>
                <w:rFonts w:ascii="Cambria" w:hAnsi="Cambria"/>
                <w:color w:val="1D2D3F"/>
                <w:sz w:val="20"/>
              </w:rPr>
              <w:t>1-Exception</w:t>
            </w:r>
          </w:p>
        </w:tc>
        <w:tc>
          <w:tcPr/>
          <w:p>
            <w:pPr>
              <w:spacing w:before="60" w:after="60"/>
            </w:pPr>
            <w:r>
              <w:rPr>
                <w:rFonts w:ascii="Cambria" w:hAnsi="Cambria"/>
                <w:color w:val="1D2D3F"/>
                <w:sz w:val="20"/>
              </w:rPr>
              <w:t>Temporary dispute resolution with focused, time-bound corrective obligations</w:t>
            </w:r>
          </w:p>
        </w:tc>
        <w:tc>
          <w:tcPr/>
          <w:p>
            <w:pPr>
              <w:spacing w:before="60" w:after="60"/>
            </w:pPr>
            <w:r>
              <w:rPr>
                <w:rFonts w:ascii="Cambria" w:hAnsi="Cambria"/>
                <w:color w:val="1D2D3F"/>
                <w:sz w:val="20"/>
              </w:rPr>
              <w:t>Auto-reverts to 0-Default after resolution or maximum duration</w:t>
            </w:r>
          </w:p>
        </w:tc>
      </w:tr>
      <w:tr>
        <w:tc>
          <w:tcPr/>
          <w:p>
            <w:pPr>
              <w:spacing w:before="60" w:after="60"/>
            </w:pPr>
            <w:r>
              <w:rPr>
                <w:rFonts w:ascii="Cambria" w:hAnsi="Cambria"/>
                <w:color w:val="1D2D3F"/>
                <w:sz w:val="20"/>
              </w:rPr>
              <w:t>1-Corrective</w:t>
            </w:r>
          </w:p>
        </w:tc>
        <w:tc>
          <w:tcPr/>
          <w:p>
            <w:pPr>
              <w:spacing w:before="60" w:after="60"/>
            </w:pPr>
            <w:r>
              <w:rPr>
                <w:rFonts w:ascii="Cambria" w:hAnsi="Cambria"/>
                <w:color w:val="1D2D3F"/>
                <w:sz w:val="20"/>
              </w:rPr>
              <w:t>Technical debt repayment after a material loop-break in 0-Default</w:t>
            </w:r>
          </w:p>
        </w:tc>
        <w:tc>
          <w:tcPr/>
          <w:p>
            <w:pPr>
              <w:spacing w:before="60" w:after="60"/>
            </w:pPr>
            <w:r>
              <w:rPr>
                <w:rFonts w:ascii="Cambria" w:hAnsi="Cambria"/>
                <w:color w:val="1D2D3F"/>
                <w:sz w:val="20"/>
              </w:rPr>
              <w:t>Auto-reverts to 0-Default after correction</w:t>
            </w:r>
          </w:p>
        </w:tc>
      </w:tr>
      <w:tr>
        <w:tc>
          <w:tcPr/>
          <w:p>
            <w:pPr>
              <w:spacing w:before="60" w:after="60"/>
            </w:pPr>
            <w:r>
              <w:rPr>
                <w:rFonts w:ascii="Cambria" w:hAnsi="Cambria"/>
                <w:color w:val="1D2D3F"/>
                <w:sz w:val="20"/>
              </w:rPr>
              <w:t>Dormant</w:t>
            </w:r>
          </w:p>
        </w:tc>
        <w:tc>
          <w:tcPr/>
          <w:p>
            <w:pPr>
              <w:spacing w:before="60" w:after="60"/>
            </w:pPr>
            <w:r>
              <w:rPr>
                <w:rFonts w:ascii="Cambria" w:hAnsi="Cambria"/>
                <w:color w:val="1D2D3F"/>
                <w:sz w:val="20"/>
              </w:rPr>
              <w:t>Non-participatory status: Party is bound by Forward Drift Archive, holds no voting rights</w:t>
            </w:r>
          </w:p>
        </w:tc>
        <w:tc>
          <w:tcPr/>
          <w:p>
            <w:pPr>
              <w:spacing w:before="60" w:after="60"/>
            </w:pPr>
            <w:r>
              <w:rPr>
                <w:rFonts w:ascii="Cambria" w:hAnsi="Cambria"/>
                <w:color w:val="1D2D3F"/>
                <w:sz w:val="20"/>
              </w:rPr>
              <w:t>Automatic re-entry upon verified compliance</w:t>
            </w:r>
          </w:p>
        </w:tc>
      </w:tr>
    </w:tbl>
    <w:p>
      <w:pPr>
        <w:spacing w:after="160" w:line="288" w:lineRule="auto"/>
      </w:pPr>
      <w:r>
        <w:rPr>
          <w:rFonts w:ascii="Cambria" w:hAnsi="Cambria"/>
          <w:color w:val="1D2D3F"/>
          <w:sz w:val="22"/>
        </w:rPr>
        <w:t>Four rules govern all transitions. Rule One: 0-Default is the permanent operating state. Rule Two: 1-Exception auto-reverts to 0-Default after resolution or upon reaching its maximum duration. Rule Three: no permanent exit exists, only dormancy. Rule Four: constitutional evolution occurs through the Continuity Amendment procedure only.</w:t>
      </w:r>
    </w:p>
    <w:p>
      <w:pPr>
        <w:pStyle w:val="Heading2"/>
      </w:pPr>
      <w:r>
        <w:t>Section 6.2 — Three-Tier Proportional Compliance</w:t>
      </w:r>
    </w:p>
    <w:p>
      <w:pPr>
        <w:spacing w:after="160" w:line="288" w:lineRule="auto"/>
      </w:pPr>
      <w:r>
        <w:rPr>
          <w:rFonts w:ascii="Cambria" w:hAnsi="Cambria"/>
          <w:color w:val="1D2D3F"/>
          <w:sz w:val="22"/>
        </w:rPr>
        <w:t>The framework differentiates compliance failures into three tiers. It does not treat every failure as a symmetry break triggering full corrective action.</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gridCol/>
      </w:tblGrid>
      <w:tr>
        <w:tc>
          <w:tcPr>
            <w:shd w:val="clear" w:fill="E8EEF2"/>
          </w:tcPr>
          <w:p>
            <w:pPr>
              <w:spacing w:before="60" w:after="60"/>
            </w:pPr>
            <w:r>
              <w:rPr>
                <w:rFonts w:ascii="Cambria" w:hAnsi="Cambria"/>
                <w:b/>
                <w:color w:val="1D2D3F"/>
                <w:sz w:val="20"/>
              </w:rPr>
              <w:t>Tier</w:t>
            </w:r>
          </w:p>
        </w:tc>
        <w:tc>
          <w:tcPr>
            <w:shd w:val="clear" w:fill="E8EEF2"/>
          </w:tcPr>
          <w:p>
            <w:pPr>
              <w:spacing w:before="60" w:after="60"/>
            </w:pPr>
            <w:r>
              <w:rPr>
                <w:rFonts w:ascii="Cambria" w:hAnsi="Cambria"/>
                <w:b/>
                <w:color w:val="1D2D3F"/>
                <w:sz w:val="20"/>
              </w:rPr>
              <w:t>Description</w:t>
            </w:r>
          </w:p>
        </w:tc>
        <w:tc>
          <w:tcPr>
            <w:shd w:val="clear" w:fill="E8EEF2"/>
          </w:tcPr>
          <w:p>
            <w:pPr>
              <w:spacing w:before="60" w:after="60"/>
            </w:pPr>
            <w:r>
              <w:rPr>
                <w:rFonts w:ascii="Cambria" w:hAnsi="Cambria"/>
                <w:b/>
                <w:color w:val="1D2D3F"/>
                <w:sz w:val="20"/>
              </w:rPr>
              <w:t>Consequence</w:t>
            </w:r>
          </w:p>
        </w:tc>
        <w:tc>
          <w:tcPr>
            <w:shd w:val="clear" w:fill="E8EEF2"/>
          </w:tcPr>
          <w:p>
            <w:pPr>
              <w:spacing w:before="60" w:after="60"/>
            </w:pPr>
            <w:r>
              <w:rPr>
                <w:rFonts w:ascii="Cambria" w:hAnsi="Cambria"/>
                <w:b/>
                <w:color w:val="1D2D3F"/>
                <w:sz w:val="20"/>
              </w:rPr>
              <w:t>Example</w:t>
            </w:r>
          </w:p>
        </w:tc>
      </w:tr>
      <w:tr>
        <w:tc>
          <w:tcPr/>
          <w:p>
            <w:pPr>
              <w:spacing w:before="60" w:after="60"/>
            </w:pPr>
            <w:r>
              <w:rPr>
                <w:rFonts w:ascii="Cambria" w:hAnsi="Cambria"/>
                <w:color w:val="1D2D3F"/>
                <w:sz w:val="20"/>
              </w:rPr>
              <w:t>Tier 1: Minor</w:t>
            </w:r>
          </w:p>
        </w:tc>
        <w:tc>
          <w:tcPr/>
          <w:p>
            <w:pPr>
              <w:spacing w:before="60" w:after="60"/>
            </w:pPr>
            <w:r>
              <w:rPr>
                <w:rFonts w:ascii="Cambria" w:hAnsi="Cambria"/>
                <w:color w:val="1D2D3F"/>
                <w:sz w:val="20"/>
              </w:rPr>
              <w:t>Administrative delay under 72 hours, technical error, notification failure</w:t>
            </w:r>
          </w:p>
        </w:tc>
        <w:tc>
          <w:tcPr/>
          <w:p>
            <w:pPr>
              <w:spacing w:before="60" w:after="60"/>
            </w:pPr>
            <w:r>
              <w:rPr>
                <w:rFonts w:ascii="Cambria" w:hAnsi="Cambria"/>
                <w:color w:val="1D2D3F"/>
                <w:sz w:val="20"/>
              </w:rPr>
              <w:t>Cycle extends by delay period; logged but no corrective action triggered</w:t>
            </w:r>
          </w:p>
        </w:tc>
        <w:tc>
          <w:tcPr/>
          <w:p>
            <w:pPr>
              <w:spacing w:before="60" w:after="60"/>
            </w:pPr>
            <w:r>
              <w:rPr>
                <w:rFonts w:ascii="Cambria" w:hAnsi="Cambria"/>
                <w:color w:val="1D2D3F"/>
                <w:sz w:val="20"/>
              </w:rPr>
              <w:t>Late submission of routine monitoring report</w:t>
            </w:r>
          </w:p>
        </w:tc>
      </w:tr>
      <w:tr>
        <w:tc>
          <w:tcPr/>
          <w:p>
            <w:pPr>
              <w:spacing w:before="60" w:after="60"/>
            </w:pPr>
            <w:r>
              <w:rPr>
                <w:rFonts w:ascii="Cambria" w:hAnsi="Cambria"/>
                <w:color w:val="1D2D3F"/>
                <w:sz w:val="20"/>
              </w:rPr>
              <w:t>Tier 2: Material</w:t>
            </w:r>
          </w:p>
        </w:tc>
        <w:tc>
          <w:tcPr/>
          <w:p>
            <w:pPr>
              <w:spacing w:before="60" w:after="60"/>
            </w:pPr>
            <w:r>
              <w:rPr>
                <w:rFonts w:ascii="Cambria" w:hAnsi="Cambria"/>
                <w:color w:val="1D2D3F"/>
                <w:sz w:val="20"/>
              </w:rPr>
              <w:t>Non-pivotal obligation failure, resolved within 14 days</w:t>
            </w:r>
          </w:p>
        </w:tc>
        <w:tc>
          <w:tcPr/>
          <w:p>
            <w:pPr>
              <w:spacing w:before="60" w:after="60"/>
            </w:pPr>
            <w:r>
              <w:rPr>
                <w:rFonts w:ascii="Cambria" w:hAnsi="Cambria"/>
                <w:color w:val="1D2D3F"/>
                <w:sz w:val="20"/>
              </w:rPr>
              <w:t>Corrective action focuses only on missed obligation; 0-Default continues for all other obligations</w:t>
            </w:r>
          </w:p>
        </w:tc>
        <w:tc>
          <w:tcPr/>
          <w:p>
            <w:pPr>
              <w:spacing w:before="60" w:after="60"/>
            </w:pPr>
            <w:r>
              <w:rPr>
                <w:rFonts w:ascii="Cambria" w:hAnsi="Cambria"/>
                <w:color w:val="1D2D3F"/>
                <w:sz w:val="20"/>
              </w:rPr>
              <w:t>Missed joint inspection, quickly cured</w:t>
            </w:r>
          </w:p>
        </w:tc>
      </w:tr>
      <w:tr>
        <w:tc>
          <w:tcPr/>
          <w:p>
            <w:pPr>
              <w:spacing w:before="60" w:after="60"/>
            </w:pPr>
            <w:r>
              <w:rPr>
                <w:rFonts w:ascii="Cambria" w:hAnsi="Cambria"/>
                <w:color w:val="1D2D3F"/>
                <w:sz w:val="20"/>
              </w:rPr>
              <w:t>Tier 3: Critical</w:t>
            </w:r>
          </w:p>
        </w:tc>
        <w:tc>
          <w:tcPr/>
          <w:p>
            <w:pPr>
              <w:spacing w:before="60" w:after="60"/>
            </w:pPr>
            <w:r>
              <w:rPr>
                <w:rFonts w:ascii="Cambria" w:hAnsi="Cambria"/>
                <w:color w:val="1D2D3F"/>
                <w:sz w:val="20"/>
              </w:rPr>
              <w:t>Pivotal obligation failure, or any failure exceeding 14 days</w:t>
            </w:r>
          </w:p>
        </w:tc>
        <w:tc>
          <w:tcPr/>
          <w:p>
            <w:pPr>
              <w:spacing w:before="60" w:after="60"/>
            </w:pPr>
            <w:r>
              <w:rPr>
                <w:rFonts w:ascii="Cambria" w:hAnsi="Cambria"/>
                <w:color w:val="1D2D3F"/>
                <w:sz w:val="20"/>
              </w:rPr>
              <w:t>Full corrective 1-Exception phase activates</w:t>
            </w:r>
          </w:p>
        </w:tc>
        <w:tc>
          <w:tcPr/>
          <w:p>
            <w:pPr>
              <w:spacing w:before="60" w:after="60"/>
            </w:pPr>
            <w:r>
              <w:rPr>
                <w:rFonts w:ascii="Cambria" w:hAnsi="Cambria"/>
                <w:color w:val="1D2D3F"/>
                <w:sz w:val="20"/>
              </w:rPr>
              <w:t>Unilateral enrichment above 3.67% or military offensive</w:t>
            </w:r>
          </w:p>
        </w:tc>
      </w:tr>
    </w:tbl>
    <w:p>
      <w:pPr>
        <w:spacing w:after="160" w:line="288" w:lineRule="auto"/>
      </w:pPr>
      <w:r>
        <w:rPr>
          <w:rFonts w:ascii="Cambria" w:hAnsi="Cambria"/>
          <w:color w:val="1D2D3F"/>
          <w:sz w:val="22"/>
        </w:rPr>
        <w:t>Tier classification occurs at Compact founding. Each obligation is designated as pivotal, material, or routine. The Human-in-the-Loop Review Panel reviews tier classifications during the implementation period and adjusts designations based on operational experience.</w:t>
      </w:r>
    </w:p>
    <w:p>
      <w:pPr>
        <w:pStyle w:val="Heading2"/>
      </w:pPr>
      <w:r>
        <w:t>Section 6.3 — Step-Back Mechanics</w:t>
      </w:r>
    </w:p>
    <w:p>
      <w:pPr>
        <w:spacing w:after="160" w:line="288" w:lineRule="auto"/>
      </w:pPr>
      <w:r>
        <w:rPr>
          <w:rFonts w:ascii="Cambria" w:hAnsi="Cambria"/>
          <w:color w:val="1D2D3F"/>
          <w:sz w:val="22"/>
        </w:rPr>
        <w:t>When either Party identifies a concern regarding compliance, the following sequence activates:</w:t>
      </w:r>
    </w:p>
    <w:p>
      <w:pPr>
        <w:spacing w:after="120" w:line="276" w:lineRule="auto"/>
        <w:ind w:left="720" w:hanging="360"/>
      </w:pPr>
      <w:r>
        <w:rPr>
          <w:rFonts w:ascii="Cambria" w:hAnsi="Cambria"/>
          <w:b/>
          <w:color w:val="1D2D3F"/>
          <w:sz w:val="22"/>
        </w:rPr>
        <w:t>1. </w:t>
      </w:r>
      <w:r>
        <w:rPr>
          <w:rFonts w:ascii="Cambria" w:hAnsi="Cambria"/>
          <w:color w:val="1D2D3F"/>
          <w:sz w:val="22"/>
        </w:rPr>
        <w:t>Consultation — The concerned Party submits a written notice to the Joint Coordination Center describing the specific concern and citing the relevant Compact provision. The other Party responds within 48 hours.</w:t>
      </w:r>
    </w:p>
    <w:p>
      <w:pPr>
        <w:spacing w:after="120" w:line="276" w:lineRule="auto"/>
        <w:ind w:left="720" w:hanging="360"/>
      </w:pPr>
      <w:r>
        <w:rPr>
          <w:rFonts w:ascii="Cambria" w:hAnsi="Cambria"/>
          <w:b/>
          <w:color w:val="1D2D3F"/>
          <w:sz w:val="22"/>
        </w:rPr>
        <w:t>2. </w:t>
      </w:r>
      <w:r>
        <w:rPr>
          <w:rFonts w:ascii="Cambria" w:hAnsi="Cambria"/>
          <w:color w:val="1D2D3F"/>
          <w:sz w:val="22"/>
        </w:rPr>
        <w:t>Human-in-the-Loop Review — If the consultation does not resolve the concern, the matter proceeds to the Human-in-the-Loop Review described in Article VIII. The Review Panel convenes within 72 hours.</w:t>
      </w:r>
    </w:p>
    <w:p>
      <w:pPr>
        <w:spacing w:after="120" w:line="276" w:lineRule="auto"/>
        <w:ind w:left="720" w:hanging="360"/>
      </w:pPr>
      <w:r>
        <w:rPr>
          <w:rFonts w:ascii="Cambria" w:hAnsi="Cambria"/>
          <w:b/>
          <w:color w:val="1D2D3F"/>
          <w:sz w:val="22"/>
        </w:rPr>
        <w:t>3. </w:t>
      </w:r>
      <w:r>
        <w:rPr>
          <w:rFonts w:ascii="Cambria" w:hAnsi="Cambria"/>
          <w:color w:val="1D2D3F"/>
          <w:sz w:val="22"/>
        </w:rPr>
        <w:t>Proportional Step-Back — If the Review Panel confirms a breach, the aggrieved Party implements a proportional step-back: suspension of one or more reciprocity units commensurate with the severity of the breach. The step-back affects only the relevant annex or subsection; other Compact provisions continue operating.</w:t>
      </w:r>
    </w:p>
    <w:p>
      <w:pPr>
        <w:spacing w:after="120" w:line="276" w:lineRule="auto"/>
        <w:ind w:left="720" w:hanging="360"/>
      </w:pPr>
      <w:r>
        <w:rPr>
          <w:rFonts w:ascii="Cambria" w:hAnsi="Cambria"/>
          <w:b/>
          <w:color w:val="1D2D3F"/>
          <w:sz w:val="22"/>
        </w:rPr>
        <w:t>4. </w:t>
      </w:r>
      <w:r>
        <w:rPr>
          <w:rFonts w:ascii="Cambria" w:hAnsi="Cambria"/>
          <w:color w:val="1D2D3F"/>
          <w:sz w:val="22"/>
        </w:rPr>
        <w:t>Correction Window — The breaching Party possesses 14 days to correct the deficiency. During this window, both Parties continue all other Compact operations.</w:t>
      </w:r>
    </w:p>
    <w:p>
      <w:pPr>
        <w:spacing w:after="120" w:line="276" w:lineRule="auto"/>
        <w:ind w:left="720" w:hanging="360"/>
      </w:pPr>
      <w:r>
        <w:rPr>
          <w:rFonts w:ascii="Cambria" w:hAnsi="Cambria"/>
          <w:b/>
          <w:color w:val="1D2D3F"/>
          <w:sz w:val="22"/>
        </w:rPr>
        <w:t>5. </w:t>
      </w:r>
      <w:r>
        <w:rPr>
          <w:rFonts w:ascii="Cambria" w:hAnsi="Cambria"/>
          <w:color w:val="1D2D3F"/>
          <w:sz w:val="22"/>
        </w:rPr>
        <w:t>Earn-Back — Upon correction of the deficiency, the suspended reciprocity units reactivate automatically. No additional negotiation or compensation payment is required. The earn-back restores the status quo ante.</w:t>
      </w:r>
    </w:p>
    <w:p>
      <w:pPr>
        <w:pStyle w:val="Heading2"/>
      </w:pPr>
      <w:r>
        <w:t>Section 6.4 — Graduated Response Scale</w:t>
      </w:r>
    </w:p>
    <w:p>
      <w:pPr>
        <w:spacing w:after="160" w:line="288" w:lineRule="auto"/>
      </w:pPr>
      <w:r>
        <w:rPr>
          <w:rFonts w:ascii="Cambria" w:hAnsi="Cambria"/>
          <w:color w:val="1D2D3F"/>
          <w:sz w:val="22"/>
        </w:rPr>
        <w:t>The Review Panel selects the step-back level based on the following graduated scale:</w:t>
      </w:r>
    </w:p>
    <w:p>
      <w:pPr>
        <w:spacing w:after="120" w:line="276" w:lineRule="auto"/>
        <w:ind w:left="720" w:hanging="360"/>
      </w:pPr>
      <w:r>
        <w:rPr>
          <w:rFonts w:ascii="Cambria" w:hAnsi="Cambria"/>
          <w:b/>
          <w:color w:val="1D2D3F"/>
          <w:sz w:val="22"/>
        </w:rPr>
        <w:t>• Level One — Technical Delay: </w:t>
      </w:r>
      <w:r>
        <w:rPr>
          <w:rFonts w:ascii="Cambria" w:hAnsi="Cambria"/>
          <w:color w:val="1D2D3F"/>
          <w:sz w:val="22"/>
        </w:rPr>
        <w:t>A delay of up to 72 hours in implementing a commitment due to logistical or administrative factors. No step-back occurs. The Joint Coordination Center documents the delay and adjusts timelines.</w:t>
      </w:r>
    </w:p>
    <w:p>
      <w:pPr>
        <w:spacing w:after="120" w:line="276" w:lineRule="auto"/>
        <w:ind w:left="720" w:hanging="360"/>
      </w:pPr>
      <w:r>
        <w:rPr>
          <w:rFonts w:ascii="Cambria" w:hAnsi="Cambria"/>
          <w:b/>
          <w:color w:val="1D2D3F"/>
          <w:sz w:val="22"/>
        </w:rPr>
        <w:t>• Level Two — Partial Non-Performance: </w:t>
      </w:r>
      <w:r>
        <w:rPr>
          <w:rFonts w:ascii="Cambria" w:hAnsi="Cambria"/>
          <w:color w:val="1D2D3F"/>
          <w:sz w:val="22"/>
        </w:rPr>
        <w:t>Failure to implement one or more specific elements of a commitment. The step-back suspends the corresponding reciprocity unit until correction.</w:t>
      </w:r>
    </w:p>
    <w:p>
      <w:pPr>
        <w:spacing w:after="120" w:line="276" w:lineRule="auto"/>
        <w:ind w:left="720" w:hanging="360"/>
      </w:pPr>
      <w:r>
        <w:rPr>
          <w:rFonts w:ascii="Cambria" w:hAnsi="Cambria"/>
          <w:b/>
          <w:color w:val="1D2D3F"/>
          <w:sz w:val="22"/>
        </w:rPr>
        <w:t>• Level Three — Systemic Breach: </w:t>
      </w:r>
      <w:r>
        <w:rPr>
          <w:rFonts w:ascii="Cambria" w:hAnsi="Cambria"/>
          <w:color w:val="1D2D3F"/>
          <w:sz w:val="22"/>
        </w:rPr>
        <w:t>A pattern of non-performance across multiple commitments or a single material breach that fundamentally alters the equilibrium of the Compact. The step-back suspends all reciprocity units in the affected annex. The Parties convene an emergency session within 72 hours.</w:t>
      </w:r>
    </w:p>
    <w:p>
      <w:pPr>
        <w:spacing w:after="120" w:line="276" w:lineRule="auto"/>
        <w:ind w:left="720" w:hanging="360"/>
      </w:pPr>
      <w:r>
        <w:rPr>
          <w:rFonts w:ascii="Cambria" w:hAnsi="Cambria"/>
          <w:b/>
          <w:color w:val="1D2D3F"/>
          <w:sz w:val="22"/>
        </w:rPr>
        <w:t>• Level Four — Fundamental Violation: </w:t>
      </w:r>
      <w:r>
        <w:rPr>
          <w:rFonts w:ascii="Cambria" w:hAnsi="Cambria"/>
          <w:color w:val="1D2D3F"/>
          <w:sz w:val="22"/>
        </w:rPr>
        <w:t>A breach that strikes at the core purpose of the Compact, such as renewed weapons-grade enrichment or military attack. This level terminates the Compact unless both Parties agree to emergency remediation within 48 hours.</w:t>
      </w:r>
    </w:p>
    <w:p>
      <w:pPr>
        <w:pStyle w:val="Heading2"/>
      </w:pPr>
      <w:r>
        <w:t>Section 6.5 — Good Faith Exception</w:t>
      </w:r>
    </w:p>
    <w:p>
      <w:pPr>
        <w:spacing w:after="160" w:line="288" w:lineRule="auto"/>
      </w:pPr>
      <w:r>
        <w:rPr>
          <w:rFonts w:ascii="Cambria" w:hAnsi="Cambria"/>
          <w:color w:val="1D2D3F"/>
          <w:sz w:val="22"/>
        </w:rPr>
        <w:t>A Party that fails an obligation petitions the Human-in-the-Loop Panel for a Good Faith Exception. Conditions: the failure is caused by events outside the Party's control; the Party provides verified evidence; and the Party commits to a remediation plan with accelerated timeline. If granted: no corrective action triggers; the obligation deadline extends by up to 90 days; the exception is published on the dashboard. Abuse of the exception — false claims — triggers double-strength corrective action with accelerated timeline and additional obligations.</w:t>
      </w:r>
    </w:p>
    <w:p>
      <w:pPr>
        <w:pStyle w:val="Heading2"/>
      </w:pPr>
      <w:r>
        <w:t>Section 6.6 — Quiet Periods</w:t>
      </w:r>
    </w:p>
    <w:p>
      <w:pPr>
        <w:spacing w:after="160" w:line="288" w:lineRule="auto"/>
      </w:pPr>
      <w:r>
        <w:rPr>
          <w:rFonts w:ascii="Cambria" w:hAnsi="Cambria"/>
          <w:color w:val="1D2D3F"/>
          <w:sz w:val="22"/>
        </w:rPr>
        <w:t>The Human-in-the-Loop Panel declares a Quiet Period during high-political-stress events: elections, leadership transitions, major policy shifts. Duration: up to 60 days, triggered by any Party's request plus one neutral concurrence. During a Quiet Period: only Tier 1 (Core) obligations are verified; Tier 2 and Tier 3 are suspended with no penalties. Maximum two Quiet Periods per Party per 24-month period.</w:t>
      </w:r>
    </w:p>
    <w:p>
      <w:pPr>
        <w:pStyle w:val="Heading2"/>
      </w:pPr>
      <w:r>
        <w:t>Section 6.7 — Relief Permanence</w:t>
      </w:r>
    </w:p>
    <w:p>
      <w:pPr>
        <w:spacing w:after="160" w:line="288" w:lineRule="auto"/>
      </w:pPr>
      <w:r>
        <w:rPr>
          <w:rFonts w:ascii="Cambria" w:hAnsi="Cambria"/>
          <w:color w:val="1D2D3F"/>
          <w:sz w:val="22"/>
        </w:rPr>
        <w:t>Delivered relief measures convert to permanent status after 24 months of sustained compliance, defined as no Tier-2 or higher Step-Back action during that period. A Step-Back action resets the clock. After permanent status is achieved, reversal requires a formal finding of material breach through the Human-in-the-Loop Review. This provision protects Iran's earned benefits while preserving the United States' right to respond to material breach.</w:t>
      </w:r>
    </w:p>
    <w:p>
      <w:pPr>
        <w:pStyle w:val="Heading2"/>
      </w:pPr>
      <w:r>
        <w:t>Section 6.8 — Clean Break Exit Ramp</w:t>
      </w:r>
    </w:p>
    <w:p>
      <w:pPr>
        <w:spacing w:after="160" w:line="288" w:lineRule="auto"/>
      </w:pPr>
      <w:r>
        <w:rPr>
          <w:rFonts w:ascii="Cambria" w:hAnsi="Cambria"/>
          <w:color w:val="1D2D3F"/>
          <w:sz w:val="22"/>
        </w:rPr>
        <w:t>Either Party withdraws from this Compact with 14 days' written notice to the Neutral Guarantor. Withdrawal does not constitute a breach and does not trigger any penalty.</w:t>
      </w:r>
    </w:p>
    <w:p>
      <w:pPr>
        <w:spacing w:after="160" w:line="288" w:lineRule="auto"/>
      </w:pPr>
      <w:r>
        <w:rPr>
          <w:rFonts w:ascii="Cambria" w:hAnsi="Cambria"/>
          <w:color w:val="1D2D3F"/>
          <w:sz w:val="22"/>
        </w:rPr>
        <w:t>Upon withdrawal, the following provisions remain in effect for 180 days under UN mandate: the Strait of Hormuz remains open for all commercial and humanitarian vessels; all funds already released from escrow are retained by the receiving Party; sanctions relief already delivered before the withdrawal notice does not reimpose; and both Parties refrain from military escalation for the 180-day transition period.</w:t>
      </w:r>
    </w:p>
    <w:p>
      <w:pPr>
        <w:spacing w:after="160" w:line="288" w:lineRule="auto"/>
      </w:pPr>
      <w:r>
        <w:rPr>
          <w:rFonts w:ascii="Cambria" w:hAnsi="Cambria"/>
          <w:color w:val="1D2D3F"/>
          <w:sz w:val="22"/>
        </w:rPr>
        <w:t>Withdrawal does not preclude future negotiations. Either Party re-enters the Compact at any time by providing written notice of intent to resume, subject to mutual agreement on any adjustments to reciprocity units.</w:t>
      </w:r>
    </w:p>
    <w:p>
      <w:pPr>
        <w:pStyle w:val="Heading2"/>
      </w:pPr>
      <w:r>
        <w:t>Section 6.9 — Lebanon-Only Exit</w:t>
      </w:r>
    </w:p>
    <w:p>
      <w:pPr>
        <w:spacing w:after="160" w:line="288" w:lineRule="auto"/>
      </w:pPr>
      <w:r>
        <w:rPr>
          <w:rFonts w:ascii="Cambria" w:hAnsi="Cambria"/>
          <w:color w:val="1D2D3F"/>
          <w:sz w:val="22"/>
        </w:rPr>
        <w:t>Notwithstanding the general exit provisions, either Party invokes a Lebanon-only exit by giving 14 days' notice to the Neutral Guarantor. Upon such notice, the Lebanon unit terminates, but all other articles and annexes remain in full force. The Party invoking the Lebanon-only exit retains full participation rights in the nuclear, maritime, and economic tracks. The Lebanon-only exit does not constitute a breach of the Compact.</w:t>
      </w:r>
    </w:p>
    <w:p>
      <w:pPr>
        <w:pStyle w:val="Heading2"/>
      </w:pPr>
      <w:r>
        <w:t>Section 6.10 — Rolling Compliance Scores</w:t>
      </w:r>
    </w:p>
    <w:p>
      <w:pPr>
        <w:spacing w:after="160" w:line="288" w:lineRule="auto"/>
      </w:pPr>
      <w:r>
        <w:rPr>
          <w:rFonts w:ascii="Cambria" w:hAnsi="Cambria"/>
          <w:color w:val="1D2D3F"/>
          <w:sz w:val="22"/>
        </w:rPr>
        <w:t>The Joint Coordination Center publishes weekly Compliance Scores for each Party on a 0-100 scale. Calculation: completed obligations divided by total due, multiplied by on-time rate, multiplied by no-prior-failures weight. A score below 60 for 90 consecutive days triggers automatic review by the Human-in-the-Loop Panel. A score below 40 for 30 days triggers pre-negotiated escalating consequences.</w:t>
      </w:r>
    </w:p>
    <w:p>
      <w:pPr>
        <w:sectPr>
          <w:type w:val="nextPage"/>
          <w:pgSz w:w="11906" w:h="16838"/>
          <w:pgMar w:top="1440" w:right="1440" w:bottom="1440" w:left="1440" w:header="720" w:footer="720"/>
        </w:sectPr>
      </w:pPr>
    </w:p>
    <w:p>
      <w:pPr>
        <w:pStyle w:val="Heading1"/>
      </w:pPr>
      <w:r>
        <w:t>Article VII: Crisis Protocols</w:t>
      </w:r>
    </w:p>
    <w:p>
      <w:pPr>
        <w:spacing w:after="160" w:line="288" w:lineRule="auto"/>
      </w:pPr>
      <w:r>
        <w:rPr>
          <w:rFonts w:ascii="Cambria" w:hAnsi="Cambria"/>
          <w:color w:val="1D2D3F"/>
          <w:sz w:val="22"/>
        </w:rPr>
        <w:t>This article establishes the safety architecture that protects the Compact when external shocks threaten to derail it. Every framework needs a safety valve for the moment things go badly wrong. This article provides multiple protocols — from the deep anchoring of macro-crises to the impact absorption of lesser shocks — each calibrated to the severity of the threat.</w:t>
      </w:r>
    </w:p>
    <w:p>
      <w:pPr>
        <w:pStyle w:val="Heading2"/>
      </w:pPr>
      <w:r>
        <w:t>Section 7.1 — Crisis Anchor Protocol</w:t>
      </w:r>
    </w:p>
    <w:p>
      <w:pPr>
        <w:spacing w:after="160" w:line="288" w:lineRule="auto"/>
      </w:pPr>
      <w:r>
        <w:rPr>
          <w:rFonts w:ascii="Cambria" w:hAnsi="Cambria"/>
          <w:color w:val="1D2D3F"/>
          <w:sz w:val="22"/>
        </w:rPr>
        <w:t>The Crisis Anchor Protocol activates when a macro-violation threatens the floor of the Compact itself rather than merely the current cycle. A macro-violation means: an assassination of a senior leader, a major offensive operation, a formal repudiation of the Compact, or any shock whose amplitude threatens the Forward Drift Archive. The Neutral Guarantor declares the Anchor the moment the trigger holds, and the declaration takes immediate effect across all processing trains.</w:t>
      </w:r>
    </w:p>
    <w:p>
      <w:pPr>
        <w:pStyle w:val="Heading3"/>
      </w:pPr>
      <w:r>
        <w:t>Storm Anchoring</w:t>
      </w:r>
    </w:p>
    <w:p>
      <w:pPr>
        <w:spacing w:after="160" w:line="288" w:lineRule="auto"/>
      </w:pPr>
      <w:r>
        <w:rPr>
          <w:rFonts w:ascii="Cambria" w:hAnsi="Cambria"/>
          <w:color w:val="1D2D3F"/>
          <w:sz w:val="22"/>
        </w:rPr>
        <w:t>The Crisis Anchor drops the system into a Deep Trough and anchors it through the storm. Three things happen at once: all upward motion freezes — the framework opens no Rise and executes no Crest; the Forward Drift Archive locks in place, so the crisis reaches none of the gains the Parties already secured; and the system shifts to emergency micro-cycles — short, low-amplitude pulses whose only purpose is to hold the communication lines open until the storm passes. A Deep Trough runs deeper and longer than an ordinary Trough, and it carries no agenda beyond contact.</w:t>
      </w:r>
    </w:p>
    <w:p>
      <w:pPr>
        <w:pStyle w:val="Heading3"/>
      </w:pPr>
      <w:r>
        <w:t>Exit from Crisis Anchor</w:t>
      </w:r>
    </w:p>
    <w:p>
      <w:pPr>
        <w:spacing w:after="160" w:line="288" w:lineRule="auto"/>
      </w:pPr>
      <w:r>
        <w:rPr>
          <w:rFonts w:ascii="Cambria" w:hAnsi="Cambria"/>
          <w:color w:val="1D2D3F"/>
          <w:sz w:val="22"/>
        </w:rPr>
        <w:t>The system leaves the Crisis Anchor on evidence, not on mood. When the Tension Index falls back below the exit line and holds there across a set count of micro-cycles, the Neutral Guarantor lifts the Anchor. The normal rhythm then resumes from the locked floor: the next ordinary Rise opens at the Drift level the Parties held when the storm hit. The crisis costs the Parties time and a frightening interval, and it costs them nothing on the Archive.</w:t>
      </w:r>
    </w:p>
    <w:p>
      <w:pPr>
        <w:pStyle w:val="Heading2"/>
      </w:pPr>
      <w:r>
        <w:t>Section 7.2 — Impact Absorption Zones</w:t>
      </w:r>
    </w:p>
    <w:p>
      <w:pPr>
        <w:spacing w:after="160" w:line="288" w:lineRule="auto"/>
      </w:pPr>
      <w:r>
        <w:rPr>
          <w:rFonts w:ascii="Cambria" w:hAnsi="Cambria"/>
          <w:color w:val="1D2D3F"/>
          <w:sz w:val="22"/>
        </w:rPr>
        <w:t>The Impact Absorption Zones are structural crumple zones built into the framework at specific stress points. Each zone is designed to deform in a controlled manner under impact, absorbing energy that would otherwise damage the core architecture. The framework deploys five absorption zones:</w:t>
      </w:r>
    </w:p>
    <w:p>
      <w:pPr>
        <w:spacing w:after="120" w:line="276" w:lineRule="auto"/>
        <w:ind w:left="720" w:hanging="360"/>
      </w:pPr>
      <w:r>
        <w:rPr>
          <w:rFonts w:ascii="Cambria" w:hAnsi="Cambria"/>
          <w:b/>
          <w:color w:val="1D2D3F"/>
          <w:sz w:val="22"/>
        </w:rPr>
        <w:t>• Zone Alpha (Nuclear) — </w:t>
      </w:r>
      <w:r>
        <w:rPr>
          <w:rFonts w:ascii="Cambria" w:hAnsi="Cambria"/>
          <w:color w:val="1D2D3F"/>
          <w:sz w:val="22"/>
        </w:rPr>
        <w:t>Absorbs enrichment monitoring disputes, IAEA access delays, and seal integrity questions. Deformation: extended verification timelines, intensified monitoring, technical working group activation.</w:t>
      </w:r>
    </w:p>
    <w:p>
      <w:pPr>
        <w:spacing w:after="120" w:line="276" w:lineRule="auto"/>
        <w:ind w:left="720" w:hanging="360"/>
      </w:pPr>
      <w:r>
        <w:rPr>
          <w:rFonts w:ascii="Cambria" w:hAnsi="Cambria"/>
          <w:b/>
          <w:color w:val="1D2D3F"/>
          <w:sz w:val="22"/>
        </w:rPr>
        <w:t>• Zone Beta (Maritime) — </w:t>
      </w:r>
      <w:r>
        <w:rPr>
          <w:rFonts w:ascii="Cambria" w:hAnsi="Cambria"/>
          <w:color w:val="1D2D3F"/>
          <w:sz w:val="22"/>
        </w:rPr>
        <w:t>Absorbs transit disputes, service-fee disagreements, and coastal-state-rights questions. Deformation: temporary escrow hold, neutral vessel escort, Joint Maritime Coordination Center expanded mandate.</w:t>
      </w:r>
    </w:p>
    <w:p>
      <w:pPr>
        <w:spacing w:after="120" w:line="276" w:lineRule="auto"/>
        <w:ind w:left="720" w:hanging="360"/>
      </w:pPr>
      <w:r>
        <w:rPr>
          <w:rFonts w:ascii="Cambria" w:hAnsi="Cambria"/>
          <w:b/>
          <w:color w:val="1D2D3F"/>
          <w:sz w:val="22"/>
        </w:rPr>
        <w:t>• Zone Gamma (Economic) — </w:t>
      </w:r>
      <w:r>
        <w:rPr>
          <w:rFonts w:ascii="Cambria" w:hAnsi="Cambria"/>
          <w:color w:val="1D2D3F"/>
          <w:sz w:val="22"/>
        </w:rPr>
        <w:t>Absorbs sanctions relief timing disputes, banking reconnection delays, and asset release disagreements. Deformation: phased relief adjustment, escrow buffer deployment, Swiss facilitation intensification.</w:t>
      </w:r>
    </w:p>
    <w:p>
      <w:pPr>
        <w:spacing w:after="120" w:line="276" w:lineRule="auto"/>
        <w:ind w:left="720" w:hanging="360"/>
      </w:pPr>
      <w:r>
        <w:rPr>
          <w:rFonts w:ascii="Cambria" w:hAnsi="Cambria"/>
          <w:b/>
          <w:color w:val="1D2D3F"/>
          <w:sz w:val="22"/>
        </w:rPr>
        <w:t>• Zone Delta (Humanitarian) — </w:t>
      </w:r>
      <w:r>
        <w:rPr>
          <w:rFonts w:ascii="Cambria" w:hAnsi="Cambria"/>
          <w:color w:val="1D2D3F"/>
          <w:sz w:val="22"/>
        </w:rPr>
        <w:t>Absorbs prisoner transfer delays, humanitarian access disputes, and civilian protection questions. Deformation: ICRC expanded role, alternative transfer routing, third-party humanitarian facilitation.</w:t>
      </w:r>
    </w:p>
    <w:p>
      <w:pPr>
        <w:spacing w:after="120" w:line="276" w:lineRule="auto"/>
        <w:ind w:left="720" w:hanging="360"/>
      </w:pPr>
      <w:r>
        <w:rPr>
          <w:rFonts w:ascii="Cambria" w:hAnsi="Cambria"/>
          <w:b/>
          <w:color w:val="1D2D3F"/>
          <w:sz w:val="22"/>
        </w:rPr>
        <w:t>• Zone Epsilon (Lebanon) — </w:t>
      </w:r>
      <w:r>
        <w:rPr>
          <w:rFonts w:ascii="Cambria" w:hAnsi="Cambria"/>
          <w:color w:val="1D2D3F"/>
          <w:sz w:val="22"/>
        </w:rPr>
        <w:t>Absorbs Lebanon front violations, Hezbollah action questions, and Israeli operation disputes. Deformation: firewall activation, standalone mediation, Oman-facilitated de-escalation channel engagement.</w:t>
      </w:r>
    </w:p>
    <w:p>
      <w:pPr>
        <w:pStyle w:val="Heading2"/>
      </w:pPr>
      <w:r>
        <w:t>Section 7.3 — Dispersal Protocol</w:t>
      </w:r>
    </w:p>
    <w:p>
      <w:pPr>
        <w:spacing w:after="160" w:line="288" w:lineRule="auto"/>
      </w:pPr>
      <w:r>
        <w:rPr>
          <w:rFonts w:ascii="Cambria" w:hAnsi="Cambria"/>
          <w:color w:val="1D2D3F"/>
          <w:sz w:val="22"/>
        </w:rPr>
        <w:t>The Dispersal Protocol provides rapid de-escalation when a sudden shock threatens to concentrate destructive energy at a single point. It works by rapidly and temporarily distributing active processes across multiple channels, so that no single point bears the full impact. When triggered, the Protocol: suspends all non-critical reciprocity units for 48 hours; activates all backup communication channels; disperses verification teams to pre-designated fallback positions; and maintains only the Continuous Verification Pulse and the Forward Drift Archive protection. After 48 hours, the system reconvenes at a pre-designated reassembly point and resumes normal operations from the protected floor.</w:t>
      </w:r>
    </w:p>
    <w:p>
      <w:pPr>
        <w:pStyle w:val="Heading2"/>
      </w:pPr>
      <w:r>
        <w:t>Section 7.4 — Missile Attack Protocol</w:t>
      </w:r>
    </w:p>
    <w:p>
      <w:pPr>
        <w:spacing w:after="160" w:line="288" w:lineRule="auto"/>
      </w:pPr>
      <w:r>
        <w:rPr>
          <w:rFonts w:ascii="Cambria" w:hAnsi="Cambria"/>
          <w:color w:val="1D2D3F"/>
          <w:sz w:val="22"/>
        </w:rPr>
        <w:t>This section states the protocol that activates if Israel conducts a missile attack on Iranian territory, facilities, or personnel. The framework treats such an attack as a distinct event from Compact compliance and establishes a verification and response mechanism that protects the Compact's integrity while acknowledging the reality of Israeli military action.</w:t>
      </w:r>
    </w:p>
    <w:p>
      <w:pPr>
        <w:pStyle w:val="Heading3"/>
      </w:pPr>
      <w:r>
        <w:t>Trigger and Verification</w:t>
      </w:r>
    </w:p>
    <w:p>
      <w:pPr>
        <w:spacing w:after="160" w:line="288" w:lineRule="auto"/>
      </w:pPr>
      <w:r>
        <w:rPr>
          <w:rFonts w:ascii="Cambria" w:hAnsi="Cambria"/>
          <w:color w:val="1D2D3F"/>
          <w:sz w:val="22"/>
        </w:rPr>
        <w:t>Within 2 hours of the attack, the Neutral Guarantor convenes an emergency verification session. The session reviews: satellite imagery of the impact sites; IAEA telemetry from any affected nuclear facility; radar tracks showing missile trajectories; and independent media reporting from the impact location. The verification session completes within 12 hours of the attack. Both Parties participate in the session.</w:t>
      </w:r>
    </w:p>
    <w:p>
      <w:pPr>
        <w:pStyle w:val="Heading3"/>
      </w:pPr>
      <w:r>
        <w:t>Relief Suspension</w:t>
      </w:r>
    </w:p>
    <w:p>
      <w:pPr>
        <w:spacing w:after="160" w:line="288" w:lineRule="auto"/>
      </w:pPr>
      <w:r>
        <w:rPr>
          <w:rFonts w:ascii="Cambria" w:hAnsi="Cambria"/>
          <w:color w:val="1D2D3F"/>
          <w:sz w:val="22"/>
        </w:rPr>
        <w:t>Upon confirmation of a verified missile attack, the following sanctions relief measures suspend automatically: no new asset releases from escrow occur during the suspension period; banking channel restoration pauses for 72 hours; and no new commercial licenses issue during the suspension period. The suspension does not affect: asset releases that already transferred before the attack; commercial transactions that already received license approval; humanitarian transactions; or Strait of Hormuz transit operations.</w:t>
      </w:r>
    </w:p>
    <w:p>
      <w:pPr>
        <w:pStyle w:val="Heading3"/>
      </w:pPr>
      <w:r>
        <w:t>Emergency Consultation</w:t>
      </w:r>
    </w:p>
    <w:p>
      <w:pPr>
        <w:spacing w:after="160" w:line="288" w:lineRule="auto"/>
      </w:pPr>
      <w:r>
        <w:rPr>
          <w:rFonts w:ascii="Cambria" w:hAnsi="Cambria"/>
          <w:color w:val="1D2D3F"/>
          <w:sz w:val="22"/>
        </w:rPr>
        <w:t>Within 24 hours of attack confirmation, the Parties convene an emergency consultation through the Neutral Guarantor. The consultation addresses: the status of Iranian nuclear facilities under IAEA monitoring; the safety and security of IAEA inspectors present at any affected site; the appropriate duration of sanctions relief suspension given the attack's scope and impact; and the conditions under which sanctions relief resumes. The consultation produces a written record that both Parties confirm.</w:t>
      </w:r>
    </w:p>
    <w:p>
      <w:pPr>
        <w:pStyle w:val="Heading3"/>
      </w:pPr>
      <w:r>
        <w:t>IAEA Inspector Safety Protocol</w:t>
      </w:r>
    </w:p>
    <w:p>
      <w:pPr>
        <w:spacing w:after="160" w:line="288" w:lineRule="auto"/>
      </w:pPr>
      <w:r>
        <w:rPr>
          <w:rFonts w:ascii="Cambria" w:hAnsi="Cambria"/>
          <w:color w:val="1D2D3F"/>
          <w:sz w:val="22"/>
        </w:rPr>
        <w:t>If a missile attack strikes or endangers an Iranian nuclear facility under IAEA monitoring, the following protocol activates: Iran immediately notifies the IAEA Director General and requests an emergency safety assessment; the IAEA determines within 6 hours whether inspector evacuation is necessary; if evacuation is necessary, Iran provides safe passage for IAEA personnel to a neutral location designated by the IAEA; the United States confirms through the Neutral Guarantor that no additional military action targets the evacuation route or the neutral location; and the IAEA Director General reports to both Parties and the Neutral Guarantor when inspector safety is restored.</w:t>
      </w:r>
    </w:p>
    <w:p>
      <w:pPr>
        <w:pStyle w:val="Heading3"/>
      </w:pPr>
      <w:r>
        <w:t>Compact Continuity</w:t>
      </w:r>
    </w:p>
    <w:p>
      <w:pPr>
        <w:spacing w:after="160" w:line="288" w:lineRule="auto"/>
      </w:pPr>
      <w:r>
        <w:rPr>
          <w:rFonts w:ascii="Cambria" w:hAnsi="Cambria"/>
          <w:color w:val="1D2D3F"/>
          <w:sz w:val="22"/>
        </w:rPr>
        <w:t>A missile attack does not automatically terminate this Compact. The firewalled-annex architecture applies. Specifically: Iranian nuclear material custody commitments continue unless Iran explicitly withdraws; Strait of Hormuz transit operations continue unless Iran explicitly closes the Strait; prisoner exchange commitments continue on their existing timeline; and humanitarian commitments continue without interruption. Either Party initiates a Clean Break Exit under Section 6.8 if the Party determines that the attack makes continued Compact participation untenable.</w:t>
      </w:r>
    </w:p>
    <w:p>
      <w:pPr>
        <w:pStyle w:val="Heading2"/>
      </w:pPr>
      <w:r>
        <w:t>Section 7.5 — Verified Unprovoked Attack Protocol</w:t>
      </w:r>
    </w:p>
    <w:p>
      <w:pPr>
        <w:spacing w:after="160" w:line="288" w:lineRule="auto"/>
      </w:pPr>
      <w:r>
        <w:rPr>
          <w:rFonts w:ascii="Cambria" w:hAnsi="Cambria"/>
          <w:color w:val="1D2D3F"/>
          <w:sz w:val="22"/>
        </w:rPr>
        <w:t>This Protocol establishes a factual notification and coordination mechanism for military actions that the verification architecture confirms as unprovoked. The Protocol operates independently of the Compact's core reciprocity units and creates no binding obligations on any State.</w:t>
      </w:r>
    </w:p>
    <w:p>
      <w:pPr>
        <w:pStyle w:val="Heading3"/>
      </w:pPr>
      <w:r>
        <w:t>Definition and Trigger</w:t>
      </w:r>
    </w:p>
    <w:p>
      <w:pPr>
        <w:spacing w:after="160" w:line="288" w:lineRule="auto"/>
      </w:pPr>
      <w:r>
        <w:rPr>
          <w:rFonts w:ascii="Cambria" w:hAnsi="Cambria"/>
          <w:color w:val="1D2D3F"/>
          <w:sz w:val="22"/>
        </w:rPr>
        <w:t>A verified unprovoked attack under this Compact means a military action by a regional state against a Party to this Compact or against Lebanese territory that the Human-in-the-Loop Review confirms was not a defensive or proportional response to an imminent threat. The Joint Coordination Center verifies such an action through at least three independent sources. The action additionally results in more than ten documented fatalities on either side, expands ground operations beyond a five-kilometer buffer zone, or involves three or more cross-border attacks within twenty-four hours.</w:t>
      </w:r>
    </w:p>
    <w:p>
      <w:pPr>
        <w:pStyle w:val="Heading3"/>
      </w:pPr>
      <w:r>
        <w:t>Notification Sequence</w:t>
      </w:r>
    </w:p>
    <w:p>
      <w:pPr>
        <w:spacing w:after="160" w:line="288" w:lineRule="auto"/>
      </w:pPr>
      <w:r>
        <w:rPr>
          <w:rFonts w:ascii="Cambria" w:hAnsi="Cambria"/>
          <w:color w:val="1D2D3F"/>
          <w:sz w:val="22"/>
        </w:rPr>
        <w:t>Upon a verified unprovoked attack: within 24 hours, the Neutral Guarantor issues a formal notification to all observers and to the international community through the United Nations; within 48 hours, the Neutral Guarantor publishes a confidential factual summary on the Swiss-hosted dashboard, citing the verified telemetry record, neutral observer reports, and any corroborating intelligence. The factual summary does not constitute a finding of breach. It serves exclusively as the evidentiary basis for third-party states to make their own sovereign determinations.</w:t>
      </w:r>
    </w:p>
    <w:p>
      <w:pPr>
        <w:pStyle w:val="Heading3"/>
      </w:pPr>
      <w:r>
        <w:t>No Binding Obligation</w:t>
      </w:r>
    </w:p>
    <w:p>
      <w:pPr>
        <w:spacing w:after="160" w:line="288" w:lineRule="auto"/>
      </w:pPr>
      <w:r>
        <w:rPr>
          <w:rFonts w:ascii="Cambria" w:hAnsi="Cambria"/>
          <w:color w:val="1D2D3F"/>
          <w:sz w:val="22"/>
        </w:rPr>
        <w:t>No State is obligated to participate in any response. All actions taken by States in response to a verified unprovoked attack are: voluntary and sovereign; independent decisions, not actions of the Compact or its signatories; and subject to each State's domestic legal and constitutional requirements.</w:t>
      </w:r>
    </w:p>
    <w:p>
      <w:pPr>
        <w:sectPr>
          <w:type w:val="nextPage"/>
          <w:pgSz w:w="11906" w:h="16838"/>
          <w:pgMar w:top="1440" w:right="1440" w:bottom="1440" w:left="1440" w:header="720" w:footer="720"/>
        </w:sectPr>
      </w:pPr>
    </w:p>
    <w:p>
      <w:pPr>
        <w:pStyle w:val="Heading1"/>
      </w:pPr>
      <w:r>
        <w:t>Article VIII: Neutral Guarantor and Governance</w:t>
      </w:r>
    </w:p>
    <w:p>
      <w:pPr>
        <w:spacing w:after="160" w:line="288" w:lineRule="auto"/>
      </w:pPr>
      <w:r>
        <w:rPr>
          <w:rFonts w:ascii="Cambria" w:hAnsi="Cambria"/>
          <w:color w:val="1D2D3F"/>
          <w:sz w:val="22"/>
        </w:rPr>
        <w:t>This article establishes the institutional framework for neutral third-party facilitation of this Compact. The governance architecture distributes authority deliberately so that neither the loss of a person nor the capture of one office stalls the process.</w:t>
      </w:r>
    </w:p>
    <w:p>
      <w:pPr>
        <w:pStyle w:val="Heading2"/>
      </w:pPr>
      <w:r>
        <w:t>Section 8.1 — Guarantor Selection</w:t>
      </w:r>
    </w:p>
    <w:p>
      <w:pPr>
        <w:spacing w:after="160" w:line="288" w:lineRule="auto"/>
      </w:pPr>
      <w:r>
        <w:rPr>
          <w:rFonts w:ascii="Cambria" w:hAnsi="Cambria"/>
          <w:color w:val="1D2D3F"/>
          <w:sz w:val="22"/>
        </w:rPr>
        <w:t>The Sultanate of Oman serves as the primary Neutral Guarantor. Oman hosts the Joint Coordination Center in Muscat, provides diplomatic backchannels, and facilitates all neutral verification activities. Oman accepts this role based on its history of constructive engagement with both Parties and its established credibility as a regional mediator.</w:t>
      </w:r>
    </w:p>
    <w:p>
      <w:pPr>
        <w:pStyle w:val="Heading2"/>
      </w:pPr>
      <w:r>
        <w:t>Section 8.2 — Guarantor Responsibilities</w:t>
      </w:r>
    </w:p>
    <w:p>
      <w:pPr>
        <w:spacing w:after="160" w:line="288" w:lineRule="auto"/>
      </w:pPr>
      <w:r>
        <w:rPr>
          <w:rFonts w:ascii="Cambria" w:hAnsi="Cambria"/>
          <w:color w:val="1D2D3F"/>
          <w:sz w:val="22"/>
        </w:rPr>
        <w:t>The Neutral Guarantor performs the following functions: operates the Joint Coordination Center; deploys and manages verification teams; holds escrow accounts for transit fees and asset releases; convenes the Human-in-the-Loop Review Panel; maintains secure communication channels between the Parties; publishes monthly public reports on Compact implementation status; administers the Sounding Exchange protocol; and calculates the Stability Coefficient.</w:t>
      </w:r>
    </w:p>
    <w:p>
      <w:pPr>
        <w:pStyle w:val="Heading2"/>
      </w:pPr>
      <w:r>
        <w:t>Section 8.3 — Secondary Guarantors</w:t>
      </w:r>
    </w:p>
    <w:p>
      <w:pPr>
        <w:spacing w:after="160" w:line="288" w:lineRule="auto"/>
      </w:pPr>
      <w:r>
        <w:rPr>
          <w:rFonts w:ascii="Cambria" w:hAnsi="Cambria"/>
          <w:color w:val="1D2D3F"/>
          <w:sz w:val="22"/>
        </w:rPr>
        <w:t>The Parties jointly invite Qatar and Switzerland to serve as secondary guarantors. Qatar provides additional regional diplomatic support and hosts emergency meetings. Switzerland manages financial escrow accounts, hosts the digital dashboard described in Article V, and provides legal expertise for sanctions relief implementation.</w:t>
      </w:r>
    </w:p>
    <w:p>
      <w:pPr>
        <w:pStyle w:val="Heading2"/>
      </w:pPr>
      <w:r>
        <w:t>Section 8.4 — Guarantor Replacement</w:t>
      </w:r>
    </w:p>
    <w:p>
      <w:pPr>
        <w:spacing w:after="160" w:line="288" w:lineRule="auto"/>
      </w:pPr>
      <w:r>
        <w:rPr>
          <w:rFonts w:ascii="Cambria" w:hAnsi="Cambria"/>
          <w:color w:val="1D2D3F"/>
          <w:sz w:val="22"/>
        </w:rPr>
        <w:t>Either Party proposes replacement of a guarantor by submitting written justification to the Joint Coordination Center. Replacement requires mutual consent. The Parties complete any transition to a replacement guarantor within 30 days to prevent operational gaps.</w:t>
      </w:r>
    </w:p>
    <w:p>
      <w:pPr>
        <w:pStyle w:val="Heading2"/>
      </w:pPr>
      <w:r>
        <w:t>Section 8.5 — Human-in-the-Loop Review Panel</w:t>
      </w:r>
    </w:p>
    <w:p>
      <w:pPr>
        <w:spacing w:after="160" w:line="288" w:lineRule="auto"/>
      </w:pPr>
      <w:r>
        <w:rPr>
          <w:rFonts w:ascii="Cambria" w:hAnsi="Cambria"/>
          <w:color w:val="1D2D3F"/>
          <w:sz w:val="22"/>
        </w:rPr>
        <w:t>The Human-in-the-Loop Review Panel comprises five members: one representative appointed by the United States, one representative appointed by Iran, and three neutral members appointed by the Neutral Guarantor from nations acceptable to both Parties. The neutral members include one legal expert, one technical expert, and one diplomatic expert.</w:t>
      </w:r>
    </w:p>
    <w:p>
      <w:pPr>
        <w:pStyle w:val="Heading3"/>
      </w:pPr>
      <w:r>
        <w:t>Review Process</w:t>
      </w:r>
    </w:p>
    <w:p>
      <w:pPr>
        <w:spacing w:after="160" w:line="288" w:lineRule="auto"/>
      </w:pPr>
      <w:r>
        <w:rPr>
          <w:rFonts w:ascii="Cambria" w:hAnsi="Cambria"/>
          <w:color w:val="1D2D3F"/>
          <w:sz w:val="22"/>
        </w:rPr>
        <w:t>Upon referral from the Joint Coordination Center, the Review Panel convenes within 72 hours. The Panel examines all telemetry data, hears presentations from both Parties, and issues a binding determination within 10 days. The determination identifies the factual status of the dispute, classifies the concern under the graduated scale in Article VI, and prescribes the proportional response.</w:t>
      </w:r>
    </w:p>
    <w:p>
      <w:pPr>
        <w:pStyle w:val="Heading3"/>
      </w:pPr>
      <w:r>
        <w:t>Emergency Review</w:t>
      </w:r>
    </w:p>
    <w:p>
      <w:pPr>
        <w:spacing w:after="160" w:line="288" w:lineRule="auto"/>
      </w:pPr>
      <w:r>
        <w:rPr>
          <w:rFonts w:ascii="Cambria" w:hAnsi="Cambria"/>
          <w:color w:val="1D2D3F"/>
          <w:sz w:val="22"/>
        </w:rPr>
        <w:t>Either Party triggers an emergency review by providing credible evidence of an imminent threat to regional security or Compact integrity. Emergency reviews convene within 24 hours. The Panel possesses authority to order immediate temporary measures pending full review.</w:t>
      </w:r>
    </w:p>
    <w:p>
      <w:pPr>
        <w:pStyle w:val="Heading3"/>
      </w:pPr>
      <w:r>
        <w:t>Binding Nature</w:t>
      </w:r>
    </w:p>
    <w:p>
      <w:pPr>
        <w:spacing w:after="160" w:line="288" w:lineRule="auto"/>
      </w:pPr>
      <w:r>
        <w:rPr>
          <w:rFonts w:ascii="Cambria" w:hAnsi="Cambria"/>
          <w:color w:val="1D2D3F"/>
          <w:sz w:val="22"/>
        </w:rPr>
        <w:t>All parties to this Compact accept the determinations of the Review Panel as binding. Either Party holds the right to appeal a determination to the full Compact Council — comprising senior representatives from both Parties and the Neutral Guarantor — within 7 days. The Council renders a final decision within 14 days of appeal.</w:t>
      </w:r>
    </w:p>
    <w:p>
      <w:pPr>
        <w:pStyle w:val="Heading2"/>
      </w:pPr>
      <w:r>
        <w:t>Section 8.6 — Weak Links Architecture</w:t>
      </w:r>
    </w:p>
    <w:p>
      <w:pPr>
        <w:spacing w:after="160" w:line="288" w:lineRule="auto"/>
      </w:pPr>
      <w:r>
        <w:rPr>
          <w:rFonts w:ascii="Cambria" w:hAnsi="Cambria"/>
          <w:color w:val="1D2D3F"/>
          <w:sz w:val="22"/>
        </w:rPr>
        <w:t>The Weak Links are flexible, low-frequency connections between operational clusters that preserve local autonomy while preventing isolation. Strong links — permanent joint councils, mandatory reporting lines, shared budgets — create dependency. When one cluster weakens, its strong partners weaken too. Weak links — occasional joint councils, shared resource pools, rotating liaison roles — preserve autonomy while maintaining connectivity.</w:t>
      </w:r>
    </w:p>
    <w:p>
      <w:pPr>
        <w:spacing w:after="160" w:line="288" w:lineRule="auto"/>
      </w:pPr>
      <w:r>
        <w:rPr>
          <w:rFonts w:ascii="Cambria" w:hAnsi="Cambria"/>
          <w:color w:val="1D2D3F"/>
          <w:sz w:val="22"/>
        </w:rPr>
        <w:t>Weak link activation follows a simple protocol. Any operational cluster proposes a link to any other cluster. The receiving cluster accepts or declines. Accepted links register in the Link Registry maintained by the Joint Coordination Center. A typical weak link includes: one joint council meeting per quarter, mutual notification of decisions that affect the other cluster, and access to a shared mediator pool.</w:t>
      </w:r>
    </w:p>
    <w:p>
      <w:pPr>
        <w:pStyle w:val="Heading2"/>
      </w:pPr>
      <w:r>
        <w:t>Section 8.7 — Trusted Liaison Network</w:t>
      </w:r>
    </w:p>
    <w:p>
      <w:pPr>
        <w:spacing w:after="160" w:line="288" w:lineRule="auto"/>
      </w:pPr>
      <w:r>
        <w:rPr>
          <w:rFonts w:ascii="Cambria" w:hAnsi="Cambria"/>
          <w:color w:val="1D2D3F"/>
          <w:sz w:val="22"/>
        </w:rPr>
        <w:t>The Trusted Liaison Network consists of extremely low-profile, high-trust individuals who move between operational clusters without formal title, budget, or public recognition. These individuals provide a parallel, uncapturable channel for sense-making and coordination. Their only power is accurate information and trusted relationships.</w:t>
      </w:r>
    </w:p>
    <w:p>
      <w:pPr>
        <w:spacing w:after="160" w:line="288" w:lineRule="auto"/>
      </w:pPr>
      <w:r>
        <w:rPr>
          <w:rFonts w:ascii="Cambria" w:hAnsi="Cambria"/>
          <w:color w:val="1D2D3F"/>
          <w:sz w:val="22"/>
        </w:rPr>
        <w:t>Liaisons are selected through mutual-exclusion protocols: each Party eliminates names from a standing roster until only mutually acceptable candidates remain. Liaisons operate under zero-knowledge verification: they confirm that communication occurred without revealing content, timing, or participants. Liaison identity is known only to the Neutral Guarantor and the appointing Party.</w:t>
      </w:r>
    </w:p>
    <w:p>
      <w:pPr>
        <w:pStyle w:val="Heading2"/>
      </w:pPr>
      <w:r>
        <w:t>Section 8.8 — Cold Data Reserve</w:t>
      </w:r>
    </w:p>
    <w:p>
      <w:pPr>
        <w:spacing w:after="160" w:line="288" w:lineRule="auto"/>
      </w:pPr>
      <w:r>
        <w:rPr>
          <w:rFonts w:ascii="Cambria" w:hAnsi="Cambria"/>
          <w:color w:val="1D2D3F"/>
          <w:sz w:val="22"/>
        </w:rPr>
        <w:t>The Cold Data Reserve is an immutable, multi-copy, cryptographically secured log of all framework decisions, verification outcomes, and compliance determinations. It serves as the framework's permanent memory — the record that survives political transitions, leadership changes, and institutional disruptions.</w:t>
      </w:r>
    </w:p>
    <w:p>
      <w:pPr>
        <w:spacing w:after="160" w:line="288" w:lineRule="auto"/>
      </w:pPr>
      <w:r>
        <w:rPr>
          <w:rFonts w:ascii="Cambria" w:hAnsi="Cambria"/>
          <w:color w:val="1D2D3F"/>
          <w:sz w:val="22"/>
        </w:rPr>
        <w:t>The Reserve maintains four synchronized copies: one with each Party, one with the Neutral Guarantor, and one with Switzerland. The distributed copies place the record beyond the control of any single Party, so no actor rewrites history and the Reserve survives the loss of any single copy. All entries are cryptographically signed by multiple witnesses and timestamped by a blockchain anchoring protocol. The Reserve operates append-only: the framework excludes deletion or revision of any recorded entry.</w:t>
      </w:r>
    </w:p>
    <w:p>
      <w:pPr>
        <w:sectPr>
          <w:type w:val="nextPage"/>
          <w:pgSz w:w="11906" w:h="16838"/>
          <w:pgMar w:top="1440" w:right="1440" w:bottom="1440" w:left="1440" w:header="720" w:footer="720"/>
        </w:sectPr>
      </w:pPr>
    </w:p>
    <w:p>
      <w:pPr>
        <w:pStyle w:val="Heading1"/>
      </w:pPr>
      <w:r>
        <w:t>Article IX: Public Architecture and Domestic Framing</w:t>
      </w:r>
    </w:p>
    <w:p>
      <w:pPr>
        <w:spacing w:after="160" w:line="288" w:lineRule="auto"/>
      </w:pPr>
      <w:r>
        <w:rPr>
          <w:rFonts w:ascii="Cambria" w:hAnsi="Cambria"/>
          <w:color w:val="1D2D3F"/>
          <w:sz w:val="22"/>
        </w:rPr>
        <w:t>This article establishes the principle that each Party secures demonstrable, near-term wins for its own public, and it anchors the detailed messaging mechanics that the Public Messaging Annex carries. The article states the governing principle; the annexes operate it.</w:t>
      </w:r>
    </w:p>
    <w:p>
      <w:pPr>
        <w:pStyle w:val="Heading2"/>
      </w:pPr>
      <w:r>
        <w:t>Section 9.1 — Reciprocal Public Wins</w:t>
      </w:r>
    </w:p>
    <w:p>
      <w:pPr>
        <w:spacing w:after="160" w:line="288" w:lineRule="auto"/>
      </w:pPr>
      <w:r>
        <w:rPr>
          <w:rFonts w:ascii="Cambria" w:hAnsi="Cambria"/>
          <w:color w:val="1D2D3F"/>
          <w:sz w:val="22"/>
        </w:rPr>
        <w:t>Each phase delivers a concrete, verifiable win to each Party at the same moment, so that neither Party faces its public empty-handed. The Day 1 ceasefire, the Strait reopening, the humanitarian release, and the prisoner exchange supply the immediate wins. The verified-milestone asset unlocks and the calibrated sanctions relief supply the sustained wins. Each win pairs with a reciprocal win for the other Party under the Synchronized Reciprocal Motion principle.</w:t>
      </w:r>
    </w:p>
    <w:p>
      <w:pPr>
        <w:pStyle w:val="Heading3"/>
      </w:pPr>
      <w:r>
        <w:t>Transparency Win</w:t>
      </w:r>
    </w:p>
    <w:p>
      <w:pPr>
        <w:spacing w:after="160" w:line="288" w:lineRule="auto"/>
      </w:pPr>
      <w:r>
        <w:rPr>
          <w:rFonts w:ascii="Cambria" w:hAnsi="Cambria"/>
          <w:color w:val="1D2D3F"/>
          <w:sz w:val="22"/>
        </w:rPr>
        <w:t>Both Parties benefit from the Public Transparency Layer and Quarterly Public Accountability Report. The relevant Party demonstrates its commitment to verified transparency, countering accusations of concealment. The United States demonstrates its commitment to accountability and international law. Both Parties share the factual record equally. The transparency architecture creates public confidence in the verification process without compromising operational security.</w:t>
      </w:r>
    </w:p>
    <w:p>
      <w:pPr>
        <w:pStyle w:val="Heading3"/>
      </w:pPr>
      <w:r>
        <w:t>Economic Win</w:t>
      </w:r>
    </w:p>
    <w:p>
      <w:pPr>
        <w:spacing w:after="160" w:line="288" w:lineRule="auto"/>
      </w:pPr>
      <w:r>
        <w:rPr>
          <w:rFonts w:ascii="Cambria" w:hAnsi="Cambria"/>
          <w:color w:val="1D2D3F"/>
          <w:sz w:val="22"/>
        </w:rPr>
        <w:t>Both Parties benefit economically from the Compact's implementation. The United States benefits from stabilized energy prices, reduced military spending, and resumed commercial shipping through the Strait. Iran benefits from released frozen assets, restored banking access, and resumed commercial transactions. The Neutral Guarantor's Economic Impact Report documents these benefits objectively.</w:t>
      </w:r>
    </w:p>
    <w:p>
      <w:pPr>
        <w:pStyle w:val="Heading2"/>
      </w:pPr>
      <w:r>
        <w:t>Section 9.2 — Domestic Framing Autonomy in Practice</w:t>
      </w:r>
    </w:p>
    <w:p>
      <w:pPr>
        <w:spacing w:after="160" w:line="288" w:lineRule="auto"/>
      </w:pPr>
      <w:r>
        <w:rPr>
          <w:rFonts w:ascii="Cambria" w:hAnsi="Cambria"/>
          <w:color w:val="1D2D3F"/>
          <w:sz w:val="22"/>
        </w:rPr>
        <w:t>Each Party characterizes the Compact to its own public in its own terms, consistent with the Domestic Framing Autonomy principle. The framework supplies a shared factual floor, and the two narratives rest on that floor. The architecture excludes any official characterization that contradicts the shared factual floor or that depicts the other Party's commitments as a surrender.</w:t>
      </w:r>
    </w:p>
    <w:p>
      <w:pPr>
        <w:pStyle w:val="Heading2"/>
      </w:pPr>
      <w:r>
        <w:t>Section 9.3 — Messaging Mechanics by Reference</w:t>
      </w:r>
    </w:p>
    <w:p>
      <w:pPr>
        <w:spacing w:after="160" w:line="288" w:lineRule="auto"/>
      </w:pPr>
      <w:r>
        <w:rPr>
          <w:rFonts w:ascii="Cambria" w:hAnsi="Cambria"/>
          <w:color w:val="1D2D3F"/>
          <w:sz w:val="22"/>
        </w:rPr>
        <w:t>The operative messaging instruments reside in Annex G, which carries the public statements, talking points, and response frameworks. This article incorporates those instruments by reference and adds no separate messaging text, which keeps the entire messaging architecture in one location.</w:t>
      </w:r>
    </w:p>
    <w:p>
      <w:pPr>
        <w:sectPr>
          <w:type w:val="nextPage"/>
          <w:pgSz w:w="11906" w:h="16838"/>
          <w:pgMar w:top="1440" w:right="1440" w:bottom="1440" w:left="1440" w:header="720" w:footer="720"/>
        </w:sectPr>
      </w:pPr>
    </w:p>
    <w:p>
      <w:pPr>
        <w:pStyle w:val="Heading1"/>
      </w:pPr>
      <w:r>
        <w:t>Article X: Prisoner Exchange and Humanitarian Protocol</w:t>
      </w:r>
    </w:p>
    <w:p>
      <w:pPr>
        <w:spacing w:after="160" w:line="288" w:lineRule="auto"/>
      </w:pPr>
      <w:r>
        <w:rPr>
          <w:rFonts w:ascii="Cambria" w:hAnsi="Cambria"/>
          <w:color w:val="1D2D3F"/>
          <w:sz w:val="22"/>
        </w:rPr>
        <w:t>This article addresses the timing, sequencing, and political framing of prisoner releases and humanitarian measures. Even with deferred nuclear steps, the order of prisoner releases matters politically. Neither side releases too early, too late, or in a manner that loses leverage or domestic political credit.</w:t>
      </w:r>
    </w:p>
    <w:p>
      <w:pPr>
        <w:pStyle w:val="Heading2"/>
      </w:pPr>
      <w:r>
        <w:t>Section 10.1 — Two-Stage Exchange Protocol</w:t>
      </w:r>
    </w:p>
    <w:p>
      <w:pPr>
        <w:spacing w:after="160" w:line="288" w:lineRule="auto"/>
      </w:pPr>
      <w:r>
        <w:rPr>
          <w:rFonts w:ascii="Cambria" w:hAnsi="Cambria"/>
          <w:color w:val="1D2D3F"/>
          <w:sz w:val="22"/>
        </w:rPr>
        <w:t>The prisoner exchange proceeds in two stages. Stage One is symbolic and immediate. Stage Two ties to the Phase Three trigger. This sequencing gives both sides an early humanitarian win while preserving leverage for the critical transition period.</w:t>
      </w:r>
    </w:p>
    <w:p>
      <w:pPr>
        <w:pStyle w:val="Heading3"/>
      </w:pPr>
      <w:r>
        <w:t>Stage One: Symbolic Exchange (Days 1-3)</w:t>
      </w:r>
    </w:p>
    <w:p>
      <w:pPr>
        <w:spacing w:after="160" w:line="288" w:lineRule="auto"/>
      </w:pPr>
      <w:r>
        <w:rPr>
          <w:rFonts w:ascii="Cambria" w:hAnsi="Cambria"/>
          <w:color w:val="1D2D3F"/>
          <w:sz w:val="22"/>
        </w:rPr>
        <w:t>Within 72 hours of signature, both Parties exchange a symbolic tranche of prisoners and civilian detainees. This tranche comprises: detainees with serious medical conditions, detainees over the age of 60, and detainees held longest receive priority. The International Committee of the Red Cross identifies priority cases based on established humanitarian criteria.</w:t>
      </w:r>
    </w:p>
    <w:p>
      <w:pPr>
        <w:spacing w:after="160" w:line="288" w:lineRule="auto"/>
      </w:pPr>
      <w:r>
        <w:rPr>
          <w:rFonts w:ascii="Cambria" w:hAnsi="Cambria"/>
          <w:color w:val="1D2D3F"/>
          <w:sz w:val="22"/>
        </w:rPr>
        <w:t>Stage One releases up to 20 detainees from each side, or the total number of detainees if fewer than 20 are held. The exact number and identities remain confidential until the physical transfer is complete. Neither side announces names before transfer.</w:t>
      </w:r>
    </w:p>
    <w:p>
      <w:pPr>
        <w:spacing w:after="160" w:line="288" w:lineRule="auto"/>
      </w:pPr>
      <w:r>
        <w:rPr>
          <w:rFonts w:ascii="Cambria" w:hAnsi="Cambria"/>
          <w:color w:val="1D2D3F"/>
          <w:sz w:val="22"/>
        </w:rPr>
        <w:t>The Neutral Guarantor facilitates the physical transfer at a neutral location designated by mutual agreement. ICRC witnesses the transfer and certifies completion on the Swiss-hosted dashboard. The transfer occurs simultaneously: neither side releases before the other.</w:t>
      </w:r>
    </w:p>
    <w:p>
      <w:pPr>
        <w:spacing w:after="160" w:line="288" w:lineRule="auto"/>
      </w:pPr>
      <w:r>
        <w:rPr>
          <w:rFonts w:ascii="Cambria" w:hAnsi="Cambria"/>
          <w:color w:val="1D2D3F"/>
          <w:sz w:val="22"/>
        </w:rPr>
        <w:t>Both sides describe Stage One as a humanitarian gesture, not a concession. Iran frames it as Iran's humanitarian initiative, matched simultaneously by the United States. The United States frames it as American humanitarian leadership, matched simultaneously by Iran. The simultaneous nature is the narrative.</w:t>
      </w:r>
    </w:p>
    <w:p>
      <w:pPr>
        <w:pStyle w:val="Heading3"/>
      </w:pPr>
      <w:r>
        <w:t>Stage Two: Full Exchange (Tied to Phase Three Trigger)</w:t>
      </w:r>
    </w:p>
    <w:p>
      <w:pPr>
        <w:spacing w:after="160" w:line="288" w:lineRule="auto"/>
      </w:pPr>
      <w:r>
        <w:rPr>
          <w:rFonts w:ascii="Cambria" w:hAnsi="Cambria"/>
          <w:color w:val="1D2D3F"/>
          <w:sz w:val="22"/>
        </w:rPr>
        <w:t>Upon activation of the Phase Three trigger described in Article IV, both Parties exchange all remaining prisoners and civilian detainees held in connection with the current conflict. The Neutral Guarantor verifies the complete roster of remaining detainees from both sides within 48 hours of trigger activation. The ICRC confirms the location and condition of all listed individuals.</w:t>
      </w:r>
    </w:p>
    <w:p>
      <w:pPr>
        <w:spacing w:after="160" w:line="288" w:lineRule="auto"/>
      </w:pPr>
      <w:r>
        <w:rPr>
          <w:rFonts w:ascii="Cambria" w:hAnsi="Cambria"/>
          <w:color w:val="1D2D3F"/>
          <w:sz w:val="22"/>
        </w:rPr>
        <w:t>All remaining detainees transfer at the same neutral location used for Stage One, or at an alternative location designated by mutual agreement. The transfer completes within 72 hours of roster verification. Both sides release their detainees at the same moment, witnessed by the ICRC and verified on the Swiss-hosted dashboard. Neither side releases before the other. The simultaneous release is the political protection.</w:t>
      </w:r>
    </w:p>
    <w:p>
      <w:pPr>
        <w:pStyle w:val="Heading2"/>
      </w:pPr>
      <w:r>
        <w:t>Section 10.2 — Humanitarian Messaging</w:t>
      </w:r>
    </w:p>
    <w:p>
      <w:pPr>
        <w:pStyle w:val="Heading3"/>
      </w:pPr>
      <w:r>
        <w:t>Iran's Humanitarian Narrative</w:t>
      </w:r>
    </w:p>
    <w:p>
      <w:pPr>
        <w:spacing w:after="160" w:line="288" w:lineRule="auto"/>
      </w:pPr>
      <w:r>
        <w:rPr>
          <w:rFonts w:ascii="Cambria" w:hAnsi="Cambria"/>
          <w:color w:val="1D2D3F"/>
          <w:sz w:val="22"/>
        </w:rPr>
        <w:t>Iran frames the humanitarian provisions as follows: frozen Iranian assets, illegally withheld for years, now flow to Iranian hospitals, pharmacies, and food security programs. This is not American charity. This is the restoration of what was always Iran's. Iranian citizens unjustly detained abroad return home. Iran negotiated their release from strength, not weakness. Every Iranian released corresponds to a simultaneous release by the other side. The bombing stops. Iranian civilians are safe. Iranian infrastructure is no longer under threat.</w:t>
      </w:r>
    </w:p>
    <w:p>
      <w:pPr>
        <w:pStyle w:val="Heading3"/>
      </w:pPr>
      <w:r>
        <w:t>United States Humanitarian Narrative</w:t>
      </w:r>
    </w:p>
    <w:p>
      <w:pPr>
        <w:spacing w:after="160" w:line="288" w:lineRule="auto"/>
      </w:pPr>
      <w:r>
        <w:rPr>
          <w:rFonts w:ascii="Cambria" w:hAnsi="Cambria"/>
          <w:color w:val="1D2D3F"/>
          <w:sz w:val="22"/>
        </w:rPr>
        <w:t>The United States frames the humanitarian provisions as follows: humanitarian funds for medicine and food reach the Iranian people directly. These are not payments to the Iranian government. These are humanitarian goods for ordinary Iranians who are not our enemy. American citizens and allies unjustly detained in Iran come home. This exchange is simultaneous and reciprocal, not a concession. The United States secures release through diplomatic strength. American forces are no longer at risk of Iranian retaliation. The region stabilizes. American diplomatic leadership achieves what military escalation could not.</w:t>
      </w:r>
    </w:p>
    <w:p>
      <w:pPr>
        <w:pStyle w:val="Heading2"/>
      </w:pPr>
      <w:r>
        <w:t>Section 10.3 — Humanitarian Firewall</w:t>
      </w:r>
    </w:p>
    <w:p>
      <w:pPr>
        <w:spacing w:after="160" w:line="288" w:lineRule="auto"/>
      </w:pPr>
      <w:r>
        <w:rPr>
          <w:rFonts w:ascii="Cambria" w:hAnsi="Cambria"/>
          <w:color w:val="1D2D3F"/>
          <w:sz w:val="22"/>
        </w:rPr>
        <w:t>Humanitarian provisions operate under an absolute firewall. No Step-Back, no compliance dispute, and no political disagreement affects humanitarian flows once released. The firewall protects the following: funds already disbursed from the humanitarian tranche and any subsequent humanitarian releases are not subject to clawback, freezing, or reversal; commercial vessels carrying humanitarian goods transit the Strait of Hormuz with zero toll and zero inspection delay regardless of Compact status; prisoners already transferred through Stage One or Stage Two exchanges are not subject to recall, reversal, or re-detention; and medical and food security programs funded by released humanitarian tranches continue regardless of any Step-Back, dispute, or withdrawal. The humanitarian firewall is absolute and non-waivable.</w:t>
      </w:r>
    </w:p>
    <w:p>
      <w:pPr>
        <w:pStyle w:val="Heading2"/>
      </w:pPr>
      <w:r>
        <w:t>Section 10.4 — Trust-Building Menu</w:t>
      </w:r>
    </w:p>
    <w:p>
      <w:pPr>
        <w:spacing w:after="160" w:line="288" w:lineRule="auto"/>
      </w:pPr>
      <w:r>
        <w:rPr>
          <w:rFonts w:ascii="Cambria" w:hAnsi="Cambria"/>
          <w:color w:val="1D2D3F"/>
          <w:sz w:val="22"/>
        </w:rPr>
        <w:t>In addition to the formal exchange protocol, the framework provides optional, low-cost confidence measures that Parties select before the formal sequence begins. These measures are non-binding. Failure does not trigger corrective action or any penalty. Success is logged in the Cold Data Reserve as a positive trust signal.</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gridCol/>
      </w:tblGrid>
      <w:tr>
        <w:tc>
          <w:tcPr>
            <w:shd w:val="clear" w:fill="E8EEF2"/>
          </w:tcPr>
          <w:p>
            <w:pPr>
              <w:spacing w:before="60" w:after="60"/>
            </w:pPr>
            <w:r>
              <w:rPr>
                <w:rFonts w:ascii="Cambria" w:hAnsi="Cambria"/>
                <w:b/>
                <w:color w:val="1D2D3F"/>
                <w:sz w:val="20"/>
              </w:rPr>
              <w:t>Measure</w:t>
            </w:r>
          </w:p>
        </w:tc>
        <w:tc>
          <w:tcPr>
            <w:shd w:val="clear" w:fill="E8EEF2"/>
          </w:tcPr>
          <w:p>
            <w:pPr>
              <w:spacing w:before="60" w:after="60"/>
            </w:pPr>
            <w:r>
              <w:rPr>
                <w:rFonts w:ascii="Cambria" w:hAnsi="Cambria"/>
                <w:b/>
                <w:color w:val="1D2D3F"/>
                <w:sz w:val="20"/>
              </w:rPr>
              <w:t>Action</w:t>
            </w:r>
          </w:p>
        </w:tc>
        <w:tc>
          <w:tcPr>
            <w:shd w:val="clear" w:fill="E8EEF2"/>
          </w:tcPr>
          <w:p>
            <w:pPr>
              <w:spacing w:before="60" w:after="60"/>
            </w:pPr>
            <w:r>
              <w:rPr>
                <w:rFonts w:ascii="Cambria" w:hAnsi="Cambria"/>
                <w:b/>
                <w:color w:val="1D2D3F"/>
                <w:sz w:val="20"/>
              </w:rPr>
              <w:t>Verification</w:t>
            </w:r>
          </w:p>
        </w:tc>
        <w:tc>
          <w:tcPr>
            <w:shd w:val="clear" w:fill="E8EEF2"/>
          </w:tcPr>
          <w:p>
            <w:pPr>
              <w:spacing w:before="60" w:after="60"/>
            </w:pPr>
            <w:r>
              <w:rPr>
                <w:rFonts w:ascii="Cambria" w:hAnsi="Cambria"/>
                <w:b/>
                <w:color w:val="1D2D3F"/>
                <w:sz w:val="20"/>
              </w:rPr>
              <w:t>Duration</w:t>
            </w:r>
          </w:p>
        </w:tc>
      </w:tr>
      <w:tr>
        <w:tc>
          <w:tcPr/>
          <w:p>
            <w:pPr>
              <w:spacing w:before="60" w:after="60"/>
            </w:pPr>
            <w:r>
              <w:rPr>
                <w:rFonts w:ascii="Cambria" w:hAnsi="Cambria"/>
                <w:color w:val="1D2D3F"/>
                <w:sz w:val="20"/>
              </w:rPr>
              <w:t>TBM-1</w:t>
            </w:r>
          </w:p>
        </w:tc>
        <w:tc>
          <w:tcPr/>
          <w:p>
            <w:pPr>
              <w:spacing w:before="60" w:after="60"/>
            </w:pPr>
            <w:r>
              <w:rPr>
                <w:rFonts w:ascii="Cambria" w:hAnsi="Cambria"/>
                <w:color w:val="1D2D3F"/>
                <w:sz w:val="20"/>
              </w:rPr>
              <w:t>Symbolic prisoner release (up to 10 each)</w:t>
            </w:r>
          </w:p>
        </w:tc>
        <w:tc>
          <w:tcPr/>
          <w:p>
            <w:pPr>
              <w:spacing w:before="60" w:after="60"/>
            </w:pPr>
            <w:r>
              <w:rPr>
                <w:rFonts w:ascii="Cambria" w:hAnsi="Cambria"/>
                <w:color w:val="1D2D3F"/>
                <w:sz w:val="20"/>
              </w:rPr>
              <w:t>ICRC or equivalent</w:t>
            </w:r>
          </w:p>
        </w:tc>
        <w:tc>
          <w:tcPr/>
          <w:p>
            <w:pPr>
              <w:spacing w:before="60" w:after="60"/>
            </w:pPr>
            <w:r>
              <w:rPr>
                <w:rFonts w:ascii="Cambria" w:hAnsi="Cambria"/>
                <w:color w:val="1D2D3F"/>
                <w:sz w:val="20"/>
              </w:rPr>
              <w:t>30 days</w:t>
            </w:r>
          </w:p>
        </w:tc>
      </w:tr>
      <w:tr>
        <w:tc>
          <w:tcPr/>
          <w:p>
            <w:pPr>
              <w:spacing w:before="60" w:after="60"/>
            </w:pPr>
            <w:r>
              <w:rPr>
                <w:rFonts w:ascii="Cambria" w:hAnsi="Cambria"/>
                <w:color w:val="1D2D3F"/>
                <w:sz w:val="20"/>
              </w:rPr>
              <w:t>TBM-2</w:t>
            </w:r>
          </w:p>
        </w:tc>
        <w:tc>
          <w:tcPr/>
          <w:p>
            <w:pPr>
              <w:spacing w:before="60" w:after="60"/>
            </w:pPr>
            <w:r>
              <w:rPr>
                <w:rFonts w:ascii="Cambria" w:hAnsi="Cambria"/>
                <w:color w:val="1D2D3F"/>
                <w:sz w:val="20"/>
              </w:rPr>
              <w:t>Joint humanitarian convoy delivery</w:t>
            </w:r>
          </w:p>
        </w:tc>
        <w:tc>
          <w:tcPr/>
          <w:p>
            <w:pPr>
              <w:spacing w:before="60" w:after="60"/>
            </w:pPr>
            <w:r>
              <w:rPr>
                <w:rFonts w:ascii="Cambria" w:hAnsi="Cambria"/>
                <w:color w:val="1D2D3F"/>
                <w:sz w:val="20"/>
              </w:rPr>
              <w:t>UN OCHA or local NGO</w:t>
            </w:r>
          </w:p>
        </w:tc>
        <w:tc>
          <w:tcPr/>
          <w:p>
            <w:pPr>
              <w:spacing w:before="60" w:after="60"/>
            </w:pPr>
            <w:r>
              <w:rPr>
                <w:rFonts w:ascii="Cambria" w:hAnsi="Cambria"/>
                <w:color w:val="1D2D3F"/>
                <w:sz w:val="20"/>
              </w:rPr>
              <w:t>One-time</w:t>
            </w:r>
          </w:p>
        </w:tc>
      </w:tr>
      <w:tr>
        <w:tc>
          <w:tcPr/>
          <w:p>
            <w:pPr>
              <w:spacing w:before="60" w:after="60"/>
            </w:pPr>
            <w:r>
              <w:rPr>
                <w:rFonts w:ascii="Cambria" w:hAnsi="Cambria"/>
                <w:color w:val="1D2D3F"/>
                <w:sz w:val="20"/>
              </w:rPr>
              <w:t>TBM-3</w:t>
            </w:r>
          </w:p>
        </w:tc>
        <w:tc>
          <w:tcPr/>
          <w:p>
            <w:pPr>
              <w:spacing w:before="60" w:after="60"/>
            </w:pPr>
            <w:r>
              <w:rPr>
                <w:rFonts w:ascii="Cambria" w:hAnsi="Cambria"/>
                <w:color w:val="1D2D3F"/>
                <w:sz w:val="20"/>
              </w:rPr>
              <w:t>Public commitment video (no legal weight)</w:t>
            </w:r>
          </w:p>
        </w:tc>
        <w:tc>
          <w:tcPr/>
          <w:p>
            <w:pPr>
              <w:spacing w:before="60" w:after="60"/>
            </w:pPr>
            <w:r>
              <w:rPr>
                <w:rFonts w:ascii="Cambria" w:hAnsi="Cambria"/>
                <w:color w:val="1D2D3F"/>
                <w:sz w:val="20"/>
              </w:rPr>
              <w:t>Media monitoring</w:t>
            </w:r>
          </w:p>
        </w:tc>
        <w:tc>
          <w:tcPr/>
          <w:p>
            <w:pPr>
              <w:spacing w:before="60" w:after="60"/>
            </w:pPr>
            <w:r>
              <w:rPr>
                <w:rFonts w:ascii="Cambria" w:hAnsi="Cambria"/>
                <w:color w:val="1D2D3F"/>
                <w:sz w:val="20"/>
              </w:rPr>
              <w:t>One-time</w:t>
            </w:r>
          </w:p>
        </w:tc>
      </w:tr>
      <w:tr>
        <w:tc>
          <w:tcPr/>
          <w:p>
            <w:pPr>
              <w:spacing w:before="60" w:after="60"/>
            </w:pPr>
            <w:r>
              <w:rPr>
                <w:rFonts w:ascii="Cambria" w:hAnsi="Cambria"/>
                <w:color w:val="1D2D3F"/>
                <w:sz w:val="20"/>
              </w:rPr>
              <w:t>TBM-4</w:t>
            </w:r>
          </w:p>
        </w:tc>
        <w:tc>
          <w:tcPr/>
          <w:p>
            <w:pPr>
              <w:spacing w:before="60" w:after="60"/>
            </w:pPr>
            <w:r>
              <w:rPr>
                <w:rFonts w:ascii="Cambria" w:hAnsi="Cambria"/>
                <w:color w:val="1D2D3F"/>
                <w:sz w:val="20"/>
              </w:rPr>
              <w:t>Exchange of liaison officers (unarmed)</w:t>
            </w:r>
          </w:p>
        </w:tc>
        <w:tc>
          <w:tcPr/>
          <w:p>
            <w:pPr>
              <w:spacing w:before="60" w:after="60"/>
            </w:pPr>
            <w:r>
              <w:rPr>
                <w:rFonts w:ascii="Cambria" w:hAnsi="Cambria"/>
                <w:color w:val="1D2D3F"/>
                <w:sz w:val="20"/>
              </w:rPr>
              <w:t>Mutual confirmation</w:t>
            </w:r>
          </w:p>
        </w:tc>
        <w:tc>
          <w:tcPr/>
          <w:p>
            <w:pPr>
              <w:spacing w:before="60" w:after="60"/>
            </w:pPr>
            <w:r>
              <w:rPr>
                <w:rFonts w:ascii="Cambria" w:hAnsi="Cambria"/>
                <w:color w:val="1D2D3F"/>
                <w:sz w:val="20"/>
              </w:rPr>
              <w:t>60 days</w:t>
            </w:r>
          </w:p>
        </w:tc>
      </w:tr>
    </w:tbl>
    <w:p>
      <w:pPr>
        <w:sectPr>
          <w:type w:val="nextPage"/>
          <w:pgSz w:w="11906" w:h="16838"/>
          <w:pgMar w:top="1440" w:right="1440" w:bottom="1440" w:left="1440" w:header="720" w:footer="720"/>
        </w:sectPr>
      </w:pPr>
    </w:p>
    <w:p>
      <w:pPr>
        <w:pStyle w:val="Heading1"/>
      </w:pPr>
      <w:r>
        <w:t>Article XI: Lebanon Firewall Protocol</w:t>
      </w:r>
    </w:p>
    <w:p>
      <w:pPr>
        <w:spacing w:after="160" w:line="288" w:lineRule="auto"/>
      </w:pPr>
      <w:r>
        <w:rPr>
          <w:rFonts w:ascii="Cambria" w:hAnsi="Cambria"/>
          <w:color w:val="1D2D3F"/>
          <w:sz w:val="22"/>
        </w:rPr>
        <w:t>This article establishes a Day 1 ceasefire on the Lebanon front as a commitment of this Compact and firewalls it so that a lapse on the Lebanon front never cascades into the nuclear, maritime, or economic tracks. The framework includes Lebanon, and the firewall keeps the Lebanon commitment non-cascading.</w:t>
      </w:r>
    </w:p>
    <w:p>
      <w:pPr>
        <w:pStyle w:val="Heading2"/>
      </w:pPr>
      <w:r>
        <w:t>Section 11.1 — Firewall Principle</w:t>
      </w:r>
    </w:p>
    <w:p>
      <w:pPr>
        <w:spacing w:after="160" w:line="288" w:lineRule="auto"/>
      </w:pPr>
      <w:r>
        <w:rPr>
          <w:rFonts w:ascii="Cambria" w:hAnsi="Cambria"/>
          <w:color w:val="1D2D3F"/>
          <w:sz w:val="22"/>
        </w:rPr>
        <w:t>The Lebanon ceasefire operates as a firewalled reciprocity unit inside this Compact. A lapse on the Lebanon front suspends only the Lebanon unit under the proportionality scale; the nuclear, maritime, and economic tracks continue operating without interruption. This firewall preserves the whole framework against a single regional incident, and it gives both Parties the confidence to include Lebanon rather than exclude it.</w:t>
      </w:r>
    </w:p>
    <w:p>
      <w:pPr>
        <w:spacing w:after="160" w:line="288" w:lineRule="auto"/>
      </w:pPr>
      <w:r>
        <w:rPr>
          <w:rFonts w:ascii="Cambria" w:hAnsi="Cambria"/>
          <w:color w:val="1D2D3F"/>
          <w:sz w:val="22"/>
        </w:rPr>
        <w:t>A spontaneous local clash on the Israeli-Lebanese border does not constitute a breach. Such an incident routes to the crisis-communication consultation, where the verification record and the no-surprise commitment establish the facts. Only a sustained, attributed, offensive resumption that the consultation confirms suspends the Lebanon unit, and verified de-escalation restores it through Earn-Back.</w:t>
      </w:r>
    </w:p>
    <w:p>
      <w:pPr>
        <w:pStyle w:val="Heading2"/>
      </w:pPr>
      <w:r>
        <w:t>Section 11.2 — Threshold Definitions</w:t>
      </w:r>
    </w:p>
    <w:p>
      <w:pPr>
        <w:spacing w:after="160" w:line="288" w:lineRule="auto"/>
      </w:pPr>
      <w:r>
        <w:rPr>
          <w:rFonts w:ascii="Cambria" w:hAnsi="Cambria"/>
          <w:color w:val="1D2D3F"/>
          <w:sz w:val="22"/>
        </w:rPr>
        <w:t>Three quantitative thresholds define a sustained, attributed, offensive resumption under this Compact: a single military operation causes more than 10 documented fatalities on either side; ground operations expand beyond a 5-kilometer buffer zone from the current line of contact; or three or more cross-border attacks occur within 24 hours. Confirmation by the Joint Coordination Center triggers an emergency Human-in-the-Loop Review within 24 hours.</w:t>
      </w:r>
    </w:p>
    <w:p>
      <w:pPr>
        <w:spacing w:after="160" w:line="288" w:lineRule="auto"/>
      </w:pPr>
      <w:r>
        <w:rPr>
          <w:rFonts w:ascii="Cambria" w:hAnsi="Cambria"/>
          <w:color w:val="1D2D3F"/>
          <w:sz w:val="22"/>
        </w:rPr>
        <w:t>A finding of sustained, attributed, offensive resumption on the Lebanon front is not final unless at least three independent sources confirm it. The three sources come from the following categories: IAEA-type telemetry or sensor data where applicable; at least two neutral-nation ground observer reports coordinated by the Neutral Guarantor; satellite imagery analyzed by a neutral technical team; or intelligence shared voluntarily by either Party that another source corroborates. A single-source finding, including unilateral national intelligence, does not trigger Step-Back or suspension of the Lebanon unit.</w:t>
      </w:r>
    </w:p>
    <w:p>
      <w:pPr>
        <w:pStyle w:val="Heading2"/>
      </w:pPr>
      <w:r>
        <w:t>Section 11.3 — Non-Attribution Protocol</w:t>
      </w:r>
    </w:p>
    <w:p>
      <w:pPr>
        <w:spacing w:after="160" w:line="288" w:lineRule="auto"/>
      </w:pPr>
      <w:r>
        <w:rPr>
          <w:rFonts w:ascii="Cambria" w:hAnsi="Cambria"/>
          <w:color w:val="1D2D3F"/>
          <w:sz w:val="22"/>
        </w:rPr>
        <w:t>A Hezbollah action in Lebanon does not automatically attribute to Iran under this Compact. Only a joint finding by the Joint Coordination Center, confirmed by the Human-in-the-Loop Review, that Iran exercised direct operational control over a specific Hezbollah operation constitutes an attributable breach. Iran's general political support for Hezbollah, public statements of solidarity, or routine advisory relationships do not constitute breach. This non-attribution principle preserves the firewall and prevents a single Hezbollah action from cascading into the nuclear, maritime, or economic tracks.</w:t>
      </w:r>
    </w:p>
    <w:p>
      <w:pPr>
        <w:pStyle w:val="Heading2"/>
      </w:pPr>
      <w:r>
        <w:t>Section 11.4 — Day 1 Ceasefire Commitment</w:t>
      </w:r>
    </w:p>
    <w:p>
      <w:pPr>
        <w:spacing w:after="160" w:line="288" w:lineRule="auto"/>
      </w:pPr>
      <w:r>
        <w:rPr>
          <w:rFonts w:ascii="Cambria" w:hAnsi="Cambria"/>
          <w:color w:val="1D2D3F"/>
          <w:sz w:val="22"/>
        </w:rPr>
        <w:t>Within 24 hours of signature, both Parties commit to a ceasefire on the Lebanon front. Offensive operations halt, and defensive positions continue. The United States transmits a formal request through established military-to-military channels to the Government of Israel to cease all offensive operations in Lebanon. Iran commits to communicating with Hezbollah through its established channels to achieve a cessation of offensive operations.</w:t>
      </w:r>
    </w:p>
    <w:p>
      <w:pPr>
        <w:spacing w:after="160" w:line="288" w:lineRule="auto"/>
      </w:pPr>
      <w:r>
        <w:rPr>
          <w:rFonts w:ascii="Cambria" w:hAnsi="Cambria"/>
          <w:color w:val="1D2D3F"/>
          <w:sz w:val="22"/>
        </w:rPr>
        <w:t>Neither Party guarantees the conduct of its respective partner; the framework measures Iran's compliance by the observable outcome on the ground, verified by telemetry and neutral observers, not by the production of internal communications. Each Party commits to the action it undertakes and to the verification record that documents the outcome. The Lebanon ceasefire renews on the same self-renewing 72-hour module that governs the core ceasefire.</w:t>
      </w:r>
    </w:p>
    <w:p>
      <w:pPr>
        <w:pStyle w:val="Heading2"/>
      </w:pPr>
      <w:r>
        <w:t>Section 11.5 — Non-Interference</w:t>
      </w:r>
    </w:p>
    <w:p>
      <w:pPr>
        <w:spacing w:after="160" w:line="288" w:lineRule="auto"/>
      </w:pPr>
      <w:r>
        <w:rPr>
          <w:rFonts w:ascii="Cambria" w:hAnsi="Cambria"/>
          <w:color w:val="1D2D3F"/>
          <w:sz w:val="22"/>
        </w:rPr>
        <w:t>During the 60-day Phase Two period, neither Party introduces new military assets or personnel into Lebanon beyond existing deployments. Both Parties support a UN-facilitated dialogue between Lebanese factions. The Neutral Guarantor reports monthly on Lebanese developments without these reports affecting core Compact operations.</w:t>
      </w:r>
    </w:p>
    <w:p>
      <w:pPr>
        <w:pStyle w:val="Heading2"/>
      </w:pPr>
      <w:r>
        <w:t>Section 11.6 — Good Faith Mediation</w:t>
      </w:r>
    </w:p>
    <w:p>
      <w:pPr>
        <w:spacing w:after="160" w:line="288" w:lineRule="auto"/>
      </w:pPr>
      <w:r>
        <w:rPr>
          <w:rFonts w:ascii="Cambria" w:hAnsi="Cambria"/>
          <w:color w:val="1D2D3F"/>
          <w:sz w:val="22"/>
        </w:rPr>
        <w:t>Any dispute solely concerning interpretation or implementation of the Lebanon ceasefire routes first to the Neutral Guarantor for facilitated mediation for up to 14 days. During mediation, the Lebanon unit remains in its current status unless both Parties agree otherwise. Mediation does not toll any deadlines for other reciprocity units. If mediation fails, the dispute routes to the Human-in-the-Loop Review, which treats the Lebanon dispute as a separate track.</w:t>
      </w:r>
    </w:p>
    <w:p>
      <w:pPr>
        <w:pStyle w:val="Heading2"/>
      </w:pPr>
      <w:r>
        <w:t>Section 11.7 — Partial Earn-Back Ladder</w:t>
      </w:r>
    </w:p>
    <w:p>
      <w:pPr>
        <w:spacing w:after="160" w:line="288" w:lineRule="auto"/>
      </w:pPr>
      <w:r>
        <w:rPr>
          <w:rFonts w:ascii="Cambria" w:hAnsi="Cambria"/>
          <w:color w:val="1D2D3F"/>
          <w:sz w:val="22"/>
        </w:rPr>
        <w:t>A three-stage Earn-Back ladder restores a Step-Back of the Lebanon unit. Stage One: a 24-hour probationary cessation of fire lifts immediate sanctions suspensions. Stage Two: a 72-hour sustained halt restores full diplomatic liaison access. Stage Three: seven consecutive days of verified compliance restores the unit to full status. The Joint Coordination Center verifies each stage and posts the result to the Lebanon Status Dashboard.</w:t>
      </w:r>
    </w:p>
    <w:p>
      <w:pPr>
        <w:pStyle w:val="Heading2"/>
      </w:pPr>
      <w:r>
        <w:t>Section 11.8 — Compliance Credits</w:t>
      </w:r>
    </w:p>
    <w:p>
      <w:pPr>
        <w:spacing w:after="160" w:line="288" w:lineRule="auto"/>
      </w:pPr>
      <w:r>
        <w:rPr>
          <w:rFonts w:ascii="Cambria" w:hAnsi="Cambria"/>
          <w:color w:val="1D2D3F"/>
          <w:sz w:val="22"/>
        </w:rPr>
        <w:t>For every 30 consecutive days that the Lebanon front remains free of any dashboard-verified sustained, attributed, offensive resumption, the Joint Coordination Center registers a Lebanon Compliance Credit. A requesting Party applies such credits at its discretion to: extend any verification window for a nuclear milestone by up to 5 days without penalty; reduce the notice period for a humanitarian asset release by 24 hours; or accumulate credits for conversion into a one-time, non-reversible release of an additional $50 million from frozen assets held in escrow, capped at $250 million total over the life of the Compact.</w:t>
      </w:r>
    </w:p>
    <w:p>
      <w:pPr>
        <w:pStyle w:val="Heading2"/>
      </w:pPr>
      <w:r>
        <w:t>Section 11.9 — De-escalation Channel</w:t>
      </w:r>
    </w:p>
    <w:p>
      <w:pPr>
        <w:spacing w:after="160" w:line="288" w:lineRule="auto"/>
      </w:pPr>
      <w:r>
        <w:rPr>
          <w:rFonts w:ascii="Cambria" w:hAnsi="Cambria"/>
          <w:color w:val="1D2D3F"/>
          <w:sz w:val="22"/>
        </w:rPr>
        <w:t>The Neutral Guarantor establishes a confidential de-escalation channel and makes it available to both Israel and Hezbollah. The United States commits to encouraging Israel to use the channel voluntarily. Iran commits to encouraging Hezbollah to use the channel voluntarily. No Party to this Compact forces its partner to participate. Oman serves as the neutral relay. The channel addresses only: notification of an imminent military operation to avoid unintended escalation; clarification of ambiguous movements or signals; and requests for a temporary local ceasefire to extract wounded or de-conflict an area.</w:t>
      </w:r>
    </w:p>
    <w:p>
      <w:pPr>
        <w:pStyle w:val="Heading2"/>
      </w:pPr>
      <w:r>
        <w:t>Section 11.10 — No-Precedent Declaration</w:t>
      </w:r>
    </w:p>
    <w:p>
      <w:pPr>
        <w:spacing w:after="160" w:line="288" w:lineRule="auto"/>
      </w:pPr>
      <w:r>
        <w:rPr>
          <w:rFonts w:ascii="Cambria" w:hAnsi="Cambria"/>
          <w:color w:val="1D2D3F"/>
          <w:sz w:val="22"/>
        </w:rPr>
        <w:t>The Lebanon ceasefire and firewalled architecture address only the circumstances of June 2026 and the unique relationship between Hezbollah and Iran. The framework architecture creates no precedent and establishes no expectation for any similar arrangement concerning Iranian influence over any other non-state actor in the region, including but not limited to groups in Iraq, Syria, or Yemen. Future discussions of such actors proceed on a voluntary basis, and the framework architecture links no such discussions to compliance with this Compact.</w:t>
      </w:r>
    </w:p>
    <w:p>
      <w:pPr>
        <w:sectPr>
          <w:type w:val="nextPage"/>
          <w:pgSz w:w="11906" w:h="16838"/>
          <w:pgMar w:top="1440" w:right="1440" w:bottom="1440" w:left="1440" w:header="720" w:footer="720"/>
        </w:sectPr>
      </w:pPr>
    </w:p>
    <w:p>
      <w:pPr>
        <w:pStyle w:val="Heading1"/>
      </w:pPr>
      <w:r>
        <w:t>Annex A: Implementation Timelines and Reciprocity Matrix</w:t>
      </w:r>
    </w:p>
    <w:p>
      <w:pPr>
        <w:spacing w:after="160" w:line="288" w:lineRule="auto"/>
      </w:pPr>
      <w:r>
        <w:rPr>
          <w:rFonts w:ascii="Cambria" w:hAnsi="Cambria"/>
          <w:color w:val="1D2D3F"/>
          <w:sz w:val="22"/>
        </w:rPr>
        <w:t>This annex provides the detailed timeline for every commitment in this Compact, organized by day and paired by reciprocity unit.</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tblGrid>
      <w:tr>
        <w:tc>
          <w:tcPr>
            <w:shd w:val="clear" w:fill="E8EEF2"/>
          </w:tcPr>
          <w:p>
            <w:pPr>
              <w:spacing w:before="60" w:after="60"/>
            </w:pPr>
            <w:r>
              <w:rPr>
                <w:rFonts w:ascii="Cambria" w:hAnsi="Cambria"/>
                <w:b/>
                <w:color w:val="1D2D3F"/>
                <w:sz w:val="20"/>
              </w:rPr>
              <w:t>Day</w:t>
            </w:r>
          </w:p>
        </w:tc>
        <w:tc>
          <w:tcPr>
            <w:shd w:val="clear" w:fill="E8EEF2"/>
          </w:tcPr>
          <w:p>
            <w:pPr>
              <w:spacing w:before="60" w:after="60"/>
            </w:pPr>
            <w:r>
              <w:rPr>
                <w:rFonts w:ascii="Cambria" w:hAnsi="Cambria"/>
                <w:b/>
                <w:color w:val="1D2D3F"/>
                <w:sz w:val="20"/>
              </w:rPr>
              <w:t>US Commitment</w:t>
            </w:r>
          </w:p>
        </w:tc>
        <w:tc>
          <w:tcPr>
            <w:shd w:val="clear" w:fill="E8EEF2"/>
          </w:tcPr>
          <w:p>
            <w:pPr>
              <w:spacing w:before="60" w:after="60"/>
            </w:pPr>
            <w:r>
              <w:rPr>
                <w:rFonts w:ascii="Cambria" w:hAnsi="Cambria"/>
                <w:b/>
                <w:color w:val="1D2D3F"/>
                <w:sz w:val="20"/>
              </w:rPr>
              <w:t>Iran Commitment</w:t>
            </w:r>
          </w:p>
        </w:tc>
      </w:tr>
      <w:tr>
        <w:tc>
          <w:tcPr/>
          <w:p>
            <w:pPr>
              <w:spacing w:before="60" w:after="60"/>
            </w:pPr>
            <w:r>
              <w:rPr>
                <w:rFonts w:ascii="Cambria" w:hAnsi="Cambria"/>
                <w:color w:val="1D2D3F"/>
                <w:sz w:val="20"/>
              </w:rPr>
              <w:t>1</w:t>
            </w:r>
          </w:p>
        </w:tc>
        <w:tc>
          <w:tcPr/>
          <w:p>
            <w:pPr>
              <w:spacing w:before="60" w:after="60"/>
            </w:pPr>
            <w:r>
              <w:rPr>
                <w:rFonts w:ascii="Cambria" w:hAnsi="Cambria"/>
                <w:color w:val="1D2D3F"/>
                <w:sz w:val="20"/>
              </w:rPr>
              <w:t>Ceasefire + General licenses (humanitarian)</w:t>
            </w:r>
          </w:p>
        </w:tc>
        <w:tc>
          <w:tcPr/>
          <w:p>
            <w:pPr>
              <w:spacing w:before="60" w:after="60"/>
            </w:pPr>
            <w:r>
              <w:rPr>
                <w:rFonts w:ascii="Cambria" w:hAnsi="Cambria"/>
                <w:color w:val="1D2D3F"/>
                <w:sz w:val="20"/>
              </w:rPr>
              <w:t>Ceasefire + IAEA baseline access</w:t>
            </w:r>
          </w:p>
        </w:tc>
      </w:tr>
      <w:tr>
        <w:tc>
          <w:tcPr/>
          <w:p>
            <w:pPr>
              <w:spacing w:before="60" w:after="60"/>
            </w:pPr>
            <w:r>
              <w:rPr>
                <w:rFonts w:ascii="Cambria" w:hAnsi="Cambria"/>
                <w:color w:val="1D2D3F"/>
                <w:sz w:val="20"/>
              </w:rPr>
              <w:t>1</w:t>
            </w:r>
          </w:p>
        </w:tc>
        <w:tc>
          <w:tcPr/>
          <w:p>
            <w:pPr>
              <w:spacing w:before="60" w:after="60"/>
            </w:pPr>
            <w:r>
              <w:rPr>
                <w:rFonts w:ascii="Cambria" w:hAnsi="Cambria"/>
                <w:color w:val="1D2D3F"/>
                <w:sz w:val="20"/>
              </w:rPr>
              <w:t>$250M humanitarian asset release</w:t>
            </w:r>
          </w:p>
        </w:tc>
        <w:tc>
          <w:tcPr/>
          <w:p>
            <w:pPr>
              <w:spacing w:before="60" w:after="60"/>
            </w:pPr>
            <w:r>
              <w:rPr>
                <w:rFonts w:ascii="Cambria" w:hAnsi="Cambria"/>
                <w:color w:val="1D2D3F"/>
                <w:sz w:val="20"/>
              </w:rPr>
              <w:t>Humanitarian Hormuz transit</w:t>
            </w:r>
          </w:p>
        </w:tc>
      </w:tr>
      <w:tr>
        <w:tc>
          <w:tcPr/>
          <w:p>
            <w:pPr>
              <w:spacing w:before="60" w:after="60"/>
            </w:pPr>
            <w:r>
              <w:rPr>
                <w:rFonts w:ascii="Cambria" w:hAnsi="Cambria"/>
                <w:color w:val="1D2D3F"/>
                <w:sz w:val="20"/>
              </w:rPr>
              <w:t>2</w:t>
            </w:r>
          </w:p>
        </w:tc>
        <w:tc>
          <w:tcPr/>
          <w:p>
            <w:pPr>
              <w:spacing w:before="60" w:after="60"/>
            </w:pPr>
            <w:r>
              <w:rPr>
                <w:rFonts w:ascii="Cambria" w:hAnsi="Cambria"/>
                <w:color w:val="1D2D3F"/>
                <w:sz w:val="20"/>
              </w:rPr>
              <w:t>Halt offensive naval operations</w:t>
            </w:r>
          </w:p>
        </w:tc>
        <w:tc>
          <w:tcPr/>
          <w:p>
            <w:pPr>
              <w:spacing w:before="60" w:after="60"/>
            </w:pPr>
            <w:r>
              <w:rPr>
                <w:rFonts w:ascii="Cambria" w:hAnsi="Cambria"/>
                <w:color w:val="1D2D3F"/>
                <w:sz w:val="20"/>
              </w:rPr>
              <w:t>Full prisoner exchange</w:t>
            </w:r>
          </w:p>
        </w:tc>
      </w:tr>
      <w:tr>
        <w:tc>
          <w:tcPr/>
          <w:p>
            <w:pPr>
              <w:spacing w:before="60" w:after="60"/>
            </w:pPr>
            <w:r>
              <w:rPr>
                <w:rFonts w:ascii="Cambria" w:hAnsi="Cambria"/>
                <w:color w:val="1D2D3F"/>
                <w:sz w:val="20"/>
              </w:rPr>
              <w:t>7</w:t>
            </w:r>
          </w:p>
        </w:tc>
        <w:tc>
          <w:tcPr/>
          <w:p>
            <w:pPr>
              <w:spacing w:before="60" w:after="60"/>
            </w:pPr>
            <w:r>
              <w:rPr>
                <w:rFonts w:ascii="Cambria" w:hAnsi="Cambria"/>
                <w:color w:val="1D2D3F"/>
                <w:sz w:val="20"/>
              </w:rPr>
              <w:t>Fuel rod delivery (19.75% LEU, 200kg)</w:t>
            </w:r>
          </w:p>
        </w:tc>
        <w:tc>
          <w:tcPr/>
          <w:p>
            <w:pPr>
              <w:spacing w:before="60" w:after="60"/>
            </w:pPr>
            <w:r>
              <w:rPr>
                <w:rFonts w:ascii="Cambria" w:hAnsi="Cambria"/>
                <w:color w:val="1D2D3F"/>
                <w:sz w:val="20"/>
              </w:rPr>
              <w:t>60% HEU transfer to Oman (50kg, IAEA custody)</w:t>
            </w:r>
          </w:p>
        </w:tc>
      </w:tr>
      <w:tr>
        <w:tc>
          <w:tcPr/>
          <w:p>
            <w:pPr>
              <w:spacing w:before="60" w:after="60"/>
            </w:pPr>
            <w:r>
              <w:rPr>
                <w:rFonts w:ascii="Cambria" w:hAnsi="Cambria"/>
                <w:color w:val="1D2D3F"/>
                <w:sz w:val="20"/>
              </w:rPr>
              <w:t>14</w:t>
            </w:r>
          </w:p>
        </w:tc>
        <w:tc>
          <w:tcPr/>
          <w:p>
            <w:pPr>
              <w:spacing w:before="60" w:after="60"/>
            </w:pPr>
            <w:r>
              <w:rPr>
                <w:rFonts w:ascii="Cambria" w:hAnsi="Cambria"/>
                <w:color w:val="1D2D3F"/>
                <w:sz w:val="20"/>
              </w:rPr>
              <w:t>60-day oil waiver suspension (1.0 mb/d)</w:t>
            </w:r>
          </w:p>
        </w:tc>
        <w:tc>
          <w:tcPr/>
          <w:p>
            <w:pPr>
              <w:spacing w:before="60" w:after="60"/>
            </w:pPr>
            <w:r>
              <w:rPr>
                <w:rFonts w:ascii="Cambria" w:hAnsi="Cambria"/>
                <w:color w:val="1D2D3F"/>
                <w:sz w:val="20"/>
              </w:rPr>
              <w:t>All HEU + 20% LEU under IAEA seals in Iran</w:t>
            </w:r>
          </w:p>
        </w:tc>
      </w:tr>
      <w:tr>
        <w:tc>
          <w:tcPr/>
          <w:p>
            <w:pPr>
              <w:spacing w:before="60" w:after="60"/>
            </w:pPr>
            <w:r>
              <w:rPr>
                <w:rFonts w:ascii="Cambria" w:hAnsi="Cambria"/>
                <w:color w:val="1D2D3F"/>
                <w:sz w:val="20"/>
              </w:rPr>
              <w:t>30</w:t>
            </w:r>
          </w:p>
        </w:tc>
        <w:tc>
          <w:tcPr/>
          <w:p>
            <w:pPr>
              <w:spacing w:before="60" w:after="60"/>
            </w:pPr>
            <w:r>
              <w:rPr>
                <w:rFonts w:ascii="Cambria" w:hAnsi="Cambria"/>
                <w:color w:val="1D2D3F"/>
                <w:sz w:val="20"/>
              </w:rPr>
              <w:t>SWIFT reconnection support</w:t>
            </w:r>
          </w:p>
        </w:tc>
        <w:tc>
          <w:tcPr/>
          <w:p>
            <w:pPr>
              <w:spacing w:before="60" w:after="60"/>
            </w:pPr>
            <w:r>
              <w:rPr>
                <w:rFonts w:ascii="Cambria" w:hAnsi="Cambria"/>
                <w:color w:val="1D2D3F"/>
                <w:sz w:val="20"/>
              </w:rPr>
              <w:t>Sustained Band Two Hormuz reopening</w:t>
            </w:r>
          </w:p>
        </w:tc>
      </w:tr>
      <w:tr>
        <w:tc>
          <w:tcPr/>
          <w:p>
            <w:pPr>
              <w:spacing w:before="60" w:after="60"/>
            </w:pPr>
            <w:r>
              <w:rPr>
                <w:rFonts w:ascii="Cambria" w:hAnsi="Cambria"/>
                <w:color w:val="1D2D3F"/>
                <w:sz w:val="20"/>
              </w:rPr>
              <w:t>45</w:t>
            </w:r>
          </w:p>
        </w:tc>
        <w:tc>
          <w:tcPr/>
          <w:p>
            <w:pPr>
              <w:spacing w:before="60" w:after="60"/>
            </w:pPr>
            <w:r>
              <w:rPr>
                <w:rFonts w:ascii="Cambria" w:hAnsi="Cambria"/>
                <w:color w:val="1D2D3F"/>
                <w:sz w:val="20"/>
              </w:rPr>
              <w:t>Additional financial institution waivers</w:t>
            </w:r>
          </w:p>
        </w:tc>
        <w:tc>
          <w:tcPr/>
          <w:p>
            <w:pPr>
              <w:spacing w:before="60" w:after="60"/>
            </w:pPr>
            <w:r>
              <w:rPr>
                <w:rFonts w:ascii="Cambria" w:hAnsi="Cambria"/>
                <w:color w:val="1D2D3F"/>
                <w:sz w:val="20"/>
              </w:rPr>
              <w:t>Sustained compliance confirmation</w:t>
            </w:r>
          </w:p>
        </w:tc>
      </w:tr>
      <w:tr>
        <w:tc>
          <w:tcPr/>
          <w:p>
            <w:pPr>
              <w:spacing w:before="60" w:after="60"/>
            </w:pPr>
            <w:r>
              <w:rPr>
                <w:rFonts w:ascii="Cambria" w:hAnsi="Cambria"/>
                <w:color w:val="1D2D3F"/>
                <w:sz w:val="20"/>
              </w:rPr>
              <w:t>60</w:t>
            </w:r>
          </w:p>
        </w:tc>
        <w:tc>
          <w:tcPr/>
          <w:p>
            <w:pPr>
              <w:spacing w:before="60" w:after="60"/>
            </w:pPr>
            <w:r>
              <w:rPr>
                <w:rFonts w:ascii="Cambria" w:hAnsi="Cambria"/>
                <w:color w:val="1D2D3F"/>
                <w:sz w:val="20"/>
              </w:rPr>
              <w:t>Phase Three launch</w:t>
            </w:r>
          </w:p>
        </w:tc>
        <w:tc>
          <w:tcPr/>
          <w:p>
            <w:pPr>
              <w:spacing w:before="60" w:after="60"/>
            </w:pPr>
            <w:r>
              <w:rPr>
                <w:rFonts w:ascii="Cambria" w:hAnsi="Cambria"/>
                <w:color w:val="1D2D3F"/>
                <w:sz w:val="20"/>
              </w:rPr>
              <w:t>Phase Three launch</w:t>
            </w:r>
          </w:p>
        </w:tc>
      </w:tr>
    </w:tbl>
    <w:p>
      <w:pPr>
        <w:spacing w:after="160" w:line="288" w:lineRule="auto"/>
      </w:pPr>
      <w:r>
        <w:rPr>
          <w:rFonts w:ascii="Cambria" w:hAnsi="Cambria"/>
          <w:color w:val="1D2D3F"/>
          <w:sz w:val="22"/>
        </w:rPr>
        <w:t>All material above 5% enrichment remains in Iran under IAEA seals throughout the 60-day period except the 50kg fuel swap quantity held under IAEA custody in Oman. No US personnel access the Oman facility without Iran's explicit, revocable, per-visit consent.</w:t>
      </w:r>
    </w:p>
    <w:p>
      <w:pPr>
        <w:pStyle w:val="Heading1"/>
      </w:pPr>
      <w:r>
        <w:t>Annex B: Forward Drift Registry and Lock Points</w:t>
      </w:r>
    </w:p>
    <w:p>
      <w:pPr>
        <w:spacing w:after="160" w:line="288" w:lineRule="auto"/>
      </w:pPr>
      <w:r>
        <w:rPr>
          <w:rFonts w:ascii="Cambria" w:hAnsi="Cambria"/>
          <w:color w:val="1D2D3F"/>
          <w:sz w:val="22"/>
        </w:rPr>
        <w:t>This annex establishes the permanent registry of Forward Drift entries and specifies the lock point criteria, the three-test verification protocol, and the irrevocability mechanics.</w:t>
      </w:r>
    </w:p>
    <w:p>
      <w:pPr>
        <w:pStyle w:val="Heading2"/>
      </w:pPr>
      <w:r>
        <w:t>B.1 — Registry Format</w:t>
      </w:r>
    </w:p>
    <w:p>
      <w:pPr>
        <w:spacing w:after="160" w:line="288" w:lineRule="auto"/>
      </w:pPr>
      <w:r>
        <w:rPr>
          <w:rFonts w:ascii="Cambria" w:hAnsi="Cambria"/>
          <w:color w:val="1D2D3F"/>
          <w:sz w:val="22"/>
        </w:rPr>
        <w:t>Each Forward Drift entry records: the cycle number and phase that produced it; a description of the structural gain; the verification evidence that confirms it; the lock date; and the entry's current status (active, extended, or superseded). The Registry operates append-only. No deletion or revision of recorded entries is permitted.</w:t>
      </w:r>
    </w:p>
    <w:p>
      <w:pPr>
        <w:pStyle w:val="Heading2"/>
      </w:pPr>
      <w:r>
        <w:t>B.2 — Lock Point Schedule</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tblGrid>
      <w:tr>
        <w:tc>
          <w:tcPr>
            <w:shd w:val="clear" w:fill="E8EEF2"/>
          </w:tcPr>
          <w:p>
            <w:pPr>
              <w:spacing w:before="60" w:after="60"/>
            </w:pPr>
            <w:r>
              <w:rPr>
                <w:rFonts w:ascii="Cambria" w:hAnsi="Cambria"/>
                <w:b/>
                <w:color w:val="1D2D3F"/>
                <w:sz w:val="20"/>
              </w:rPr>
              <w:t>Drift Level</w:t>
            </w:r>
          </w:p>
        </w:tc>
        <w:tc>
          <w:tcPr>
            <w:shd w:val="clear" w:fill="E8EEF2"/>
          </w:tcPr>
          <w:p>
            <w:pPr>
              <w:spacing w:before="60" w:after="60"/>
            </w:pPr>
            <w:r>
              <w:rPr>
                <w:rFonts w:ascii="Cambria" w:hAnsi="Cambria"/>
                <w:b/>
                <w:color w:val="1D2D3F"/>
                <w:sz w:val="20"/>
              </w:rPr>
              <w:t>Step That the Threshold Renders Permanent</w:t>
            </w:r>
          </w:p>
        </w:tc>
      </w:tr>
      <w:tr>
        <w:tc>
          <w:tcPr/>
          <w:p>
            <w:pPr>
              <w:spacing w:before="60" w:after="60"/>
            </w:pPr>
            <w:r>
              <w:rPr>
                <w:rFonts w:ascii="Cambria" w:hAnsi="Cambria"/>
                <w:color w:val="1D2D3F"/>
                <w:sz w:val="20"/>
              </w:rPr>
              <w:t>Drift 1</w:t>
            </w:r>
          </w:p>
        </w:tc>
        <w:tc>
          <w:tcPr/>
          <w:p>
            <w:pPr>
              <w:spacing w:before="60" w:after="60"/>
            </w:pPr>
            <w:r>
              <w:rPr>
                <w:rFonts w:ascii="Cambria" w:hAnsi="Cambria"/>
                <w:color w:val="1D2D3F"/>
                <w:sz w:val="20"/>
              </w:rPr>
              <w:t>Day 7 fuel swap completion: IAEA custody confirmed in Oman</w:t>
            </w:r>
          </w:p>
        </w:tc>
      </w:tr>
      <w:tr>
        <w:tc>
          <w:tcPr/>
          <w:p>
            <w:pPr>
              <w:spacing w:before="60" w:after="60"/>
            </w:pPr>
            <w:r>
              <w:rPr>
                <w:rFonts w:ascii="Cambria" w:hAnsi="Cambria"/>
                <w:color w:val="1D2D3F"/>
                <w:sz w:val="20"/>
              </w:rPr>
              <w:t>Drift 2</w:t>
            </w:r>
          </w:p>
        </w:tc>
        <w:tc>
          <w:tcPr/>
          <w:p>
            <w:pPr>
              <w:spacing w:before="60" w:after="60"/>
            </w:pPr>
            <w:r>
              <w:rPr>
                <w:rFonts w:ascii="Cambria" w:hAnsi="Cambria"/>
                <w:color w:val="1D2D3F"/>
                <w:sz w:val="20"/>
              </w:rPr>
              <w:t>Day 14 IAEA seal regime: all material above 5% under continuous monitoring</w:t>
            </w:r>
          </w:p>
        </w:tc>
      </w:tr>
      <w:tr>
        <w:tc>
          <w:tcPr/>
          <w:p>
            <w:pPr>
              <w:spacing w:before="60" w:after="60"/>
            </w:pPr>
            <w:r>
              <w:rPr>
                <w:rFonts w:ascii="Cambria" w:hAnsi="Cambria"/>
                <w:color w:val="1D2D3F"/>
                <w:sz w:val="20"/>
              </w:rPr>
              <w:t>Drift 3</w:t>
            </w:r>
          </w:p>
        </w:tc>
        <w:tc>
          <w:tcPr/>
          <w:p>
            <w:pPr>
              <w:spacing w:before="60" w:after="60"/>
            </w:pPr>
            <w:r>
              <w:rPr>
                <w:rFonts w:ascii="Cambria" w:hAnsi="Cambria"/>
                <w:color w:val="1D2D3F"/>
                <w:sz w:val="20"/>
              </w:rPr>
              <w:t>Easing locks in: tariff and transit relief sits outside any later cycle's reach</w:t>
            </w:r>
          </w:p>
        </w:tc>
      </w:tr>
      <w:tr>
        <w:tc>
          <w:tcPr/>
          <w:p>
            <w:pPr>
              <w:spacing w:before="60" w:after="60"/>
            </w:pPr>
            <w:r>
              <w:rPr>
                <w:rFonts w:ascii="Cambria" w:hAnsi="Cambria"/>
                <w:color w:val="1D2D3F"/>
                <w:sz w:val="20"/>
              </w:rPr>
              <w:t>Drift 4</w:t>
            </w:r>
          </w:p>
        </w:tc>
        <w:tc>
          <w:tcPr/>
          <w:p>
            <w:pPr>
              <w:spacing w:before="60" w:after="60"/>
            </w:pPr>
            <w:r>
              <w:rPr>
                <w:rFonts w:ascii="Cambria" w:hAnsi="Cambria"/>
                <w:color w:val="1D2D3F"/>
                <w:sz w:val="20"/>
              </w:rPr>
              <w:t>SWIFT reconnection: banking channel restoration to designated Iranian banks</w:t>
            </w:r>
          </w:p>
        </w:tc>
      </w:tr>
      <w:tr>
        <w:tc>
          <w:tcPr/>
          <w:p>
            <w:pPr>
              <w:spacing w:before="60" w:after="60"/>
            </w:pPr>
            <w:r>
              <w:rPr>
                <w:rFonts w:ascii="Cambria" w:hAnsi="Cambria"/>
                <w:color w:val="1D2D3F"/>
                <w:sz w:val="20"/>
              </w:rPr>
              <w:t>Drift 5</w:t>
            </w:r>
          </w:p>
        </w:tc>
        <w:tc>
          <w:tcPr/>
          <w:p>
            <w:pPr>
              <w:spacing w:before="60" w:after="60"/>
            </w:pPr>
            <w:r>
              <w:rPr>
                <w:rFonts w:ascii="Cambria" w:hAnsi="Cambria"/>
                <w:color w:val="1D2D3F"/>
                <w:sz w:val="20"/>
              </w:rPr>
              <w:t>Tier Three relief: financial institution waivers and expanded commercial licensing</w:t>
            </w:r>
          </w:p>
        </w:tc>
      </w:tr>
      <w:tr>
        <w:tc>
          <w:tcPr/>
          <w:p>
            <w:pPr>
              <w:spacing w:before="60" w:after="60"/>
            </w:pPr>
            <w:r>
              <w:rPr>
                <w:rFonts w:ascii="Cambria" w:hAnsi="Cambria"/>
                <w:color w:val="1D2D3F"/>
                <w:sz w:val="20"/>
              </w:rPr>
              <w:t>Drift 6</w:t>
            </w:r>
          </w:p>
        </w:tc>
        <w:tc>
          <w:tcPr/>
          <w:p>
            <w:pPr>
              <w:spacing w:before="60" w:after="60"/>
            </w:pPr>
            <w:r>
              <w:rPr>
                <w:rFonts w:ascii="Cambria" w:hAnsi="Cambria"/>
                <w:color w:val="1D2D3F"/>
                <w:sz w:val="20"/>
              </w:rPr>
              <w:t>Ceasefire monitoring becomes a standing institution rather than a renewable arrangement</w:t>
            </w:r>
          </w:p>
        </w:tc>
      </w:tr>
      <w:tr>
        <w:tc>
          <w:tcPr/>
          <w:p>
            <w:pPr>
              <w:spacing w:before="60" w:after="60"/>
            </w:pPr>
            <w:r>
              <w:rPr>
                <w:rFonts w:ascii="Cambria" w:hAnsi="Cambria"/>
                <w:color w:val="1D2D3F"/>
                <w:sz w:val="20"/>
              </w:rPr>
              <w:t>Drift 7</w:t>
            </w:r>
          </w:p>
        </w:tc>
        <w:tc>
          <w:tcPr/>
          <w:p>
            <w:pPr>
              <w:spacing w:before="60" w:after="60"/>
            </w:pPr>
            <w:r>
              <w:rPr>
                <w:rFonts w:ascii="Cambria" w:hAnsi="Cambria"/>
                <w:color w:val="1D2D3F"/>
                <w:sz w:val="20"/>
              </w:rPr>
              <w:t>Strait transit fee escrow: first 50% release to Iran on verified compliance</w:t>
            </w:r>
          </w:p>
        </w:tc>
      </w:tr>
      <w:tr>
        <w:tc>
          <w:tcPr/>
          <w:p>
            <w:pPr>
              <w:spacing w:before="60" w:after="60"/>
            </w:pPr>
            <w:r>
              <w:rPr>
                <w:rFonts w:ascii="Cambria" w:hAnsi="Cambria"/>
                <w:color w:val="1D2D3F"/>
                <w:sz w:val="20"/>
              </w:rPr>
              <w:t>Drift 8</w:t>
            </w:r>
          </w:p>
        </w:tc>
        <w:tc>
          <w:tcPr/>
          <w:p>
            <w:pPr>
              <w:spacing w:before="60" w:after="60"/>
            </w:pPr>
            <w:r>
              <w:rPr>
                <w:rFonts w:ascii="Cambria" w:hAnsi="Cambria"/>
                <w:color w:val="1D2D3F"/>
                <w:sz w:val="20"/>
              </w:rPr>
              <w:t>Prisoner exchange completion: all remaining detainees transferred under ICRC witness</w:t>
            </w:r>
          </w:p>
        </w:tc>
      </w:tr>
      <w:tr>
        <w:tc>
          <w:tcPr/>
          <w:p>
            <w:pPr>
              <w:spacing w:before="60" w:after="60"/>
            </w:pPr>
            <w:r>
              <w:rPr>
                <w:rFonts w:ascii="Cambria" w:hAnsi="Cambria"/>
                <w:color w:val="1D2D3F"/>
                <w:sz w:val="20"/>
              </w:rPr>
              <w:t>Drift 9</w:t>
            </w:r>
          </w:p>
        </w:tc>
        <w:tc>
          <w:tcPr/>
          <w:p>
            <w:pPr>
              <w:spacing w:before="60" w:after="60"/>
            </w:pPr>
            <w:r>
              <w:rPr>
                <w:rFonts w:ascii="Cambria" w:hAnsi="Cambria"/>
                <w:color w:val="1D2D3F"/>
                <w:sz w:val="20"/>
              </w:rPr>
              <w:t>The normalization track opens: recognition, full transit, and joint infrastructure enter scope</w:t>
            </w:r>
          </w:p>
        </w:tc>
      </w:tr>
    </w:tbl>
    <w:p>
      <w:pPr>
        <w:pStyle w:val="Heading2"/>
      </w:pPr>
      <w:r>
        <w:t>B.3 — Three-Test Verification</w:t>
      </w:r>
    </w:p>
    <w:p>
      <w:pPr>
        <w:spacing w:after="160" w:line="288" w:lineRule="auto"/>
      </w:pPr>
      <w:r>
        <w:rPr>
          <w:rFonts w:ascii="Cambria" w:hAnsi="Cambria"/>
          <w:color w:val="1D2D3F"/>
          <w:sz w:val="22"/>
        </w:rPr>
        <w:t>Every candidate Drift entry passes three tests before lock: the Structural Test (the gain creates a standing arrangement, not a one-time gesture); the Verification Test (the Joint Coordination Center confirms it against telemetry evidence); and the Irreversibility Test (undoing the gain costs the undoer more than keeping it).</w:t>
      </w:r>
    </w:p>
    <w:p>
      <w:pPr>
        <w:pStyle w:val="Heading1"/>
      </w:pPr>
      <w:r>
        <w:t>Annex C: Frozen Asset Release Schedule</w:t>
      </w:r>
    </w:p>
    <w:p>
      <w:pPr>
        <w:spacing w:after="160" w:line="288" w:lineRule="auto"/>
      </w:pPr>
      <w:r>
        <w:rPr>
          <w:rFonts w:ascii="Cambria" w:hAnsi="Cambria"/>
          <w:color w:val="1D2D3F"/>
          <w:sz w:val="22"/>
        </w:rPr>
        <w:t>This annex resolves the status of approximately $24 billion in frozen Iranian sovereign assets through a clear, time-bound, milestone-based release schedule.</w:t>
      </w:r>
    </w:p>
    <w:p>
      <w:pPr>
        <w:pStyle w:val="Heading2"/>
      </w:pPr>
      <w:r>
        <w:t>C.1 — Two-Tranche Structure</w:t>
      </w:r>
    </w:p>
    <w:p>
      <w:pPr>
        <w:spacing w:after="120" w:line="276" w:lineRule="auto"/>
        <w:ind w:left="720" w:hanging="360"/>
      </w:pPr>
      <w:r>
        <w:rPr>
          <w:rFonts w:ascii="Cambria" w:hAnsi="Cambria"/>
          <w:b/>
          <w:color w:val="1D2D3F"/>
          <w:sz w:val="22"/>
        </w:rPr>
        <w:t>• Initial Compliance Unlock (Phase Two) — </w:t>
      </w:r>
      <w:r>
        <w:rPr>
          <w:rFonts w:ascii="Cambria" w:hAnsi="Cambria"/>
          <w:color w:val="1D2D3F"/>
          <w:sz w:val="22"/>
        </w:rPr>
        <w:t>$2 billion of Iran's own frozen assets releases through neutral Swiss escrow upon the verified Day 14 sealing of all material above 5 percent. No signing event triggers this release.</w:t>
      </w:r>
    </w:p>
    <w:p>
      <w:pPr>
        <w:spacing w:after="120" w:line="276" w:lineRule="auto"/>
        <w:ind w:left="720" w:hanging="360"/>
      </w:pPr>
      <w:r>
        <w:rPr>
          <w:rFonts w:ascii="Cambria" w:hAnsi="Cambria"/>
          <w:b/>
          <w:color w:val="1D2D3F"/>
          <w:sz w:val="22"/>
        </w:rPr>
        <w:t>• Tranche A (Verified-Milestone Release) — </w:t>
      </w:r>
      <w:r>
        <w:rPr>
          <w:rFonts w:ascii="Cambria" w:hAnsi="Cambria"/>
          <w:color w:val="1D2D3F"/>
          <w:sz w:val="22"/>
        </w:rPr>
        <w:t>$10 billion releases in Phase Three upon a verified nuclear milestone — the IAEA-certified execution of the agreed disposition pathway.</w:t>
      </w:r>
    </w:p>
    <w:p>
      <w:pPr>
        <w:spacing w:after="120" w:line="276" w:lineRule="auto"/>
        <w:ind w:left="720" w:hanging="360"/>
      </w:pPr>
      <w:r>
        <w:rPr>
          <w:rFonts w:ascii="Cambria" w:hAnsi="Cambria"/>
          <w:b/>
          <w:color w:val="1D2D3F"/>
          <w:sz w:val="22"/>
        </w:rPr>
        <w:t>• Tranche B (Milestone-Based Phased Release) — </w:t>
      </w:r>
      <w:r>
        <w:rPr>
          <w:rFonts w:ascii="Cambria" w:hAnsi="Cambria"/>
          <w:color w:val="1D2D3F"/>
          <w:sz w:val="22"/>
        </w:rPr>
        <w:t>$12 billion releases in four equal installments of $3 billion each, tied to specific, verifiable milestones in Phase Three.</w:t>
      </w:r>
    </w:p>
    <w:p>
      <w:pPr>
        <w:pStyle w:val="Heading2"/>
      </w:pPr>
      <w:r>
        <w:t>C.2 — Tranche B Milestones</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tblGrid>
      <w:tr>
        <w:tc>
          <w:tcPr>
            <w:shd w:val="clear" w:fill="E8EEF2"/>
          </w:tcPr>
          <w:p>
            <w:pPr>
              <w:spacing w:before="60" w:after="60"/>
            </w:pPr>
            <w:r>
              <w:rPr>
                <w:rFonts w:ascii="Cambria" w:hAnsi="Cambria"/>
                <w:b/>
                <w:color w:val="1D2D3F"/>
                <w:sz w:val="20"/>
              </w:rPr>
              <w:t>Installment</w:t>
            </w:r>
          </w:p>
        </w:tc>
        <w:tc>
          <w:tcPr>
            <w:shd w:val="clear" w:fill="E8EEF2"/>
          </w:tcPr>
          <w:p>
            <w:pPr>
              <w:spacing w:before="60" w:after="60"/>
            </w:pPr>
            <w:r>
              <w:rPr>
                <w:rFonts w:ascii="Cambria" w:hAnsi="Cambria"/>
                <w:b/>
                <w:color w:val="1D2D3F"/>
                <w:sz w:val="20"/>
              </w:rPr>
              <w:t>Milestone</w:t>
            </w:r>
          </w:p>
        </w:tc>
        <w:tc>
          <w:tcPr>
            <w:shd w:val="clear" w:fill="E8EEF2"/>
          </w:tcPr>
          <w:p>
            <w:pPr>
              <w:spacing w:before="60" w:after="60"/>
            </w:pPr>
            <w:r>
              <w:rPr>
                <w:rFonts w:ascii="Cambria" w:hAnsi="Cambria"/>
                <w:b/>
                <w:color w:val="1D2D3F"/>
                <w:sz w:val="20"/>
              </w:rPr>
              <w:t>Verification</w:t>
            </w:r>
          </w:p>
        </w:tc>
      </w:tr>
      <w:tr>
        <w:tc>
          <w:tcPr/>
          <w:p>
            <w:pPr>
              <w:spacing w:before="60" w:after="60"/>
            </w:pPr>
            <w:r>
              <w:rPr>
                <w:rFonts w:ascii="Cambria" w:hAnsi="Cambria"/>
                <w:color w:val="1D2D3F"/>
                <w:sz w:val="20"/>
              </w:rPr>
              <w:t>B-1</w:t>
            </w:r>
          </w:p>
        </w:tc>
        <w:tc>
          <w:tcPr/>
          <w:p>
            <w:pPr>
              <w:spacing w:before="60" w:after="60"/>
            </w:pPr>
            <w:r>
              <w:rPr>
                <w:rFonts w:ascii="Cambria" w:hAnsi="Cambria"/>
                <w:color w:val="1D2D3F"/>
                <w:sz w:val="20"/>
              </w:rPr>
              <w:t>IAEA certification that Iran has placed all enriched uranium above 5% under continuous IAEA seals at declared facilities inside Iran</w:t>
            </w:r>
          </w:p>
        </w:tc>
        <w:tc>
          <w:tcPr/>
          <w:p>
            <w:pPr>
              <w:spacing w:before="60" w:after="60"/>
            </w:pPr>
            <w:r>
              <w:rPr>
                <w:rFonts w:ascii="Cambria" w:hAnsi="Cambria"/>
                <w:color w:val="1D2D3F"/>
                <w:sz w:val="20"/>
              </w:rPr>
              <w:t>IAEA Director General report</w:t>
            </w:r>
          </w:p>
        </w:tc>
      </w:tr>
      <w:tr>
        <w:tc>
          <w:tcPr/>
          <w:p>
            <w:pPr>
              <w:spacing w:before="60" w:after="60"/>
            </w:pPr>
            <w:r>
              <w:rPr>
                <w:rFonts w:ascii="Cambria" w:hAnsi="Cambria"/>
                <w:color w:val="1D2D3F"/>
                <w:sz w:val="20"/>
              </w:rPr>
              <w:t>B-2</w:t>
            </w:r>
          </w:p>
        </w:tc>
        <w:tc>
          <w:tcPr/>
          <w:p>
            <w:pPr>
              <w:spacing w:before="60" w:after="60"/>
            </w:pPr>
            <w:r>
              <w:rPr>
                <w:rFonts w:ascii="Cambria" w:hAnsi="Cambria"/>
                <w:color w:val="1D2D3F"/>
                <w:sz w:val="20"/>
              </w:rPr>
              <w:t>IAEA certification that Iran has completed downblending of all 60% enriched uranium to 20% or below</w:t>
            </w:r>
          </w:p>
        </w:tc>
        <w:tc>
          <w:tcPr/>
          <w:p>
            <w:pPr>
              <w:spacing w:before="60" w:after="60"/>
            </w:pPr>
            <w:r>
              <w:rPr>
                <w:rFonts w:ascii="Cambria" w:hAnsi="Cambria"/>
                <w:color w:val="1D2D3F"/>
                <w:sz w:val="20"/>
              </w:rPr>
              <w:t>IAEA mass spectrometry and continuous monitoring</w:t>
            </w:r>
          </w:p>
        </w:tc>
      </w:tr>
      <w:tr>
        <w:tc>
          <w:tcPr/>
          <w:p>
            <w:pPr>
              <w:spacing w:before="60" w:after="60"/>
            </w:pPr>
            <w:r>
              <w:rPr>
                <w:rFonts w:ascii="Cambria" w:hAnsi="Cambria"/>
                <w:color w:val="1D2D3F"/>
                <w:sz w:val="20"/>
              </w:rPr>
              <w:t>B-3</w:t>
            </w:r>
          </w:p>
        </w:tc>
        <w:tc>
          <w:tcPr/>
          <w:p>
            <w:pPr>
              <w:spacing w:before="60" w:after="60"/>
            </w:pPr>
            <w:r>
              <w:rPr>
                <w:rFonts w:ascii="Cambria" w:hAnsi="Cambria"/>
                <w:color w:val="1D2D3F"/>
                <w:sz w:val="20"/>
              </w:rPr>
              <w:t>Fordow conversion to a medical isotope research center under IAEA supervision (or alternative agreed disposition)</w:t>
            </w:r>
          </w:p>
        </w:tc>
        <w:tc>
          <w:tcPr/>
          <w:p>
            <w:pPr>
              <w:spacing w:before="60" w:after="60"/>
            </w:pPr>
            <w:r>
              <w:rPr>
                <w:rFonts w:ascii="Cambria" w:hAnsi="Cambria"/>
                <w:color w:val="1D2D3F"/>
                <w:sz w:val="20"/>
              </w:rPr>
              <w:t>IAEA certification + Joint Coordination Center confirmation</w:t>
            </w:r>
          </w:p>
        </w:tc>
      </w:tr>
      <w:tr>
        <w:tc>
          <w:tcPr/>
          <w:p>
            <w:pPr>
              <w:spacing w:before="60" w:after="60"/>
            </w:pPr>
            <w:r>
              <w:rPr>
                <w:rFonts w:ascii="Cambria" w:hAnsi="Cambria"/>
                <w:color w:val="1D2D3F"/>
                <w:sz w:val="20"/>
              </w:rPr>
              <w:t>B-4</w:t>
            </w:r>
          </w:p>
        </w:tc>
        <w:tc>
          <w:tcPr/>
          <w:p>
            <w:pPr>
              <w:spacing w:before="60" w:after="60"/>
            </w:pPr>
            <w:r>
              <w:rPr>
                <w:rFonts w:ascii="Cambria" w:hAnsi="Cambria"/>
                <w:color w:val="1D2D3F"/>
                <w:sz w:val="20"/>
              </w:rPr>
              <w:t>12 consecutive months of sustained compliance with all core nuclear commitments</w:t>
            </w:r>
          </w:p>
        </w:tc>
        <w:tc>
          <w:tcPr/>
          <w:p>
            <w:pPr>
              <w:spacing w:before="60" w:after="60"/>
            </w:pPr>
            <w:r>
              <w:rPr>
                <w:rFonts w:ascii="Cambria" w:hAnsi="Cambria"/>
                <w:color w:val="1D2D3F"/>
                <w:sz w:val="20"/>
              </w:rPr>
              <w:t>IAEA quarterly reports + Joint Coordination Center annual review</w:t>
            </w:r>
          </w:p>
        </w:tc>
      </w:tr>
    </w:tbl>
    <w:p>
      <w:pPr>
        <w:pStyle w:val="Heading2"/>
      </w:pPr>
      <w:r>
        <w:t>C.3 — Safeguards Against Re-Freezing</w:t>
      </w:r>
    </w:p>
    <w:p>
      <w:pPr>
        <w:spacing w:after="160" w:line="288" w:lineRule="auto"/>
      </w:pPr>
      <w:r>
        <w:rPr>
          <w:rFonts w:ascii="Cambria" w:hAnsi="Cambria"/>
          <w:color w:val="1D2D3F"/>
          <w:sz w:val="22"/>
        </w:rPr>
        <w:t>Funds released under this Annex are not subject to re-freezing, re-designation, or new sanctions except through the Step-Back process in Article VI, which requires a Human-in-the-Loop finding of material breach. No unilateral executive order or legislative action claws back released funds. Objections from any third-party state do not affect the release of frozen Iranian assets under this Annex. The Swiss escrow executes each release automatically upon IAEA and Joint Coordination Center certification.</w:t>
      </w:r>
    </w:p>
    <w:p>
      <w:pPr>
        <w:pStyle w:val="Heading1"/>
      </w:pPr>
      <w:r>
        <w:t>Annex D: Definitions and Interpretive Notes</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tblGrid>
      <w:tr>
        <w:tc>
          <w:tcPr>
            <w:shd w:val="clear" w:fill="E8EEF2"/>
          </w:tcPr>
          <w:p>
            <w:pPr>
              <w:spacing w:before="60" w:after="60"/>
            </w:pPr>
            <w:r>
              <w:rPr>
                <w:rFonts w:ascii="Cambria" w:hAnsi="Cambria"/>
                <w:b/>
                <w:color w:val="1D2D3F"/>
                <w:sz w:val="20"/>
              </w:rPr>
              <w:t>Term</w:t>
            </w:r>
          </w:p>
        </w:tc>
        <w:tc>
          <w:tcPr>
            <w:shd w:val="clear" w:fill="E8EEF2"/>
          </w:tcPr>
          <w:p>
            <w:pPr>
              <w:spacing w:before="60" w:after="60"/>
            </w:pPr>
            <w:r>
              <w:rPr>
                <w:rFonts w:ascii="Cambria" w:hAnsi="Cambria"/>
                <w:b/>
                <w:color w:val="1D2D3F"/>
                <w:sz w:val="20"/>
              </w:rPr>
              <w:t>Definition</w:t>
            </w:r>
          </w:p>
        </w:tc>
      </w:tr>
      <w:tr>
        <w:tc>
          <w:tcPr/>
          <w:p>
            <w:pPr>
              <w:spacing w:before="60" w:after="60"/>
            </w:pPr>
            <w:r>
              <w:rPr>
                <w:rFonts w:ascii="Cambria" w:hAnsi="Cambria"/>
                <w:color w:val="1D2D3F"/>
                <w:sz w:val="20"/>
              </w:rPr>
              <w:t>Reciprocity Unit</w:t>
            </w:r>
          </w:p>
        </w:tc>
        <w:tc>
          <w:tcPr/>
          <w:p>
            <w:pPr>
              <w:spacing w:before="60" w:after="60"/>
            </w:pPr>
            <w:r>
              <w:rPr>
                <w:rFonts w:ascii="Cambria" w:hAnsi="Cambria"/>
                <w:color w:val="1D2D3F"/>
                <w:sz w:val="20"/>
              </w:rPr>
              <w:t>A paired set of commitments, one from each Party, that activate simultaneously</w:t>
            </w:r>
          </w:p>
        </w:tc>
      </w:tr>
      <w:tr>
        <w:tc>
          <w:tcPr/>
          <w:p>
            <w:pPr>
              <w:spacing w:before="60" w:after="60"/>
            </w:pPr>
            <w:r>
              <w:rPr>
                <w:rFonts w:ascii="Cambria" w:hAnsi="Cambria"/>
                <w:color w:val="1D2D3F"/>
                <w:sz w:val="20"/>
              </w:rPr>
              <w:t>Synchronized Activation</w:t>
            </w:r>
          </w:p>
        </w:tc>
        <w:tc>
          <w:tcPr/>
          <w:p>
            <w:pPr>
              <w:spacing w:before="60" w:after="60"/>
            </w:pPr>
            <w:r>
              <w:rPr>
                <w:rFonts w:ascii="Cambria" w:hAnsi="Cambria"/>
                <w:color w:val="1D2D3F"/>
                <w:sz w:val="20"/>
              </w:rPr>
              <w:t>The process by which both commitments in a reciprocity unit begin implementation at the same moment</w:t>
            </w:r>
          </w:p>
        </w:tc>
      </w:tr>
      <w:tr>
        <w:tc>
          <w:tcPr/>
          <w:p>
            <w:pPr>
              <w:spacing w:before="60" w:after="60"/>
            </w:pPr>
            <w:r>
              <w:rPr>
                <w:rFonts w:ascii="Cambria" w:hAnsi="Cambria"/>
                <w:color w:val="1D2D3F"/>
                <w:sz w:val="20"/>
              </w:rPr>
              <w:t>Step-Back</w:t>
            </w:r>
          </w:p>
        </w:tc>
        <w:tc>
          <w:tcPr/>
          <w:p>
            <w:pPr>
              <w:spacing w:before="60" w:after="60"/>
            </w:pPr>
            <w:r>
              <w:rPr>
                <w:rFonts w:ascii="Cambria" w:hAnsi="Cambria"/>
                <w:color w:val="1D2D3F"/>
                <w:sz w:val="20"/>
              </w:rPr>
              <w:t>A proportional suspension of reciprocity units in response to a confirmed breach, excluding snapback</w:t>
            </w:r>
          </w:p>
        </w:tc>
      </w:tr>
      <w:tr>
        <w:tc>
          <w:tcPr/>
          <w:p>
            <w:pPr>
              <w:spacing w:before="60" w:after="60"/>
            </w:pPr>
            <w:r>
              <w:rPr>
                <w:rFonts w:ascii="Cambria" w:hAnsi="Cambria"/>
                <w:color w:val="1D2D3F"/>
                <w:sz w:val="20"/>
              </w:rPr>
              <w:t>Earn-Back</w:t>
            </w:r>
          </w:p>
        </w:tc>
        <w:tc>
          <w:tcPr/>
          <w:p>
            <w:pPr>
              <w:spacing w:before="60" w:after="60"/>
            </w:pPr>
            <w:r>
              <w:rPr>
                <w:rFonts w:ascii="Cambria" w:hAnsi="Cambria"/>
                <w:color w:val="1D2D3F"/>
                <w:sz w:val="20"/>
              </w:rPr>
              <w:t>The automatic restoration of suspended reciprocity units upon correction of the underlying deficiency</w:t>
            </w:r>
          </w:p>
        </w:tc>
      </w:tr>
      <w:tr>
        <w:tc>
          <w:tcPr/>
          <w:p>
            <w:pPr>
              <w:spacing w:before="60" w:after="60"/>
            </w:pPr>
            <w:r>
              <w:rPr>
                <w:rFonts w:ascii="Cambria" w:hAnsi="Cambria"/>
                <w:color w:val="1D2D3F"/>
                <w:sz w:val="20"/>
              </w:rPr>
              <w:t>Neutral Guarantor</w:t>
            </w:r>
          </w:p>
        </w:tc>
        <w:tc>
          <w:tcPr/>
          <w:p>
            <w:pPr>
              <w:spacing w:before="60" w:after="60"/>
            </w:pPr>
            <w:r>
              <w:rPr>
                <w:rFonts w:ascii="Cambria" w:hAnsi="Cambria"/>
                <w:color w:val="1D2D3F"/>
                <w:sz w:val="20"/>
              </w:rPr>
              <w:t>The Sultanate of Oman and designated secondary guarantors providing impartial facilitation</w:t>
            </w:r>
          </w:p>
        </w:tc>
      </w:tr>
      <w:tr>
        <w:tc>
          <w:tcPr/>
          <w:p>
            <w:pPr>
              <w:spacing w:before="60" w:after="60"/>
            </w:pPr>
            <w:r>
              <w:rPr>
                <w:rFonts w:ascii="Cambria" w:hAnsi="Cambria"/>
                <w:color w:val="1D2D3F"/>
                <w:sz w:val="20"/>
              </w:rPr>
              <w:t>Telemetry</w:t>
            </w:r>
          </w:p>
        </w:tc>
        <w:tc>
          <w:tcPr/>
          <w:p>
            <w:pPr>
              <w:spacing w:before="60" w:after="60"/>
            </w:pPr>
            <w:r>
              <w:rPr>
                <w:rFonts w:ascii="Cambria" w:hAnsi="Cambria"/>
                <w:color w:val="1D2D3F"/>
                <w:sz w:val="20"/>
              </w:rPr>
              <w:t>Objective, mechanical data including sensor readings, financial records, and physical confirmations</w:t>
            </w:r>
          </w:p>
        </w:tc>
      </w:tr>
      <w:tr>
        <w:tc>
          <w:tcPr/>
          <w:p>
            <w:pPr>
              <w:spacing w:before="60" w:after="60"/>
            </w:pPr>
            <w:r>
              <w:rPr>
                <w:rFonts w:ascii="Cambria" w:hAnsi="Cambria"/>
                <w:color w:val="1D2D3F"/>
                <w:sz w:val="20"/>
              </w:rPr>
              <w:t>Human-in-the-Loop</w:t>
            </w:r>
          </w:p>
        </w:tc>
        <w:tc>
          <w:tcPr/>
          <w:p>
            <w:pPr>
              <w:spacing w:before="60" w:after="60"/>
            </w:pPr>
            <w:r>
              <w:rPr>
                <w:rFonts w:ascii="Cambria" w:hAnsi="Cambria"/>
                <w:color w:val="1D2D3F"/>
                <w:sz w:val="20"/>
              </w:rPr>
              <w:t>The dispute resolution process involving human judgment rather than automated penalties</w:t>
            </w:r>
          </w:p>
        </w:tc>
      </w:tr>
      <w:tr>
        <w:tc>
          <w:tcPr/>
          <w:p>
            <w:pPr>
              <w:spacing w:before="60" w:after="60"/>
            </w:pPr>
            <w:r>
              <w:rPr>
                <w:rFonts w:ascii="Cambria" w:hAnsi="Cambria"/>
                <w:color w:val="1D2D3F"/>
                <w:sz w:val="20"/>
              </w:rPr>
              <w:t>Firewall</w:t>
            </w:r>
          </w:p>
        </w:tc>
        <w:tc>
          <w:tcPr/>
          <w:p>
            <w:pPr>
              <w:spacing w:before="60" w:after="60"/>
            </w:pPr>
            <w:r>
              <w:rPr>
                <w:rFonts w:ascii="Cambria" w:hAnsi="Cambria"/>
                <w:color w:val="1D2D3F"/>
                <w:sz w:val="20"/>
              </w:rPr>
              <w:t>The operational separation between the core Compact and standalone annexes such as the Lebanon Protocol</w:t>
            </w:r>
          </w:p>
        </w:tc>
      </w:tr>
      <w:tr>
        <w:tc>
          <w:tcPr/>
          <w:p>
            <w:pPr>
              <w:spacing w:before="60" w:after="60"/>
            </w:pPr>
            <w:r>
              <w:rPr>
                <w:rFonts w:ascii="Cambria" w:hAnsi="Cambria"/>
                <w:color w:val="1D2D3F"/>
                <w:sz w:val="20"/>
              </w:rPr>
              <w:t>Stability Coefficient</w:t>
            </w:r>
          </w:p>
        </w:tc>
        <w:tc>
          <w:tcPr/>
          <w:p>
            <w:pPr>
              <w:spacing w:before="60" w:after="60"/>
            </w:pPr>
            <w:r>
              <w:rPr>
                <w:rFonts w:ascii="Cambria" w:hAnsi="Cambria"/>
                <w:color w:val="1D2D3F"/>
                <w:sz w:val="20"/>
              </w:rPr>
              <w:t>The measurable coefficient linking rotation speed in the outer processing bands to pressure resistance at the Core Protection Filter</w:t>
            </w:r>
          </w:p>
        </w:tc>
      </w:tr>
      <w:tr>
        <w:tc>
          <w:tcPr/>
          <w:p>
            <w:pPr>
              <w:spacing w:before="60" w:after="60"/>
            </w:pPr>
            <w:r>
              <w:rPr>
                <w:rFonts w:ascii="Cambria" w:hAnsi="Cambria"/>
                <w:color w:val="1D2D3F"/>
                <w:sz w:val="20"/>
              </w:rPr>
              <w:t>Reciprocity Index</w:t>
            </w:r>
          </w:p>
        </w:tc>
        <w:tc>
          <w:tcPr/>
          <w:p>
            <w:pPr>
              <w:spacing w:before="60" w:after="60"/>
            </w:pPr>
            <w:r>
              <w:rPr>
                <w:rFonts w:ascii="Cambria" w:hAnsi="Cambria"/>
                <w:color w:val="1D2D3F"/>
                <w:sz w:val="20"/>
              </w:rPr>
              <w:t>The four-component composite score measuring the degree to which a verified action has changed the environment for the other Party</w:t>
            </w:r>
          </w:p>
        </w:tc>
      </w:tr>
      <w:tr>
        <w:tc>
          <w:tcPr/>
          <w:p>
            <w:pPr>
              <w:spacing w:before="60" w:after="60"/>
            </w:pPr>
            <w:r>
              <w:rPr>
                <w:rFonts w:ascii="Cambria" w:hAnsi="Cambria"/>
                <w:color w:val="1D2D3F"/>
                <w:sz w:val="20"/>
              </w:rPr>
              <w:t>Benefit Corridor</w:t>
            </w:r>
          </w:p>
        </w:tc>
        <w:tc>
          <w:tcPr/>
          <w:p>
            <w:pPr>
              <w:spacing w:before="60" w:after="60"/>
            </w:pPr>
            <w:r>
              <w:rPr>
                <w:rFonts w:ascii="Cambria" w:hAnsi="Cambria"/>
                <w:color w:val="1D2D3F"/>
                <w:sz w:val="20"/>
              </w:rPr>
              <w:t>A framework-defined zone of reduced political and security cost created by a Party's verified action</w:t>
            </w:r>
          </w:p>
        </w:tc>
      </w:tr>
      <w:tr>
        <w:tc>
          <w:tcPr/>
          <w:p>
            <w:pPr>
              <w:spacing w:before="60" w:after="60"/>
            </w:pPr>
            <w:r>
              <w:rPr>
                <w:rFonts w:ascii="Cambria" w:hAnsi="Cambria"/>
                <w:color w:val="1D2D3F"/>
                <w:sz w:val="20"/>
              </w:rPr>
              <w:t>Forward Drift Archive</w:t>
            </w:r>
          </w:p>
        </w:tc>
        <w:tc>
          <w:tcPr/>
          <w:p>
            <w:pPr>
              <w:spacing w:before="60" w:after="60"/>
            </w:pPr>
            <w:r>
              <w:rPr>
                <w:rFonts w:ascii="Cambria" w:hAnsi="Cambria"/>
                <w:color w:val="1D2D3F"/>
                <w:sz w:val="20"/>
              </w:rPr>
              <w:t>The permanent ledger of structural gains that no later setback reverses</w:t>
            </w:r>
          </w:p>
        </w:tc>
      </w:tr>
      <w:tr>
        <w:tc>
          <w:tcPr/>
          <w:p>
            <w:pPr>
              <w:spacing w:before="60" w:after="60"/>
            </w:pPr>
            <w:r>
              <w:rPr>
                <w:rFonts w:ascii="Cambria" w:hAnsi="Cambria"/>
                <w:color w:val="1D2D3F"/>
                <w:sz w:val="20"/>
              </w:rPr>
              <w:t>Synchronization Clock</w:t>
            </w:r>
          </w:p>
        </w:tc>
        <w:tc>
          <w:tcPr/>
          <w:p>
            <w:pPr>
              <w:spacing w:before="60" w:after="60"/>
            </w:pPr>
            <w:r>
              <w:rPr>
                <w:rFonts w:ascii="Cambria" w:hAnsi="Cambria"/>
                <w:color w:val="1D2D3F"/>
                <w:sz w:val="20"/>
              </w:rPr>
              <w:t>The conditional schedule in which the next event activates when the previous event's verification is confirmed</w:t>
            </w:r>
          </w:p>
        </w:tc>
      </w:tr>
      <w:tr>
        <w:tc>
          <w:tcPr/>
          <w:p>
            <w:pPr>
              <w:spacing w:before="60" w:after="60"/>
            </w:pPr>
            <w:r>
              <w:rPr>
                <w:rFonts w:ascii="Cambria" w:hAnsi="Cambria"/>
                <w:color w:val="1D2D3F"/>
                <w:sz w:val="20"/>
              </w:rPr>
              <w:t>Core Protection Filter</w:t>
            </w:r>
          </w:p>
        </w:tc>
        <w:tc>
          <w:tcPr/>
          <w:p>
            <w:pPr>
              <w:spacing w:before="60" w:after="60"/>
            </w:pPr>
            <w:r>
              <w:rPr>
                <w:rFonts w:ascii="Cambria" w:hAnsi="Cambria"/>
                <w:color w:val="1D2D3F"/>
                <w:sz w:val="20"/>
              </w:rPr>
              <w:t>The selective membrane between the rotating bands and the still center of the Compact</w:t>
            </w:r>
          </w:p>
        </w:tc>
      </w:tr>
      <w:tr>
        <w:tc>
          <w:tcPr/>
          <w:p>
            <w:pPr>
              <w:spacing w:before="60" w:after="60"/>
            </w:pPr>
            <w:r>
              <w:rPr>
                <w:rFonts w:ascii="Cambria" w:hAnsi="Cambria"/>
                <w:color w:val="1D2D3F"/>
                <w:sz w:val="20"/>
              </w:rPr>
              <w:t>Lateral Transfer</w:t>
            </w:r>
          </w:p>
        </w:tc>
        <w:tc>
          <w:tcPr/>
          <w:p>
            <w:pPr>
              <w:spacing w:before="60" w:after="60"/>
            </w:pPr>
            <w:r>
              <w:rPr>
                <w:rFonts w:ascii="Cambria" w:hAnsi="Cambria"/>
                <w:color w:val="1D2D3F"/>
                <w:sz w:val="20"/>
              </w:rPr>
              <w:t>The sideways movement of a dispute between bands or to parallel tracks within the same band</w:t>
            </w:r>
          </w:p>
        </w:tc>
      </w:tr>
      <w:tr>
        <w:tc>
          <w:tcPr/>
          <w:p>
            <w:pPr>
              <w:spacing w:before="60" w:after="60"/>
            </w:pPr>
            <w:r>
              <w:rPr>
                <w:rFonts w:ascii="Cambria" w:hAnsi="Cambria"/>
                <w:color w:val="1D2D3F"/>
                <w:sz w:val="20"/>
              </w:rPr>
              <w:t>Pattern Monitoring</w:t>
            </w:r>
          </w:p>
        </w:tc>
        <w:tc>
          <w:tcPr/>
          <w:p>
            <w:pPr>
              <w:spacing w:before="60" w:after="60"/>
            </w:pPr>
            <w:r>
              <w:rPr>
                <w:rFonts w:ascii="Cambria" w:hAnsi="Cambria"/>
                <w:color w:val="1D2D3F"/>
                <w:sz w:val="20"/>
              </w:rPr>
              <w:t>The pattern-based integrity monitoring system that detects anomalies without naming violators</w:t>
            </w:r>
          </w:p>
        </w:tc>
      </w:tr>
      <w:tr>
        <w:tc>
          <w:tcPr/>
          <w:p>
            <w:pPr>
              <w:spacing w:before="60" w:after="60"/>
            </w:pPr>
            <w:r>
              <w:rPr>
                <w:rFonts w:ascii="Cambria" w:hAnsi="Cambria"/>
                <w:color w:val="1D2D3F"/>
                <w:sz w:val="20"/>
              </w:rPr>
              <w:t>Crisis Anchor</w:t>
            </w:r>
          </w:p>
        </w:tc>
        <w:tc>
          <w:tcPr/>
          <w:p>
            <w:pPr>
              <w:spacing w:before="60" w:after="60"/>
            </w:pPr>
            <w:r>
              <w:rPr>
                <w:rFonts w:ascii="Cambria" w:hAnsi="Cambria"/>
                <w:color w:val="1D2D3F"/>
                <w:sz w:val="20"/>
              </w:rPr>
              <w:t>The protocol that drops the system into a Deep Trough and anchors it through a macro-crisis</w:t>
            </w:r>
          </w:p>
        </w:tc>
      </w:tr>
      <w:tr>
        <w:tc>
          <w:tcPr/>
          <w:p>
            <w:pPr>
              <w:spacing w:before="60" w:after="60"/>
            </w:pPr>
            <w:r>
              <w:rPr>
                <w:rFonts w:ascii="Cambria" w:hAnsi="Cambria"/>
                <w:color w:val="1D2D3F"/>
                <w:sz w:val="20"/>
              </w:rPr>
              <w:t>Sounding</w:t>
            </w:r>
          </w:p>
        </w:tc>
        <w:tc>
          <w:tcPr/>
          <w:p>
            <w:pPr>
              <w:spacing w:before="60" w:after="60"/>
            </w:pPr>
            <w:r>
              <w:rPr>
                <w:rFonts w:ascii="Cambria" w:hAnsi="Cambria"/>
                <w:color w:val="1D2D3F"/>
                <w:sz w:val="20"/>
              </w:rPr>
              <w:t>The structured status exchange in which each Party records one favorable surprise and one concern at each Trough</w:t>
            </w:r>
          </w:p>
        </w:tc>
      </w:tr>
      <w:tr>
        <w:tc>
          <w:tcPr/>
          <w:p>
            <w:pPr>
              <w:spacing w:before="60" w:after="60"/>
            </w:pPr>
            <w:r>
              <w:rPr>
                <w:rFonts w:ascii="Cambria" w:hAnsi="Cambria"/>
                <w:color w:val="1D2D3F"/>
                <w:sz w:val="20"/>
              </w:rPr>
              <w:t>Resonance Window</w:t>
            </w:r>
          </w:p>
        </w:tc>
        <w:tc>
          <w:tcPr/>
          <w:p>
            <w:pPr>
              <w:spacing w:before="60" w:after="60"/>
            </w:pPr>
            <w:r>
              <w:rPr>
                <w:rFonts w:ascii="Cambria" w:hAnsi="Cambria"/>
                <w:color w:val="1D2D3F"/>
                <w:sz w:val="20"/>
              </w:rPr>
              <w:t>The period during which aligned Parties compound their gains through synchronized action</w:t>
            </w:r>
          </w:p>
        </w:tc>
      </w:tr>
      <w:tr>
        <w:tc>
          <w:tcPr/>
          <w:p>
            <w:pPr>
              <w:spacing w:before="60" w:after="60"/>
            </w:pPr>
            <w:r>
              <w:rPr>
                <w:rFonts w:ascii="Cambria" w:hAnsi="Cambria"/>
                <w:color w:val="1D2D3F"/>
                <w:sz w:val="20"/>
              </w:rPr>
              <w:t>Impact Absorption Zone</w:t>
            </w:r>
          </w:p>
        </w:tc>
        <w:tc>
          <w:tcPr/>
          <w:p>
            <w:pPr>
              <w:spacing w:before="60" w:after="60"/>
            </w:pPr>
            <w:r>
              <w:rPr>
                <w:rFonts w:ascii="Cambria" w:hAnsi="Cambria"/>
                <w:color w:val="1D2D3F"/>
                <w:sz w:val="20"/>
              </w:rPr>
              <w:t>A structural crumple zone designed to deform under impact, protecting the core architecture</w:t>
            </w:r>
          </w:p>
        </w:tc>
      </w:tr>
      <w:tr>
        <w:tc>
          <w:tcPr/>
          <w:p>
            <w:pPr>
              <w:spacing w:before="60" w:after="60"/>
            </w:pPr>
            <w:r>
              <w:rPr>
                <w:rFonts w:ascii="Cambria" w:hAnsi="Cambria"/>
                <w:color w:val="1D2D3F"/>
                <w:sz w:val="20"/>
              </w:rPr>
              <w:t>Continuous Verification Pulse</w:t>
            </w:r>
          </w:p>
        </w:tc>
        <w:tc>
          <w:tcPr/>
          <w:p>
            <w:pPr>
              <w:spacing w:before="60" w:after="60"/>
            </w:pPr>
            <w:r>
              <w:rPr>
                <w:rFonts w:ascii="Cambria" w:hAnsi="Cambria"/>
                <w:color w:val="1D2D3F"/>
                <w:sz w:val="20"/>
              </w:rPr>
              <w:t>The uninterrupted signal of compliance status operating at tiered cadences</w:t>
            </w:r>
          </w:p>
        </w:tc>
      </w:tr>
      <w:tr>
        <w:tc>
          <w:tcPr/>
          <w:p>
            <w:pPr>
              <w:spacing w:before="60" w:after="60"/>
            </w:pPr>
            <w:r>
              <w:rPr>
                <w:rFonts w:ascii="Cambria" w:hAnsi="Cambria"/>
                <w:color w:val="1D2D3F"/>
                <w:sz w:val="20"/>
              </w:rPr>
              <w:t>Cold Data Reserve</w:t>
            </w:r>
          </w:p>
        </w:tc>
        <w:tc>
          <w:tcPr/>
          <w:p>
            <w:pPr>
              <w:spacing w:before="60" w:after="60"/>
            </w:pPr>
            <w:r>
              <w:rPr>
                <w:rFonts w:ascii="Cambria" w:hAnsi="Cambria"/>
                <w:color w:val="1D2D3F"/>
                <w:sz w:val="20"/>
              </w:rPr>
              <w:t>The immutable, multi-copy, cryptographically secured log of all framework decisions</w:t>
            </w:r>
          </w:p>
        </w:tc>
      </w:tr>
      <w:tr>
        <w:tc>
          <w:tcPr/>
          <w:p>
            <w:pPr>
              <w:spacing w:before="60" w:after="60"/>
            </w:pPr>
            <w:r>
              <w:rPr>
                <w:rFonts w:ascii="Cambria" w:hAnsi="Cambria"/>
                <w:color w:val="1D2D3F"/>
                <w:sz w:val="20"/>
              </w:rPr>
              <w:t>Tension Index</w:t>
            </w:r>
          </w:p>
        </w:tc>
        <w:tc>
          <w:tcPr/>
          <w:p>
            <w:pPr>
              <w:spacing w:before="60" w:after="60"/>
            </w:pPr>
            <w:r>
              <w:rPr>
                <w:rFonts w:ascii="Cambria" w:hAnsi="Cambria"/>
                <w:color w:val="1D2D3F"/>
                <w:sz w:val="20"/>
              </w:rPr>
              <w:t>The environmental assessment tool quantifying ambient conflict pressure across all processing bands</w:t>
            </w:r>
          </w:p>
        </w:tc>
      </w:tr>
      <w:tr>
        <w:tc>
          <w:tcPr/>
          <w:p>
            <w:pPr>
              <w:spacing w:before="60" w:after="60"/>
            </w:pPr>
            <w:r>
              <w:rPr>
                <w:rFonts w:ascii="Cambria" w:hAnsi="Cambria"/>
                <w:color w:val="1D2D3F"/>
                <w:sz w:val="20"/>
              </w:rPr>
              <w:t>Dormancy</w:t>
            </w:r>
          </w:p>
        </w:tc>
        <w:tc>
          <w:tcPr/>
          <w:p>
            <w:pPr>
              <w:spacing w:before="60" w:after="60"/>
            </w:pPr>
            <w:r>
              <w:rPr>
                <w:rFonts w:ascii="Cambria" w:hAnsi="Cambria"/>
                <w:color w:val="1D2D3F"/>
                <w:sz w:val="20"/>
              </w:rPr>
              <w:t>The non-participatory status in which a Party remains bound by the Forward Drift Archive but holds no voting rights</w:t>
            </w:r>
          </w:p>
        </w:tc>
      </w:tr>
    </w:tbl>
    <w:p>
      <w:pPr>
        <w:pStyle w:val="Heading1"/>
      </w:pPr>
      <w:r>
        <w:t>Annex E: Nuclear Reciprocity Matrix and Sequencing Map</w:t>
      </w:r>
    </w:p>
    <w:p>
      <w:pPr>
        <w:spacing w:after="160" w:line="288" w:lineRule="auto"/>
      </w:pPr>
      <w:r>
        <w:rPr>
          <w:rFonts w:ascii="Cambria" w:hAnsi="Cambria"/>
          <w:color w:val="1D2D3F"/>
          <w:sz w:val="22"/>
        </w:rPr>
        <w:t>This annex provides the nuclear-specific reciprocity architecture. It maps Iranian nuclear steps against American reciprocal measures on a precise timeline. This is the nuclear engine of the Compact.</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tblGrid>
      <w:tr>
        <w:tc>
          <w:tcPr>
            <w:shd w:val="clear" w:fill="E8EEF2"/>
          </w:tcPr>
          <w:p>
            <w:pPr>
              <w:spacing w:before="60" w:after="60"/>
            </w:pPr>
            <w:r>
              <w:rPr>
                <w:rFonts w:ascii="Cambria" w:hAnsi="Cambria"/>
                <w:b/>
                <w:color w:val="1D2D3F"/>
                <w:sz w:val="20"/>
              </w:rPr>
              <w:t>Timeline</w:t>
            </w:r>
          </w:p>
        </w:tc>
        <w:tc>
          <w:tcPr>
            <w:shd w:val="clear" w:fill="E8EEF2"/>
          </w:tcPr>
          <w:p>
            <w:pPr>
              <w:spacing w:before="60" w:after="60"/>
            </w:pPr>
            <w:r>
              <w:rPr>
                <w:rFonts w:ascii="Cambria" w:hAnsi="Cambria"/>
                <w:b/>
                <w:color w:val="1D2D3F"/>
                <w:sz w:val="20"/>
              </w:rPr>
              <w:t>Iranian Step</w:t>
            </w:r>
          </w:p>
        </w:tc>
        <w:tc>
          <w:tcPr>
            <w:shd w:val="clear" w:fill="E8EEF2"/>
          </w:tcPr>
          <w:p>
            <w:pPr>
              <w:spacing w:before="60" w:after="60"/>
            </w:pPr>
            <w:r>
              <w:rPr>
                <w:rFonts w:ascii="Cambria" w:hAnsi="Cambria"/>
                <w:b/>
                <w:color w:val="1D2D3F"/>
                <w:sz w:val="20"/>
              </w:rPr>
              <w:t>US Reciprocal Measure</w:t>
            </w:r>
          </w:p>
        </w:tc>
      </w:tr>
      <w:tr>
        <w:tc>
          <w:tcPr/>
          <w:p>
            <w:pPr>
              <w:spacing w:before="60" w:after="60"/>
            </w:pPr>
            <w:r>
              <w:rPr>
                <w:rFonts w:ascii="Cambria" w:hAnsi="Cambria"/>
                <w:color w:val="1D2D3F"/>
                <w:sz w:val="20"/>
              </w:rPr>
              <w:t>Day 1 (signature)</w:t>
            </w:r>
          </w:p>
        </w:tc>
        <w:tc>
          <w:tcPr/>
          <w:p>
            <w:pPr>
              <w:spacing w:before="60" w:after="60"/>
            </w:pPr>
            <w:r>
              <w:rPr>
                <w:rFonts w:ascii="Cambria" w:hAnsi="Cambria"/>
                <w:color w:val="1D2D3F"/>
                <w:sz w:val="20"/>
              </w:rPr>
              <w:t>Maintain enrichment at or below 3.67%; sustain seal integrity on all material above 5%</w:t>
            </w:r>
          </w:p>
        </w:tc>
        <w:tc>
          <w:tcPr/>
          <w:p>
            <w:pPr>
              <w:spacing w:before="60" w:after="60"/>
            </w:pPr>
            <w:r>
              <w:rPr>
                <w:rFonts w:ascii="Cambria" w:hAnsi="Cambria"/>
                <w:color w:val="1D2D3F"/>
                <w:sz w:val="20"/>
              </w:rPr>
              <w:t>$250 million humanitarian tranche releases; oil export processing begins</w:t>
            </w:r>
          </w:p>
        </w:tc>
      </w:tr>
      <w:tr>
        <w:tc>
          <w:tcPr/>
          <w:p>
            <w:pPr>
              <w:spacing w:before="60" w:after="60"/>
            </w:pPr>
            <w:r>
              <w:rPr>
                <w:rFonts w:ascii="Cambria" w:hAnsi="Cambria"/>
                <w:color w:val="1D2D3F"/>
                <w:sz w:val="20"/>
              </w:rPr>
              <w:t>Day 3</w:t>
            </w:r>
          </w:p>
        </w:tc>
        <w:tc>
          <w:tcPr/>
          <w:p>
            <w:pPr>
              <w:spacing w:before="60" w:after="60"/>
            </w:pPr>
            <w:r>
              <w:rPr>
                <w:rFonts w:ascii="Cambria" w:hAnsi="Cambria"/>
                <w:color w:val="1D2D3F"/>
                <w:sz w:val="20"/>
              </w:rPr>
              <w:t>Facilitate IAEA installation of continuous monitoring equipment at all declared facilities</w:t>
            </w:r>
          </w:p>
        </w:tc>
        <w:tc>
          <w:tcPr/>
          <w:p>
            <w:pPr>
              <w:spacing w:before="60" w:after="60"/>
            </w:pPr>
            <w:r>
              <w:rPr>
                <w:rFonts w:ascii="Cambria" w:hAnsi="Cambria"/>
                <w:color w:val="1D2D3F"/>
                <w:sz w:val="20"/>
              </w:rPr>
              <w:t>Humanitarian general license expands to cover agricultural commodities and civilian aviation parts</w:t>
            </w:r>
          </w:p>
        </w:tc>
      </w:tr>
      <w:tr>
        <w:tc>
          <w:tcPr/>
          <w:p>
            <w:pPr>
              <w:spacing w:before="60" w:after="60"/>
            </w:pPr>
            <w:r>
              <w:rPr>
                <w:rFonts w:ascii="Cambria" w:hAnsi="Cambria"/>
                <w:color w:val="1D2D3F"/>
                <w:sz w:val="20"/>
              </w:rPr>
              <w:t>Day 7</w:t>
            </w:r>
          </w:p>
        </w:tc>
        <w:tc>
          <w:tcPr/>
          <w:p>
            <w:pPr>
              <w:spacing w:before="60" w:after="60"/>
            </w:pPr>
            <w:r>
              <w:rPr>
                <w:rFonts w:ascii="Cambria" w:hAnsi="Cambria"/>
                <w:color w:val="1D2D3F"/>
                <w:sz w:val="20"/>
              </w:rPr>
              <w:t>Provide complete declaration of all enriched uranium stockpiles</w:t>
            </w:r>
          </w:p>
        </w:tc>
        <w:tc>
          <w:tcPr/>
          <w:p>
            <w:pPr>
              <w:spacing w:before="60" w:after="60"/>
            </w:pPr>
            <w:r>
              <w:rPr>
                <w:rFonts w:ascii="Cambria" w:hAnsi="Cambria"/>
                <w:color w:val="1D2D3F"/>
                <w:sz w:val="20"/>
              </w:rPr>
              <w:t>Treasury publishes licensing guidance; SWIFT engagement guidance issued</w:t>
            </w:r>
          </w:p>
        </w:tc>
      </w:tr>
      <w:tr>
        <w:tc>
          <w:tcPr/>
          <w:p>
            <w:pPr>
              <w:spacing w:before="60" w:after="60"/>
            </w:pPr>
            <w:r>
              <w:rPr>
                <w:rFonts w:ascii="Cambria" w:hAnsi="Cambria"/>
                <w:color w:val="1D2D3F"/>
                <w:sz w:val="20"/>
              </w:rPr>
              <w:t>Day 14</w:t>
            </w:r>
          </w:p>
        </w:tc>
        <w:tc>
          <w:tcPr/>
          <w:p>
            <w:pPr>
              <w:spacing w:before="60" w:after="60"/>
            </w:pPr>
            <w:r>
              <w:rPr>
                <w:rFonts w:ascii="Cambria" w:hAnsi="Cambria"/>
                <w:color w:val="1D2D3F"/>
                <w:sz w:val="20"/>
              </w:rPr>
              <w:t>Apply tamper-evident IAEA seals to all enriched uranium stockpiles above 5%</w:t>
            </w:r>
          </w:p>
        </w:tc>
        <w:tc>
          <w:tcPr/>
          <w:p>
            <w:pPr>
              <w:spacing w:before="60" w:after="60"/>
            </w:pPr>
            <w:r>
              <w:rPr>
                <w:rFonts w:ascii="Cambria" w:hAnsi="Cambria"/>
                <w:color w:val="1D2D3F"/>
                <w:sz w:val="20"/>
              </w:rPr>
              <w:t>Tier Two sanctions relief activates; $2 billion Initial Compliance Unlock releases</w:t>
            </w:r>
          </w:p>
        </w:tc>
      </w:tr>
      <w:tr>
        <w:tc>
          <w:tcPr/>
          <w:p>
            <w:pPr>
              <w:spacing w:before="60" w:after="60"/>
            </w:pPr>
            <w:r>
              <w:rPr>
                <w:rFonts w:ascii="Cambria" w:hAnsi="Cambria"/>
                <w:color w:val="1D2D3F"/>
                <w:sz w:val="20"/>
              </w:rPr>
              <w:t>Day 30</w:t>
            </w:r>
          </w:p>
        </w:tc>
        <w:tc>
          <w:tcPr/>
          <w:p>
            <w:pPr>
              <w:spacing w:before="60" w:after="60"/>
            </w:pPr>
            <w:r>
              <w:rPr>
                <w:rFonts w:ascii="Cambria" w:hAnsi="Cambria"/>
                <w:color w:val="1D2D3F"/>
                <w:sz w:val="20"/>
              </w:rPr>
              <w:t>Complete 25% of agreed 60% HEU disposition</w:t>
            </w:r>
          </w:p>
        </w:tc>
        <w:tc>
          <w:tcPr/>
          <w:p>
            <w:pPr>
              <w:spacing w:before="60" w:after="60"/>
            </w:pPr>
            <w:r>
              <w:rPr>
                <w:rFonts w:ascii="Cambria" w:hAnsi="Cambria"/>
                <w:color w:val="1D2D3F"/>
                <w:sz w:val="20"/>
              </w:rPr>
              <w:t>Front-loaded tranche releases; bilateral technical working groups activate</w:t>
            </w:r>
          </w:p>
        </w:tc>
      </w:tr>
      <w:tr>
        <w:tc>
          <w:tcPr/>
          <w:p>
            <w:pPr>
              <w:spacing w:before="60" w:after="60"/>
            </w:pPr>
            <w:r>
              <w:rPr>
                <w:rFonts w:ascii="Cambria" w:hAnsi="Cambria"/>
                <w:color w:val="1D2D3F"/>
                <w:sz w:val="20"/>
              </w:rPr>
              <w:t>Day 45</w:t>
            </w:r>
          </w:p>
        </w:tc>
        <w:tc>
          <w:tcPr/>
          <w:p>
            <w:pPr>
              <w:spacing w:before="60" w:after="60"/>
            </w:pPr>
            <w:r>
              <w:rPr>
                <w:rFonts w:ascii="Cambria" w:hAnsi="Cambria"/>
                <w:color w:val="1D2D3F"/>
                <w:sz w:val="20"/>
              </w:rPr>
              <w:t>Complete 50% of agreed 60% HEU disposition; all remaining material above 20% under dual-key custody</w:t>
            </w:r>
          </w:p>
        </w:tc>
        <w:tc>
          <w:tcPr/>
          <w:p>
            <w:pPr>
              <w:spacing w:before="60" w:after="60"/>
            </w:pPr>
            <w:r>
              <w:rPr>
                <w:rFonts w:ascii="Cambria" w:hAnsi="Cambria"/>
                <w:color w:val="1D2D3F"/>
                <w:sz w:val="20"/>
              </w:rPr>
              <w:t>Tier Three relief begins: SWIFT reconnection, foreign subsidiary licensing</w:t>
            </w:r>
          </w:p>
        </w:tc>
      </w:tr>
      <w:tr>
        <w:tc>
          <w:tcPr/>
          <w:p>
            <w:pPr>
              <w:spacing w:before="60" w:after="60"/>
            </w:pPr>
            <w:r>
              <w:rPr>
                <w:rFonts w:ascii="Cambria" w:hAnsi="Cambria"/>
                <w:color w:val="1D2D3F"/>
                <w:sz w:val="20"/>
              </w:rPr>
              <w:t>Day 60</w:t>
            </w:r>
          </w:p>
        </w:tc>
        <w:tc>
          <w:tcPr/>
          <w:p>
            <w:pPr>
              <w:spacing w:before="60" w:after="60"/>
            </w:pPr>
            <w:r>
              <w:rPr>
                <w:rFonts w:ascii="Cambria" w:hAnsi="Cambria"/>
                <w:color w:val="1D2D3F"/>
                <w:sz w:val="20"/>
              </w:rPr>
              <w:t>Complete 75% of agreed 60% HEU disposition</w:t>
            </w:r>
          </w:p>
        </w:tc>
        <w:tc>
          <w:tcPr/>
          <w:p>
            <w:pPr>
              <w:spacing w:before="60" w:after="60"/>
            </w:pPr>
            <w:r>
              <w:rPr>
                <w:rFonts w:ascii="Cambria" w:hAnsi="Cambria"/>
                <w:color w:val="1D2D3F"/>
                <w:sz w:val="20"/>
              </w:rPr>
              <w:t>Comprehensive Joint Nuclear Cooperation Dialogue launches</w:t>
            </w:r>
          </w:p>
        </w:tc>
      </w:tr>
      <w:tr>
        <w:tc>
          <w:tcPr/>
          <w:p>
            <w:pPr>
              <w:spacing w:before="60" w:after="60"/>
            </w:pPr>
            <w:r>
              <w:rPr>
                <w:rFonts w:ascii="Cambria" w:hAnsi="Cambria"/>
                <w:color w:val="1D2D3F"/>
                <w:sz w:val="20"/>
              </w:rPr>
              <w:t>Day 90</w:t>
            </w:r>
          </w:p>
        </w:tc>
        <w:tc>
          <w:tcPr/>
          <w:p>
            <w:pPr>
              <w:spacing w:before="60" w:after="60"/>
            </w:pPr>
            <w:r>
              <w:rPr>
                <w:rFonts w:ascii="Cambria" w:hAnsi="Cambria"/>
                <w:color w:val="1D2D3F"/>
                <w:sz w:val="20"/>
              </w:rPr>
              <w:t>Complete 100% of agreed 60% HEU disposition</w:t>
            </w:r>
          </w:p>
        </w:tc>
        <w:tc>
          <w:tcPr/>
          <w:p>
            <w:pPr>
              <w:spacing w:before="60" w:after="60"/>
            </w:pPr>
            <w:r>
              <w:rPr>
                <w:rFonts w:ascii="Cambria" w:hAnsi="Cambria"/>
                <w:color w:val="1D2D3F"/>
                <w:sz w:val="20"/>
              </w:rPr>
              <w:t>Permanent resolution working group activates; comprehensive sanctions architecture review begins</w:t>
            </w:r>
          </w:p>
        </w:tc>
      </w:tr>
    </w:tbl>
    <w:p>
      <w:pPr>
        <w:pStyle w:val="Heading1"/>
      </w:pPr>
      <w:r>
        <w:t>Annex F: Verification Sequencing and Telemetry Protocol</w:t>
      </w:r>
    </w:p>
    <w:p>
      <w:pPr>
        <w:spacing w:after="160" w:line="288" w:lineRule="auto"/>
      </w:pPr>
      <w:r>
        <w:rPr>
          <w:rFonts w:ascii="Cambria" w:hAnsi="Cambria"/>
          <w:color w:val="1D2D3F"/>
          <w:sz w:val="22"/>
        </w:rPr>
        <w:t>This annex details the verification architecture: the Swiss-hosted dashboard specifications, the Continuous Verification Pulse cadences, the Pattern Monitoring System parameters, and the Shared Awareness Network protocols.</w:t>
      </w:r>
    </w:p>
    <w:p>
      <w:pPr>
        <w:pStyle w:val="Heading2"/>
      </w:pPr>
      <w:r>
        <w:t>F.1 — Dashboard Specifications</w:t>
      </w:r>
    </w:p>
    <w:p>
      <w:pPr>
        <w:spacing w:after="160" w:line="288" w:lineRule="auto"/>
      </w:pPr>
      <w:r>
        <w:rPr>
          <w:rFonts w:ascii="Cambria" w:hAnsi="Cambria"/>
          <w:color w:val="1D2D3F"/>
          <w:sz w:val="22"/>
        </w:rPr>
        <w:t>The Swiss-hosted digital dashboard goes live within 24 hours of signature. Both Parties receive login credentials simultaneously. No Party receives access before the other. The dashboard displays all telemetry data from the moment the first sensor comes online.</w:t>
      </w:r>
    </w:p>
    <w:p>
      <w:pPr>
        <w:pStyle w:val="Heading2"/>
      </w:pPr>
      <w:r>
        <w:t>F.2 — Baseline Establishment</w:t>
      </w:r>
    </w:p>
    <w:p>
      <w:pPr>
        <w:spacing w:after="160" w:line="288" w:lineRule="auto"/>
      </w:pPr>
      <w:r>
        <w:rPr>
          <w:rFonts w:ascii="Cambria" w:hAnsi="Cambria"/>
          <w:color w:val="1D2D3F"/>
          <w:sz w:val="22"/>
        </w:rPr>
        <w:t>The IAEA completes baseline verification readings within 72 hours of signature and posts the baseline report to the dashboard. This baseline report constitutes the reference point against which all subsequent compliance measurements occur.</w:t>
      </w:r>
    </w:p>
    <w:p>
      <w:pPr>
        <w:pStyle w:val="Heading2"/>
      </w:pPr>
      <w:r>
        <w:t>F.3 — Continuous Monitoring Activation</w:t>
      </w:r>
    </w:p>
    <w:p>
      <w:pPr>
        <w:spacing w:after="160" w:line="288" w:lineRule="auto"/>
      </w:pPr>
      <w:r>
        <w:rPr>
          <w:rFonts w:ascii="Cambria" w:hAnsi="Cambria"/>
          <w:color w:val="1D2D3F"/>
          <w:sz w:val="22"/>
        </w:rPr>
        <w:t>All continuous monitoring equipment — online enrichment monitors, remote camera surveillance, tamper-indicating seals — becomes binding on the moment the IAEA certifies it operational. From that moment, sensor data governs compliance determinations, not political interpretation.</w:t>
      </w:r>
    </w:p>
    <w:p>
      <w:pPr>
        <w:pStyle w:val="Heading2"/>
      </w:pPr>
      <w:r>
        <w:t>F.4 — Voluntary Information-Sharing</w:t>
      </w:r>
    </w:p>
    <w:p>
      <w:pPr>
        <w:spacing w:after="160" w:line="288" w:lineRule="auto"/>
      </w:pPr>
      <w:r>
        <w:rPr>
          <w:rFonts w:ascii="Cambria" w:hAnsi="Cambria"/>
          <w:color w:val="1D2D3F"/>
          <w:sz w:val="22"/>
        </w:rPr>
        <w:t>The Neutral Guarantor receives, on a voluntary and confidential basis, information from observer states regarding compliance with this Compact. Such information does not constitute telemetry data and does not override the Telemetry-First principle. The Joint Coordination Center considers voluntary information when assessing a concern but does not base a compliance determination solely on non-telemetry sources.</w:t>
      </w:r>
    </w:p>
    <w:p>
      <w:pPr>
        <w:pStyle w:val="Heading1"/>
      </w:pPr>
      <w:r>
        <w:rPr>
          <w:rFonts w:ascii="Cambria" w:hAnsi="Cambria" w:eastAsia="Cambria" w:cs="Cambria"/>
          <w:b/>
          <w:color w:val="3D5A80"/>
          <w:sz w:val="40"/>
          <w:szCs w:val="40"/>
        </w:rPr>
        <w:t>Annex G: Public Messaging and Transparency Architecture</w:t>
      </w:r>
    </w:p>
    <w:p>
      <w:pPr>
        <w:pStyle w:val="Normal"/>
        <w:spacing w:after="160" w:line="288" w:lineRule="auto"/>
      </w:pPr>
      <w:r>
        <w:rPr>
          <w:rFonts w:ascii="Cambria" w:hAnsi="Cambria" w:eastAsia="Cambria" w:cs="Cambria"/>
          <w:color w:val="1D2D3F"/>
          <w:sz w:val="22"/>
          <w:szCs w:val="22"/>
        </w:rPr>
        <w:t>This annex carries the public statements, talking points, and response frameworks for both Parties. It is incorporated by reference into Article IX.</w:t>
      </w:r>
    </w:p>
    <w:p>
      <w:pPr>
        <w:pStyle w:val="Heading2"/>
      </w:pPr>
      <w:r>
        <w:rPr>
          <w:rFonts w:ascii="Cambria" w:hAnsi="Cambria" w:eastAsia="Cambria" w:cs="Cambria"/>
          <w:b/>
          <w:color w:val="5C7A96"/>
          <w:sz w:val="30"/>
          <w:szCs w:val="30"/>
        </w:rPr>
        <w:t>G.1 — Shared Factual Floor</w:t>
      </w:r>
    </w:p>
    <w:p>
      <w:pPr>
        <w:pStyle w:val="Normal"/>
        <w:spacing w:after="160" w:line="288" w:lineRule="auto"/>
      </w:pPr>
      <w:r>
        <w:rPr>
          <w:rFonts w:ascii="Cambria" w:hAnsi="Cambria" w:eastAsia="Cambria" w:cs="Cambria"/>
          <w:color w:val="1D2D3F"/>
          <w:sz w:val="22"/>
          <w:szCs w:val="22"/>
        </w:rPr>
        <w:t>Both Parties acknowledge the following factual floor, which neither Party contradicts in its public messaging: this Compact is a reciprocal agreement, not a concession by either side; both Parties benefit from its implementation; verification is mutual and applies equally to both sides; the IAEA plays a technical, not political, role; and humanitarian measures are independent of political disputes.</w:t>
      </w:r>
    </w:p>
    <w:p>
      <w:pPr>
        <w:pStyle w:val="Heading2"/>
      </w:pPr>
      <w:r>
        <w:rPr>
          <w:rFonts w:ascii="Cambria" w:hAnsi="Cambria" w:eastAsia="Cambria" w:cs="Cambria"/>
          <w:b/>
          <w:color w:val="5C7A96"/>
          <w:sz w:val="30"/>
          <w:szCs w:val="30"/>
        </w:rPr>
        <w:t>G.2 — Messaging Compatibility Rule</w:t>
      </w:r>
    </w:p>
    <w:p>
      <w:pPr>
        <w:pStyle w:val="Normal"/>
        <w:spacing w:after="160" w:line="288" w:lineRule="auto"/>
      </w:pPr>
      <w:r>
        <w:rPr>
          <w:rFonts w:ascii="Cambria" w:hAnsi="Cambria" w:eastAsia="Cambria" w:cs="Cambria"/>
          <w:color w:val="1D2D3F"/>
          <w:sz w:val="22"/>
          <w:szCs w:val="22"/>
        </w:rPr>
        <w:t>Neither Party's messaging contradicts the shared factual floor. Neither Party depicts the other's commitments as a surrender. Each Party describes its own commitments as benefiting its own interests. The Neutral Guarantor monitors public messaging for factual accuracy and reports violations to the Joint Coordination Center.</w:t>
      </w:r>
    </w:p>
    <w:p>
      <w:pPr>
        <w:pStyle w:val="Heading1"/>
      </w:pPr>
      <w:r>
        <w:rPr>
          <w:rFonts w:ascii="Cambria" w:hAnsi="Cambria" w:eastAsia="Cambria" w:cs="Cambria"/>
          <w:b/>
          <w:color w:val="3D5A80"/>
          <w:sz w:val="40"/>
          <w:szCs w:val="40"/>
        </w:rPr>
        <w:t>Annex H: Operational One-Page Tools</w:t>
      </w:r>
    </w:p>
    <w:p>
      <w:pPr>
        <w:pStyle w:val="Normal"/>
        <w:spacing w:after="160" w:line="288" w:lineRule="auto"/>
      </w:pPr>
      <w:r>
        <w:rPr>
          <w:rFonts w:ascii="Cambria" w:hAnsi="Cambria" w:eastAsia="Cambria" w:cs="Cambria"/>
          <w:color w:val="1D2D3F"/>
          <w:sz w:val="22"/>
          <w:szCs w:val="22"/>
        </w:rPr>
        <w:t>This annex contains quick-reference tools for negotiators, implementers, and crisis managers. These tools distill the Compact's most critical operational information into single-page formats for rapid consultation.</w:t>
      </w:r>
    </w:p>
    <w:p>
      <w:pPr>
        <w:pStyle w:val="Heading2"/>
      </w:pPr>
      <w:r>
        <w:rPr>
          <w:rFonts w:ascii="Cambria" w:hAnsi="Cambria" w:eastAsia="Cambria" w:cs="Cambria"/>
          <w:b/>
          <w:color w:val="5C7A96"/>
          <w:sz w:val="30"/>
          <w:szCs w:val="30"/>
        </w:rPr>
        <w:t>H.1 — The 72-Hour Ceasefire Module</w:t>
      </w:r>
    </w:p>
    <w:p>
      <w:pPr>
        <w:pStyle w:val="Normal"/>
        <w:spacing w:after="160" w:line="288" w:lineRule="auto"/>
      </w:pPr>
      <w:r>
        <w:rPr>
          <w:rFonts w:ascii="Cambria" w:hAnsi="Cambria" w:eastAsia="Cambria" w:cs="Cambria"/>
          <w:color w:val="1D2D3F"/>
          <w:sz w:val="22"/>
          <w:szCs w:val="22"/>
        </w:rPr>
        <w:t>Both Parties confirm compliance at Hour 71. The ceasefire auto-renews. Either Party provides 48 hours' written notice of non-renewal. Silence at renewal point equals confirmation of continuation. Local clashes route to crisis communication, not to breach.</w:t>
      </w:r>
    </w:p>
    <w:p>
      <w:pPr>
        <w:pStyle w:val="Heading2"/>
      </w:pPr>
      <w:r>
        <w:rPr>
          <w:rFonts w:ascii="Cambria" w:hAnsi="Cambria" w:eastAsia="Cambria" w:cs="Cambria"/>
          <w:b/>
          <w:color w:val="5C7A96"/>
          <w:sz w:val="30"/>
          <w:szCs w:val="30"/>
        </w:rPr>
        <w:t>H.2 — The Veto Card</w:t>
      </w:r>
    </w:p>
    <w:p>
      <w:pPr>
        <w:pStyle w:val="Normal"/>
        <w:spacing w:after="160" w:line="288" w:lineRule="auto"/>
      </w:pPr>
      <w:r>
        <w:rPr>
          <w:rFonts w:ascii="Cambria" w:hAnsi="Cambria" w:eastAsia="Cambria" w:cs="Cambria"/>
          <w:color w:val="1D2D3F"/>
          <w:sz w:val="22"/>
          <w:szCs w:val="22"/>
        </w:rPr>
        <w:t>Each Party holds one veto per week. Submit written objection to Neutral Guarantor within 24 hours of proposed activation. The veto suspends only the specific reciprocity unit under dispute. All other units continue. Suspended units resolve through Human-in-the-Loop Review.</w:t>
      </w:r>
    </w:p>
    <w:p>
      <w:pPr>
        <w:pStyle w:val="Heading2"/>
      </w:pPr>
      <w:r>
        <w:rPr>
          <w:rFonts w:ascii="Cambria" w:hAnsi="Cambria" w:eastAsia="Cambria" w:cs="Cambria"/>
          <w:b/>
          <w:color w:val="5C7A96"/>
          <w:sz w:val="30"/>
          <w:szCs w:val="30"/>
        </w:rPr>
        <w:t>H.3 — The Step-Back Ladder</w:t>
      </w:r>
    </w:p>
    <w:tbl>
      <w:tblPr>
        <w:tblW w:w="5000" w:type="pct"/>
        <w:tblBorders>
          <w:top w:val="single" w:color="C8D4DC" w:sz="4"/>
          <w:left w:val="single" w:color="C8D4DC" w:sz="4"/>
          <w:bottom w:val="single" w:color="C8D4DC" w:sz="4"/>
          <w:right w:val="single" w:color="C8D4DC" w:sz="4"/>
          <w:insideH w:val="single" w:color="C8D4DC" w:sz="4"/>
          <w:insideV w:val="single" w:color="C8D4DC" w:sz="4"/>
        </w:tblBorders>
      </w:tblPr>
      <w:tblGrid>
        <w:gridCol/>
        <w:gridCol/>
        <w:gridCol/>
      </w:tblGrid>
      <w:tr>
        <w:tc>
          <w:tcPr>
            <w:shd w:val="clear" w:fill="E8EEF2" w:color="auto"/>
          </w:tcPr>
          <w:p>
            <w:pPr>
              <w:pStyle w:val="Normal"/>
              <w:spacing w:before="60" w:after="60"/>
            </w:pPr>
            <w:r>
              <w:rPr>
                <w:rFonts w:ascii="Cambria" w:hAnsi="Cambria" w:eastAsia="Cambria" w:cs="Cambria"/>
                <w:b/>
                <w:color w:val="1D2D3F"/>
                <w:sz w:val="20"/>
                <w:szCs w:val="20"/>
              </w:rPr>
              <w:t>Level</w:t>
            </w:r>
          </w:p>
        </w:tc>
        <w:tc>
          <w:tcPr>
            <w:shd w:val="clear" w:fill="E8EEF2" w:color="auto"/>
          </w:tcPr>
          <w:p>
            <w:pPr>
              <w:pStyle w:val="Normal"/>
              <w:spacing w:before="60" w:after="60"/>
            </w:pPr>
            <w:r>
              <w:rPr>
                <w:rFonts w:ascii="Cambria" w:hAnsi="Cambria" w:eastAsia="Cambria" w:cs="Cambria"/>
                <w:b/>
                <w:color w:val="1D2D3F"/>
                <w:sz w:val="20"/>
                <w:szCs w:val="20"/>
              </w:rPr>
              <w:t>Trigger</w:t>
            </w:r>
          </w:p>
        </w:tc>
        <w:tc>
          <w:tcPr>
            <w:shd w:val="clear" w:fill="E8EEF2" w:color="auto"/>
          </w:tcPr>
          <w:p>
            <w:pPr>
              <w:pStyle w:val="Normal"/>
              <w:spacing w:before="60" w:after="60"/>
            </w:pPr>
            <w:r>
              <w:rPr>
                <w:rFonts w:ascii="Cambria" w:hAnsi="Cambria" w:eastAsia="Cambria" w:cs="Cambria"/>
                <w:b/>
                <w:color w:val="1D2D3F"/>
                <w:sz w:val="20"/>
                <w:szCs w:val="20"/>
              </w:rPr>
              <w:t>Response</w:t>
            </w:r>
          </w:p>
        </w:tc>
      </w:tr>
      <w:tr>
        <w:tc>
          <w:tcPr/>
          <w:p>
            <w:pPr>
              <w:pStyle w:val="Normal"/>
              <w:spacing w:before="60" w:after="60"/>
            </w:pPr>
            <w:r>
              <w:rPr>
                <w:rFonts w:ascii="Cambria" w:hAnsi="Cambria" w:eastAsia="Cambria" w:cs="Cambria"/>
                <w:color w:val="1D2D3F"/>
                <w:sz w:val="20"/>
                <w:szCs w:val="20"/>
              </w:rPr>
              <w:t>One</w:t>
            </w:r>
          </w:p>
        </w:tc>
        <w:tc>
          <w:tcPr/>
          <w:p>
            <w:pPr>
              <w:pStyle w:val="Normal"/>
              <w:spacing w:before="60" w:after="60"/>
            </w:pPr>
            <w:r>
              <w:rPr>
                <w:rFonts w:ascii="Cambria" w:hAnsi="Cambria" w:eastAsia="Cambria" w:cs="Cambria"/>
                <w:color w:val="1D2D3F"/>
                <w:sz w:val="20"/>
                <w:szCs w:val="20"/>
              </w:rPr>
              <w:t>Technical delay up to 72 hours</w:t>
            </w:r>
          </w:p>
        </w:tc>
        <w:tc>
          <w:tcPr/>
          <w:p>
            <w:pPr>
              <w:pStyle w:val="Normal"/>
              <w:spacing w:before="60" w:after="60"/>
            </w:pPr>
            <w:r>
              <w:rPr>
                <w:rFonts w:ascii="Cambria" w:hAnsi="Cambria" w:eastAsia="Cambria" w:cs="Cambria"/>
                <w:color w:val="1D2D3F"/>
                <w:sz w:val="20"/>
                <w:szCs w:val="20"/>
              </w:rPr>
              <w:t>Document and adjust timelines</w:t>
            </w:r>
          </w:p>
        </w:tc>
      </w:tr>
      <w:tr>
        <w:tc>
          <w:tcPr/>
          <w:p>
            <w:pPr>
              <w:pStyle w:val="Normal"/>
              <w:spacing w:before="60" w:after="60"/>
            </w:pPr>
            <w:r>
              <w:rPr>
                <w:rFonts w:ascii="Cambria" w:hAnsi="Cambria" w:eastAsia="Cambria" w:cs="Cambria"/>
                <w:color w:val="1D2D3F"/>
                <w:sz w:val="20"/>
                <w:szCs w:val="20"/>
              </w:rPr>
              <w:t>Two</w:t>
            </w:r>
          </w:p>
        </w:tc>
        <w:tc>
          <w:tcPr/>
          <w:p>
            <w:pPr>
              <w:pStyle w:val="Normal"/>
              <w:spacing w:before="60" w:after="60"/>
            </w:pPr>
            <w:r>
              <w:rPr>
                <w:rFonts w:ascii="Cambria" w:hAnsi="Cambria" w:eastAsia="Cambria" w:cs="Cambria"/>
                <w:color w:val="1D2D3F"/>
                <w:sz w:val="20"/>
                <w:szCs w:val="20"/>
              </w:rPr>
              <w:t>Partial non-performance</w:t>
            </w:r>
          </w:p>
        </w:tc>
        <w:tc>
          <w:tcPr/>
          <w:p>
            <w:pPr>
              <w:pStyle w:val="Normal"/>
              <w:spacing w:before="60" w:after="60"/>
            </w:pPr>
            <w:r>
              <w:rPr>
                <w:rFonts w:ascii="Cambria" w:hAnsi="Cambria" w:eastAsia="Cambria" w:cs="Cambria"/>
                <w:color w:val="1D2D3F"/>
                <w:sz w:val="20"/>
                <w:szCs w:val="20"/>
              </w:rPr>
              <w:t>Suspend corresponding reciprocity unit</w:t>
            </w:r>
          </w:p>
        </w:tc>
      </w:tr>
      <w:tr>
        <w:tc>
          <w:tcPr/>
          <w:p>
            <w:pPr>
              <w:pStyle w:val="Normal"/>
              <w:spacing w:before="60" w:after="60"/>
            </w:pPr>
            <w:r>
              <w:rPr>
                <w:rFonts w:ascii="Cambria" w:hAnsi="Cambria" w:eastAsia="Cambria" w:cs="Cambria"/>
                <w:color w:val="1D2D3F"/>
                <w:sz w:val="20"/>
                <w:szCs w:val="20"/>
              </w:rPr>
              <w:t>Three</w:t>
            </w:r>
          </w:p>
        </w:tc>
        <w:tc>
          <w:tcPr/>
          <w:p>
            <w:pPr>
              <w:pStyle w:val="Normal"/>
              <w:spacing w:before="60" w:after="60"/>
            </w:pPr>
            <w:r>
              <w:rPr>
                <w:rFonts w:ascii="Cambria" w:hAnsi="Cambria" w:eastAsia="Cambria" w:cs="Cambria"/>
                <w:color w:val="1D2D3F"/>
                <w:sz w:val="20"/>
                <w:szCs w:val="20"/>
              </w:rPr>
              <w:t>Systemic breach</w:t>
            </w:r>
          </w:p>
        </w:tc>
        <w:tc>
          <w:tcPr/>
          <w:p>
            <w:pPr>
              <w:pStyle w:val="Normal"/>
              <w:spacing w:before="60" w:after="60"/>
            </w:pPr>
            <w:r>
              <w:rPr>
                <w:rFonts w:ascii="Cambria" w:hAnsi="Cambria" w:eastAsia="Cambria" w:cs="Cambria"/>
                <w:color w:val="1D2D3F"/>
                <w:sz w:val="20"/>
                <w:szCs w:val="20"/>
              </w:rPr>
              <w:t>Suspend all units in affected annex; emergency session within 72 hours</w:t>
            </w:r>
          </w:p>
        </w:tc>
      </w:tr>
      <w:tr>
        <w:tc>
          <w:tcPr/>
          <w:p>
            <w:pPr>
              <w:pStyle w:val="Normal"/>
              <w:spacing w:before="60" w:after="60"/>
            </w:pPr>
            <w:r>
              <w:rPr>
                <w:rFonts w:ascii="Cambria" w:hAnsi="Cambria" w:eastAsia="Cambria" w:cs="Cambria"/>
                <w:color w:val="1D2D3F"/>
                <w:sz w:val="20"/>
                <w:szCs w:val="20"/>
              </w:rPr>
              <w:t>Four</w:t>
            </w:r>
          </w:p>
        </w:tc>
        <w:tc>
          <w:tcPr/>
          <w:p>
            <w:pPr>
              <w:pStyle w:val="Normal"/>
              <w:spacing w:before="60" w:after="60"/>
            </w:pPr>
            <w:r>
              <w:rPr>
                <w:rFonts w:ascii="Cambria" w:hAnsi="Cambria" w:eastAsia="Cambria" w:cs="Cambria"/>
                <w:color w:val="1D2D3F"/>
                <w:sz w:val="20"/>
                <w:szCs w:val="20"/>
              </w:rPr>
              <w:t>Fundamental violation</w:t>
            </w:r>
          </w:p>
        </w:tc>
        <w:tc>
          <w:tcPr/>
          <w:p>
            <w:pPr>
              <w:pStyle w:val="Normal"/>
              <w:spacing w:before="60" w:after="60"/>
            </w:pPr>
            <w:r>
              <w:rPr>
                <w:rFonts w:ascii="Cambria" w:hAnsi="Cambria" w:eastAsia="Cambria" w:cs="Cambria"/>
                <w:color w:val="1D2D3F"/>
                <w:sz w:val="20"/>
                <w:szCs w:val="20"/>
              </w:rPr>
              <w:t>Compact terminates unless emergency remediation within 48 hours</w:t>
            </w:r>
          </w:p>
        </w:tc>
      </w:tr>
    </w:tbl>
    <w:p>
      <w:pPr>
        <w:pStyle w:val="Heading2"/>
      </w:pPr>
      <w:r>
        <w:rPr>
          <w:rFonts w:ascii="Cambria" w:hAnsi="Cambria" w:eastAsia="Cambria" w:cs="Cambria"/>
          <w:b/>
          <w:color w:val="5C7A96"/>
          <w:sz w:val="30"/>
          <w:szCs w:val="30"/>
        </w:rPr>
        <w:t>H.4 — The Earn-Back Path</w:t>
      </w:r>
    </w:p>
    <w:p>
      <w:pPr>
        <w:pStyle w:val="Normal"/>
        <w:spacing w:after="160" w:line="288" w:lineRule="auto"/>
      </w:pPr>
      <w:r>
        <w:rPr>
          <w:rFonts w:ascii="Cambria" w:hAnsi="Cambria" w:eastAsia="Cambria" w:cs="Cambria"/>
          <w:color w:val="1D2D3F"/>
          <w:sz w:val="22"/>
          <w:szCs w:val="22"/>
        </w:rPr>
        <w:t>Breaching Party has 14 days to correct. During correction window, all other operations continue. Upon correction, suspended units reactivate automatically. No additional negotiation required. Status quo ante restores.</w:t>
      </w:r>
    </w:p>
    <w:p>
      <w:pPr>
        <w:pStyle w:val="Heading2"/>
      </w:pPr>
      <w:r>
        <w:rPr>
          <w:rFonts w:ascii="Cambria" w:hAnsi="Cambria" w:eastAsia="Cambria" w:cs="Cambria"/>
          <w:b/>
          <w:color w:val="5C7A96"/>
          <w:sz w:val="30"/>
          <w:szCs w:val="30"/>
        </w:rPr>
        <w:t>H.5 — The Clean Break</w:t>
      </w:r>
    </w:p>
    <w:p>
      <w:pPr>
        <w:pStyle w:val="Normal"/>
        <w:spacing w:after="160" w:line="288" w:lineRule="auto"/>
      </w:pPr>
      <w:r>
        <w:rPr>
          <w:rFonts w:ascii="Cambria" w:hAnsi="Cambria" w:eastAsia="Cambria" w:cs="Cambria"/>
          <w:color w:val="1D2D3F"/>
          <w:sz w:val="22"/>
          <w:szCs w:val="22"/>
        </w:rPr>
        <w:t>14 days' written notice to Neutral Guarantor. No penalty. Post-withdrawal protections remain for 180 days: Strait stays open; released funds stay released; delivered relief stays delivered; both Parties refrain from military escalation.</w:t>
      </w:r>
    </w:p>
    <w:p>
      <w:pPr>
        <w:pStyle w:val="Heading2"/>
      </w:pPr>
      <w:r>
        <w:rPr>
          <w:rFonts w:ascii="Cambria" w:hAnsi="Cambria" w:eastAsia="Cambria" w:cs="Cambria"/>
          <w:b/>
          <w:color w:val="5C7A96"/>
          <w:sz w:val="30"/>
          <w:szCs w:val="30"/>
        </w:rPr>
        <w:t>H.6 — The Sounding Format</w:t>
      </w:r>
    </w:p>
    <w:p>
      <w:pPr>
        <w:pStyle w:val="Normal"/>
        <w:spacing w:after="160" w:line="288" w:lineRule="auto"/>
      </w:pPr>
      <w:r>
        <w:rPr>
          <w:rFonts w:ascii="Cambria" w:hAnsi="Cambria" w:eastAsia="Cambria" w:cs="Cambria"/>
          <w:color w:val="1D2D3F"/>
          <w:sz w:val="22"/>
          <w:szCs w:val="22"/>
        </w:rPr>
        <w:t>One paragraph: favorable surprise from the cycle. One paragraph: concern for the next cycle. One sentence: proposal for next priority. No rhetoric, no blame, no demands. Submit through Neutral Guarantor. Delivered within 24 hours.</w:t>
      </w:r>
    </w:p>
    <w:p>
      <w:pPr>
        <w:pStyle w:val="Heading1"/>
      </w:pPr>
      <w:r>
        <w:rPr>
          <w:rFonts w:ascii="Cambria" w:hAnsi="Cambria" w:eastAsia="Cambria" w:cs="Cambria"/>
          <w:b/>
          <w:color w:val="3D5A80"/>
          <w:sz w:val="40"/>
          <w:szCs w:val="40"/>
        </w:rPr>
        <w:t>Annex I: Crisis Communication and Guarantor Messaging</w:t>
      </w:r>
    </w:p>
    <w:p>
      <w:pPr>
        <w:pStyle w:val="Heading2"/>
      </w:pPr>
      <w:r>
        <w:rPr>
          <w:rFonts w:ascii="Cambria" w:hAnsi="Cambria" w:eastAsia="Cambria" w:cs="Cambria"/>
          <w:b/>
          <w:color w:val="5C7A96"/>
          <w:sz w:val="30"/>
          <w:szCs w:val="30"/>
        </w:rPr>
        <w:t>I.1 — Crisis Communication Protocol</w:t>
      </w:r>
    </w:p>
    <w:p>
      <w:pPr>
        <w:pStyle w:val="Normal"/>
        <w:spacing w:after="160" w:line="288" w:lineRule="auto"/>
      </w:pPr>
      <w:r>
        <w:rPr>
          <w:rFonts w:ascii="Cambria" w:hAnsi="Cambria" w:eastAsia="Cambria" w:cs="Cambria"/>
          <w:color w:val="1D2D3F"/>
          <w:sz w:val="22"/>
          <w:szCs w:val="22"/>
        </w:rPr>
        <w:t>The Parties communicate through the Joint Coordination Center in Muscat during crises. The Neutral Guarantor maintains secure diplomatic backchannels for sensitive matters. Both Parties retain the right to public statements provided such statements do not disclose classified operational details.</w:t>
      </w:r>
    </w:p>
    <w:p>
      <w:pPr>
        <w:pStyle w:val="Heading2"/>
      </w:pPr>
      <w:r>
        <w:rPr>
          <w:rFonts w:ascii="Cambria" w:hAnsi="Cambria" w:eastAsia="Cambria" w:cs="Cambria"/>
          <w:b/>
          <w:color w:val="5C7A96"/>
          <w:sz w:val="30"/>
          <w:szCs w:val="30"/>
        </w:rPr>
        <w:t>I.2 — Guarantor Reporting in Crisis</w:t>
      </w:r>
    </w:p>
    <w:p>
      <w:pPr>
        <w:pStyle w:val="Normal"/>
        <w:spacing w:after="160" w:line="288" w:lineRule="auto"/>
      </w:pPr>
      <w:r>
        <w:rPr>
          <w:rFonts w:ascii="Cambria" w:hAnsi="Cambria" w:eastAsia="Cambria" w:cs="Cambria"/>
          <w:color w:val="1D2D3F"/>
          <w:sz w:val="22"/>
          <w:szCs w:val="22"/>
        </w:rPr>
        <w:t>The Neutral Guarantor publishes factual summaries within 48 hours of any crisis trigger. The summaries cite verified telemetry, neutral observer reports, and any corroborating intelligence. The summaries do not assign blame beyond the verified factual record.</w:t>
      </w:r>
    </w:p>
    <w:p>
      <w:pPr>
        <w:pStyle w:val="Heading2"/>
      </w:pPr>
      <w:r>
        <w:rPr>
          <w:rFonts w:ascii="Cambria" w:hAnsi="Cambria" w:eastAsia="Cambria" w:cs="Cambria"/>
          <w:b/>
          <w:color w:val="5C7A96"/>
          <w:sz w:val="30"/>
          <w:szCs w:val="30"/>
        </w:rPr>
        <w:t>I.3 — Israeli Self-Defense Acknowledgment</w:t>
      </w:r>
    </w:p>
    <w:p>
      <w:pPr>
        <w:pStyle w:val="Normal"/>
        <w:spacing w:after="160" w:line="288" w:lineRule="auto"/>
      </w:pPr>
      <w:r>
        <w:rPr>
          <w:rFonts w:ascii="Cambria" w:hAnsi="Cambria" w:eastAsia="Cambria" w:cs="Cambria"/>
          <w:color w:val="1D2D3F"/>
          <w:sz w:val="22"/>
          <w:szCs w:val="22"/>
        </w:rPr>
        <w:t>The framework acknowledges that Israel determines its own defense requirements and that this Compact does not restrict Israeli military action. The United States does not guarantee Israeli conduct and does not endorse any specific Israeli military operation. Israel bears no obligation under this Compact.</w:t>
      </w:r>
    </w:p>
    <w:p>
      <w:pPr>
        <w:pStyle w:val="Heading1"/>
      </w:pPr>
      <w:r>
        <w:rPr>
          <w:rFonts w:ascii="Cambria" w:hAnsi="Cambria" w:eastAsia="Cambria" w:cs="Cambria"/>
          <w:b/>
          <w:color w:val="3D5A80"/>
          <w:sz w:val="40"/>
          <w:szCs w:val="40"/>
        </w:rPr>
        <w:t>Annex J: Sounding Exchange Templates and Status Instruments</w:t>
      </w:r>
    </w:p>
    <w:p>
      <w:pPr>
        <w:pStyle w:val="TOC1"/>
      </w:pPr>
      <w:r>
        <w:rPr>
          <w:rFonts w:ascii="Cambria" w:hAnsi="Cambria" w:eastAsia="Cambria" w:cs="Cambria"/>
          <w:sz w:val="22"/>
          <w:b/>
          <w:color w:val="1D2D3F"/>
          <w:szCs w:val="22"/>
        </w:rPr>
        <w:t>Annex K: Lebanon Firewall and Stabilization Protocol</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L: Sanctions and Financial Architecture</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M: Maritime and Security Protocols</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N: Verification, Compliance, and Dispute Resolution Frameworks</w:t>
      </w:r>
      <w:r>
        <w:rPr>
          <w:rFonts w:ascii="Cambria" w:hAnsi="Cambria"/>
          <w:sz w:val="22"/>
          <w:b/>
          <w:color w:val="1D2D3F"/>
        </w:rPr>
        <w:tab/>
      </w:r>
      <w:r>
        <w:rPr>
          <w:rFonts w:ascii="Cambria" w:hAnsi="Cambria" w:eastAsia="Cambria" w:cs="Cambria"/>
          <w:sz w:val="22"/>
          <w:b/>
          <w:color w:val="1D2D3F"/>
          <w:szCs w:val="22"/>
        </w:rPr>
        <w:t>1</w:t>
      </w:r>
    </w:p>
    <w:p>
      <w:pPr>
        <w:pStyle w:val="TOC1"/>
      </w:pPr>
      <w:r>
        <w:rPr>
          <w:rFonts w:ascii="Cambria" w:hAnsi="Cambria" w:eastAsia="Cambria" w:cs="Cambria"/>
          <w:sz w:val="22"/>
          <w:b/>
          <w:color w:val="1D2D3F"/>
          <w:szCs w:val="22"/>
        </w:rPr>
        <w:t>Annex O: Wartime Compact Protocol</w:t>
      </w:r>
      <w:r>
        <w:rPr>
          <w:rFonts w:ascii="Cambria" w:hAnsi="Cambria"/>
          <w:sz w:val="22"/>
          <w:b/>
          <w:color w:val="1D2D3F"/>
        </w:rPr>
        <w:tab/>
      </w:r>
      <w:r>
        <w:rPr>
          <w:rFonts w:ascii="Cambria" w:hAnsi="Cambria" w:eastAsia="Cambria" w:cs="Cambria"/>
          <w:sz w:val="22"/>
          <w:b/>
          <w:color w:val="1D2D3F"/>
          <w:szCs w:val="22"/>
        </w:rPr>
        <w:t>1</w:t>
      </w:r>
    </w:p>
    <w:p>
      <w:pPr>
        <w:pStyle w:val="Normal"/>
        <w:spacing w:after="160" w:line="288" w:lineRule="auto"/>
      </w:pPr>
      <w:r>
        <w:rPr>
          <w:rFonts w:ascii="Cambria" w:hAnsi="Cambria" w:eastAsia="Cambria" w:cs="Cambria"/>
          <w:color w:val="1D2D3F"/>
          <w:sz w:val="22"/>
          <w:szCs w:val="22"/>
        </w:rPr>
        <w:t>This annex provides the templates and instruments for the Sounding Exchange protocol described in Article III, Section 3.4.</w:t>
      </w:r>
    </w:p>
    <w:p>
      <w:pPr>
        <w:pStyle w:val="Heading2"/>
      </w:pPr>
      <w:r>
        <w:rPr>
          <w:rFonts w:ascii="Cambria" w:hAnsi="Cambria" w:eastAsia="Cambria" w:cs="Cambria"/>
          <w:b/>
          <w:color w:val="5C7A96"/>
          <w:sz w:val="30"/>
          <w:szCs w:val="30"/>
        </w:rPr>
        <w:t>J.1 — Sounding Template</w:t>
      </w:r>
    </w:p>
    <w:p>
      <w:pPr>
        <w:pStyle w:val="Normal"/>
        <w:spacing w:after="160" w:line="288" w:lineRule="auto"/>
      </w:pPr>
      <w:r>
        <w:rPr>
          <w:rFonts w:ascii="Cambria" w:hAnsi="Cambria" w:eastAsia="Cambria" w:cs="Cambria"/>
          <w:color w:val="1D2D3F"/>
          <w:sz w:val="22"/>
          <w:szCs w:val="22"/>
        </w:rPr>
        <w:t>SOUNDING EXCHANGE — CYCLE [NUMBER] — TROUGH PHASE</w:t>
      </w:r>
    </w:p>
    <w:p>
      <w:pPr>
        <w:pStyle w:val="Normal"/>
        <w:spacing w:after="160" w:line="288" w:lineRule="auto"/>
      </w:pPr>
      <w:r>
        <w:rPr>
          <w:rFonts w:ascii="Cambria" w:hAnsi="Cambria" w:eastAsia="Cambria" w:cs="Cambria"/>
          <w:color w:val="1D2D3F"/>
          <w:sz w:val="22"/>
          <w:szCs w:val="22"/>
        </w:rPr>
        <w:t>FROM: [Party Name]</w:t>
      </w:r>
    </w:p>
    <w:p>
      <w:pPr>
        <w:pStyle w:val="Normal"/>
        <w:spacing w:after="160" w:line="288" w:lineRule="auto"/>
      </w:pPr>
      <w:r>
        <w:rPr>
          <w:rFonts w:ascii="Cambria" w:hAnsi="Cambria" w:eastAsia="Cambria" w:cs="Cambria"/>
          <w:color w:val="1D2D3F"/>
          <w:sz w:val="22"/>
          <w:szCs w:val="22"/>
        </w:rPr>
        <w:t>DATE: [Date]</w:t>
      </w:r>
    </w:p>
    <w:p>
      <w:pPr>
        <w:pStyle w:val="Normal"/>
        <w:spacing w:after="160" w:line="288" w:lineRule="auto"/>
      </w:pPr>
      <w:r>
        <w:rPr>
          <w:rFonts w:ascii="Cambria" w:hAnsi="Cambria" w:eastAsia="Cambria" w:cs="Cambria"/>
          <w:color w:val="1D2D3F"/>
          <w:sz w:val="22"/>
          <w:szCs w:val="22"/>
        </w:rPr>
        <w:t>FAVORABLE SURPRISE:</w:t>
      </w:r>
    </w:p>
    <w:p>
      <w:pPr>
        <w:pStyle w:val="Normal"/>
        <w:spacing w:after="160" w:line="288" w:lineRule="auto"/>
        <w:ind w:left="720"/>
      </w:pPr>
      <w:r>
        <w:rPr>
          <w:rFonts w:ascii="Cambria" w:hAnsi="Cambria" w:eastAsia="Cambria" w:cs="Cambria"/>
          <w:i/>
          <w:color w:val="4A5D6E"/>
          <w:sz w:val="22"/>
          <w:szCs w:val="22"/>
        </w:rPr>
        <w:t>[One paragraph describing a development from the cycle that surprised the Party favorably. No rhetoric. No attribution of motive. Factual description only.]</w:t>
      </w:r>
    </w:p>
    <w:p>
      <w:pPr>
        <w:pStyle w:val="Normal"/>
        <w:spacing w:after="160" w:line="288" w:lineRule="auto"/>
      </w:pPr>
      <w:r>
        <w:rPr>
          <w:rFonts w:ascii="Cambria" w:hAnsi="Cambria" w:eastAsia="Cambria" w:cs="Cambria"/>
          <w:color w:val="1D2D3F"/>
          <w:sz w:val="22"/>
          <w:szCs w:val="22"/>
        </w:rPr>
        <w:t>CONCERN:</w:t>
      </w:r>
    </w:p>
    <w:p>
      <w:pPr>
        <w:pStyle w:val="Normal"/>
        <w:spacing w:after="160" w:line="288" w:lineRule="auto"/>
        <w:ind w:left="720"/>
      </w:pPr>
      <w:r>
        <w:rPr>
          <w:rFonts w:ascii="Cambria" w:hAnsi="Cambria" w:eastAsia="Cambria" w:cs="Cambria"/>
          <w:i/>
          <w:color w:val="4A5D6E"/>
          <w:sz w:val="22"/>
          <w:szCs w:val="22"/>
        </w:rPr>
        <w:t>[One paragraph describing a concern the Party carries into the next cycle. No blame. No demands. Factual description only.]</w:t>
      </w:r>
    </w:p>
    <w:p>
      <w:pPr>
        <w:pStyle w:val="Normal"/>
        <w:spacing w:after="160" w:line="288" w:lineRule="auto"/>
      </w:pPr>
      <w:r>
        <w:rPr>
          <w:rFonts w:ascii="Cambria" w:hAnsi="Cambria" w:eastAsia="Cambria" w:cs="Cambria"/>
          <w:color w:val="1D2D3F"/>
          <w:sz w:val="22"/>
          <w:szCs w:val="22"/>
        </w:rPr>
        <w:t>PROPOSED PRIORITY:</w:t>
      </w:r>
    </w:p>
    <w:p>
      <w:pPr>
        <w:pStyle w:val="Normal"/>
        <w:spacing w:after="160" w:line="288" w:lineRule="auto"/>
        <w:ind w:left="720"/>
      </w:pPr>
      <w:r>
        <w:rPr>
          <w:rFonts w:ascii="Cambria" w:hAnsi="Cambria" w:eastAsia="Cambria" w:cs="Cambria"/>
          <w:i/>
          <w:color w:val="4A5D6E"/>
          <w:sz w:val="22"/>
          <w:szCs w:val="22"/>
        </w:rPr>
        <w:t>[One sentence proposing the next cycle's priority.]</w:t>
      </w:r>
    </w:p>
    <w:p>
      <w:pPr>
        <w:pStyle w:val="Heading2"/>
      </w:pPr>
      <w:r>
        <w:rPr>
          <w:rFonts w:ascii="Cambria" w:hAnsi="Cambria" w:eastAsia="Cambria" w:cs="Cambria"/>
          <w:b/>
          <w:color w:val="5C7A96"/>
          <w:sz w:val="30"/>
          <w:szCs w:val="30"/>
        </w:rPr>
        <w:t>J.2 — Stability Coefficient Reading Sheet</w:t>
      </w:r>
    </w:p>
    <w:p>
      <w:pPr>
        <w:pStyle w:val="Normal"/>
        <w:spacing w:after="160" w:line="288" w:lineRule="auto"/>
      </w:pPr>
      <w:r>
        <w:rPr>
          <w:rFonts w:ascii="Cambria" w:hAnsi="Cambria" w:eastAsia="Cambria" w:cs="Cambria"/>
          <w:color w:val="1D2D3F"/>
          <w:sz w:val="22"/>
          <w:szCs w:val="22"/>
        </w:rPr>
        <w:t>WEEK OF: [Date]</w:t>
      </w:r>
    </w:p>
    <w:p>
      <w:pPr>
        <w:pStyle w:val="Normal"/>
        <w:spacing w:after="160" w:line="288" w:lineRule="auto"/>
      </w:pPr>
      <w:r>
        <w:rPr>
          <w:rFonts w:ascii="Cambria" w:hAnsi="Cambria" w:eastAsia="Cambria" w:cs="Cambria"/>
          <w:color w:val="1D2D3F"/>
          <w:sz w:val="22"/>
          <w:szCs w:val="22"/>
        </w:rPr>
        <w:t>BAND ONE: Rotation speed [score] x Resolved volume [count] x 0.4 = [subtotal]</w:t>
      </w:r>
    </w:p>
    <w:p>
      <w:pPr>
        <w:pStyle w:val="Normal"/>
        <w:spacing w:after="160" w:line="288" w:lineRule="auto"/>
      </w:pPr>
      <w:r>
        <w:rPr>
          <w:rFonts w:ascii="Cambria" w:hAnsi="Cambria" w:eastAsia="Cambria" w:cs="Cambria"/>
          <w:color w:val="1D2D3F"/>
          <w:sz w:val="22"/>
          <w:szCs w:val="22"/>
        </w:rPr>
        <w:t>BAND TWO: Rotation speed [score] x Resolved volume [count] x 0.3 = [subtotal]</w:t>
      </w:r>
    </w:p>
    <w:p>
      <w:pPr>
        <w:pStyle w:val="Normal"/>
        <w:spacing w:after="160" w:line="288" w:lineRule="auto"/>
      </w:pPr>
      <w:r>
        <w:rPr>
          <w:rFonts w:ascii="Cambria" w:hAnsi="Cambria" w:eastAsia="Cambria" w:cs="Cambria"/>
          <w:color w:val="1D2D3F"/>
          <w:sz w:val="22"/>
          <w:szCs w:val="22"/>
        </w:rPr>
        <w:t>BAND THREE: Rotation speed [score] x Resolved volume [count] x 0.3 = [subtotal]</w:t>
      </w:r>
    </w:p>
    <w:p>
      <w:pPr>
        <w:pStyle w:val="Normal"/>
        <w:spacing w:after="160" w:line="288" w:lineRule="auto"/>
      </w:pPr>
      <w:r>
        <w:rPr>
          <w:rFonts w:ascii="Cambria" w:hAnsi="Cambria" w:eastAsia="Cambria" w:cs="Cambria"/>
          <w:color w:val="1D2D3F"/>
          <w:sz w:val="22"/>
          <w:szCs w:val="22"/>
        </w:rPr>
        <w:t>TOTAL STABILITY COEFFICIENT: [sum]</w:t>
      </w:r>
    </w:p>
    <w:p>
      <w:pPr>
        <w:pStyle w:val="Normal"/>
        <w:spacing w:after="160" w:line="288" w:lineRule="auto"/>
      </w:pPr>
      <w:r>
        <w:rPr>
          <w:rFonts w:ascii="Cambria" w:hAnsi="Cambria" w:eastAsia="Cambria" w:cs="Cambria"/>
          <w:color w:val="1D2D3F"/>
          <w:sz w:val="22"/>
          <w:szCs w:val="22"/>
        </w:rPr>
        <w:t>FILTER STATUS: [Standard / Enhanced / Compressed]</w:t>
      </w:r>
    </w:p>
    <w:p>
      <w:pPr>
        <w:pStyle w:val="Heading2"/>
      </w:pPr>
      <w:r>
        <w:rPr>
          <w:rFonts w:ascii="Cambria" w:hAnsi="Cambria" w:eastAsia="Cambria" w:cs="Cambria"/>
          <w:b/>
          <w:color w:val="5C7A96"/>
          <w:sz w:val="30"/>
          <w:szCs w:val="30"/>
        </w:rPr>
        <w:t>J.3 — Reciprocity Index Calculation Sheet</w:t>
      </w:r>
    </w:p>
    <w:p>
      <w:pPr>
        <w:pStyle w:val="Normal"/>
        <w:spacing w:after="160" w:line="288" w:lineRule="auto"/>
      </w:pPr>
      <w:r>
        <w:rPr>
          <w:rFonts w:ascii="Cambria" w:hAnsi="Cambria" w:eastAsia="Cambria" w:cs="Cambria"/>
          <w:color w:val="1D2D3F"/>
          <w:sz w:val="22"/>
          <w:szCs w:val="22"/>
        </w:rPr>
        <w:t>BENEFIT CORRIDOR: [Name]</w:t>
      </w:r>
    </w:p>
    <w:p>
      <w:pPr>
        <w:pStyle w:val="Normal"/>
        <w:spacing w:after="160" w:line="288" w:lineRule="auto"/>
      </w:pPr>
      <w:r>
        <w:rPr>
          <w:rFonts w:ascii="Cambria" w:hAnsi="Cambria" w:eastAsia="Cambria" w:cs="Cambria"/>
          <w:color w:val="1D2D3F"/>
          <w:sz w:val="22"/>
          <w:szCs w:val="22"/>
        </w:rPr>
        <w:t>REPORTING PERIOD: [Dates]</w:t>
      </w:r>
    </w:p>
    <w:p>
      <w:pPr>
        <w:pStyle w:val="Normal"/>
        <w:spacing w:after="160" w:line="288" w:lineRule="auto"/>
      </w:pPr>
      <w:r>
        <w:rPr>
          <w:rFonts w:ascii="Cambria" w:hAnsi="Cambria" w:eastAsia="Cambria" w:cs="Cambria"/>
          <w:color w:val="1D2D3F"/>
          <w:sz w:val="22"/>
          <w:szCs w:val="22"/>
        </w:rPr>
        <w:t>SECURITY UPLIFT (30%): [score]</w:t>
      </w:r>
    </w:p>
    <w:p>
      <w:pPr>
        <w:pStyle w:val="Normal"/>
        <w:spacing w:after="160" w:line="288" w:lineRule="auto"/>
      </w:pPr>
      <w:r>
        <w:rPr>
          <w:rFonts w:ascii="Cambria" w:hAnsi="Cambria" w:eastAsia="Cambria" w:cs="Cambria"/>
          <w:color w:val="1D2D3F"/>
          <w:sz w:val="22"/>
          <w:szCs w:val="22"/>
        </w:rPr>
        <w:t>POLITICAL VIABILITY GAIN (25%): [score]</w:t>
      </w:r>
    </w:p>
    <w:p>
      <w:pPr>
        <w:pStyle w:val="Normal"/>
        <w:spacing w:after="160" w:line="288" w:lineRule="auto"/>
      </w:pPr>
      <w:r>
        <w:rPr>
          <w:rFonts w:ascii="Cambria" w:hAnsi="Cambria" w:eastAsia="Cambria" w:cs="Cambria"/>
          <w:color w:val="1D2D3F"/>
          <w:sz w:val="22"/>
          <w:szCs w:val="22"/>
        </w:rPr>
        <w:t>ECONOMIC DRAG REDUCTION (25%): [score]</w:t>
      </w:r>
    </w:p>
    <w:p>
      <w:pPr>
        <w:pStyle w:val="Normal"/>
        <w:spacing w:after="160" w:line="288" w:lineRule="auto"/>
      </w:pPr>
      <w:r>
        <w:rPr>
          <w:rFonts w:ascii="Cambria" w:hAnsi="Cambria" w:eastAsia="Cambria" w:cs="Cambria"/>
          <w:color w:val="1D2D3F"/>
          <w:sz w:val="22"/>
          <w:szCs w:val="22"/>
        </w:rPr>
        <w:t>NORM CONTAGION SCORE (20%): [score]</w:t>
      </w:r>
    </w:p>
    <w:p>
      <w:pPr>
        <w:pStyle w:val="Normal"/>
        <w:spacing w:after="160" w:line="288" w:lineRule="auto"/>
      </w:pPr>
      <w:r>
        <w:rPr>
          <w:rFonts w:ascii="Cambria" w:hAnsi="Cambria" w:eastAsia="Cambria" w:cs="Cambria"/>
          <w:color w:val="1D2D3F"/>
          <w:sz w:val="22"/>
          <w:szCs w:val="22"/>
        </w:rPr>
        <w:t>WEIGHTED TOTAL: [Reciprocity Index]</w:t>
      </w:r>
    </w:p>
    <w:p>
      <w:pPr>
        <w:pStyle w:val="Normal"/>
        <w:spacing w:after="160" w:line="288" w:lineRule="auto"/>
      </w:pPr>
      <w:r>
        <w:rPr>
          <w:rFonts w:ascii="Cambria" w:hAnsi="Cambria" w:eastAsia="Cambria" w:cs="Cambria"/>
          <w:color w:val="1D2D3F"/>
          <w:sz w:val="22"/>
          <w:szCs w:val="22"/>
        </w:rPr>
        <w:t>CORRIDOR STATUS: [Active / Deficit / Recovery]</w:t>
      </w:r>
    </w:p>
    <w:p>
      <w:pPr>
        <w:pStyle w:val="Heading1"/>
      </w:pPr>
      <w:r>
        <w:rPr>
          <w:rFonts w:ascii="Cambria" w:hAnsi="Cambria" w:eastAsia="Cambria" w:cs="Cambria"/>
          <w:b/>
          <w:color w:val="4A5D6E"/>
          <w:sz w:val="22"/>
          <w:i/>
          <w:szCs w:val="22"/>
        </w:rPr>
        <w:t>ANNEX K: LEBANON FIREWALL AND STABILIZATION PROTOCOL</w:t>
      </w:r>
    </w:p>
    <w:p>
      <w:pPr>
        <w:pStyle w:val="Normal"/>
        <w:spacing w:before="60" w:after="60"/>
      </w:pPr>
    </w:p>
    <w:p>
      <w:pPr>
        <w:pStyle w:val="Normal"/>
        <w:spacing w:before="60" w:after="60"/>
      </w:pPr>
      <w:r>
        <w:rPr>
          <w:rFonts w:ascii="Cambria" w:hAnsi="Cambria" w:eastAsia="Cambria" w:cs="Cambria"/>
          <w:b/>
          <w:color w:val="1D2D3F"/>
          <w:sz w:val="20"/>
          <w:szCs w:val="20"/>
        </w:rPr>
        <w:t>A Fully Integrated Operational Framework for the Hormuz Synchronization Compact</w:t>
      </w:r>
    </w:p>
    <w:p>
      <w:pPr>
        <w:pStyle w:val="Normal"/>
        <w:spacing w:before="60" w:after="60"/>
      </w:pPr>
    </w:p>
    <w:p>
      <w:pPr>
        <w:pStyle w:val="Normal"/>
        <w:spacing w:before="60" w:after="60"/>
      </w:pPr>
      <w:r>
        <w:rPr>
          <w:rFonts w:ascii="Cambria" w:hAnsi="Cambria" w:eastAsia="Cambria" w:cs="Cambria"/>
          <w:b/>
          <w:color w:val="1D2D3F"/>
          <w:sz w:val="20"/>
          <w:szCs w:val="20"/>
        </w:rPr>
        <w:t>PREAMBLE</w:t>
      </w:r>
    </w:p>
    <w:p>
      <w:pPr>
        <w:pStyle w:val="Normal"/>
        <w:spacing w:before="60" w:after="60"/>
      </w:pPr>
    </w:p>
    <w:p>
      <w:pPr>
        <w:pStyle w:val="Normal"/>
        <w:spacing w:before="60" w:after="60"/>
      </w:pPr>
      <w:r>
        <w:rPr>
          <w:rFonts w:ascii="Cambria" w:hAnsi="Cambria" w:eastAsia="Cambria" w:cs="Cambria"/>
          <w:b/>
          <w:color w:val="1D2D3F"/>
          <w:sz w:val="20"/>
          <w:szCs w:val="20"/>
        </w:rPr>
        <w:t>This Annex establishes a dedicated structural architecture for the Lebanon front, operationalizing the Compact's commitment that the ceasefire applies to "all domains and all fronts... including the Lebanon front explicitly."</w:t>
      </w:r>
    </w:p>
    <w:p>
      <w:pPr>
        <w:pStyle w:val="Normal"/>
        <w:spacing w:before="60" w:after="60"/>
      </w:pPr>
    </w:p>
    <w:p>
      <w:pPr>
        <w:pStyle w:val="Normal"/>
        <w:spacing w:before="60" w:after="60"/>
      </w:pPr>
      <w:r>
        <w:rPr>
          <w:rFonts w:ascii="Cambria" w:hAnsi="Cambria" w:eastAsia="Cambria" w:cs="Cambria"/>
          <w:b/>
          <w:color w:val="1D2D3F"/>
          <w:sz w:val="20"/>
          <w:szCs w:val="20"/>
        </w:rPr>
        <w:t xml:space="preserve">The Parties recognize that the Lebanon theater constitutes a distinct strategic environment requiring specialized containment mechanisms. The Firewall Protocol prevents local escalations on the Lebanon front from triggering systemic drift in the Compact's core obligations :  nuclear, maritime, and economic :  while ensuring that violations are met with proportionate, automatic, and verifiable consequences.</w:t>
      </w:r>
    </w:p>
    <w:p>
      <w:pPr>
        <w:pStyle w:val="Normal"/>
        <w:spacing w:before="60" w:after="60"/>
      </w:pPr>
    </w:p>
    <w:p>
      <w:pPr>
        <w:pStyle w:val="Normal"/>
        <w:spacing w:before="60" w:after="60"/>
      </w:pPr>
      <w:r>
        <w:rPr>
          <w:rFonts w:ascii="Cambria" w:hAnsi="Cambria" w:eastAsia="Cambria" w:cs="Cambria"/>
          <w:b/>
          <w:color w:val="1D2D3F"/>
          <w:sz w:val="20"/>
          <w:szCs w:val="20"/>
        </w:rPr>
        <w:t xml:space="preserve">This Annex draws on the Compact's existing architecture :  Differential Band Processing, the Synchronization Clock, the Reciprocity Ledger, Forward Drift, and Tiered Compliance :  and integrates additional shock-absorption and anti-spoiler mechanisms from established stabilization frameworks.</w:t>
      </w:r>
    </w:p>
    <w:p>
      <w:pPr>
        <w:pStyle w:val="Normal"/>
        <w:spacing w:before="60" w:after="60"/>
      </w:pPr>
    </w:p>
    <w:p>
      <w:pPr>
        <w:pStyle w:val="Heading2"/>
      </w:pPr>
      <w:r>
        <w:rPr>
          <w:rFonts w:ascii="Cambria" w:hAnsi="Cambria" w:eastAsia="Cambria" w:cs="Cambria"/>
          <w:b/>
          <w:color w:val="1D2D3F"/>
          <w:sz w:val="22"/>
          <w:szCs w:val="22"/>
        </w:rPr>
        <w:t>SECTION 1: FIREWALL ACTIVATION AND TRIGGER ARCHITECTURE</w:t>
      </w:r>
    </w:p>
    <w:p>
      <w:pPr>
        <w:pStyle w:val="Normal"/>
        <w:spacing w:before="60" w:after="60"/>
      </w:pPr>
    </w:p>
    <w:p>
      <w:pPr>
        <w:pStyle w:val="Heading2"/>
      </w:pPr>
      <w:r>
        <w:rPr>
          <w:rFonts w:ascii="Cambria" w:hAnsi="Cambria" w:eastAsia="Cambria" w:cs="Cambria"/>
          <w:b/>
          <w:color w:val="1D2D3F"/>
          <w:sz w:val="22"/>
          <w:szCs w:val="22"/>
        </w:rPr>
        <w:t>1.1 Automatic Activation Triggers</w:t>
      </w:r>
    </w:p>
    <w:p>
      <w:pPr>
        <w:pStyle w:val="Normal"/>
        <w:spacing w:before="60" w:after="60"/>
      </w:pPr>
    </w:p>
    <w:p>
      <w:pPr>
        <w:pStyle w:val="Normal"/>
        <w:spacing w:before="60" w:after="60"/>
      </w:pPr>
      <w:r>
        <w:rPr>
          <w:rFonts w:ascii="Cambria" w:hAnsi="Cambria" w:eastAsia="Cambria" w:cs="Cambria"/>
          <w:b/>
          <w:color w:val="1D2D3F"/>
          <w:sz w:val="20"/>
          <w:szCs w:val="20"/>
        </w:rPr>
        <w:t>The Firewall activates automatically, without Party request, upon telemetry-confirmed detection of any of the following:</w:t>
      </w:r>
    </w:p>
    <w:p>
      <w:pPr>
        <w:pStyle w:val="Normal"/>
        <w:spacing w:before="60" w:after="60"/>
      </w:pPr>
    </w:p>
    <w:p>
      <w:pPr>
        <w:pStyle w:val="Normal"/>
        <w:spacing w:before="60" w:after="60"/>
      </w:pPr>
      <w:r>
        <w:rPr>
          <w:rFonts w:ascii="Cambria" w:hAnsi="Cambria" w:eastAsia="Cambria" w:cs="Cambria"/>
          <w:b/>
          <w:color w:val="1D2D3F"/>
          <w:sz w:val="20"/>
          <w:szCs w:val="20"/>
        </w:rPr>
        <w:t>(a) Kinetic Cross-Border Activity:</w:t>
      </w:r>
    </w:p>
    <w:p>
      <w:pPr>
        <w:pStyle w:val="Normal"/>
        <w:spacing w:before="60" w:after="60"/>
      </w:pPr>
    </w:p>
    <w:p>
      <w:pPr>
        <w:pStyle w:val="Normal"/>
        <w:spacing w:before="60" w:after="60"/>
      </w:pPr>
      <w:r>
        <w:rPr>
          <w:rFonts w:ascii="Cambria" w:hAnsi="Cambria" w:eastAsia="Cambria" w:cs="Cambria"/>
          <w:b/>
          <w:color w:val="1D2D3F"/>
          <w:sz w:val="20"/>
          <w:szCs w:val="20"/>
        </w:rPr>
        <w:t>Any projectile launch, artillery fire, airstrike, or drone strike originating from or impacting Lebanese territory.</w:t>
      </w:r>
    </w:p>
    <w:p>
      <w:pPr>
        <w:pStyle w:val="Normal"/>
        <w:spacing w:before="60" w:after="60"/>
      </w:pPr>
    </w:p>
    <w:p>
      <w:pPr>
        <w:pStyle w:val="Normal"/>
        <w:spacing w:before="60" w:after="60"/>
      </w:pPr>
      <w:r>
        <w:rPr>
          <w:rFonts w:ascii="Cambria" w:hAnsi="Cambria" w:eastAsia="Cambria" w:cs="Cambria"/>
          <w:b/>
          <w:color w:val="1D2D3F"/>
          <w:sz w:val="20"/>
          <w:szCs w:val="20"/>
        </w:rPr>
        <w:t>Incursion of ground forces across the Blue Line or established lines of contact.</w:t>
      </w:r>
    </w:p>
    <w:p>
      <w:pPr>
        <w:pStyle w:val="Normal"/>
        <w:spacing w:before="60" w:after="60"/>
      </w:pPr>
    </w:p>
    <w:p>
      <w:pPr>
        <w:pStyle w:val="Normal"/>
        <w:spacing w:before="60" w:after="60"/>
      </w:pPr>
      <w:r>
        <w:rPr>
          <w:rFonts w:ascii="Cambria" w:hAnsi="Cambria" w:eastAsia="Cambria" w:cs="Cambria"/>
          <w:b/>
          <w:color w:val="1D2D3F"/>
          <w:sz w:val="20"/>
          <w:szCs w:val="20"/>
        </w:rPr>
        <w:t>Naval or maritime incidents in Lebanese territorial waters.</w:t>
      </w:r>
    </w:p>
    <w:p>
      <w:pPr>
        <w:pStyle w:val="Normal"/>
        <w:spacing w:before="60" w:after="60"/>
      </w:pPr>
    </w:p>
    <w:p>
      <w:pPr>
        <w:pStyle w:val="Normal"/>
        <w:spacing w:before="60" w:after="60"/>
      </w:pPr>
      <w:r>
        <w:rPr>
          <w:rFonts w:ascii="Cambria" w:hAnsi="Cambria" w:eastAsia="Cambria" w:cs="Cambria"/>
          <w:b/>
          <w:color w:val="1D2D3F"/>
          <w:sz w:val="20"/>
          <w:szCs w:val="20"/>
        </w:rPr>
        <w:t>(b) Proxy or Affiliated-Actor Operations:</w:t>
      </w:r>
    </w:p>
    <w:p>
      <w:pPr>
        <w:pStyle w:val="Normal"/>
        <w:spacing w:before="60" w:after="60"/>
      </w:pPr>
    </w:p>
    <w:p>
      <w:pPr>
        <w:pStyle w:val="Normal"/>
        <w:spacing w:before="60" w:after="60"/>
      </w:pPr>
      <w:r>
        <w:rPr>
          <w:rFonts w:ascii="Cambria" w:hAnsi="Cambria" w:eastAsia="Cambria" w:cs="Cambria"/>
          <w:b/>
          <w:color w:val="1D2D3F"/>
          <w:sz w:val="20"/>
          <w:szCs w:val="20"/>
        </w:rPr>
        <w:t>Military operations by Hezbollah or affiliated groups that result in casualties or significant infrastructure damage on either side of the border.</w:t>
      </w:r>
    </w:p>
    <w:p>
      <w:pPr>
        <w:pStyle w:val="Normal"/>
        <w:spacing w:before="60" w:after="60"/>
      </w:pPr>
    </w:p>
    <w:p>
      <w:pPr>
        <w:pStyle w:val="Normal"/>
        <w:spacing w:before="60" w:after="60"/>
      </w:pPr>
      <w:r>
        <w:rPr>
          <w:rFonts w:ascii="Cambria" w:hAnsi="Cambria" w:eastAsia="Cambria" w:cs="Cambria"/>
          <w:b/>
          <w:color w:val="1D2D3F"/>
          <w:sz w:val="20"/>
          <w:szCs w:val="20"/>
        </w:rPr>
        <w:t>Deployment of new military assets or personnel into Lebanon beyond existing deployments.</w:t>
      </w:r>
    </w:p>
    <w:p>
      <w:pPr>
        <w:pStyle w:val="Normal"/>
        <w:spacing w:before="60" w:after="60"/>
      </w:pPr>
    </w:p>
    <w:p>
      <w:pPr>
        <w:pStyle w:val="Normal"/>
        <w:spacing w:before="60" w:after="60"/>
      </w:pPr>
      <w:r>
        <w:rPr>
          <w:rFonts w:ascii="Cambria" w:hAnsi="Cambria" w:eastAsia="Cambria" w:cs="Cambria"/>
          <w:b/>
          <w:color w:val="1D2D3F"/>
          <w:sz w:val="20"/>
          <w:szCs w:val="20"/>
        </w:rPr>
        <w:t>Operational coordination between Iranian military advisors and Lebanese armed groups resulting in hostile action.</w:t>
      </w:r>
    </w:p>
    <w:p>
      <w:pPr>
        <w:pStyle w:val="Normal"/>
        <w:spacing w:before="60" w:after="60"/>
      </w:pPr>
    </w:p>
    <w:p>
      <w:pPr>
        <w:pStyle w:val="Normal"/>
        <w:spacing w:before="60" w:after="60"/>
      </w:pPr>
      <w:r>
        <w:rPr>
          <w:rFonts w:ascii="Cambria" w:hAnsi="Cambria" w:eastAsia="Cambria" w:cs="Cambria"/>
          <w:b/>
          <w:color w:val="1D2D3F"/>
          <w:sz w:val="20"/>
          <w:szCs w:val="20"/>
        </w:rPr>
        <w:t>(c) Air and Cyber Operations:</w:t>
      </w:r>
    </w:p>
    <w:p>
      <w:pPr>
        <w:pStyle w:val="Normal"/>
        <w:spacing w:before="60" w:after="60"/>
      </w:pPr>
    </w:p>
    <w:p>
      <w:pPr>
        <w:pStyle w:val="Normal"/>
        <w:spacing w:before="60" w:after="60"/>
      </w:pPr>
      <w:r>
        <w:rPr>
          <w:rFonts w:ascii="Cambria" w:hAnsi="Cambria" w:eastAsia="Cambria" w:cs="Cambria"/>
          <w:b/>
          <w:color w:val="1D2D3F"/>
          <w:sz w:val="20"/>
          <w:szCs w:val="20"/>
        </w:rPr>
        <w:t>Penetration of Lebanese airspace by Israeli or hostile aircraft.</w:t>
      </w:r>
    </w:p>
    <w:p>
      <w:pPr>
        <w:pStyle w:val="Normal"/>
        <w:spacing w:before="60" w:after="60"/>
      </w:pPr>
    </w:p>
    <w:p>
      <w:pPr>
        <w:pStyle w:val="Normal"/>
        <w:spacing w:before="60" w:after="60"/>
      </w:pPr>
      <w:r>
        <w:rPr>
          <w:rFonts w:ascii="Cambria" w:hAnsi="Cambria" w:eastAsia="Cambria" w:cs="Cambria"/>
          <w:b/>
          <w:color w:val="1D2D3F"/>
          <w:sz w:val="20"/>
          <w:szCs w:val="20"/>
        </w:rPr>
        <w:t>Cyber attacks targeting Lebanese infrastructure, communications, or military systems.</w:t>
      </w:r>
    </w:p>
    <w:p>
      <w:pPr>
        <w:pStyle w:val="Normal"/>
        <w:spacing w:before="60" w:after="60"/>
      </w:pPr>
    </w:p>
    <w:p>
      <w:pPr>
        <w:pStyle w:val="Normal"/>
        <w:spacing w:before="60" w:after="60"/>
      </w:pPr>
      <w:r>
        <w:rPr>
          <w:rFonts w:ascii="Cambria" w:hAnsi="Cambria" w:eastAsia="Cambria" w:cs="Cambria"/>
          <w:b/>
          <w:color w:val="1D2D3F"/>
          <w:sz w:val="20"/>
          <w:szCs w:val="20"/>
        </w:rPr>
        <w:t>Electronic warfare operations originating from or targeting Lebanese territory.</w:t>
      </w:r>
    </w:p>
    <w:p>
      <w:pPr>
        <w:pStyle w:val="Normal"/>
        <w:spacing w:before="60" w:after="60"/>
      </w:pPr>
    </w:p>
    <w:p>
      <w:pPr>
        <w:pStyle w:val="Normal"/>
        <w:spacing w:before="60" w:after="60"/>
      </w:pPr>
      <w:r>
        <w:rPr>
          <w:rFonts w:ascii="Cambria" w:hAnsi="Cambria" w:eastAsia="Cambria" w:cs="Cambria"/>
          <w:b/>
          <w:color w:val="1D2D3F"/>
          <w:sz w:val="20"/>
          <w:szCs w:val="20"/>
        </w:rPr>
        <w:t>(d) Ceasefire Violations:</w:t>
      </w:r>
    </w:p>
    <w:p>
      <w:pPr>
        <w:pStyle w:val="Normal"/>
        <w:spacing w:before="60" w:after="60"/>
      </w:pPr>
    </w:p>
    <w:p>
      <w:pPr>
        <w:pStyle w:val="Normal"/>
        <w:spacing w:before="60" w:after="60"/>
      </w:pPr>
      <w:r>
        <w:rPr>
          <w:rFonts w:ascii="Cambria" w:hAnsi="Cambria" w:eastAsia="Cambria" w:cs="Cambria"/>
          <w:b/>
          <w:color w:val="1D2D3F"/>
          <w:sz w:val="20"/>
          <w:szCs w:val="20"/>
        </w:rPr>
        <w:t>Any sustained, attributed, offensive resumption as defined in Section 4.</w:t>
      </w:r>
    </w:p>
    <w:p>
      <w:pPr>
        <w:pStyle w:val="Normal"/>
        <w:spacing w:before="60" w:after="60"/>
      </w:pPr>
    </w:p>
    <w:p>
      <w:pPr>
        <w:pStyle w:val="Normal"/>
        <w:spacing w:before="60" w:after="60"/>
      </w:pPr>
      <w:r>
        <w:rPr>
          <w:rFonts w:ascii="Cambria" w:hAnsi="Cambria" w:eastAsia="Cambria" w:cs="Cambria"/>
          <w:b/>
          <w:color w:val="1D2D3F"/>
          <w:sz w:val="20"/>
          <w:szCs w:val="20"/>
        </w:rPr>
        <w:t>Action that constitutes a material breach of the Phase One ceasefire commitment.</w:t>
      </w:r>
    </w:p>
    <w:p>
      <w:pPr>
        <w:pStyle w:val="Normal"/>
        <w:spacing w:before="60" w:after="60"/>
      </w:pPr>
    </w:p>
    <w:p>
      <w:pPr>
        <w:pStyle w:val="Normal"/>
        <w:spacing w:before="60" w:after="60"/>
      </w:pPr>
      <w:r>
        <w:rPr>
          <w:rFonts w:ascii="Cambria" w:hAnsi="Cambria" w:eastAsia="Cambria" w:cs="Cambria"/>
          <w:b/>
          <w:color w:val="1D2D3F"/>
          <w:sz w:val="20"/>
          <w:szCs w:val="20"/>
        </w:rPr>
        <w:t>Activation Protocol:</w:t>
      </w:r>
    </w:p>
    <w:p>
      <w:pPr>
        <w:pStyle w:val="Normal"/>
        <w:spacing w:before="60" w:after="60"/>
      </w:pPr>
    </w:p>
    <w:p>
      <w:pPr>
        <w:pStyle w:val="Normal"/>
        <w:spacing w:before="60" w:after="60"/>
      </w:pPr>
      <w:r>
        <w:rPr>
          <w:rFonts w:ascii="Cambria" w:hAnsi="Cambria" w:eastAsia="Cambria" w:cs="Cambria"/>
          <w:b/>
          <w:color w:val="1D2D3F"/>
          <w:sz w:val="20"/>
          <w:szCs w:val="20"/>
        </w:rPr>
        <w:t>The Joint Coordination Center verifies the trigger within 4 hours of detection using Telemetry-First Verification. Upon confirmation, the Joint Coordination Center automatically issues a Firewall Activation Notice, initiating the containment sequence described in Section 5.</w:t>
      </w:r>
    </w:p>
    <w:p>
      <w:pPr>
        <w:pStyle w:val="Normal"/>
        <w:spacing w:before="60" w:after="60"/>
      </w:pPr>
    </w:p>
    <w:p>
      <w:pPr>
        <w:pStyle w:val="Heading2"/>
      </w:pPr>
      <w:r>
        <w:rPr>
          <w:rFonts w:ascii="Cambria" w:hAnsi="Cambria" w:eastAsia="Cambria" w:cs="Cambria"/>
          <w:b/>
          <w:color w:val="1D2D3F"/>
          <w:sz w:val="20"/>
          <w:szCs w:val="22"/>
        </w:rPr>
        <w:t>1.2 Incident Baseline and Escalation Budget</w:t>
      </w:r>
    </w:p>
    <w:p>
      <w:pPr>
        <w:pStyle w:val="Normal"/>
        <w:spacing w:before="60" w:after="60"/>
      </w:pPr>
    </w:p>
    <w:p>
      <w:pPr>
        <w:pStyle w:val="Normal"/>
        <w:spacing w:before="60" w:after="60"/>
      </w:pPr>
      <w:r>
        <w:rPr>
          <w:rFonts w:ascii="Cambria" w:hAnsi="Cambria" w:eastAsia="Cambria" w:cs="Cambria"/>
          <w:color w:val="1D2D3F"/>
          <w:sz w:val="20"/>
          <w:b/>
          <w:szCs w:val="20"/>
        </w:rPr>
        <w:t>Baseline Tolerance: Up to 3 minor incidents per calendar month do not trigger Band processing. They are logged in the Incident Registry but do not affect the Strain Gauge or Stability Coefficient.</w:t>
      </w:r>
    </w:p>
    <w:p>
      <w:pPr>
        <w:pStyle w:val="Normal"/>
        <w:spacing w:before="60" w:after="60"/>
      </w:pPr>
    </w:p>
    <w:p>
      <w:pPr>
        <w:pStyle w:val="Normal"/>
        <w:spacing w:before="60" w:after="60"/>
      </w:pPr>
      <w:r>
        <w:rPr>
          <w:rFonts w:ascii="Cambria" w:hAnsi="Cambria" w:eastAsia="Cambria" w:cs="Cambria"/>
          <w:color w:val="1D2D3F"/>
          <w:sz w:val="20"/>
          <w:b/>
          <w:szCs w:val="20"/>
        </w:rPr>
        <w:t>Minor Incident Definition: Cross-border fire with no confirmed casualties; incidents involving less than $50,000 in verified infrastructure damage; routine military posture movements; or verbal threats without accompanying military action.</w:t>
      </w:r>
    </w:p>
    <w:p>
      <w:pPr>
        <w:pStyle w:val="Normal"/>
        <w:spacing w:before="60" w:after="60"/>
      </w:pPr>
    </w:p>
    <w:p>
      <w:pPr>
        <w:pStyle w:val="Normal"/>
        <w:spacing w:before="60" w:after="60"/>
      </w:pPr>
      <w:r>
        <w:rPr>
          <w:rFonts w:ascii="Cambria" w:hAnsi="Cambria" w:eastAsia="Cambria" w:cs="Cambria"/>
          <w:color w:val="1D2D3F"/>
          <w:sz w:val="20"/>
          <w:b/>
          <w:szCs w:val="20"/>
        </w:rPr>
        <w:t>Escalation Trigger: Incidents exceeding the 3-per-month baseline frequency, or any single incident causing confirmed casualties or damage above the minor threshold, route to Band One immediately.</w:t>
      </w:r>
    </w:p>
    <w:p>
      <w:pPr>
        <w:pStyle w:val="Normal"/>
        <w:spacing w:before="60" w:after="60"/>
      </w:pPr>
    </w:p>
    <w:p>
      <w:pPr>
        <w:pStyle w:val="Normal"/>
        <w:spacing w:before="60" w:after="60"/>
      </w:pPr>
      <w:r>
        <w:rPr>
          <w:rFonts w:ascii="Cambria" w:hAnsi="Cambria" w:eastAsia="Cambria" w:cs="Cambria"/>
          <w:color w:val="1D2D3F"/>
          <w:sz w:val="20"/>
          <w:b/>
          <w:szCs w:val="20"/>
        </w:rPr>
        <w:t>Wartime Incident Budget: During active military operations, the daily incident budget is: up to 2 cross-border fire incidents per day = logged, not escalated; one incident causing fewer than 5 casualties = Band One processing only; one incident causing 5 to 15 casualties = Band Two processing (compressed to 14 days); one incident causing more than 15 casualties = Band Three (compressed to 30 days). Monthly ceiling: 40 incidents.</w:t>
      </w:r>
    </w:p>
    <w:p>
      <w:pPr>
        <w:pStyle w:val="Normal"/>
        <w:spacing w:before="60" w:after="60"/>
      </w:pPr>
    </w:p>
    <w:p>
      <w:pPr>
        <w:pStyle w:val="Heading2"/>
      </w:pPr>
      <w:r>
        <w:rPr>
          <w:rFonts w:ascii="Cambria" w:hAnsi="Cambria" w:eastAsia="Cambria" w:cs="Cambria"/>
          <w:b/>
          <w:color w:val="1D2D3F"/>
          <w:sz w:val="20"/>
          <w:szCs w:val="22"/>
        </w:rPr>
        <w:t>1.3 Non-Attribution and Verification Standards</w:t>
      </w:r>
    </w:p>
    <w:p>
      <w:pPr>
        <w:pStyle w:val="Normal"/>
        <w:spacing w:before="60" w:after="60"/>
      </w:pPr>
    </w:p>
    <w:p>
      <w:pPr>
        <w:pStyle w:val="Normal"/>
        <w:spacing w:before="60" w:after="60"/>
      </w:pPr>
      <w:r>
        <w:rPr>
          <w:rFonts w:ascii="Cambria" w:hAnsi="Cambria" w:eastAsia="Cambria" w:cs="Cambria"/>
          <w:b/>
          <w:color w:val="1D2D3F"/>
          <w:sz w:val="20"/>
          <w:szCs w:val="20"/>
        </w:rPr>
        <w:t>Consistent with the Compact's principle that "Iran's general political support for Hezbollah... does not constitute breach," this Annex establishes clear attribution standards:</w:t>
      </w:r>
    </w:p>
    <w:p>
      <w:pPr>
        <w:pStyle w:val="Normal"/>
        <w:spacing w:before="60" w:after="60"/>
      </w:pPr>
    </w:p>
    <w:p>
      <w:pPr>
        <w:pStyle w:val="Normal"/>
        <w:spacing w:before="60" w:after="60"/>
      </w:pPr>
      <w:r>
        <w:rPr>
          <w:rFonts w:ascii="Cambria" w:hAnsi="Cambria" w:eastAsia="Cambria" w:cs="Cambria"/>
          <w:b/>
          <w:color w:val="1D2D3F"/>
          <w:sz w:val="20"/>
          <w:szCs w:val="20"/>
        </w:rPr>
        <w:t>Attribution to a Party requires:</w:t>
      </w:r>
    </w:p>
    <w:p>
      <w:pPr>
        <w:pStyle w:val="Normal"/>
        <w:spacing w:before="60" w:after="60"/>
      </w:pPr>
    </w:p>
    <w:p>
      <w:pPr>
        <w:pStyle w:val="Normal"/>
        <w:spacing w:before="60" w:after="60"/>
      </w:pPr>
      <w:r>
        <w:rPr>
          <w:rFonts w:ascii="Cambria" w:hAnsi="Cambria" w:eastAsia="Cambria" w:cs="Cambria"/>
          <w:b/>
          <w:color w:val="1D2D3F"/>
          <w:sz w:val="20"/>
          <w:szCs w:val="20"/>
        </w:rPr>
        <w:t>Joint Joint Coordination Center confirmation of Iran's direct operational control over a specific Hezbollah operation.</w:t>
      </w:r>
    </w:p>
    <w:p>
      <w:pPr>
        <w:pStyle w:val="Normal"/>
        <w:spacing w:before="60" w:after="60"/>
      </w:pPr>
    </w:p>
    <w:p>
      <w:pPr>
        <w:pStyle w:val="Normal"/>
        <w:spacing w:before="60" w:after="60"/>
      </w:pPr>
      <w:r>
        <w:rPr>
          <w:rFonts w:ascii="Cambria" w:hAnsi="Cambria" w:eastAsia="Cambria" w:cs="Cambria"/>
          <w:b/>
          <w:color w:val="1D2D3F"/>
          <w:sz w:val="20"/>
          <w:szCs w:val="20"/>
        </w:rPr>
        <w:t>Verification from at least three independent sources:</w:t>
      </w:r>
    </w:p>
    <w:p>
      <w:pPr>
        <w:pStyle w:val="Normal"/>
        <w:spacing w:before="60" w:after="60"/>
      </w:pPr>
    </w:p>
    <w:p>
      <w:pPr>
        <w:pStyle w:val="Normal"/>
        <w:spacing w:before="60" w:after="60"/>
      </w:pPr>
      <w:r>
        <w:rPr>
          <w:rFonts w:ascii="Cambria" w:hAnsi="Cambria" w:eastAsia="Cambria" w:cs="Cambria"/>
          <w:b/>
          <w:color w:val="1D2D3F"/>
          <w:sz w:val="20"/>
          <w:szCs w:val="20"/>
        </w:rPr>
        <w:t>IAEA-type telemetry or sensor data where applicable.</w:t>
      </w:r>
    </w:p>
    <w:p>
      <w:pPr>
        <w:pStyle w:val="Normal"/>
        <w:spacing w:before="60" w:after="60"/>
      </w:pPr>
    </w:p>
    <w:p>
      <w:pPr>
        <w:pStyle w:val="Normal"/>
        <w:spacing w:before="60" w:after="60"/>
      </w:pPr>
      <w:r>
        <w:rPr>
          <w:rFonts w:ascii="Cambria" w:hAnsi="Cambria" w:eastAsia="Cambria" w:cs="Cambria"/>
          <w:b/>
          <w:color w:val="1D2D3F"/>
          <w:sz w:val="20"/>
          <w:szCs w:val="20"/>
        </w:rPr>
        <w:t>At least two neutral-nation ground observer reports coordinated by the Neutral Guarantor.</w:t>
      </w:r>
    </w:p>
    <w:p>
      <w:pPr>
        <w:pStyle w:val="Normal"/>
        <w:spacing w:before="60" w:after="60"/>
      </w:pPr>
    </w:p>
    <w:p>
      <w:pPr>
        <w:pStyle w:val="Normal"/>
        <w:spacing w:before="60" w:after="60"/>
      </w:pPr>
      <w:r>
        <w:rPr>
          <w:rFonts w:ascii="Cambria" w:hAnsi="Cambria" w:eastAsia="Cambria" w:cs="Cambria"/>
          <w:b/>
          <w:color w:val="1D2D3F"/>
          <w:sz w:val="20"/>
          <w:szCs w:val="20"/>
        </w:rPr>
        <w:t>Satellite imagery analyzed by a neutral technical team.</w:t>
      </w:r>
    </w:p>
    <w:p>
      <w:pPr>
        <w:pStyle w:val="Normal"/>
        <w:spacing w:before="60" w:after="60"/>
      </w:pPr>
    </w:p>
    <w:p>
      <w:pPr>
        <w:pStyle w:val="Normal"/>
        <w:spacing w:before="60" w:after="60"/>
      </w:pPr>
      <w:r>
        <w:rPr>
          <w:rFonts w:ascii="Cambria" w:hAnsi="Cambria" w:eastAsia="Cambria" w:cs="Cambria"/>
          <w:b/>
          <w:color w:val="1D2D3F"/>
          <w:sz w:val="20"/>
          <w:szCs w:val="20"/>
        </w:rPr>
        <w:t>Intelligence shared voluntarily by either Party and corroborated by another source.</w:t>
      </w:r>
    </w:p>
    <w:p>
      <w:pPr>
        <w:pStyle w:val="Normal"/>
        <w:spacing w:before="60" w:after="60"/>
      </w:pPr>
    </w:p>
    <w:p>
      <w:pPr>
        <w:pStyle w:val="Normal"/>
        <w:spacing w:before="60" w:after="60"/>
      </w:pPr>
      <w:r>
        <w:rPr>
          <w:rFonts w:ascii="Cambria" w:hAnsi="Cambria" w:eastAsia="Cambria" w:cs="Cambria"/>
          <w:b/>
          <w:color w:val="1D2D3F"/>
          <w:sz w:val="20"/>
          <w:szCs w:val="20"/>
        </w:rPr>
        <w:t>A single-source finding, including unilateral national intelligence, does not trigger Step-Back or suspension of the Lebanon unit.</w:t>
      </w:r>
    </w:p>
    <w:p>
      <w:pPr>
        <w:pStyle w:val="Normal"/>
        <w:spacing w:before="60" w:after="60"/>
      </w:pPr>
    </w:p>
    <w:p>
      <w:pPr>
        <w:pStyle w:val="Normal"/>
        <w:spacing w:before="60" w:after="60"/>
      </w:pPr>
      <w:r>
        <w:rPr>
          <w:rFonts w:ascii="Cambria" w:hAnsi="Cambria" w:eastAsia="Cambria" w:cs="Cambria"/>
          <w:b/>
          <w:color w:val="1D2D3F"/>
          <w:sz w:val="20"/>
          <w:szCs w:val="20"/>
        </w:rPr>
        <w:t>Non-Attributed Actions:</w:t>
      </w:r>
    </w:p>
    <w:p>
      <w:pPr>
        <w:pStyle w:val="Normal"/>
        <w:spacing w:before="60" w:after="60"/>
      </w:pPr>
    </w:p>
    <w:p>
      <w:pPr>
        <w:pStyle w:val="Normal"/>
        <w:spacing w:before="60" w:after="60"/>
      </w:pPr>
      <w:r>
        <w:rPr>
          <w:rFonts w:ascii="Cambria" w:hAnsi="Cambria" w:eastAsia="Cambria" w:cs="Cambria"/>
          <w:b/>
          <w:color w:val="1D2D3F"/>
          <w:sz w:val="20"/>
          <w:szCs w:val="20"/>
        </w:rPr>
        <w:t>Hezbollah actions that the Joint Coordination Center cannot attribute to Iran through the above standard are recorded as "non-attributed spoiler activity."</w:t>
      </w:r>
    </w:p>
    <w:p>
      <w:pPr>
        <w:pStyle w:val="Normal"/>
        <w:spacing w:before="60" w:after="60"/>
      </w:pPr>
    </w:p>
    <w:p>
      <w:pPr>
        <w:pStyle w:val="Normal"/>
        <w:spacing w:before="60" w:after="60"/>
      </w:pPr>
      <w:r>
        <w:rPr>
          <w:rFonts w:ascii="Cambria" w:hAnsi="Cambria" w:eastAsia="Cambria" w:cs="Cambria"/>
          <w:b/>
          <w:color w:val="1D2D3F"/>
          <w:sz w:val="20"/>
          <w:szCs w:val="20"/>
        </w:rPr>
        <w:t>Non-attributed actions do not trigger Party-level consequences.</w:t>
      </w:r>
    </w:p>
    <w:p>
      <w:pPr>
        <w:pStyle w:val="Normal"/>
        <w:spacing w:before="60" w:after="60"/>
      </w:pPr>
    </w:p>
    <w:p>
      <w:pPr>
        <w:pStyle w:val="Normal"/>
        <w:spacing w:before="60" w:after="60"/>
      </w:pPr>
      <w:r>
        <w:rPr>
          <w:rFonts w:ascii="Cambria" w:hAnsi="Cambria" w:eastAsia="Cambria" w:cs="Cambria"/>
          <w:b/>
          <w:color w:val="1D2D3F"/>
          <w:sz w:val="20"/>
          <w:szCs w:val="20"/>
        </w:rPr>
        <w:t>The Forward Drift Archive logs such actions as "external spoiler events" with a distinct classification.</w:t>
      </w:r>
    </w:p>
    <w:p>
      <w:pPr>
        <w:pStyle w:val="Normal"/>
        <w:spacing w:before="60" w:after="60"/>
      </w:pPr>
    </w:p>
    <w:p>
      <w:pPr>
        <w:pStyle w:val="Normal"/>
        <w:spacing w:before="60" w:after="60"/>
      </w:pPr>
    </w:p>
    <w:p>
      <w:pPr>
        <w:pStyle w:val="Heading2"/>
      </w:pPr>
      <w:r>
        <w:rPr>
          <w:rFonts w:ascii="Cambria" w:hAnsi="Cambria" w:eastAsia="Cambria" w:cs="Cambria"/>
          <w:b/>
          <w:color w:val="1D2D3F"/>
          <w:sz w:val="22"/>
          <w:szCs w:val="22"/>
        </w:rPr>
        <w:t>SECTION 2: BAND CLASSIFICATION AND ROUTING</w:t>
      </w:r>
    </w:p>
    <w:p>
      <w:pPr>
        <w:pStyle w:val="Normal"/>
        <w:spacing w:before="60" w:after="60"/>
      </w:pPr>
    </w:p>
    <w:p>
      <w:pPr>
        <w:pStyle w:val="Heading2"/>
      </w:pPr>
      <w:r>
        <w:rPr>
          <w:rFonts w:ascii="Cambria" w:hAnsi="Cambria" w:eastAsia="Cambria" w:cs="Cambria"/>
          <w:b/>
          <w:color w:val="1D2D3F"/>
          <w:sz w:val="22"/>
          <w:szCs w:val="22"/>
        </w:rPr>
        <w:t>2.1 Differential Band Processing for Lebanon</w:t>
      </w:r>
    </w:p>
    <w:p>
      <w:pPr>
        <w:pStyle w:val="Normal"/>
        <w:spacing w:before="60" w:after="60"/>
      </w:pPr>
    </w:p>
    <w:p>
      <w:pPr>
        <w:pStyle w:val="Normal"/>
        <w:spacing w:before="60" w:after="60"/>
      </w:pPr>
      <w:r>
        <w:rPr>
          <w:rFonts w:ascii="Cambria" w:hAnsi="Cambria" w:eastAsia="Cambria" w:cs="Cambria"/>
          <w:b/>
          <w:color w:val="1D2D3F"/>
          <w:sz w:val="20"/>
          <w:szCs w:val="20"/>
        </w:rPr>
        <w:t>Lebanon incidents process through the Compact's existing three-band architecture with the following specific routing rules:</w:t>
      </w:r>
    </w:p>
    <w:p>
      <w:pPr>
        <w:pStyle w:val="Normal"/>
        <w:spacing w:before="60" w:after="60"/>
      </w:pPr>
    </w:p>
    <w:p>
      <w:pPr>
        <w:pStyle w:val="Normal"/>
        <w:spacing w:before="60" w:after="60"/>
      </w:pPr>
      <w:r>
        <w:rPr>
          <w:rFonts w:ascii="Cambria" w:hAnsi="Cambria" w:eastAsia="Cambria" w:cs="Cambria"/>
          <w:b/>
          <w:color w:val="1D2D3F"/>
          <w:sz w:val="20"/>
          <w:szCs w:val="20"/>
        </w:rPr>
        <w:t>Band One: Localized, low-intensity incidents with no cross-border effect. 14-day rotation cycle. Examples: single rocket launch with no casualties; minor border incursion quickly reversed; administrative coordination issue.</w:t>
      </w:r>
    </w:p>
    <w:p>
      <w:pPr>
        <w:pStyle w:val="Normal"/>
        <w:spacing w:before="60" w:after="60"/>
      </w:pPr>
    </w:p>
    <w:p>
      <w:pPr>
        <w:pStyle w:val="Normal"/>
        <w:spacing w:before="60" w:after="60"/>
      </w:pPr>
      <w:r>
        <w:rPr>
          <w:rFonts w:ascii="Cambria" w:hAnsi="Cambria" w:eastAsia="Cambria" w:cs="Cambria"/>
          <w:b/>
          <w:color w:val="1D2D3F"/>
          <w:sz w:val="20"/>
          <w:szCs w:val="20"/>
        </w:rPr>
        <w:t>Band Two: Multi-unit or multi-agency incidents, or repeated Band One events. 45-day rotation cycle. Examples: coordinated attacks across multiple sectors; incidents causing casualties; pattern of Band One events.</w:t>
      </w:r>
    </w:p>
    <w:p>
      <w:pPr>
        <w:pStyle w:val="Normal"/>
        <w:spacing w:before="60" w:after="60"/>
      </w:pPr>
    </w:p>
    <w:p>
      <w:pPr>
        <w:pStyle w:val="Normal"/>
        <w:spacing w:before="60" w:after="60"/>
      </w:pPr>
      <w:r>
        <w:rPr>
          <w:rFonts w:ascii="Cambria" w:hAnsi="Cambria" w:eastAsia="Cambria" w:cs="Cambria"/>
          <w:b/>
          <w:color w:val="1D2D3F"/>
          <w:sz w:val="20"/>
          <w:szCs w:val="20"/>
        </w:rPr>
        <w:t>Band Three: Any incident implicating sovereignty, territorial integrity, or ceasefire collapse. 120-day rotation cycle. Examples: major cross-border offensive; sustained artillery barrage; air campaign; treaty-level threat.</w:t>
      </w:r>
    </w:p>
    <w:p>
      <w:pPr>
        <w:pStyle w:val="Normal"/>
        <w:spacing w:before="60" w:after="60"/>
      </w:pPr>
    </w:p>
    <w:p>
      <w:pPr>
        <w:pStyle w:val="Heading2"/>
      </w:pPr>
      <w:r>
        <w:rPr>
          <w:rFonts w:ascii="Cambria" w:hAnsi="Cambria" w:eastAsia="Cambria" w:cs="Cambria"/>
          <w:b/>
          <w:color w:val="1D2D3F"/>
          <w:sz w:val="22"/>
          <w:szCs w:val="22"/>
        </w:rPr>
        <w:t>2.2 Automatic Band Three Entry Rule</w:t>
      </w:r>
    </w:p>
    <w:p>
      <w:pPr>
        <w:pStyle w:val="Normal"/>
        <w:spacing w:before="60" w:after="60"/>
      </w:pPr>
    </w:p>
    <w:p>
      <w:pPr>
        <w:pStyle w:val="Normal"/>
        <w:spacing w:before="60" w:after="60"/>
      </w:pPr>
      <w:r>
        <w:rPr>
          <w:rFonts w:ascii="Cambria" w:hAnsi="Cambria" w:eastAsia="Cambria" w:cs="Cambria"/>
          <w:b/>
          <w:color w:val="1D2D3F"/>
          <w:sz w:val="20"/>
          <w:szCs w:val="20"/>
        </w:rPr>
        <w:t>Default Rule: All cross-border fire, airstrikes, proxy attacks, or incidents resulting in more than 5 documented fatalities automatically enter Band Three unless both Parties concur otherwise in writing within 24 hours.</w:t>
      </w:r>
    </w:p>
    <w:p>
      <w:pPr>
        <w:pStyle w:val="Normal"/>
        <w:spacing w:before="60" w:after="60"/>
      </w:pPr>
    </w:p>
    <w:p>
      <w:pPr>
        <w:pStyle w:val="Normal"/>
        <w:spacing w:before="60" w:after="60"/>
      </w:pPr>
      <w:r>
        <w:rPr>
          <w:rFonts w:ascii="Cambria" w:hAnsi="Cambria" w:eastAsia="Cambria" w:cs="Cambria"/>
          <w:b/>
          <w:color w:val="1D2D3F"/>
          <w:sz w:val="20"/>
          <w:szCs w:val="20"/>
        </w:rPr>
        <w:t>Purpose: This rule ensures that Lebanon incidents receive high-level political attention and cannot be minimized or ignored through procedural downgrading.</w:t>
      </w:r>
    </w:p>
    <w:p>
      <w:pPr>
        <w:pStyle w:val="Normal"/>
        <w:spacing w:before="60" w:after="60"/>
      </w:pPr>
    </w:p>
    <w:p>
      <w:pPr>
        <w:pStyle w:val="Heading2"/>
      </w:pPr>
      <w:r>
        <w:rPr>
          <w:rFonts w:ascii="Cambria" w:hAnsi="Cambria" w:eastAsia="Cambria" w:cs="Cambria"/>
          <w:b/>
          <w:color w:val="1D2D3F"/>
          <w:sz w:val="22"/>
          <w:szCs w:val="22"/>
        </w:rPr>
        <w:t>2.3 Core Protection Filter Application</w:t>
      </w:r>
    </w:p>
    <w:p>
      <w:pPr>
        <w:pStyle w:val="Normal"/>
        <w:spacing w:before="60" w:after="60"/>
      </w:pPr>
    </w:p>
    <w:p>
      <w:pPr>
        <w:pStyle w:val="Normal"/>
        <w:spacing w:before="60" w:after="60"/>
      </w:pPr>
      <w:r>
        <w:rPr>
          <w:rFonts w:ascii="Cambria" w:hAnsi="Cambria" w:eastAsia="Cambria" w:cs="Cambria"/>
          <w:b/>
          <w:color w:val="1D2D3F"/>
          <w:sz w:val="20"/>
          <w:szCs w:val="20"/>
        </w:rPr>
        <w:t>A dispute on the Lebanon front passes through the Core Protection Filter only after satisfying all three criteria:</w:t>
      </w:r>
    </w:p>
    <w:p>
      <w:pPr>
        <w:pStyle w:val="Normal"/>
        <w:spacing w:before="60" w:after="60"/>
      </w:pPr>
    </w:p>
    <w:p>
      <w:pPr>
        <w:pStyle w:val="Normal"/>
        <w:spacing w:before="60" w:after="60"/>
      </w:pPr>
      <w:r>
        <w:rPr>
          <w:rFonts w:ascii="Cambria" w:hAnsi="Cambria" w:eastAsia="Cambria" w:cs="Cambria"/>
          <w:b/>
          <w:color w:val="1D2D3F"/>
          <w:sz w:val="20"/>
          <w:szCs w:val="20"/>
        </w:rPr>
        <w:t>Core-Level Threat Criterion: The dispute directly threatens the ceasefire commitment or a sovereign red line.</w:t>
      </w:r>
    </w:p>
    <w:p>
      <w:pPr>
        <w:pStyle w:val="Normal"/>
        <w:spacing w:before="60" w:after="60"/>
      </w:pPr>
    </w:p>
    <w:p>
      <w:pPr>
        <w:pStyle w:val="Normal"/>
        <w:spacing w:before="60" w:after="60"/>
      </w:pPr>
      <w:r>
        <w:rPr>
          <w:rFonts w:ascii="Cambria" w:hAnsi="Cambria" w:eastAsia="Cambria" w:cs="Cambria"/>
          <w:b/>
          <w:color w:val="1D2D3F"/>
          <w:sz w:val="20"/>
          <w:szCs w:val="20"/>
        </w:rPr>
        <w:t>Band Exhaustion Criterion: The dispute has processed through Band Three for at least one full rotation cycle without resolution, and the Lateral Transfer Protocol confirms that parallel tracks failed to resolve the matter.</w:t>
      </w:r>
    </w:p>
    <w:p>
      <w:pPr>
        <w:pStyle w:val="Normal"/>
        <w:spacing w:before="60" w:after="60"/>
      </w:pPr>
    </w:p>
    <w:p>
      <w:pPr>
        <w:pStyle w:val="Normal"/>
        <w:spacing w:before="60" w:after="60"/>
      </w:pPr>
      <w:r>
        <w:rPr>
          <w:rFonts w:ascii="Cambria" w:hAnsi="Cambria" w:eastAsia="Cambria" w:cs="Cambria"/>
          <w:b/>
          <w:color w:val="1D2D3F"/>
          <w:sz w:val="20"/>
          <w:szCs w:val="20"/>
        </w:rPr>
        <w:t>Party Confirmation Criterion: Both Parties confirm that core-level attention is warranted.</w:t>
      </w:r>
    </w:p>
    <w:p>
      <w:pPr>
        <w:pStyle w:val="Normal"/>
        <w:spacing w:before="60" w:after="60"/>
      </w:pPr>
    </w:p>
    <w:p>
      <w:pPr>
        <w:pStyle w:val="Normal"/>
        <w:spacing w:before="60" w:after="60"/>
      </w:pPr>
      <w:r>
        <w:rPr>
          <w:rFonts w:ascii="Cambria" w:hAnsi="Cambria" w:eastAsia="Cambria" w:cs="Cambria"/>
          <w:b/>
          <w:color w:val="1D2D3F"/>
          <w:sz w:val="20"/>
          <w:szCs w:val="20"/>
        </w:rPr>
        <w:t>The Human-in-the-Loop Review Panel administers the Pressure Test and publishes its finding within 7 days of receiving a request for core-level access.</w:t>
      </w:r>
    </w:p>
    <w:p>
      <w:pPr>
        <w:pStyle w:val="Normal"/>
        <w:spacing w:before="60" w:after="60"/>
      </w:pPr>
    </w:p>
    <w:p>
      <w:pPr>
        <w:pStyle w:val="Heading2"/>
      </w:pPr>
      <w:r>
        <w:rPr>
          <w:rFonts w:ascii="Cambria" w:hAnsi="Cambria" w:eastAsia="Cambria" w:cs="Cambria"/>
          <w:b/>
          <w:color w:val="1D2D3F"/>
          <w:sz w:val="22"/>
          <w:szCs w:val="22"/>
        </w:rPr>
        <w:t>2.4 Escalation Filter</w:t>
      </w:r>
    </w:p>
    <w:p>
      <w:pPr>
        <w:pStyle w:val="Normal"/>
        <w:spacing w:before="60" w:after="60"/>
      </w:pPr>
    </w:p>
    <w:p>
      <w:pPr>
        <w:pStyle w:val="Normal"/>
        <w:spacing w:before="60" w:after="60"/>
      </w:pPr>
      <w:r>
        <w:rPr>
          <w:rFonts w:ascii="Cambria" w:hAnsi="Cambria" w:eastAsia="Cambria" w:cs="Cambria"/>
          <w:b/>
          <w:color w:val="1D2D3F"/>
          <w:sz w:val="20"/>
          <w:szCs w:val="20"/>
        </w:rPr>
        <w:t>The Escalation Filter prevents dramatic single incidents from bypassing all processing channels and reaching the core immediately. It operates through four steps:</w:t>
      </w:r>
    </w:p>
    <w:p>
      <w:pPr>
        <w:pStyle w:val="Normal"/>
        <w:spacing w:before="60" w:after="60"/>
      </w:pPr>
    </w:p>
    <w:p>
      <w:pPr>
        <w:pStyle w:val="Normal"/>
        <w:spacing w:before="60" w:after="60"/>
      </w:pPr>
      <w:r>
        <w:rPr>
          <w:rFonts w:ascii="Cambria" w:hAnsi="Cambria" w:eastAsia="Cambria" w:cs="Cambria"/>
          <w:b/>
          <w:color w:val="1D2D3F"/>
          <w:sz w:val="20"/>
          <w:szCs w:val="20"/>
        </w:rPr>
        <w:t>Arm: When a dispute's measured intensity crosses its band's armed threshold, the Joint Coordination Center flags it.</w:t>
      </w:r>
    </w:p>
    <w:p>
      <w:pPr>
        <w:pStyle w:val="Normal"/>
        <w:spacing w:before="60" w:after="60"/>
      </w:pPr>
    </w:p>
    <w:p>
      <w:pPr>
        <w:pStyle w:val="Normal"/>
        <w:spacing w:before="60" w:after="60"/>
      </w:pPr>
      <w:r>
        <w:rPr>
          <w:rFonts w:ascii="Cambria" w:hAnsi="Cambria" w:eastAsia="Cambria" w:cs="Cambria"/>
          <w:b/>
          <w:color w:val="1D2D3F"/>
          <w:sz w:val="20"/>
          <w:szCs w:val="20"/>
        </w:rPr>
        <w:t>Trip: If intensity crosses the trip threshold, the dispute freezes in its current band and a containment protocol activates. The dispute receives accelerated processing within its current band rather than immediate core referral.</w:t>
      </w:r>
    </w:p>
    <w:p>
      <w:pPr>
        <w:pStyle w:val="Normal"/>
        <w:spacing w:before="60" w:after="60"/>
      </w:pPr>
    </w:p>
    <w:p>
      <w:pPr>
        <w:pStyle w:val="Normal"/>
        <w:spacing w:before="60" w:after="60"/>
      </w:pPr>
      <w:r>
        <w:rPr>
          <w:rFonts w:ascii="Cambria" w:hAnsi="Cambria" w:eastAsia="Cambria" w:cs="Cambria"/>
          <w:b/>
          <w:color w:val="1D2D3F"/>
          <w:sz w:val="20"/>
          <w:szCs w:val="20"/>
        </w:rPr>
        <w:t>Contain: The accelerated processing resolves the spike or confirms that core-level access is genuinely warranted.</w:t>
      </w:r>
    </w:p>
    <w:p>
      <w:pPr>
        <w:pStyle w:val="Normal"/>
        <w:spacing w:before="60" w:after="60"/>
      </w:pPr>
    </w:p>
    <w:p>
      <w:pPr>
        <w:pStyle w:val="Normal"/>
        <w:spacing w:before="60" w:after="60"/>
      </w:pPr>
      <w:r>
        <w:rPr>
          <w:rFonts w:ascii="Cambria" w:hAnsi="Cambria" w:eastAsia="Cambria" w:cs="Cambria"/>
          <w:b/>
          <w:color w:val="1D2D3F"/>
          <w:sz w:val="20"/>
          <w:szCs w:val="20"/>
        </w:rPr>
        <w:t>Release: On resolution, the dispute either returns to normal band processing or proceeds to the Core Protection Filter with full documentation of the containment effort.</w:t>
      </w:r>
    </w:p>
    <w:p>
      <w:pPr>
        <w:pStyle w:val="Normal"/>
        <w:spacing w:before="60" w:after="60"/>
      </w:pPr>
    </w:p>
    <w:p>
      <w:pPr>
        <w:pStyle w:val="Normal"/>
        <w:spacing w:before="60" w:after="60"/>
      </w:pPr>
    </w:p>
    <w:p>
      <w:pPr>
        <w:pStyle w:val="Heading2"/>
      </w:pPr>
      <w:r>
        <w:rPr>
          <w:rFonts w:ascii="Cambria" w:hAnsi="Cambria" w:eastAsia="Cambria" w:cs="Cambria"/>
          <w:b/>
          <w:color w:val="1D2D3F"/>
          <w:sz w:val="22"/>
          <w:szCs w:val="22"/>
        </w:rPr>
        <w:t>SECTION 3: SYNCHRONIZATION CLOCK INTEGRATION</w:t>
      </w:r>
    </w:p>
    <w:p>
      <w:pPr>
        <w:pStyle w:val="Normal"/>
        <w:spacing w:before="60" w:after="60"/>
      </w:pPr>
    </w:p>
    <w:p>
      <w:pPr>
        <w:pStyle w:val="Heading2"/>
      </w:pPr>
      <w:r>
        <w:rPr>
          <w:rFonts w:ascii="Cambria" w:hAnsi="Cambria" w:eastAsia="Cambria" w:cs="Cambria"/>
          <w:b/>
          <w:color w:val="1D2D3F"/>
          <w:sz w:val="22"/>
          <w:szCs w:val="22"/>
        </w:rPr>
        <w:t>3.1 Automatic Clock Pause Triggers</w:t>
      </w:r>
    </w:p>
    <w:p>
      <w:pPr>
        <w:pStyle w:val="Normal"/>
        <w:spacing w:before="60" w:after="60"/>
      </w:pPr>
    </w:p>
    <w:p>
      <w:pPr>
        <w:pStyle w:val="Normal"/>
        <w:spacing w:before="60" w:after="60"/>
      </w:pPr>
      <w:r>
        <w:rPr>
          <w:rFonts w:ascii="Cambria" w:hAnsi="Cambria" w:eastAsia="Cambria" w:cs="Cambria"/>
          <w:b/>
          <w:color w:val="1D2D3F"/>
          <w:sz w:val="20"/>
          <w:szCs w:val="20"/>
        </w:rPr>
        <w:t>A Lebanon-related Band Three entry or any Firewall Activation Notice constitutes an automatic Drift Event and pauses the Synchronization Clock for the affected reciprocity unit.</w:t>
      </w:r>
    </w:p>
    <w:p>
      <w:pPr>
        <w:pStyle w:val="Normal"/>
        <w:spacing w:before="60" w:after="60"/>
      </w:pPr>
    </w:p>
    <w:p>
      <w:pPr>
        <w:pStyle w:val="Normal"/>
        <w:spacing w:before="60" w:after="60"/>
      </w:pPr>
      <w:r>
        <w:rPr>
          <w:rFonts w:ascii="Cambria" w:hAnsi="Cambria" w:eastAsia="Cambria" w:cs="Cambria"/>
          <w:b/>
          <w:color w:val="1D2D3F"/>
          <w:sz w:val="20"/>
          <w:szCs w:val="20"/>
        </w:rPr>
        <w:t>The Clock does not advance for the Lebanon unit until all of the following conditions are met:</w:t>
      </w:r>
    </w:p>
    <w:p>
      <w:pPr>
        <w:pStyle w:val="Normal"/>
        <w:spacing w:before="60" w:after="60"/>
      </w:pPr>
    </w:p>
    <w:p>
      <w:pPr>
        <w:pStyle w:val="Normal"/>
        <w:spacing w:before="60" w:after="60"/>
      </w:pPr>
      <w:r>
        <w:rPr>
          <w:rFonts w:ascii="Cambria" w:hAnsi="Cambria" w:eastAsia="Cambria" w:cs="Cambria"/>
          <w:b/>
          <w:color w:val="1D2D3F"/>
          <w:sz w:val="20"/>
          <w:szCs w:val="20"/>
        </w:rPr>
        <w:t>Verification of cessation of Lebanon-related activity through Telemetry-First Verification.</w:t>
      </w:r>
    </w:p>
    <w:p>
      <w:pPr>
        <w:pStyle w:val="Normal"/>
        <w:spacing w:before="60" w:after="60"/>
      </w:pPr>
    </w:p>
    <w:p>
      <w:pPr>
        <w:pStyle w:val="Normal"/>
        <w:spacing w:before="60" w:after="60"/>
      </w:pPr>
      <w:r>
        <w:rPr>
          <w:rFonts w:ascii="Cambria" w:hAnsi="Cambria" w:eastAsia="Cambria" w:cs="Cambria"/>
          <w:b/>
          <w:color w:val="1D2D3F"/>
          <w:sz w:val="20"/>
          <w:szCs w:val="20"/>
        </w:rPr>
        <w:t>Joint confirmation by the Neutral Guarantor.</w:t>
      </w:r>
    </w:p>
    <w:p>
      <w:pPr>
        <w:pStyle w:val="Normal"/>
        <w:spacing w:before="60" w:after="60"/>
      </w:pPr>
    </w:p>
    <w:p>
      <w:pPr>
        <w:pStyle w:val="Normal"/>
        <w:spacing w:before="60" w:after="60"/>
      </w:pPr>
      <w:r>
        <w:rPr>
          <w:rFonts w:ascii="Cambria" w:hAnsi="Cambria" w:eastAsia="Cambria" w:cs="Cambria"/>
          <w:b/>
          <w:color w:val="1D2D3F"/>
          <w:sz w:val="20"/>
          <w:szCs w:val="20"/>
        </w:rPr>
        <w:t>A Stability Coefficient reading above 40 for the Lebanon Stability Corridor.</w:t>
      </w:r>
    </w:p>
    <w:p>
      <w:pPr>
        <w:pStyle w:val="Normal"/>
        <w:spacing w:before="60" w:after="60"/>
      </w:pPr>
    </w:p>
    <w:p>
      <w:pPr>
        <w:pStyle w:val="Normal"/>
        <w:spacing w:before="60" w:after="60"/>
      </w:pPr>
      <w:r>
        <w:rPr>
          <w:rFonts w:ascii="Cambria" w:hAnsi="Cambria" w:eastAsia="Cambria" w:cs="Cambria"/>
          <w:b/>
          <w:color w:val="1D2D3F"/>
          <w:sz w:val="20"/>
          <w:szCs w:val="20"/>
        </w:rPr>
        <w:t>Human-in-the-Loop Review Panel confirmation of restored compliance.</w:t>
      </w:r>
    </w:p>
    <w:p>
      <w:pPr>
        <w:pStyle w:val="Normal"/>
        <w:spacing w:before="60" w:after="60"/>
      </w:pPr>
    </w:p>
    <w:p>
      <w:pPr>
        <w:pStyle w:val="Heading2"/>
      </w:pPr>
      <w:r>
        <w:rPr>
          <w:rFonts w:ascii="Cambria" w:hAnsi="Cambria" w:eastAsia="Cambria" w:cs="Cambria"/>
          <w:b/>
          <w:color w:val="1D2D3F"/>
          <w:sz w:val="22"/>
          <w:szCs w:val="22"/>
        </w:rPr>
        <w:t>3.2 Clock Pause Effects</w:t>
      </w:r>
    </w:p>
    <w:p>
      <w:pPr>
        <w:pStyle w:val="Normal"/>
        <w:spacing w:before="60" w:after="60"/>
      </w:pPr>
    </w:p>
    <w:p>
      <w:pPr>
        <w:pStyle w:val="Normal"/>
        <w:spacing w:before="60" w:after="60"/>
      </w:pPr>
      <w:r>
        <w:rPr>
          <w:rFonts w:ascii="Cambria" w:hAnsi="Cambria" w:eastAsia="Cambria" w:cs="Cambria"/>
          <w:b/>
          <w:color w:val="1D2D3F"/>
          <w:sz w:val="20"/>
          <w:szCs w:val="20"/>
        </w:rPr>
        <w:t>During a Lebanon-induced Clock pause:</w:t>
      </w:r>
    </w:p>
    <w:p>
      <w:pPr>
        <w:pStyle w:val="Normal"/>
        <w:spacing w:before="60" w:after="60"/>
      </w:pPr>
    </w:p>
    <w:p>
      <w:pPr>
        <w:pStyle w:val="Normal"/>
        <w:spacing w:before="60" w:after="60"/>
      </w:pPr>
      <w:r>
        <w:rPr>
          <w:rFonts w:ascii="Cambria" w:hAnsi="Cambria" w:eastAsia="Cambria" w:cs="Cambria"/>
          <w:b/>
          <w:color w:val="1D2D3F"/>
          <w:sz w:val="20"/>
          <w:szCs w:val="20"/>
        </w:rPr>
        <w:t>All other reciprocity units continue operating (nuclear, maritime, economic).</w:t>
      </w:r>
    </w:p>
    <w:p>
      <w:pPr>
        <w:pStyle w:val="Normal"/>
        <w:spacing w:before="60" w:after="60"/>
      </w:pPr>
    </w:p>
    <w:p>
      <w:pPr>
        <w:pStyle w:val="Normal"/>
        <w:spacing w:before="60" w:after="60"/>
      </w:pPr>
      <w:r>
        <w:rPr>
          <w:rFonts w:ascii="Cambria" w:hAnsi="Cambria" w:eastAsia="Cambria" w:cs="Cambria"/>
          <w:b/>
          <w:color w:val="1D2D3F"/>
          <w:sz w:val="20"/>
          <w:szCs w:val="20"/>
        </w:rPr>
        <w:t>Humanitarian commitments continue without interruption.</w:t>
      </w:r>
    </w:p>
    <w:p>
      <w:pPr>
        <w:pStyle w:val="Normal"/>
        <w:spacing w:before="60" w:after="60"/>
      </w:pPr>
    </w:p>
    <w:p>
      <w:pPr>
        <w:pStyle w:val="Normal"/>
        <w:spacing w:before="60" w:after="60"/>
      </w:pPr>
      <w:r>
        <w:rPr>
          <w:rFonts w:ascii="Cambria" w:hAnsi="Cambria" w:eastAsia="Cambria" w:cs="Cambria"/>
          <w:b/>
          <w:color w:val="1D2D3F"/>
          <w:sz w:val="20"/>
          <w:szCs w:val="20"/>
        </w:rPr>
        <w:t>Forward Drift Archive entries are protected and do not reverse.</w:t>
      </w:r>
    </w:p>
    <w:p>
      <w:pPr>
        <w:pStyle w:val="Normal"/>
        <w:spacing w:before="60" w:after="60"/>
      </w:pPr>
    </w:p>
    <w:p>
      <w:pPr>
        <w:pStyle w:val="Normal"/>
        <w:spacing w:before="60" w:after="60"/>
      </w:pPr>
      <w:r>
        <w:rPr>
          <w:rFonts w:ascii="Cambria" w:hAnsi="Cambria" w:eastAsia="Cambria" w:cs="Cambria"/>
          <w:b/>
          <w:color w:val="1D2D3F"/>
          <w:sz w:val="20"/>
          <w:szCs w:val="20"/>
        </w:rPr>
        <w:t>The Lebanon unit enters safe mode (high-profile cooperation suspends; technical exchange continues).</w:t>
      </w:r>
    </w:p>
    <w:p>
      <w:pPr>
        <w:pStyle w:val="Normal"/>
        <w:spacing w:before="60" w:after="60"/>
      </w:pPr>
    </w:p>
    <w:p>
      <w:pPr>
        <w:pStyle w:val="Normal"/>
        <w:spacing w:before="60" w:after="60"/>
      </w:pPr>
      <w:r>
        <w:rPr>
          <w:rFonts w:ascii="Cambria" w:hAnsi="Cambria" w:eastAsia="Cambria" w:cs="Cambria"/>
          <w:b/>
          <w:color w:val="1D2D3F"/>
          <w:sz w:val="20"/>
          <w:szCs w:val="20"/>
        </w:rPr>
        <w:t>Daily latency penalties accrue at 0.1% of the affected unit's escrow value per day, capped at 5%.</w:t>
      </w:r>
    </w:p>
    <w:p>
      <w:pPr>
        <w:pStyle w:val="Normal"/>
        <w:spacing w:before="60" w:after="60"/>
      </w:pPr>
    </w:p>
    <w:p>
      <w:pPr>
        <w:pStyle w:val="Heading2"/>
      </w:pPr>
      <w:r>
        <w:rPr>
          <w:rFonts w:ascii="Cambria" w:hAnsi="Cambria" w:eastAsia="Cambria" w:cs="Cambria"/>
          <w:b/>
          <w:color w:val="1D2D3F"/>
          <w:sz w:val="22"/>
          <w:szCs w:val="22"/>
        </w:rPr>
        <w:t>3.3 Partial Pause Architecture</w:t>
      </w:r>
    </w:p>
    <w:p>
      <w:pPr>
        <w:pStyle w:val="Normal"/>
        <w:spacing w:before="60" w:after="60"/>
      </w:pPr>
    </w:p>
    <w:p>
      <w:pPr>
        <w:pStyle w:val="Normal"/>
        <w:spacing w:before="60" w:after="60"/>
      </w:pPr>
      <w:r>
        <w:rPr>
          <w:rFonts w:ascii="Cambria" w:hAnsi="Cambria" w:eastAsia="Cambria" w:cs="Cambria"/>
          <w:b/>
          <w:color w:val="1D2D3F"/>
          <w:sz w:val="20"/>
          <w:szCs w:val="20"/>
        </w:rPr>
        <w:t>The Synchronization Clock pauses at multiple levels:</w:t>
      </w:r>
    </w:p>
    <w:p>
      <w:pPr>
        <w:pStyle w:val="Normal"/>
        <w:spacing w:before="60" w:after="60"/>
      </w:pPr>
    </w:p>
    <w:p>
      <w:pPr>
        <w:pStyle w:val="Normal"/>
        <w:spacing w:before="60" w:after="60"/>
      </w:pPr>
      <w:r>
        <w:rPr>
          <w:rFonts w:ascii="Cambria" w:hAnsi="Cambria" w:eastAsia="Cambria" w:cs="Cambria"/>
          <w:b/>
          <w:color w:val="1D2D3F"/>
          <w:sz w:val="20"/>
          <w:szCs w:val="20"/>
        </w:rPr>
        <w:t>Level 1: Band One Pause: Individual incident-level pause; applies only to the specific incident; 24-hour resolution window.</w:t>
      </w:r>
    </w:p>
    <w:p>
      <w:pPr>
        <w:pStyle w:val="Normal"/>
        <w:spacing w:before="60" w:after="60"/>
      </w:pPr>
    </w:p>
    <w:p>
      <w:pPr>
        <w:pStyle w:val="Normal"/>
        <w:spacing w:before="60" w:after="60"/>
      </w:pPr>
      <w:r>
        <w:rPr>
          <w:rFonts w:ascii="Cambria" w:hAnsi="Cambria" w:eastAsia="Cambria" w:cs="Cambria"/>
          <w:b/>
          <w:color w:val="1D2D3F"/>
          <w:sz w:val="20"/>
          <w:szCs w:val="20"/>
        </w:rPr>
        <w:t>Level 2: Band Two Pause: Section-level pause; applies to all incidents in a defined geographic sector; 7-day resolution window.</w:t>
      </w:r>
    </w:p>
    <w:p>
      <w:pPr>
        <w:pStyle w:val="Normal"/>
        <w:spacing w:before="60" w:after="60"/>
      </w:pPr>
    </w:p>
    <w:p>
      <w:pPr>
        <w:pStyle w:val="Normal"/>
        <w:spacing w:before="60" w:after="60"/>
      </w:pPr>
      <w:r>
        <w:rPr>
          <w:rFonts w:ascii="Cambria" w:hAnsi="Cambria" w:eastAsia="Cambria" w:cs="Cambria"/>
          <w:b/>
          <w:color w:val="1D2D3F"/>
          <w:sz w:val="20"/>
          <w:szCs w:val="20"/>
        </w:rPr>
        <w:t>Level 3: Band Three/Global Pause: Full Lebanon unit pause; applies to all Lebanon-related reciprocity units; 30-day resolution window.</w:t>
      </w:r>
    </w:p>
    <w:p>
      <w:pPr>
        <w:pStyle w:val="Normal"/>
        <w:spacing w:before="60" w:after="60"/>
      </w:pPr>
    </w:p>
    <w:p>
      <w:pPr>
        <w:pStyle w:val="Normal"/>
        <w:spacing w:before="60" w:after="60"/>
      </w:pPr>
      <w:r>
        <w:rPr>
          <w:rFonts w:ascii="Cambria" w:hAnsi="Cambria" w:eastAsia="Cambria" w:cs="Cambria"/>
          <w:b/>
          <w:color w:val="1D2D3F"/>
          <w:sz w:val="20"/>
          <w:szCs w:val="20"/>
        </w:rPr>
        <w:t>Level 4: Compact-Wide Pause: This level triggers only when a Lebanon incident directly threatens the Compact's existence (for example, direct military confrontation between United States and Iranian forces). This level requires Band Exhaustion and Party Confirmation.</w:t>
      </w:r>
    </w:p>
    <w:p>
      <w:pPr>
        <w:pStyle w:val="Normal"/>
        <w:spacing w:before="60" w:after="60"/>
      </w:pPr>
    </w:p>
    <w:p>
      <w:pPr>
        <w:pStyle w:val="Normal"/>
        <w:spacing w:before="60" w:after="60"/>
      </w:pPr>
    </w:p>
    <w:p>
      <w:pPr>
        <w:pStyle w:val="Heading2"/>
      </w:pPr>
      <w:r>
        <w:rPr>
          <w:rFonts w:ascii="Cambria" w:hAnsi="Cambria" w:eastAsia="Cambria" w:cs="Cambria"/>
          <w:b/>
          <w:color w:val="1D2D3F"/>
          <w:sz w:val="22"/>
          <w:szCs w:val="22"/>
        </w:rPr>
        <w:t>SECTION 4: THRESHOLD DEFINITIONS AND ESCALATION LADDER</w:t>
      </w:r>
    </w:p>
    <w:p>
      <w:pPr>
        <w:pStyle w:val="Normal"/>
        <w:spacing w:before="60" w:after="60"/>
      </w:pPr>
    </w:p>
    <w:p>
      <w:pPr>
        <w:pStyle w:val="Heading2"/>
      </w:pPr>
      <w:r>
        <w:rPr>
          <w:rFonts w:ascii="Cambria" w:hAnsi="Cambria" w:eastAsia="Cambria" w:cs="Cambria"/>
          <w:b/>
          <w:color w:val="1D2D3F"/>
          <w:sz w:val="22"/>
          <w:szCs w:val="22"/>
        </w:rPr>
        <w:t>4.1 Quantitative Thresholds</w:t>
      </w:r>
    </w:p>
    <w:p>
      <w:pPr>
        <w:pStyle w:val="Normal"/>
        <w:spacing w:before="60" w:after="60"/>
      </w:pPr>
    </w:p>
    <w:p>
      <w:pPr>
        <w:pStyle w:val="Normal"/>
        <w:spacing w:before="60" w:after="60"/>
      </w:pPr>
      <w:r>
        <w:rPr>
          <w:rFonts w:ascii="Cambria" w:hAnsi="Cambria" w:eastAsia="Cambria" w:cs="Cambria"/>
          <w:color w:val="1D2D3F"/>
          <w:sz w:val="20"/>
          <w:szCs w:val="20"/>
        </w:rPr>
        <w:t>A sustained, attributed, offensive resumption on the Lebanon front is defined by any of the following:</w:t>
      </w:r>
    </w:p>
    <w:p>
      <w:pPr>
        <w:pStyle w:val="Normal"/>
        <w:spacing w:before="60" w:after="60"/>
      </w:pPr>
    </w:p>
    <w:p>
      <w:pPr>
        <w:pStyle w:val="Normal"/>
        <w:spacing w:before="60" w:after="60"/>
      </w:pPr>
      <w:r>
        <w:rPr>
          <w:rFonts w:ascii="Cambria" w:hAnsi="Cambria" w:eastAsia="Cambria" w:cs="Cambria"/>
          <w:color w:val="1D2D3F"/>
          <w:sz w:val="20"/>
          <w:szCs w:val="20"/>
        </w:rPr>
        <w:t>T-1: Single military operation causing more than 10 documented fatalities on either side. Response: Emergency Human-in-the-Loop Review within 24 hours.</w:t>
      </w:r>
    </w:p>
    <w:p>
      <w:pPr>
        <w:pStyle w:val="Normal"/>
        <w:spacing w:before="60" w:after="60"/>
      </w:pPr>
    </w:p>
    <w:p>
      <w:pPr>
        <w:pStyle w:val="Normal"/>
        <w:spacing w:before="60" w:after="60"/>
      </w:pPr>
      <w:r>
        <w:rPr>
          <w:rFonts w:ascii="Cambria" w:hAnsi="Cambria" w:eastAsia="Cambria" w:cs="Cambria"/>
          <w:color w:val="1D2D3F"/>
          <w:sz w:val="20"/>
          <w:szCs w:val="20"/>
        </w:rPr>
        <w:t>T-2: Ground operations expanding beyond a 5-kilometer buffer zone from the current line of contact. Response: Immediate Band Three classification.</w:t>
      </w:r>
    </w:p>
    <w:p>
      <w:pPr>
        <w:pStyle w:val="Normal"/>
        <w:spacing w:before="60" w:after="60"/>
      </w:pPr>
    </w:p>
    <w:p>
      <w:pPr>
        <w:pStyle w:val="Normal"/>
        <w:spacing w:before="60" w:after="60"/>
      </w:pPr>
      <w:r>
        <w:rPr>
          <w:rFonts w:ascii="Cambria" w:hAnsi="Cambria" w:eastAsia="Cambria" w:cs="Cambria"/>
          <w:color w:val="1D2D3F"/>
          <w:sz w:val="20"/>
          <w:szCs w:val="20"/>
        </w:rPr>
        <w:t>T-3: Three or more cross-border attacks within any 24-hour period. Response: Automatic Synchronization Clock pause.</w:t>
      </w:r>
    </w:p>
    <w:p>
      <w:pPr>
        <w:pStyle w:val="Normal"/>
        <w:spacing w:before="60" w:after="60"/>
      </w:pPr>
    </w:p>
    <w:p>
      <w:pPr>
        <w:pStyle w:val="Normal"/>
        <w:spacing w:before="60" w:after="60"/>
      </w:pPr>
      <w:r>
        <w:rPr>
          <w:rFonts w:ascii="Cambria" w:hAnsi="Cambria" w:eastAsia="Cambria" w:cs="Cambria"/>
          <w:color w:val="1D2D3F"/>
          <w:sz w:val="20"/>
          <w:szCs w:val="20"/>
        </w:rPr>
        <w:t>T-4: Use of heavy weapons (artillery, tanks, aircraft, missiles) in cross-border attacks. Response: Full Step-Back activation; 30-day remediation window.</w:t>
      </w:r>
    </w:p>
    <w:p>
      <w:pPr>
        <w:pStyle w:val="Normal"/>
        <w:spacing w:before="60" w:after="60"/>
      </w:pPr>
    </w:p>
    <w:p>
      <w:pPr>
        <w:pStyle w:val="Normal"/>
        <w:spacing w:before="60" w:after="60"/>
      </w:pPr>
      <w:r>
        <w:rPr>
          <w:rFonts w:ascii="Cambria" w:hAnsi="Cambria" w:eastAsia="Cambria" w:cs="Cambria"/>
          <w:color w:val="1D2D3F"/>
          <w:sz w:val="20"/>
          <w:szCs w:val="20"/>
        </w:rPr>
        <w:t>T-5: Operation that causes more than 50 documented fatalities or significant damage to civilian infrastructure. Response: Crisis Anchor Protocol activation; Level 4 Step-Back.</w:t>
      </w:r>
    </w:p>
    <w:p>
      <w:pPr>
        <w:pStyle w:val="Normal"/>
        <w:spacing w:before="60" w:after="60"/>
      </w:pPr>
    </w:p>
    <w:p>
      <w:pPr>
        <w:pStyle w:val="Normal"/>
        <w:spacing w:before="60" w:after="60"/>
      </w:pPr>
      <w:r>
        <w:rPr>
          <w:rFonts w:ascii="Cambria" w:hAnsi="Cambria" w:eastAsia="Cambria" w:cs="Cambria"/>
          <w:color w:val="1D2D3F"/>
          <w:sz w:val="20"/>
          <w:szCs w:val="20"/>
        </w:rPr>
        <w:t>T-6: Major Cyber Attack: A cyber attack that causes significant damage to critical infrastructure in Lebanon or to the Compact's verification architecture, results in loss of life or significant economic damage, and is verified by the Joint Coordination Center as originating from or directed by a hostile actor. Response: Emergency Human-in-the-Loop Review within 24 hours; Automatic Band Three classification; Synchronization Clock pause for the Lebanon unit.</w:t>
      </w:r>
    </w:p>
    <w:p>
      <w:pPr>
        <w:pStyle w:val="Normal"/>
        <w:spacing w:before="60" w:after="60"/>
      </w:pPr>
    </w:p>
    <w:p>
      <w:pPr>
        <w:pStyle w:val="Heading2"/>
      </w:pPr>
      <w:r>
        <w:rPr>
          <w:rFonts w:ascii="Cambria" w:hAnsi="Cambria" w:eastAsia="Cambria" w:cs="Cambria"/>
          <w:b/>
          <w:color w:val="1D2D3F"/>
          <w:sz w:val="22"/>
          <w:szCs w:val="22"/>
        </w:rPr>
        <w:t>4.2 De-Escalation Ladder</w:t>
      </w:r>
    </w:p>
    <w:p>
      <w:pPr>
        <w:pStyle w:val="Normal"/>
        <w:spacing w:before="60" w:after="60"/>
      </w:pPr>
    </w:p>
    <w:p>
      <w:pPr>
        <w:pStyle w:val="Normal"/>
        <w:spacing w:before="60" w:after="60"/>
      </w:pPr>
      <w:r>
        <w:rPr>
          <w:rFonts w:ascii="Cambria" w:hAnsi="Cambria" w:eastAsia="Cambria" w:cs="Cambria"/>
          <w:color w:val="1D2D3F"/>
          <w:sz w:val="20"/>
          <w:szCs w:val="20"/>
        </w:rPr>
        <w:t>The Firewall includes a mandatory, sequential de-escalation ladder:</w:t>
      </w:r>
    </w:p>
    <w:p>
      <w:pPr>
        <w:pStyle w:val="Normal"/>
        <w:spacing w:before="60" w:after="60"/>
      </w:pPr>
    </w:p>
    <w:p>
      <w:pPr>
        <w:pStyle w:val="Normal"/>
        <w:spacing w:before="60" w:after="60"/>
      </w:pPr>
      <w:r>
        <w:rPr>
          <w:rFonts w:ascii="Cambria" w:hAnsi="Cambria" w:eastAsia="Cambria" w:cs="Cambria"/>
          <w:color w:val="1D2D3F"/>
          <w:sz w:val="20"/>
          <w:szCs w:val="20"/>
        </w:rPr>
        <w:t>Step 1: Telemetry confirmation of cessation of fire (within 2 hours; Joint Coordination Center sensor data).</w:t>
      </w:r>
    </w:p>
    <w:p>
      <w:pPr>
        <w:pStyle w:val="Normal"/>
        <w:spacing w:before="60" w:after="60"/>
      </w:pPr>
    </w:p>
    <w:p>
      <w:pPr>
        <w:pStyle w:val="Normal"/>
        <w:spacing w:before="60" w:after="60"/>
      </w:pPr>
      <w:r>
        <w:rPr>
          <w:rFonts w:ascii="Cambria" w:hAnsi="Cambria" w:eastAsia="Cambria" w:cs="Cambria"/>
          <w:color w:val="1D2D3F"/>
          <w:sz w:val="20"/>
          <w:szCs w:val="20"/>
        </w:rPr>
        <w:t>Step 2: Band Two review of incident origin and attribution (within 7 days; Human-in-the-Loop Review).</w:t>
      </w:r>
    </w:p>
    <w:p>
      <w:pPr>
        <w:pStyle w:val="Normal"/>
        <w:spacing w:before="60" w:after="60"/>
      </w:pPr>
    </w:p>
    <w:p>
      <w:pPr>
        <w:pStyle w:val="Normal"/>
        <w:spacing w:before="60" w:after="60"/>
      </w:pPr>
      <w:r>
        <w:rPr>
          <w:rFonts w:ascii="Cambria" w:hAnsi="Cambria" w:eastAsia="Cambria" w:cs="Cambria"/>
          <w:color w:val="1D2D3F"/>
          <w:sz w:val="20"/>
          <w:szCs w:val="20"/>
        </w:rPr>
        <w:t>Step 3: Sounding Exchange identifying one favorable surprise and one concern per Party (within 14 days; Neutral Guarantor facilitation).</w:t>
      </w:r>
    </w:p>
    <w:p>
      <w:pPr>
        <w:pStyle w:val="Normal"/>
        <w:spacing w:before="60" w:after="60"/>
      </w:pPr>
    </w:p>
    <w:p>
      <w:pPr>
        <w:pStyle w:val="Normal"/>
        <w:spacing w:before="60" w:after="60"/>
      </w:pPr>
      <w:r>
        <w:rPr>
          <w:rFonts w:ascii="Cambria" w:hAnsi="Cambria" w:eastAsia="Cambria" w:cs="Cambria"/>
          <w:color w:val="1D2D3F"/>
          <w:sz w:val="20"/>
          <w:szCs w:val="20"/>
        </w:rPr>
        <w:t>Step 4: Clock resumption once Stability Coefficient exceeds 40 (upon Step 3 completion; joint confirmation).</w:t>
      </w:r>
    </w:p>
    <w:p>
      <w:pPr>
        <w:pStyle w:val="Normal"/>
        <w:spacing w:before="60" w:after="60"/>
      </w:pPr>
    </w:p>
    <w:p>
      <w:pPr>
        <w:pStyle w:val="Normal"/>
        <w:spacing w:before="60" w:after="60"/>
      </w:pPr>
      <w:r>
        <w:rPr>
          <w:rFonts w:ascii="Cambria" w:hAnsi="Cambria" w:eastAsia="Cambria" w:cs="Cambria"/>
          <w:color w:val="1D2D3F"/>
          <w:sz w:val="20"/>
          <w:szCs w:val="20"/>
        </w:rPr>
        <w:t>Step 5: Earn-Back: Full restoration of the Lebanon unit (after 14 consecutive days of verified calm; Joint Coordination Center certification).</w:t>
      </w:r>
    </w:p>
    <w:p>
      <w:pPr>
        <w:pStyle w:val="Normal"/>
        <w:spacing w:before="60" w:after="60"/>
      </w:pPr>
    </w:p>
    <w:p>
      <w:pPr>
        <w:pStyle w:val="Normal"/>
        <w:spacing w:before="60" w:after="60"/>
      </w:pPr>
      <w:r>
        <w:rPr>
          <w:rFonts w:ascii="Cambria" w:hAnsi="Cambria" w:eastAsia="Cambria" w:cs="Cambria"/>
          <w:color w:val="1D2D3F"/>
          <w:sz w:val="20"/>
          <w:szCs w:val="20"/>
        </w:rPr>
        <w:t>No Party skips steps. The ladder is mandatory and sequential. A Party that attempts to skip steps triggers automatic review by the Human-in-the-Loop Review Panel.</w:t>
      </w:r>
    </w:p>
    <w:p>
      <w:pPr>
        <w:pStyle w:val="Normal"/>
        <w:spacing w:before="60" w:after="60"/>
      </w:pPr>
    </w:p>
    <w:p>
      <w:pPr>
        <w:pStyle w:val="Heading2"/>
      </w:pPr>
      <w:r>
        <w:rPr>
          <w:rFonts w:ascii="Cambria" w:hAnsi="Cambria" w:eastAsia="Cambria" w:cs="Cambria"/>
          <w:b/>
          <w:color w:val="1D2D3F"/>
          <w:sz w:val="22"/>
          <w:szCs w:val="22"/>
        </w:rPr>
        <w:t>SECTION 5: FIREWALL REMEDIES AND CONTAINMENT</w:t>
      </w:r>
    </w:p>
    <w:p>
      <w:pPr>
        <w:pStyle w:val="Normal"/>
        <w:spacing w:after="160" w:line="288" w:lineRule="auto"/>
      </w:pPr>
    </w:p>
    <w:p>
      <w:pPr>
        <w:pStyle w:val="Heading2"/>
      </w:pPr>
      <w:r>
        <w:rPr>
          <w:rFonts w:ascii="Cambria" w:hAnsi="Cambria" w:eastAsia="Cambria" w:cs="Cambria"/>
          <w:b/>
          <w:color w:val="1D2D3F"/>
          <w:sz w:val="22"/>
          <w:szCs w:val="22"/>
        </w:rPr>
        <w:t>5.1 Containment Window</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Upon Firewall activation, the following containment measures apply:</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Immediate (0-4 hours):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Joint Coordination Center issues a Firewall Activation Notice.</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All active reciprocity units for Lebanon enter safe mode.</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Neutral Guarantor receives notification.</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72-Hour Containment Window:</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A 72-hour freeze applies to all non-humanitarian Lebanon-specific reciprocity units.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No new negotiations on Lebanon-related matters occur during this window.</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Existing commitments remain active at technical level.</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Humanitarian flows continue without interruption.</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Post-Window:</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Accelerated Band Rotation: All bands increase rotation speed by 20% if Stability Coefficient falls below 25.</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Shadow Record Creation: All Lebanon incidents generate a permanent Forward Drift entry.</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Guarantor Messaging: The Neutral Guarantor issues a standardized, non-political notification.</w:t>
      </w:r>
    </w:p>
    <w:p>
      <w:pPr>
        <w:pStyle w:val="Normal"/>
        <w:spacing w:after="160" w:line="288" w:lineRule="auto"/>
      </w:pPr>
    </w:p>
    <w:p>
      <w:pPr>
        <w:pStyle w:val="Heading2"/>
      </w:pPr>
      <w:r>
        <w:rPr>
          <w:rFonts w:ascii="Cambria" w:hAnsi="Cambria" w:eastAsia="Cambria" w:cs="Cambria"/>
          <w:b/>
          <w:color w:val="1D2D3F"/>
          <w:sz w:val="22"/>
          <w:szCs w:val="22"/>
        </w:rPr>
        <w:t>5.2 Safe Mode Protocol</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When the Firewall activates, the Lebanon unit enters Safe Mode. In Safe Mode:</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High-profile cooperation suspends (joint patrols, senior-level diplomatic exchanges, visible confidence-building measures).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Technical exchange continues (telemetry data sharing, Joint Coordination Center operations, verification monitoring).</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Humanitarian flows remain fully protected.</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Safe Mode period defaults to 90 days unless extended by mutual consent or terminated early upon verified tension reduction.</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Exit from Safe Mode requires: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Joint Coordination Center confirms the Tension Vector has fallen below the armed threshold.</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violation that triggered Safe Mode is remedied or documented as resolved.</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Human-in-the-Loop Review Panel confirms restoration conditions are met.</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Post-Safe Mode Review: Upon exit from Safe Mode, the Joint Coordination Center conducts a 15-day escalation review.</w:t>
      </w:r>
    </w:p>
    <w:p>
      <w:pPr>
        <w:pStyle w:val="Normal"/>
        <w:spacing w:before="60" w:after="60"/>
      </w:pPr>
    </w:p>
    <w:p>
      <w:pPr>
        <w:pStyle w:val="Normal"/>
        <w:spacing w:after="160" w:line="288" w:lineRule="auto"/>
      </w:pPr>
      <w:r>
        <w:rPr>
          <w:rFonts w:ascii="Cambria" w:hAnsi="Cambria" w:eastAsia="Cambria" w:cs="Cambria"/>
          <w:color w:val="1D2D3F"/>
          <w:sz w:val="20"/>
          <w:szCs w:val="22"/>
          <w:b/>
        </w:rPr>
        <w:t>The review assesses: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(a) Whether the conditions that triggered Safe Mode have genuinely resolved, not merely paused.</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(b) Whether any residual tension indicators remain elevated.</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(c) Whether additional measures are required to prevent recurrence.</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review is published on the Lebanon Status Dashboard. If the review identifies elevated residual tension, the Joint Coordination Center recommends enhanced monitoring or proactive de-escalation measures.</w:t>
      </w:r>
    </w:p>
    <w:p>
      <w:pPr>
        <w:pStyle w:val="Normal"/>
        <w:spacing w:after="160" w:line="288" w:lineRule="auto"/>
      </w:pPr>
    </w:p>
    <w:p>
      <w:pPr>
        <w:pStyle w:val="Heading2"/>
      </w:pPr>
      <w:r>
        <w:rPr>
          <w:rFonts w:ascii="Cambria" w:hAnsi="Cambria" w:eastAsia="Cambria" w:cs="Cambria"/>
          <w:b/>
          <w:color w:val="1D2D3F"/>
          <w:sz w:val="22"/>
          <w:szCs w:val="22"/>
        </w:rPr>
        <w:t>5.3 Step-Back and Earn-Back</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Step-Back Level 1 (T-1 through T-3 thresholds):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Lebanon unit enters safe mode: high-profile cooperation suspends; technical exchange continues.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Future obligations for the Lebanon unit recalculate with new deadlines.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Pending disputes return to first-stage mediation.</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A Joint Verification and Escrow Agent assumes enhanced verification duties.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Step-Back Level 2 (T-4 threshold):</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All Lebanon-specific reciprocity units suspend.</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Emergency Human-in-the-Loop Review Panel convenes within 7 days.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30-day remediation window opens.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Technical exchanges continue through side channels.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Step-Back Level 3 (T-5 threshold):</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Full Lebanon unit suspension.</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Crisis Anchor Protocol activation.</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All non-humanitarian reciprocity units freeze.</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90-day recovery period begins.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Earn-Back:</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Upon correction of the deficiency, suspended reciprocity units reactivate automatically through the following sequence:</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Joint Coordination Center confirms correction of the deficiency.</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14 consecutive days of verified calm on the Lebanon front.</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Human-in-the-Loop Review Panel issues restoration certification.</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Suspended units reactivate automatically.</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No additional negotiation or compensation payment is required.</w:t>
      </w:r>
    </w:p>
    <w:p>
      <w:pPr>
        <w:pStyle w:val="Normal"/>
        <w:spacing w:after="160" w:line="288" w:lineRule="auto"/>
      </w:pPr>
    </w:p>
    <w:p>
      <w:pPr>
        <w:pStyle w:val="Heading2"/>
      </w:pPr>
      <w:r>
        <w:rPr>
          <w:rFonts w:ascii="Cambria" w:hAnsi="Cambria" w:eastAsia="Cambria" w:cs="Cambria"/>
          <w:b/>
          <w:color w:val="1D2D3F"/>
          <w:sz w:val="22"/>
          <w:szCs w:val="22"/>
        </w:rPr>
        <w:t>5.4 Re-Entry Protocol for Devolved Responsibility</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To prevent the Firewall from being weaponized by third parties: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Neutral Guarantor Certification: When a Party demonstrates that it used all available diplomatic channels to prevent a third-party escalation but the escalation occurred anyway, the Neutral Guarantor issues a "Devolved Responsibility Certification."</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Effects: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incident is recorded as an "external spoiler event" in the Forward Drift Archive.</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No Party-level penalties apply.</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affected Party receives a "Compliance Credit" applicable to other reciprocity units.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Lebanon unit does not enter safe mode.</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False Claim Penalty: A Party that claims Devolved Responsibility without good faith loses access to the Certification for 6 months.</w:t>
      </w:r>
    </w:p>
    <w:p>
      <w:pPr>
        <w:pStyle w:val="Normal"/>
        <w:spacing w:after="160" w:line="288" w:lineRule="auto"/>
      </w:pPr>
    </w:p>
    <w:p>
      <w:pPr>
        <w:pStyle w:val="Heading2"/>
      </w:pPr>
      <w:r>
        <w:rPr>
          <w:rFonts w:ascii="Cambria" w:hAnsi="Cambria" w:eastAsia="Cambria" w:cs="Cambria"/>
          <w:b/>
          <w:color w:val="1D2D3F"/>
          <w:sz w:val="22"/>
          <w:szCs w:val="22"/>
        </w:rPr>
        <w:t>5.5 Cascade Barrier</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Cascade Barrier prevents Lebanon incidents from automatically affecting nuclear, maritime, or economic tracks: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Default firewall: A Lebanon incident has no automatic effect on any other reciprocity unit.</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Declared linkages only: Where the Compact explicitly links Lebanon obligations to other tracks, those linkages operate only upon Joint Coordination Center verification of direct attribution.</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No silent contagion: Any effect propagating from the Lebanon unit to other units without a declared linkage constitutes a framework error, not a valid trigger.</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Cross-track insulation: The Joint Coordination Center actively monitors for unintended cross-track effects and issues corrective protocols immediately upon detection.</w:t>
      </w:r>
    </w:p>
    <w:p>
      <w:pPr>
        <w:pStyle w:val="Normal"/>
        <w:spacing w:after="160" w:line="288" w:lineRule="auto"/>
      </w:pPr>
    </w:p>
    <w:p>
      <w:pPr>
        <w:pStyle w:val="Normal"/>
        <w:spacing w:after="160" w:line="288" w:lineRule="auto"/>
      </w:pPr>
    </w:p>
    <w:p>
      <w:pPr>
        <w:pStyle w:val="Heading2"/>
      </w:pPr>
      <w:r>
        <w:rPr>
          <w:rFonts w:ascii="Cambria" w:hAnsi="Cambria" w:eastAsia="Cambria" w:cs="Cambria"/>
          <w:b/>
          <w:color w:val="1D2D3F"/>
          <w:sz w:val="22"/>
          <w:szCs w:val="22"/>
        </w:rPr>
        <w:t>SECTION 6: LEBANON STABILITY CORRIDOR</w:t>
      </w:r>
    </w:p>
    <w:p>
      <w:pPr>
        <w:pStyle w:val="Normal"/>
        <w:spacing w:after="160" w:line="288" w:lineRule="auto"/>
      </w:pPr>
    </w:p>
    <w:p>
      <w:pPr>
        <w:pStyle w:val="Heading2"/>
      </w:pPr>
      <w:r>
        <w:rPr>
          <w:rFonts w:ascii="Cambria" w:hAnsi="Cambria" w:eastAsia="Cambria" w:cs="Cambria"/>
          <w:b/>
          <w:color w:val="1D2D3F"/>
          <w:sz w:val="22"/>
          <w:szCs w:val="22"/>
        </w:rPr>
        <w:t>6.1 Establishment and Purpose</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Lebanon Stability Corridor is a dedicated Benefit Corridor within the Reciprocity Ledger that measures and quantifies the political lift generated by stability on the Lebanon front.</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Purpose: To transform the Lebanon front from a passive vulnerability to an active, quantifiable source of political lift within the Compact's overall framework.</w:t>
      </w:r>
    </w:p>
    <w:p>
      <w:pPr>
        <w:pStyle w:val="Normal"/>
        <w:spacing w:after="160" w:line="288" w:lineRule="auto"/>
      </w:pPr>
    </w:p>
    <w:p>
      <w:pPr>
        <w:pStyle w:val="Heading2"/>
      </w:pPr>
      <w:r>
        <w:rPr>
          <w:rFonts w:ascii="Cambria" w:hAnsi="Cambria" w:eastAsia="Cambria" w:cs="Cambria"/>
          <w:b/>
          <w:color w:val="1D2D3F"/>
          <w:sz w:val="22"/>
          <w:szCs w:val="22"/>
        </w:rPr>
        <w:t>6.2 Lift Components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Corridor generates measured political lift through four components: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Security Uplift: Reduction in incident frequency relative to baseline; verified reduction in cross-border kinetic activity. Weight: 30%.</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Political Viability Gain: Increased domestic political space for Lebanon-related obligations; measured by public support, elite statements, and civil society engagement. Weight: 25%.</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Economic Drag Reduction: Reduced economic costs from Lebanon instability: displacement costs, infrastructure protection, trade friction. Weight: 25%.</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Norm Contagion Score: Rate at which Lebanon stability is cited as precedent by regional actors, indicating shifting norms. Weight: 20%.</w:t>
      </w:r>
    </w:p>
    <w:p>
      <w:pPr>
        <w:pStyle w:val="Normal"/>
        <w:spacing w:after="160" w:line="288" w:lineRule="auto"/>
      </w:pPr>
    </w:p>
    <w:p>
      <w:pPr>
        <w:pStyle w:val="Heading2"/>
      </w:pPr>
      <w:r>
        <w:rPr>
          <w:rFonts w:ascii="Cambria" w:hAnsi="Cambria" w:eastAsia="Cambria" w:cs="Cambria"/>
          <w:b/>
          <w:color w:val="1D2D3F"/>
          <w:sz w:val="22"/>
          <w:szCs w:val="22"/>
        </w:rPr>
        <w:t>6.3 Cross-Track Reinforcement</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Verified calm on the Lebanon front generates a positive spillover to other Benefit Corridors: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Reciprocity Index for the Nuclear, Maritime, and Economic Corridors receives a +5 bonus for each consecutive 30-day period of Lebanon Stability Corridor score above 60.</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maximum Cross-Track Reinforcement bonus is +15 points per Corridor.</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If the Lebanon Stability Corridor score falls below 25, all other Corridors lose their Cross-Track Reinforcement bonus immediately.</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This bonus reflects the operational reality that regional stability is interconnected, but the architecture prevents instability on one front from automatically derailing others.</w:t>
      </w:r>
    </w:p>
    <w:p>
      <w:pPr>
        <w:pStyle w:val="Normal"/>
        <w:spacing w:after="160" w:line="288" w:lineRule="auto"/>
      </w:pPr>
    </w:p>
    <w:p>
      <w:pPr>
        <w:pStyle w:val="Heading2"/>
      </w:pPr>
      <w:r>
        <w:rPr>
          <w:rFonts w:ascii="Cambria" w:hAnsi="Cambria" w:eastAsia="Cambria" w:cs="Cambria"/>
          <w:b/>
          <w:color w:val="1D2D3F"/>
          <w:sz w:val="22"/>
          <w:szCs w:val="22"/>
        </w:rPr>
        <w:t>6.4 Scoring and Consequences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Lift Index Scores (0-100):</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70+: High Lift. Accelerated benefits; expanded engagement.</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40-69: Moderate Lift. Normal operations; standard engagement.</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25-39: Low Lift. Enhanced monitoring; advisory issued.</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Below 25: Lift Deficit. Deficit Recovery Protocol activates.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Deficit Recovery Protocol:</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Upon a Lift Deficit:</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Joint Coordination Center issues a Lift Deficit notice to both Parties within 48 hours.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Parties convene a technical consultation within 7 days.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The consultation produces a written remediation plan.</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Synchronization Clock pauses for the Lebanon unit until the remediation plan is verified.</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Other corridors continue operating without interruption.</w:t>
      </w:r>
    </w:p>
    <w:p>
      <w:pPr>
        <w:pStyle w:val="Normal"/>
        <w:spacing w:after="160" w:line="288" w:lineRule="auto"/>
      </w:pPr>
    </w:p>
    <w:p>
      <w:pPr>
        <w:pStyle w:val="Heading2"/>
      </w:pPr>
      <w:r>
        <w:rPr>
          <w:rFonts w:ascii="Cambria" w:hAnsi="Cambria" w:eastAsia="Cambria" w:cs="Cambria"/>
          <w:b/>
          <w:color w:val="1D2D3F"/>
          <w:sz w:val="22"/>
          <w:szCs w:val="22"/>
        </w:rPr>
        <w:t>6.5 Early Warning Thresholds</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Yellow Flag (Score 25-39): Automatic Joint Coordination Center advisory; weekly reporting requirement; optional Human-in-the-Loop Review.</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Orange Flag (Score 15-24): Mandatory Human-in-the-Loop Review; enhanced monitoring doubles; accelerated Band rotation in Band Two.</w:t>
      </w:r>
    </w:p>
    <w:p>
      <w:pPr>
        <w:pStyle w:val="Normal"/>
        <w:spacing w:after="160" w:line="288" w:lineRule="auto"/>
      </w:pPr>
    </w:p>
    <w:p>
      <w:pPr>
        <w:pStyle w:val="Normal"/>
        <w:spacing w:after="160" w:line="288" w:lineRule="auto"/>
      </w:pPr>
      <w:r>
        <w:rPr>
          <w:rFonts w:ascii="Cambria" w:hAnsi="Cambria" w:eastAsia="Cambria" w:cs="Cambria"/>
          <w:color w:val="1D2D3F"/>
          <w:sz w:val="20"/>
          <w:szCs w:val="22"/>
          <w:b/>
        </w:rPr>
        <w:t>Red Flag (Score Below 15): Full Firewall activation; Synchronization Clock pause; automatic Security Council notification.</w:t>
      </w:r>
    </w:p>
    <w:p>
      <w:pPr>
        <w:pStyle w:val="Normal"/>
        <w:spacing w:after="160" w:line="288" w:lineRule="auto"/>
      </w:pPr>
    </w:p>
    <w:p>
      <w:pPr>
        <w:pStyle w:val="Heading2"/>
      </w:pPr>
      <w:r>
        <w:rPr>
          <w:rFonts w:ascii="Cambria" w:hAnsi="Cambria" w:eastAsia="Cambria" w:cs="Cambria"/>
          <w:b/>
          <w:color w:val="1D2D3F"/>
          <w:sz w:val="20"/>
          <w:szCs w:val="22"/>
        </w:rPr>
        <w:t>6.6 Strain Gauge: Incident-Based Scoring</w:t>
      </w:r>
    </w:p>
    <w:p>
      <w:pPr>
        <w:pStyle w:val="Normal"/>
        <w:spacing w:before="60" w:after="60"/>
      </w:pPr>
    </w:p>
    <w:p>
      <w:pPr>
        <w:pStyle w:val="Normal"/>
        <w:spacing w:before="60" w:after="60"/>
      </w:pPr>
      <w:r>
        <w:rPr>
          <w:rFonts w:ascii="Cambria" w:hAnsi="Cambria" w:eastAsia="Cambria" w:cs="Cambria"/>
          <w:b/>
          <w:color w:val="1D2D3F"/>
          <w:sz w:val="20"/>
          <w:szCs w:val="20"/>
        </w:rPr>
        <w:t>The Strain Gauge quantifies tension on the Lebanon front through an incident-based point system. The Joint Coordination Center calculates it continuously:</w:t>
      </w:r>
    </w:p>
    <w:p>
      <w:pPr>
        <w:pStyle w:val="Normal"/>
        <w:spacing w:before="60" w:after="60"/>
      </w:pPr>
    </w:p>
    <w:p>
      <w:pPr>
        <w:pStyle w:val="Normal"/>
        <w:spacing w:before="60" w:after="60"/>
      </w:pPr>
      <w:r>
        <w:rPr>
          <w:rFonts w:ascii="Cambria" w:hAnsi="Cambria" w:eastAsia="Cambria" w:cs="Cambria"/>
          <w:b/>
          <w:color w:val="1D2D3F"/>
          <w:sz w:val="20"/>
          <w:szCs w:val="20"/>
        </w:rPr>
        <w:t>Strain Point Values: Cross-border fire incident: +5 points. Casualty-causing incident: +15 points. Hezbollah drone or UAV launch: +20 points. Attack on personnel of either Party: +30 points. Coordinated multi-unit attack: +40 points.</w:t>
      </w:r>
    </w:p>
    <w:p>
      <w:pPr>
        <w:pStyle w:val="Normal"/>
        <w:spacing w:before="60" w:after="60"/>
      </w:pPr>
    </w:p>
    <w:p>
      <w:pPr>
        <w:pStyle w:val="Normal"/>
        <w:spacing w:before="60" w:after="60"/>
      </w:pPr>
      <w:r>
        <w:rPr>
          <w:rFonts w:ascii="Cambria" w:hAnsi="Cambria" w:eastAsia="Cambria" w:cs="Cambria"/>
          <w:b/>
          <w:color w:val="1D2D3F"/>
          <w:sz w:val="20"/>
          <w:szCs w:val="20"/>
        </w:rPr>
        <w:t>Weekly Decay: -10 points per week of verified calm (no incidents scoring 5+ points).</w:t>
      </w:r>
    </w:p>
    <w:p>
      <w:pPr>
        <w:pStyle w:val="Normal"/>
        <w:spacing w:before="60" w:after="60"/>
      </w:pPr>
    </w:p>
    <w:p>
      <w:pPr>
        <w:pStyle w:val="Normal"/>
        <w:spacing w:before="60" w:after="60"/>
      </w:pPr>
      <w:r>
        <w:rPr>
          <w:rFonts w:ascii="Cambria" w:hAnsi="Cambria" w:eastAsia="Cambria" w:cs="Cambria"/>
          <w:b/>
          <w:color w:val="1D2D3F"/>
          <w:sz w:val="20"/>
          <w:szCs w:val="20"/>
        </w:rPr>
        <w:t>Strain Thresholds: 0 to 25: Green (normal operations). 26 to 50: Amber (monitoring intensifies; Early Warning Network elevates to Level 2). 51 to 75: Orange (de-escalation channel auto-deploys per Section 11.3). Above 75: Red (Firewall auto-activates per Section 5; Synchronization Clock pauses).</w:t>
      </w:r>
    </w:p>
    <w:p>
      <w:pPr>
        <w:pStyle w:val="Normal"/>
        <w:spacing w:before="60" w:after="60"/>
      </w:pPr>
    </w:p>
    <w:p>
      <w:pPr>
        <w:pStyle w:val="Heading2"/>
      </w:pPr>
      <w:r>
        <w:rPr>
          <w:rFonts w:ascii="Cambria" w:hAnsi="Cambria" w:eastAsia="Cambria" w:cs="Cambria"/>
          <w:b/>
          <w:color w:val="1D2D3F"/>
          <w:sz w:val="20"/>
          <w:szCs w:val="22"/>
        </w:rPr>
        <w:t>6.7 Breach Remediation Ladder</w:t>
      </w:r>
    </w:p>
    <w:p>
      <w:pPr>
        <w:pStyle w:val="Normal"/>
        <w:spacing w:before="60" w:after="60"/>
      </w:pPr>
    </w:p>
    <w:p>
      <w:pPr>
        <w:pStyle w:val="Normal"/>
        <w:spacing w:before="60" w:after="60"/>
      </w:pPr>
      <w:r>
        <w:rPr>
          <w:rFonts w:ascii="Cambria" w:hAnsi="Cambria" w:eastAsia="Cambria" w:cs="Cambria"/>
          <w:color w:val="1D2D3F"/>
          <w:sz w:val="20"/>
          <w:b/>
          <w:szCs w:val="20"/>
        </w:rPr>
        <w:t>Single minor violation: Warning logged in the Forward Drift Archive.</w:t>
      </w:r>
    </w:p>
    <w:p>
      <w:pPr>
        <w:pStyle w:val="Normal"/>
        <w:spacing w:before="60" w:after="60"/>
      </w:pPr>
    </w:p>
    <w:p>
      <w:pPr>
        <w:pStyle w:val="Normal"/>
        <w:spacing w:before="60" w:after="60"/>
      </w:pPr>
      <w:r>
        <w:rPr>
          <w:rFonts w:ascii="Cambria" w:hAnsi="Cambria" w:eastAsia="Cambria" w:cs="Cambria"/>
          <w:color w:val="1D2D3F"/>
          <w:sz w:val="20"/>
          <w:b/>
          <w:szCs w:val="20"/>
        </w:rPr>
        <w:t>Pattern (3 or more incidents in 30 days): Strain Gauge scoring doubles for 14 days.</w:t>
      </w:r>
    </w:p>
    <w:p>
      <w:pPr>
        <w:pStyle w:val="Normal"/>
        <w:spacing w:before="60" w:after="60"/>
      </w:pPr>
    </w:p>
    <w:p>
      <w:pPr>
        <w:pStyle w:val="Normal"/>
        <w:spacing w:before="60" w:after="60"/>
      </w:pPr>
      <w:r>
        <w:rPr>
          <w:rFonts w:ascii="Cambria" w:hAnsi="Cambria" w:eastAsia="Cambria" w:cs="Cambria"/>
          <w:color w:val="1D2D3F"/>
          <w:sz w:val="20"/>
          <w:b/>
          <w:szCs w:val="20"/>
        </w:rPr>
        <w:t>Confirmed breach (single major incident): Reciprocity Ledger debit; Party loses credits in other corridors equivalent to the severity of the breach.</w:t>
      </w:r>
    </w:p>
    <w:p>
      <w:pPr>
        <w:pStyle w:val="Normal"/>
        <w:spacing w:before="60" w:after="60"/>
      </w:pPr>
    </w:p>
    <w:p>
      <w:pPr>
        <w:pStyle w:val="Normal"/>
        <w:spacing w:before="60" w:after="60"/>
      </w:pPr>
      <w:r>
        <w:rPr>
          <w:rFonts w:ascii="Cambria" w:hAnsi="Cambria" w:eastAsia="Cambria" w:cs="Cambria"/>
          <w:color w:val="1D2D3F"/>
          <w:sz w:val="20"/>
          <w:b/>
          <w:szCs w:val="20"/>
        </w:rPr>
        <w:t>Systematic breach (coordinated pattern): Firewall activation per Section 5; Synchronization Clock pause.</w:t>
      </w:r>
    </w:p>
    <w:p>
      <w:pPr>
        <w:pStyle w:val="Normal"/>
        <w:spacing w:before="60" w:after="60"/>
      </w:pPr>
    </w:p>
    <w:p>
      <w:pPr>
        <w:pStyle w:val="Heading2"/>
      </w:pPr>
      <w:r>
        <w:rPr>
          <w:rFonts w:ascii="Cambria" w:hAnsi="Cambria" w:eastAsia="Cambria" w:cs="Cambria"/>
          <w:b/>
          <w:color w:val="1D2D3F"/>
          <w:sz w:val="20"/>
          <w:szCs w:val="22"/>
        </w:rPr>
        <w:t>6.8 Cumulative Step-Back Protocol</w:t>
      </w:r>
    </w:p>
    <w:p>
      <w:pPr>
        <w:pStyle w:val="Normal"/>
        <w:spacing w:before="60" w:after="60"/>
      </w:pPr>
    </w:p>
    <w:p>
      <w:pPr>
        <w:pStyle w:val="Normal"/>
        <w:spacing w:before="60" w:after="60"/>
      </w:pPr>
      <w:r>
        <w:rPr>
          <w:rFonts w:ascii="Cambria" w:hAnsi="Cambria" w:eastAsia="Cambria" w:cs="Cambria"/>
          <w:color w:val="1D2D3F"/>
          <w:sz w:val="20"/>
          <w:b/>
          <w:szCs w:val="20"/>
        </w:rPr>
        <w:t>Purpose: To prevent multiple minor violations from collectively paralyzing the Compact without triggering proportionality review.</w:t>
      </w:r>
    </w:p>
    <w:p>
      <w:pPr>
        <w:pStyle w:val="Normal"/>
        <w:spacing w:before="60" w:after="60"/>
      </w:pPr>
    </w:p>
    <w:p>
      <w:pPr>
        <w:pStyle w:val="Normal"/>
        <w:spacing w:before="60" w:after="60"/>
      </w:pPr>
      <w:r>
        <w:rPr>
          <w:rFonts w:ascii="Cambria" w:hAnsi="Cambria" w:eastAsia="Cambria" w:cs="Cambria"/>
          <w:color w:val="1D2D3F"/>
          <w:sz w:val="20"/>
          <w:b/>
          <w:szCs w:val="20"/>
        </w:rPr>
        <w:t>Threshold: Three or more Level 1 or Level 2 Step-Backs within any 30-day period across any combination of reciprocity units constitute a Cumulative Step-Back event.</w:t>
      </w:r>
    </w:p>
    <w:p>
      <w:pPr>
        <w:pStyle w:val="Normal"/>
        <w:spacing w:before="60" w:after="60"/>
      </w:pPr>
    </w:p>
    <w:p>
      <w:pPr>
        <w:pStyle w:val="Normal"/>
        <w:spacing w:before="60" w:after="60"/>
      </w:pPr>
      <w:r>
        <w:rPr>
          <w:rFonts w:ascii="Cambria" w:hAnsi="Cambria" w:eastAsia="Cambria" w:cs="Cambria"/>
          <w:color w:val="1D2D3F"/>
          <w:sz w:val="20"/>
          <w:b/>
          <w:szCs w:val="20"/>
        </w:rPr>
        <w:t>Upon reaching the threshold, the Joint Coordination Center automatically convenes a Human-in-the-Loop Review. The Review determines whether the Step-Backs are: (a) Genuine, separate incidents unrelated to one another (no collective action). (b) A coordinated pattern of pressure designed to immobilize the Compact (treated as a single Level 3 Step-Back). (c) The result of capacity constraints (Good Faith Exception applies).</w:t>
      </w:r>
    </w:p>
    <w:p>
      <w:pPr>
        <w:pStyle w:val="Normal"/>
        <w:spacing w:before="60" w:after="60"/>
      </w:pPr>
    </w:p>
    <w:p>
      <w:pPr>
        <w:pStyle w:val="Normal"/>
        <w:spacing w:before="60" w:after="60"/>
      </w:pPr>
      <w:r>
        <w:rPr>
          <w:rFonts w:ascii="Cambria" w:hAnsi="Cambria" w:eastAsia="Cambria" w:cs="Cambria"/>
          <w:color w:val="1D2D3F"/>
          <w:sz w:val="20"/>
          <w:b/>
          <w:szCs w:val="20"/>
        </w:rPr>
        <w:t>A finding of a coordinated pattern is recorded in the Forward Drift Archive as a cumulative event and published on the Swiss-hosted dashboard. The Neutral Guarantor notifies both Parties of the finding and corrective action.</w:t>
      </w:r>
    </w:p>
    <w:p>
      <w:pPr>
        <w:pStyle w:val="Normal"/>
        <w:spacing w:before="60" w:after="60"/>
      </w:pPr>
    </w:p>
    <w:p>
      <w:pPr>
        <w:pStyle w:val="Heading2"/>
      </w:pPr>
      <w:r>
        <w:rPr>
          <w:rFonts w:ascii="Cambria" w:hAnsi="Cambria" w:eastAsia="Cambria" w:cs="Cambria"/>
          <w:b/>
          <w:color w:val="1D2D3F"/>
          <w:sz w:val="22"/>
          <w:szCs w:val="22"/>
        </w:rPr>
        <w:t>SECTION 7: THIRD-PARTY ESCALATION PROTECTION PROTOCOL</w:t>
      </w:r>
    </w:p>
    <w:p>
      <w:pPr>
        <w:pStyle w:val="Normal"/>
        <w:spacing w:after="160" w:line="288" w:lineRule="auto"/>
      </w:pPr>
    </w:p>
    <w:p>
      <w:pPr>
        <w:pStyle w:val="Heading2"/>
      </w:pPr>
      <w:r>
        <w:rPr>
          <w:rFonts w:ascii="Cambria" w:hAnsi="Cambria" w:eastAsia="Cambria" w:cs="Cambria"/>
          <w:b/>
          <w:color w:val="1D2D3F"/>
          <w:sz w:val="22"/>
          <w:szCs w:val="22"/>
        </w:rPr>
        <w:t>7.1 Purpose and Acknowledgment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This Protocol establishes a dedicated response mechanism for military action by regional states that impacts the Lebanon front, the Compact, or Party interests. The Parties acknowledge that regional states determine their own defense requirements and that this Compact does not restrict the military action of any regional state.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The United States does not guarantee the conduct of any regional state and does not endorse any specific military operation. No regional state bears obligation under this Compact.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However, the Parties recognize that military action by regional states creates escalation dynamics that threaten the Compact's stability. This Protocol provides a structured, verifiable response mechanism that protects the Compact's integrity while acknowledging the reality of regional military action.</w:t>
      </w:r>
    </w:p>
    <w:p>
      <w:pPr>
        <w:pStyle w:val="Normal"/>
        <w:spacing w:after="160" w:line="288" w:lineRule="auto"/>
      </w:pPr>
    </w:p>
    <w:p>
      <w:pPr>
        <w:pStyle w:val="Heading2"/>
      </w:pPr>
      <w:r>
        <w:rPr>
          <w:rFonts w:ascii="Cambria" w:hAnsi="Cambria" w:eastAsia="Cambria" w:cs="Cambria"/>
          <w:b/>
          <w:color w:val="1D2D3F"/>
          <w:sz w:val="22"/>
          <w:szCs w:val="22"/>
        </w:rPr>
        <w:t>7.2 Trigger and Verification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Automatic Activation: Upon verification of any military action by a regional state in or affecting Lebanese territory, the Joint Coordination Center activates this Protocol.</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Verification Requirements: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Confirmation by the Neutral Guarantor.</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Satellite imagery of the impact sites.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IAEA telemetry from any affected nuclear facility.</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Radar tracks showing missile trajectories.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Independent media reporting from the impact location.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UNIFIL or neutral-party ground observer reports.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Verification completes within 12 hours of the event.</w:t>
      </w:r>
    </w:p>
    <w:p>
      <w:pPr>
        <w:pStyle w:val="Normal"/>
        <w:spacing w:after="160" w:line="288" w:lineRule="auto"/>
      </w:pPr>
    </w:p>
    <w:p>
      <w:pPr>
        <w:pStyle w:val="Heading2"/>
      </w:pPr>
      <w:r>
        <w:rPr>
          <w:rFonts w:ascii="Cambria" w:hAnsi="Cambria" w:eastAsia="Cambria" w:cs="Cambria"/>
          <w:b/>
          <w:color w:val="1D2D3F"/>
          <w:sz w:val="22"/>
          <w:szCs w:val="22"/>
        </w:rPr>
        <w:t>7.3 Non-Attribution and Escalation Protection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Explicit Compact Protection: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Military action by a regional state does not automatically attribute to the United States.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Response by either Party to military action that is proportionate and defensive does not constitute a Compact breach.</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The Compact's commitment to synchrony means that neither Party's obligations change based on the military action of a regional state, even if that action changes the strategic environment.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The Compact's reciprocity architecture only measures actions between the Parties; third-party actions do not reset obligations.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Unprovoked Attack Protocol Activation: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When the verification architecture confirms military action by a regional state as unprovoked (not a defensive or proportional response to an imminent threat), the Verified Unprovoked Attack Protocol activates: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Within 24 hours, the Neutral Guarantor issues formal notification to all observers and to the United Nations.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Within 48 hours, the Neutral Guarantor publishes a confidential factual summary on the dashboard.</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The factual summary serves as the evidentiary basis for third-party states to make sovereign determinations.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No State is obligated to participate in any response.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No Binding Obligation: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All actions taken by States in response to a verified unprovoked attack are: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Voluntary and sovereign.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Independent decisions, not actions of the Compact.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Subject to each State's domestic legal and constitutional requirements.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No Party Gains from Escalation: No Party derives positional advantage from a verified unprovoked attack. The factual summary serves as the evidentiary basis for sovereign determinations, not as a finding of compliance or breach by either Party to this Compact. The purpose of this Protocol is to prevent escalation from altering the balance of the Compact. Any shift in the strategic environment resulting from a regional state's military action does not constitute a change in the Parties' respective positions or obligations under this Compact.</w:t>
      </w:r>
    </w:p>
    <w:p>
      <w:pPr>
        <w:pStyle w:val="Normal"/>
        <w:spacing w:before="60" w:after="60"/>
      </w:pPr>
    </w:p>
    <w:p>
      <w:pPr>
        <w:pStyle w:val="Normal"/>
        <w:spacing w:after="160" w:line="288" w:lineRule="auto"/>
      </w:pPr>
      <w:r>
        <w:rPr>
          <w:rFonts w:ascii="Cambria" w:hAnsi="Cambria" w:eastAsia="Cambria" w:cs="Cambria"/>
          <w:color w:val="1D2D3F"/>
          <w:sz w:val="20"/>
          <w:b/>
          <w:szCs w:val="20"/>
        </w:rPr>
        <w:t>No Strategic Advantage from Escalation: A Party that is subject to a verified unprovoked attack by a regional state does not lose any Compact-derived benefit: including but not limited to sanctions relief, asset releases, or diplomatic recognition: as a result of that attack or of any proportionate defensive response to that attack. The verification architecture explicitly confirms that the Party subject to attack has not lost a strategic advantage from the attack. Any shift in the strategic environment resulting from a regional state's military action does not alter the Parties' respective positions or obligations under this Compact.</w:t>
      </w:r>
    </w:p>
    <w:p>
      <w:pPr>
        <w:pStyle w:val="Heading2"/>
      </w:pPr>
      <w:r>
        <w:rPr>
          <w:rFonts w:ascii="Cambria" w:hAnsi="Cambria" w:eastAsia="Cambria" w:cs="Cambria"/>
          <w:b/>
          <w:color w:val="1D2D3F"/>
          <w:sz w:val="22"/>
          <w:szCs w:val="22"/>
        </w:rPr>
        <w:t>7.4 Escalation Isolation Architecture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Explicit structural protections against escalation by regional states:</w:t>
      </w:r>
    </w:p>
    <w:p>
      <w:pPr>
        <w:pStyle w:val="Normal"/>
        <w:spacing w:after="160" w:line="288" w:lineRule="auto"/>
      </w:pPr>
    </w:p>
    <w:p>
      <w:pPr>
        <w:pStyle w:val="Heading2"/>
      </w:pPr>
      <w:r>
        <w:rPr>
          <w:rFonts w:ascii="Cambria" w:hAnsi="Cambria" w:eastAsia="Cambria" w:cs="Cambria"/>
          <w:b/>
          <w:color w:val="1D2D3F"/>
          <w:sz w:val="22"/>
          <w:szCs w:val="22"/>
        </w:rPr>
        <w:t>1. Regional-State Verification Bar: Military action by a regional state is not automatically considered "United States compliance failure" unless the Joint Coordination Center finds (by consensus, excluding the disputing Party) that the United States failed to exercise all reasonable influence to prevent the action.</w:t>
      </w:r>
    </w:p>
    <w:p>
      <w:pPr>
        <w:pStyle w:val="Normal"/>
        <w:spacing w:after="160" w:line="288" w:lineRule="auto"/>
      </w:pPr>
    </w:p>
    <w:p>
      <w:pPr>
        <w:pStyle w:val="Heading2"/>
      </w:pPr>
      <w:r>
        <w:rPr>
          <w:rFonts w:ascii="Cambria" w:hAnsi="Cambria" w:eastAsia="Cambria" w:cs="Cambria"/>
          <w:b/>
          <w:color w:val="1D2D3F"/>
          <w:sz w:val="22"/>
          <w:szCs w:val="22"/>
        </w:rPr>
        <w:t>2. American Compliance Shield: The United States is not held to Compact obligations regarding actions by regional states that were not made at its request or direction. The Compact does not require the United States to guarantee the behavior of any regional state.</w:t>
      </w:r>
    </w:p>
    <w:p>
      <w:pPr>
        <w:pStyle w:val="Normal"/>
        <w:spacing w:after="160" w:line="288" w:lineRule="auto"/>
      </w:pPr>
    </w:p>
    <w:p>
      <w:pPr>
        <w:pStyle w:val="Heading2"/>
      </w:pPr>
      <w:r>
        <w:rPr>
          <w:rFonts w:ascii="Cambria" w:hAnsi="Cambria" w:eastAsia="Cambria" w:cs="Cambria"/>
          <w:b/>
          <w:color w:val="1D2D3F"/>
          <w:sz w:val="22"/>
          <w:szCs w:val="22"/>
        </w:rPr>
        <w:t>3. Response Proportionality Protection: Military response by either Party that is: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 direct, proportional response to military action by a regional state.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Verified by the Neutral Guarantor.</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Executed within 48 hours of the original action.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This response does not constitute a Compact breach or trigger any Step-Back or penalty, provided that the response is limited to the Lebanese theater and does not target Compact core obligations.</w:t>
      </w:r>
    </w:p>
    <w:p>
      <w:pPr>
        <w:pStyle w:val="Normal"/>
        <w:spacing w:after="160" w:line="288" w:lineRule="auto"/>
      </w:pPr>
    </w:p>
    <w:p>
      <w:pPr>
        <w:pStyle w:val="Heading2"/>
      </w:pPr>
      <w:r>
        <w:rPr>
          <w:rFonts w:ascii="Cambria" w:hAnsi="Cambria" w:eastAsia="Cambria" w:cs="Cambria"/>
          <w:b/>
          <w:color w:val="1D2D3F"/>
          <w:sz w:val="22"/>
          <w:szCs w:val="22"/>
        </w:rPr>
        <w:t>4. Track Isolation: If military action by a regional state occurs: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Other reciprocity units (nuclear, maritime, economic) remain on their own timelines.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Actions by regional states do not constitute a "drift event" for the Compact unless they are attributable to a Party.</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The Compact's Forward Drift Archive entries remain unaffected.</w:t>
      </w:r>
    </w:p>
    <w:p>
      <w:pPr>
        <w:pStyle w:val="Normal"/>
        <w:spacing w:after="160" w:line="288" w:lineRule="auto"/>
      </w:pPr>
    </w:p>
    <w:p>
      <w:pPr>
        <w:pStyle w:val="Heading2"/>
      </w:pPr>
      <w:r>
        <w:rPr>
          <w:rFonts w:ascii="Cambria" w:hAnsi="Cambria" w:eastAsia="Cambria" w:cs="Cambria"/>
          <w:b/>
          <w:color w:val="1D2D3F"/>
          <w:sz w:val="22"/>
          <w:szCs w:val="22"/>
        </w:rPr>
        <w:t>5. De-Escalation Credit: If a Party demonstrates good-faith efforts to prevent escalation by a regional state or de-escalate a regional-state-initiated crisis, it receives a "De-Escalation Credit":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Credit applies to reduce any deficit in the Lebanon Stability Corridor.</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Credit accumulates to convert into a one-time release from the escrow account, capped at $50 million.</w:t>
      </w:r>
    </w:p>
    <w:p>
      <w:pPr>
        <w:pStyle w:val="Normal"/>
        <w:spacing w:after="160" w:line="288" w:lineRule="auto"/>
      </w:pPr>
    </w:p>
    <w:p>
      <w:pPr>
        <w:pStyle w:val="Heading2"/>
      </w:pPr>
      <w:r>
        <w:rPr>
          <w:rFonts w:ascii="Cambria" w:hAnsi="Cambria" w:eastAsia="Cambria" w:cs="Cambria"/>
          <w:b/>
          <w:color w:val="1D2D3F"/>
          <w:sz w:val="22"/>
          <w:szCs w:val="22"/>
        </w:rPr>
        <w:t>7.5 Equipment Supply Transparency Protocol</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Purpose: To ensure transparency regarding external military equipment transfers that affect the Lebanon front.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Transparency Requirement: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(1) Either Party notifies the Joint Coordination Center of any significant military equipment transfers to regional actors that affect the Lebanon front.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(2) Notification occurs within 14 days of finalization of any such transfer.</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(3) Notification includes: the general category of equipment; the expected delivery timeline; and any conditions attached that affect the Lebanon front.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Compact Protection: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(1) Military equipment transfers to regional actors are sovereign decisions and not subject to the Compact's reciprocity requirements.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(2) Any military action by a regional state using externally supplied equipment is verified under the Non-Attribution standards of Section 1.2. Such action is not automatically attributed to the supplying state.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(3) This Protocol creates no obligation on either Party to suspend or modify equipment transfers.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This Protocol is firewalled from the Compact's core reciprocity units. Compliance with this Protocol is not linked to nuclear, maritime, or economic obligations.</w:t>
      </w:r>
    </w:p>
    <w:p>
      <w:pPr>
        <w:pStyle w:val="Normal"/>
        <w:spacing w:after="160" w:line="288" w:lineRule="auto"/>
      </w:pPr>
    </w:p>
    <w:p>
      <w:pPr>
        <w:pStyle w:val="Heading2"/>
      </w:pPr>
      <w:r>
        <w:rPr>
          <w:rFonts w:ascii="Cambria" w:hAnsi="Cambria" w:eastAsia="Cambria" w:cs="Cambria"/>
          <w:b/>
          <w:color w:val="1D2D3F"/>
          <w:sz w:val="22"/>
          <w:szCs w:val="22"/>
        </w:rPr>
        <w:t>7.6 Escalation Neutrality Principle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No Party derives positional advantage from a verified unprovoked attack or from escalation by a regional state.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Operational Effect: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(1) A Party subject to a verified unprovoked attack does not lose any Compact-derived benefit: including but not limited to sanctions relief, asset releases, or diplomatic recognition: as a result of that attack or of any proportionate defensive response.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(2) The verification architecture explicitly confirms that the Party subject to attack has not lost a strategic advantage from the attack. Any shift in the strategic environment resulting from a regional state's military action does not alter the Parties' respective positions or obligations under this Compact.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(3) The Reciprocity Ledger reflects this neutrality: an attack on either Party by a regional state is recorded as an external event, not as a deficit for the Party subject to attack, nor as a gain for the other Party.</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(4) The Forward Drift Archive records any attack as an external event, not as a compliance event.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This principle is distinct from and complementary to the De-Escalation Credit mechanism (Section 10.2). A Party subject to attack receives both protection (Escalation Neutrality) and potential reward (De-Escalation Credit) for managing the crisis effectively.</w:t>
      </w:r>
    </w:p>
    <w:p>
      <w:pPr>
        <w:pStyle w:val="Normal"/>
        <w:spacing w:after="160" w:line="288" w:lineRule="auto"/>
      </w:pPr>
    </w:p>
    <w:p>
      <w:pPr>
        <w:pStyle w:val="Heading2"/>
      </w:pPr>
      <w:r>
        <w:rPr>
          <w:rFonts w:ascii="Cambria" w:hAnsi="Cambria" w:eastAsia="Cambria" w:cs="Cambria"/>
          <w:b/>
          <w:color w:val="1D2D3F"/>
          <w:sz w:val="22"/>
          <w:szCs w:val="22"/>
        </w:rPr>
        <w:t>7.7 Relief Protection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Sanctions Relief Protection: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If military action by a regional state triggers Compact suspension, the following protections apply:</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No new asset releases occur during the suspension period.</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Banking channel restoration pauses.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No new commercial licenses issue.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Critical Protections: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Asset releases that already transferred before the action remain valid.</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Commercial transactions that already received license approval remain valid.</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Humanitarian transactions continue without interruption.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Strait of Hormuz transit operations continue.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Humanitarian Protection: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Humanitarian provisions operate under absolute firewall protection.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Military action by a regional state cannot suspend:</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Funds already disbursed for humanitarian purposes.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Commercial vessels carrying humanitarian goods.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Prisoners already transferred through exchanges.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Medical and food security programs.</w:t>
      </w:r>
    </w:p>
    <w:p>
      <w:pPr>
        <w:pStyle w:val="Normal"/>
        <w:spacing w:after="160" w:line="288" w:lineRule="auto"/>
      </w:pPr>
    </w:p>
    <w:p>
      <w:pPr>
        <w:pStyle w:val="Heading2"/>
      </w:pPr>
      <w:r>
        <w:rPr>
          <w:rFonts w:ascii="Cambria" w:hAnsi="Cambria" w:eastAsia="Cambria" w:cs="Cambria"/>
          <w:b/>
          <w:color w:val="1D2D3F"/>
          <w:sz w:val="22"/>
          <w:szCs w:val="22"/>
        </w:rPr>
        <w:t>7.8 Compact Continuity</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Non-Termination: Military action by a regional state does not automatically terminate this Compact. The firewalled-annex architecture applies specifically:</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Iranian nuclear material custody commitments continue unless Iran explicitly withdraws.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Strait of Hormuz transit operations continue unless Iran explicitly closes the Strait.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Prisoner exchange commitments continue on their existing timeline.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Humanitarian commitments continue without interruption.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Unilateral Withdrawal: Either Party initiates a Clean Break Exit under Article VI Section 6.8 if the Party determines that military action by a regional state makes continued Compact participation untenable.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Good Faith Mediation: Any dispute concerning military action by a regional state routes first to the Neutral Guarantor for facilitated mediation for up to 14 days. During mediation, all other Compact operations continue unless both Parties agree otherwise. Mediation does not toll any deadlines for other reciprocity units.</w:t>
      </w:r>
    </w:p>
    <w:p>
      <w:pPr>
        <w:pStyle w:val="Normal"/>
        <w:spacing w:after="160" w:line="288" w:lineRule="auto"/>
      </w:pPr>
    </w:p>
    <w:p>
      <w:pPr>
        <w:pStyle w:val="Normal"/>
        <w:spacing w:after="160" w:line="288" w:lineRule="auto"/>
      </w:pPr>
    </w:p>
    <w:p>
      <w:pPr>
        <w:pStyle w:val="Heading2"/>
      </w:pPr>
      <w:r>
        <w:rPr>
          <w:rFonts w:ascii="Cambria" w:hAnsi="Cambria" w:eastAsia="Cambria" w:cs="Cambria"/>
          <w:b/>
          <w:color w:val="1D2D3F"/>
          <w:sz w:val="20"/>
          <w:szCs w:val="22"/>
        </w:rPr>
        <w:t>7.9 Political Time Compression Buffer</w:t>
      </w:r>
    </w:p>
    <w:p>
      <w:pPr>
        <w:pStyle w:val="Normal"/>
        <w:spacing w:before="60" w:after="60"/>
      </w:pPr>
    </w:p>
    <w:p>
      <w:pPr>
        <w:pStyle w:val="Normal"/>
        <w:spacing w:before="60" w:after="60"/>
      </w:pPr>
      <w:r>
        <w:rPr>
          <w:rFonts w:ascii="Cambria" w:hAnsi="Cambria" w:eastAsia="Cambria" w:cs="Cambria"/>
          <w:b/>
          <w:color w:val="1D2D3F"/>
          <w:sz w:val="20"/>
          <w:szCs w:val="20"/>
        </w:rPr>
        <w:t>Upon detection of any incident causing casualties to personnel of either Party on the Lebanon front, the following sequence activates: (a) Immediate Human-in-the-Loop Review within 2 hours via secure virtual channel. (b) Preliminary Attribution Assessment within 6 hours, which uses fewer than three sources if the Neutral Guarantor certifies urgency. The assessment is explicitly provisional and non-binding for Compact purposes. (c) Political Consultation Channel activated between senior diplomats of both Parties, limited to fact confirmation, Compact commitment reaffirmation, and de-escalation discussion. (d) 72-hour Cooling-Off Window: Both Parties commit to refrain from offensive retaliation while the Compact's attribution process runs at maximum speed. The Neutral Guarantor provides real-time updates.</w:t>
      </w:r>
    </w:p>
    <w:p>
      <w:pPr>
        <w:pStyle w:val="Normal"/>
        <w:spacing w:before="60" w:after="60"/>
      </w:pPr>
    </w:p>
    <w:p>
      <w:pPr>
        <w:pStyle w:val="Normal"/>
        <w:spacing w:before="60" w:after="60"/>
      </w:pPr>
      <w:r>
        <w:rPr>
          <w:rFonts w:ascii="Cambria" w:hAnsi="Cambria" w:eastAsia="Cambria" w:cs="Cambria"/>
          <w:b/>
          <w:color w:val="1D2D3F"/>
          <w:sz w:val="20"/>
          <w:szCs w:val="20"/>
        </w:rPr>
        <w:t>The Preliminary Attribution Assessment is expressly non-binding for Compact purposes and does not constitute a finding of breach. The Political Consultation Channel does not create obligations or admit legal liability. The Cooling-Off Window is a diplomatic commitment, not a legally binding restriction on defensive military action.</w:t>
      </w:r>
    </w:p>
    <w:p>
      <w:pPr>
        <w:pStyle w:val="Normal"/>
        <w:spacing w:before="60" w:after="60"/>
      </w:pPr>
    </w:p>
    <w:p>
      <w:pPr>
        <w:pStyle w:val="Heading2"/>
      </w:pPr>
      <w:r>
        <w:rPr>
          <w:rFonts w:ascii="Cambria" w:hAnsi="Cambria" w:eastAsia="Cambria" w:cs="Cambria"/>
          <w:b/>
          <w:color w:val="1D2D3F"/>
          <w:sz w:val="22"/>
          <w:szCs w:val="22"/>
        </w:rPr>
        <w:t>SECTION 8: NON-STATE ACTOR PROTOCOL</w:t>
      </w:r>
    </w:p>
    <w:p>
      <w:pPr>
        <w:pStyle w:val="Normal"/>
        <w:spacing w:after="160" w:line="288" w:lineRule="auto"/>
      </w:pPr>
    </w:p>
    <w:p>
      <w:pPr>
        <w:pStyle w:val="Heading2"/>
      </w:pPr>
      <w:r>
        <w:rPr>
          <w:rFonts w:ascii="Cambria" w:hAnsi="Cambria" w:eastAsia="Cambria" w:cs="Cambria"/>
          <w:b/>
          <w:color w:val="1D2D3F"/>
          <w:sz w:val="22"/>
          <w:szCs w:val="22"/>
        </w:rPr>
        <w:t>8.1 Non-Attribution Principle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 Hezbollah action in Lebanon does not automatically attribute to Iran under this Compact.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Only a joint finding by the Joint Coordination Center, confirmed by the Human-in-the-Loop Review, that Iran exercised direct operational control over a specific Hezbollah operation constitutes an attributable breach.</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Non-Attributed Actions: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Iran's general political support for Hezbollah.</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Public statements of solidarity.</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Routine advisory relationships.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Weapons or financial support without operational control evidence.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Actions taken by Hezbollah that Iran publicly discourages.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These actions do not constitute breach.</w:t>
      </w:r>
    </w:p>
    <w:p>
      <w:pPr>
        <w:pStyle w:val="Normal"/>
        <w:spacing w:after="160" w:line="288" w:lineRule="auto"/>
      </w:pPr>
    </w:p>
    <w:p>
      <w:pPr>
        <w:pStyle w:val="Heading2"/>
      </w:pPr>
      <w:r>
        <w:rPr>
          <w:rFonts w:ascii="Cambria" w:hAnsi="Cambria" w:eastAsia="Cambria" w:cs="Cambria"/>
          <w:b/>
          <w:color w:val="1D2D3F"/>
          <w:sz w:val="22"/>
          <w:szCs w:val="22"/>
        </w:rPr>
        <w:t>8.2 Verification Requirements for Attribution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Attribution of a Hezbollah action to Iran requires: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Three independent sources confirming operational control.</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Evidence of real-time coordination or direct orders.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Joint Coordination Center consensus (excluding the disputing Party).</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Human-in-the-Loop Review Panel confirmation.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 single-source finding, including unilateral national intelligence, does not trigger Step-Back or suspension of the Lebanon unit.</w:t>
      </w:r>
    </w:p>
    <w:p>
      <w:pPr>
        <w:pStyle w:val="Normal"/>
        <w:spacing w:after="160" w:line="288" w:lineRule="auto"/>
      </w:pPr>
    </w:p>
    <w:p>
      <w:pPr>
        <w:pStyle w:val="Heading2"/>
      </w:pPr>
      <w:r>
        <w:rPr>
          <w:rFonts w:ascii="Cambria" w:hAnsi="Cambria" w:eastAsia="Cambria" w:cs="Cambria"/>
          <w:b/>
          <w:color w:val="1D2D3F"/>
          <w:sz w:val="22"/>
          <w:szCs w:val="22"/>
        </w:rPr>
        <w:t>8.3 Spoiler Designation Track</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 Hezbollah action that constitutes a sustained, attributed, offensive resumption but cannot be attributed to Iran triggers the Spoiler Designation Track:</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Designation: The Joint Coordination Center issues a spoiler designation against Hezbollah as a non-party actor.</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Consequences: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Exclusion from settlement discussions.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Economic and reputational consequences directed at the actor, not the Party.</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Referral to relevant Party's legal processes.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Cooperation Incentive: A Party that actively assists in surfacing, isolating, or identifying a designated spoiler receives a "Cooperation Credit":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Credit is logged on the Reciprocity Ledger.</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Credit applies to any Benefit Corridor of the Party's choosing.</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Credit reduces the Party's escrow requirement by the equivalent value.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Iran is not held liable for the spoiler's acts unless the Joint Coordination Center finds it sheltered, directed, or willfully tolerated the actor.</w:t>
      </w:r>
    </w:p>
    <w:p>
      <w:pPr>
        <w:pStyle w:val="Normal"/>
        <w:spacing w:after="160" w:line="288" w:lineRule="auto"/>
      </w:pPr>
    </w:p>
    <w:p>
      <w:pPr>
        <w:pStyle w:val="Heading2"/>
      </w:pPr>
      <w:r>
        <w:rPr>
          <w:rFonts w:ascii="Cambria" w:hAnsi="Cambria" w:eastAsia="Cambria" w:cs="Cambria"/>
          <w:b/>
          <w:color w:val="1D2D3F"/>
          <w:sz w:val="22"/>
          <w:szCs w:val="22"/>
        </w:rPr>
        <w:t>8.4 Spoiler Cost Recovery</w:t>
      </w:r>
    </w:p>
    <w:p>
      <w:pPr>
        <w:pStyle w:val="Normal"/>
        <w:spacing w:before="60" w:after="60"/>
      </w:pPr>
    </w:p>
    <w:p>
      <w:pPr>
        <w:pStyle w:val="Normal"/>
        <w:spacing w:after="160" w:line="288" w:lineRule="auto"/>
      </w:pPr>
      <w:r>
        <w:rPr>
          <w:rFonts w:ascii="Cambria" w:hAnsi="Cambria" w:eastAsia="Cambria" w:cs="Cambria"/>
          <w:color w:val="1D2D3F"/>
          <w:sz w:val="20"/>
          <w:b/>
          <w:szCs w:val="20"/>
        </w:rPr>
        <w:t>Upon designation of a spoiler under Section 8.3, the Joint Coordination Center quantifies the direct costs incurred by either Party in responding to, verifying, and containing the spoiler activity.</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These costs include: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 Additional verification and monitoring expenses.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(b) Diplomatic engagement costs.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 Incremental military readiness and force protection costs.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(d) Economic impacts directly attributable to the spoiler activity and verified by the Joint Coordination Center.</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The quantified costs are recorded in the Forward Drift Archive as a liability against the spoiler.</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Recovery of these costs is pursued through:</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 International legal mechanisms where applicable.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(b) Deduction from any future escrow or asset releases to which the spoiler might be entitled.</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 Referral to the Neutral Guarantor for diplomatic coordination among affected states.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Neither Party bears the cost of spoiler activity alone. The architecture distributes the cost burden to the spoiler and to the international community where attribution is confirmed.</w:t>
      </w:r>
    </w:p>
    <w:p>
      <w:pPr>
        <w:pStyle w:val="Normal"/>
        <w:spacing w:after="160" w:line="288" w:lineRule="auto"/>
      </w:pPr>
    </w:p>
    <w:p>
      <w:pPr>
        <w:pStyle w:val="Heading2"/>
      </w:pPr>
      <w:r>
        <w:rPr>
          <w:rFonts w:ascii="Cambria" w:hAnsi="Cambria" w:eastAsia="Cambria" w:cs="Cambria"/>
          <w:b/>
          <w:color w:val="1D2D3F"/>
          <w:sz w:val="22"/>
          <w:szCs w:val="22"/>
        </w:rPr>
        <w:t>8.5 Hezbollah Compliance Mechanism</w:t>
      </w:r>
    </w:p>
    <w:p>
      <w:pPr>
        <w:pStyle w:val="Normal"/>
        <w:spacing w:before="60" w:after="60"/>
      </w:pPr>
    </w:p>
    <w:p>
      <w:pPr>
        <w:pStyle w:val="Normal"/>
        <w:spacing w:after="160" w:line="288" w:lineRule="auto"/>
      </w:pPr>
      <w:r>
        <w:rPr>
          <w:rFonts w:ascii="Cambria" w:hAnsi="Cambria" w:eastAsia="Cambria" w:cs="Cambria"/>
          <w:color w:val="1D2D3F"/>
          <w:sz w:val="20"/>
          <w:b/>
          <w:szCs w:val="20"/>
        </w:rPr>
        <w:t>Purpose: To establish a mechanism for verifying Hezbollah compliance with the ceasefire and any Pilot Security Zones, without requiring Iran to guarantee Hezbollah's conduct.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Verification: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(1) Hezbollah compliance is verified through observable outcomes on the ground, measured by telemetry and neutral observers.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(2) The Lebanon-Specific Verification Team (Section 12.1) monitors Hezbollah activity and reports to the Joint Coordination Center.</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(3) Attribution of Hezbollah actions to Iran requires the three-source standard in Section 8.2.</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Compliance Consequences: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(1) Hezbollah actions that constitute a sustained, attributed, offensive resumption under Section 4.1 but cannot be attributed to Iran trigger the Spoiler Designation Track (Section 8.3).</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(2) Iran is not held liable for Hezbollah actions unless the Joint Coordination Center finds direct operational control.</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Incentives:</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(1) Iran receives Compliance Credits (Section 10.1) for demonstrable Hezbollah restraint.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(2) Iran's good-faith efforts to encourage Hezbollah compliance are recorded in the Reciprocity Ledger.</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(3) Failure to encourage Hezbollah compliance, absent attribution, does not trigger penalties but affects the Lebanon Stability Corridor score.</w:t>
      </w:r>
    </w:p>
    <w:p>
      <w:pPr>
        <w:pStyle w:val="Normal"/>
        <w:spacing w:after="160" w:line="288" w:lineRule="auto"/>
      </w:pPr>
    </w:p>
    <w:p>
      <w:pPr>
        <w:pStyle w:val="Heading2"/>
      </w:pPr>
      <w:r>
        <w:rPr>
          <w:rFonts w:ascii="Cambria" w:hAnsi="Cambria" w:eastAsia="Cambria" w:cs="Cambria"/>
          <w:b/>
          <w:color w:val="1D2D3F"/>
          <w:sz w:val="20"/>
          <w:szCs w:val="22"/>
        </w:rPr>
        <w:t>8.6 Proxy Influence Presumption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Iran accepts responsibility for actions taken by Hezbollah in Lebanese territory. Non-attribution status requires Iran to provide verified evidence of opposition to the action within 72 hours. Absence of such evidence creates a presumption of influence.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This presumption is rebuttable: Iran demonstrates active opposition through public statements ordering compliance; observable redeployment of Hezbollah forces; or evidence that Iran-directed support was conditioned on compliance. A single demonstration of opposition does not permanently rebut the presumption for future actions.</w:t>
      </w:r>
    </w:p>
    <w:p>
      <w:pPr>
        <w:pStyle w:val="Normal"/>
        <w:spacing w:after="160" w:line="288" w:lineRule="auto"/>
      </w:pPr>
    </w:p>
    <w:p>
      <w:pPr>
        <w:pStyle w:val="Heading2"/>
      </w:pPr>
      <w:r>
        <w:rPr>
          <w:rFonts w:ascii="Cambria" w:hAnsi="Cambria" w:eastAsia="Cambria" w:cs="Cambria"/>
          <w:b/>
          <w:color w:val="1D2D3F"/>
          <w:sz w:val="20"/>
          <w:szCs w:val="22"/>
        </w:rPr>
        <w:t>SECTION 9: TRANSITIONAL JUSTICE AND RECONCILIATION</w:t>
      </w:r>
    </w:p>
    <w:p>
      <w:pPr>
        <w:pStyle w:val="Normal"/>
        <w:spacing w:after="160" w:line="288" w:lineRule="auto"/>
      </w:pPr>
    </w:p>
    <w:p>
      <w:pPr>
        <w:pStyle w:val="Heading2"/>
      </w:pPr>
      <w:r>
        <w:rPr>
          <w:rFonts w:ascii="Cambria" w:hAnsi="Cambria" w:eastAsia="Cambria" w:cs="Cambria"/>
          <w:b/>
          <w:color w:val="1D2D3F"/>
          <w:sz w:val="20"/>
          <w:szCs w:val="22"/>
        </w:rPr>
        <w:t>9.1 Lebanon Reconciliation Module</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The Parties establish a facilitated dialogue process for Lebanon that operates independently of the core Compact's reciprocity architecture.</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Purpose: To address the root causes of Lebanon instability without linking progress to the nuclear, maritime, or economic tracks.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Status: Optional, non-binding, firewalled from the Compact's core reciprocity units.</w:t>
      </w:r>
    </w:p>
    <w:p>
      <w:pPr>
        <w:pStyle w:val="Normal"/>
        <w:spacing w:after="160" w:line="288" w:lineRule="auto"/>
      </w:pPr>
    </w:p>
    <w:p>
      <w:pPr>
        <w:pStyle w:val="Heading2"/>
      </w:pPr>
      <w:r>
        <w:rPr>
          <w:rFonts w:ascii="Cambria" w:hAnsi="Cambria" w:eastAsia="Cambria" w:cs="Cambria"/>
          <w:b/>
          <w:color w:val="1D2D3F"/>
          <w:sz w:val="20"/>
          <w:szCs w:val="22"/>
        </w:rPr>
        <w:t>9.2 Economic Development Incentives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Following 90 consecutive days of verified calm on the Lebanon front, the Joint Coordination Center authorizes a one-time economic package for cross-border economic development.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Approval Mechanism:</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No automatic approval: authorization is discretionary.</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Security of the release is a judgment call by the Joint Coordination Center.</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The Joint Coordination Center makes determinations based on factual, verified circumstances.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Funding: 25% of the escrow value of the Lebanon unit (capped at $50 million).</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Eligibility:</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90 days of verified calm.</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Joint Coordination Center confirmation of continued compliance.</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No adverse security recommendations from any Party.</w:t>
      </w:r>
    </w:p>
    <w:p>
      <w:pPr>
        <w:pStyle w:val="Normal"/>
        <w:spacing w:after="160" w:line="288" w:lineRule="auto"/>
      </w:pPr>
    </w:p>
    <w:p>
      <w:pPr>
        <w:pStyle w:val="Normal"/>
        <w:spacing w:after="160" w:line="288" w:lineRule="auto"/>
      </w:pPr>
    </w:p>
    <w:p>
      <w:pPr>
        <w:pStyle w:val="Heading2"/>
      </w:pPr>
      <w:r>
        <w:rPr>
          <w:rFonts w:ascii="Cambria" w:hAnsi="Cambria" w:eastAsia="Cambria" w:cs="Cambria"/>
          <w:b/>
          <w:color w:val="1D2D3F"/>
          <w:sz w:val="20"/>
          <w:szCs w:val="22"/>
        </w:rPr>
        <w:t>SECTION 10: COMPLIANCE CREDITS AND INCENTIVES</w:t>
      </w:r>
    </w:p>
    <w:p>
      <w:pPr>
        <w:pStyle w:val="Normal"/>
        <w:spacing w:after="160" w:line="288" w:lineRule="auto"/>
      </w:pPr>
    </w:p>
    <w:p>
      <w:pPr>
        <w:pStyle w:val="Heading2"/>
      </w:pPr>
      <w:r>
        <w:rPr>
          <w:rFonts w:ascii="Cambria" w:hAnsi="Cambria" w:eastAsia="Cambria" w:cs="Cambria"/>
          <w:b/>
          <w:color w:val="1D2D3F"/>
          <w:sz w:val="20"/>
          <w:szCs w:val="22"/>
        </w:rPr>
        <w:t>10.1 Lebanon Compliance Credits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For every 30 consecutive days that the Lebanon front remains free of any verified sustained, attributed, offensive resumption, the Joint Coordination Center registers a Lebanon Compliance Credit.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Application of Credits: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A requesting Party applies such credits at its discretion to:</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Extend any verification window for a nuclear milestone by up to 5 days without penalty.</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Reduce the notice period for a humanitarian asset release by 24 hours.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Accumulate credits for conversion into a one-time, non-reversible release of an additional $50 million from frozen assets held in escrow, capped at $250 million total over the life of the Compact.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The Joint Coordination Center reviews the $250 million cap annually and recommends adjustment by mutual agreement if Lebanon stability generates demonstrably greater political lift than anticipated.</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Review criteria include: the rate of Lebanon Compliance Credit accumulation; demonstrated stability on the Lebanon front; the effectiveness of any Pilot Security Zones; recommendations from the Lebanon-Specific Verification Team; and the overall health of the Lebanon Stability Corridor. Any adjustment to the cap requires mutual agreement of both Parties.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Offset any deficit in the Lebanon Stability Corridor.</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Reduce the Party's escrow requirement for the Lebanon unit.</w:t>
      </w:r>
    </w:p>
    <w:p>
      <w:pPr>
        <w:pStyle w:val="Normal"/>
        <w:spacing w:after="160" w:line="288" w:lineRule="auto"/>
      </w:pPr>
    </w:p>
    <w:p>
      <w:pPr>
        <w:pStyle w:val="Heading2"/>
      </w:pPr>
      <w:r>
        <w:rPr>
          <w:rFonts w:ascii="Cambria" w:hAnsi="Cambria" w:eastAsia="Cambria" w:cs="Cambria"/>
          <w:b/>
          <w:color w:val="1D2D3F"/>
          <w:sz w:val="20"/>
          <w:szCs w:val="22"/>
        </w:rPr>
        <w:t>10.2 De-Escalation Credits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A Party that demonstrates good-faith efforts to prevent escalation or de-escalate a crisis receives additional credits: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Qualifying Actions: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Use of the confidential de-escalation channel.</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Coordinated de-escalation with the Neutral Guarantor.</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Public steps to reduce rhetoric or military posture.</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Bonus: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25% bonus for coordinated de-escalation.</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Credit accumulates for conversion into a one-time release from escrow, capped at $50 million.</w:t>
      </w:r>
    </w:p>
    <w:p>
      <w:pPr>
        <w:pStyle w:val="Normal"/>
        <w:spacing w:after="160" w:line="288" w:lineRule="auto"/>
      </w:pPr>
    </w:p>
    <w:p>
      <w:pPr>
        <w:pStyle w:val="Heading2"/>
      </w:pPr>
      <w:r>
        <w:rPr>
          <w:rFonts w:ascii="Cambria" w:hAnsi="Cambria" w:eastAsia="Cambria" w:cs="Cambria"/>
          <w:b/>
          <w:color w:val="1D2D3F"/>
          <w:sz w:val="20"/>
          <w:szCs w:val="22"/>
        </w:rPr>
        <w:t>10.3 Early Warning Credits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A Party that detects and reports an early warning signal (through the Early Warning Network described in Section 12.4) that prevents a larger escalation receives a credit: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Credit value: Equivalent to one Compliance Credit.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Maximum: 2 Early Warning Credits per 90-day period per Party.</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Purpose: To incentivize proactive monitoring and transparency over reactive crisis management.</w:t>
      </w:r>
    </w:p>
    <w:p>
      <w:pPr>
        <w:pStyle w:val="Normal"/>
        <w:spacing w:after="160" w:line="288" w:lineRule="auto"/>
      </w:pPr>
    </w:p>
    <w:p>
      <w:pPr>
        <w:pStyle w:val="Normal"/>
        <w:spacing w:after="160" w:line="288" w:lineRule="auto"/>
      </w:pPr>
    </w:p>
    <w:p>
      <w:pPr>
        <w:pStyle w:val="Heading2"/>
      </w:pPr>
      <w:r>
        <w:rPr>
          <w:rFonts w:ascii="Cambria" w:hAnsi="Cambria" w:eastAsia="Cambria" w:cs="Cambria"/>
          <w:b/>
          <w:color w:val="1D2D3F"/>
          <w:sz w:val="20"/>
          <w:szCs w:val="22"/>
        </w:rPr>
        <w:t>10.3 Financial Latency Buffer</w:t>
      </w:r>
    </w:p>
    <w:p>
      <w:pPr>
        <w:pStyle w:val="Normal"/>
        <w:spacing w:before="60" w:after="60"/>
      </w:pPr>
    </w:p>
    <w:p>
      <w:pPr>
        <w:pStyle w:val="Normal"/>
        <w:spacing w:before="60" w:after="60"/>
      </w:pPr>
      <w:r>
        <w:rPr>
          <w:rFonts w:ascii="Cambria" w:hAnsi="Cambria" w:eastAsia="Cambria" w:cs="Cambria"/>
          <w:b/>
          <w:color w:val="1D2D3F"/>
          <w:sz w:val="20"/>
          <w:szCs w:val="20"/>
        </w:rPr>
        <w:t>Purpose: To prevent banking system delays from triggering Compact compliance violations.</w:t>
      </w:r>
    </w:p>
    <w:p>
      <w:pPr>
        <w:pStyle w:val="Normal"/>
        <w:spacing w:before="60" w:after="60"/>
      </w:pPr>
    </w:p>
    <w:p>
      <w:pPr>
        <w:pStyle w:val="Normal"/>
        <w:spacing w:before="60" w:after="60"/>
      </w:pPr>
      <w:r>
        <w:rPr>
          <w:rFonts w:ascii="Cambria" w:hAnsi="Cambria" w:eastAsia="Cambria" w:cs="Cambria"/>
          <w:b/>
          <w:color w:val="1D2D3F"/>
          <w:sz w:val="20"/>
          <w:szCs w:val="20"/>
        </w:rPr>
        <w:t>Definitions: Authorization Date is the date on which the authorizing body formally authorizes a financial release or waiver. Settlement Date is the date on which funds are actually available. Compliance Date is the Settlement Date, not the Authorization Date.</w:t>
      </w:r>
    </w:p>
    <w:p>
      <w:pPr>
        <w:pStyle w:val="Normal"/>
        <w:spacing w:before="60" w:after="60"/>
      </w:pPr>
    </w:p>
    <w:p>
      <w:pPr>
        <w:pStyle w:val="Normal"/>
        <w:spacing w:before="60" w:after="60"/>
      </w:pPr>
      <w:r>
        <w:rPr>
          <w:rFonts w:ascii="Cambria" w:hAnsi="Cambria" w:eastAsia="Cambria" w:cs="Cambria"/>
          <w:b/>
          <w:color w:val="1D2D3F"/>
          <w:sz w:val="20"/>
          <w:szCs w:val="20"/>
        </w:rPr>
        <w:t>A standard 5-business-day latency buffer applies to all financial obligations under this Compact. If a financial obligation is authorized by the Compliance Date, it is considered met even if settlement occurs within the 5-business-day buffer.</w:t>
      </w:r>
    </w:p>
    <w:p>
      <w:pPr>
        <w:pStyle w:val="Normal"/>
        <w:spacing w:before="60" w:after="60"/>
      </w:pPr>
    </w:p>
    <w:p>
      <w:pPr>
        <w:pStyle w:val="Normal"/>
        <w:spacing w:before="60" w:after="60"/>
      </w:pPr>
      <w:r>
        <w:rPr>
          <w:rFonts w:ascii="Cambria" w:hAnsi="Cambria" w:eastAsia="Cambria" w:cs="Cambria"/>
          <w:b/>
          <w:color w:val="1D2D3F"/>
          <w:sz w:val="20"/>
          <w:szCs w:val="20"/>
        </w:rPr>
        <w:t>The authorizing Party notifies the Joint Coordination Center of any financial authorization within 24 hours of issuance. If settlement is delayed beyond the 5-business-day buffer, the Joint Coordination Center convenes a technical consultation to determine whether the delay is due to: (a) Banking system latency (no penalty). (b) Administrative delay by the authorizing Party (potential penalty). (c) Good Faith Exception.</w:t>
      </w:r>
    </w:p>
    <w:p>
      <w:pPr>
        <w:pStyle w:val="Normal"/>
        <w:spacing w:before="60" w:after="60"/>
      </w:pPr>
    </w:p>
    <w:p>
      <w:pPr>
        <w:pStyle w:val="Normal"/>
        <w:spacing w:before="60" w:after="60"/>
      </w:pPr>
      <w:r>
        <w:rPr>
          <w:rFonts w:ascii="Cambria" w:hAnsi="Cambria" w:eastAsia="Cambria" w:cs="Cambria"/>
          <w:b/>
          <w:color w:val="1D2D3F"/>
          <w:sz w:val="20"/>
          <w:szCs w:val="20"/>
        </w:rPr>
        <w:t>Banking system latency beyond the control of either Party does not trigger Step-Back or any corrective action. The Neutral Guarantor publishes quarterly reports on financial implementation velocity.</w:t>
      </w:r>
    </w:p>
    <w:p>
      <w:pPr>
        <w:pStyle w:val="Normal"/>
        <w:spacing w:before="60" w:after="60"/>
      </w:pPr>
    </w:p>
    <w:p>
      <w:pPr>
        <w:pStyle w:val="Heading2"/>
      </w:pPr>
      <w:r>
        <w:rPr>
          <w:rFonts w:ascii="Cambria" w:hAnsi="Cambria" w:eastAsia="Cambria" w:cs="Cambria"/>
          <w:b/>
          <w:color w:val="1D2D3F"/>
          <w:sz w:val="20"/>
          <w:szCs w:val="22"/>
        </w:rPr>
        <w:t>SECTION 11: DE-ESCALATION CHANNEL</w:t>
      </w:r>
    </w:p>
    <w:p>
      <w:pPr>
        <w:pStyle w:val="Normal"/>
        <w:spacing w:after="160" w:line="288" w:lineRule="auto"/>
      </w:pPr>
    </w:p>
    <w:p>
      <w:pPr>
        <w:pStyle w:val="Heading2"/>
      </w:pPr>
      <w:r>
        <w:rPr>
          <w:rFonts w:ascii="Cambria" w:hAnsi="Cambria" w:eastAsia="Cambria" w:cs="Cambria"/>
          <w:b/>
          <w:color w:val="1D2D3F"/>
          <w:sz w:val="20"/>
          <w:szCs w:val="22"/>
        </w:rPr>
        <w:t>11.1 Establishment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The Neutral Guarantor establishes and maintains a confidential de-escalation channel for the Lebanon front.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Availability: The channel is available to both Israel and Hezbollah.</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Encouragement Commitments: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The United States commits to encouraging Israel to use the channel voluntarily.</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Iran commits to encouraging Hezbollah to use the channel voluntarily.</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No Party forces its partner to participate.</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Neutral Relay: Oman serves as the neutral relay for the channel.</w:t>
      </w:r>
    </w:p>
    <w:p>
      <w:pPr>
        <w:pStyle w:val="Normal"/>
        <w:spacing w:after="160" w:line="288" w:lineRule="auto"/>
      </w:pPr>
    </w:p>
    <w:p>
      <w:pPr>
        <w:pStyle w:val="Heading2"/>
      </w:pPr>
      <w:r>
        <w:rPr>
          <w:rFonts w:ascii="Cambria" w:hAnsi="Cambria" w:eastAsia="Cambria" w:cs="Cambria"/>
          <w:b/>
          <w:color w:val="1D2D3F"/>
          <w:sz w:val="20"/>
          <w:szCs w:val="22"/>
        </w:rPr>
        <w:t>11.2 Channel Purposes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The de-escalation channel addresses only:</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Notification of an imminent military operation to avoid unintended escalation.</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Clarification of ambiguous movements or signals.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Requests for a temporary local ceasefire to extract wounded or de-conflict an area.</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Scope Limitations: The channel does not address political negotiations, territorial claims, or broader regional issues.</w:t>
      </w:r>
    </w:p>
    <w:p>
      <w:pPr>
        <w:pStyle w:val="Normal"/>
        <w:spacing w:after="160" w:line="288" w:lineRule="auto"/>
      </w:pPr>
    </w:p>
    <w:p>
      <w:pPr>
        <w:pStyle w:val="Normal"/>
        <w:spacing w:after="160" w:line="288" w:lineRule="auto"/>
      </w:pPr>
    </w:p>
    <w:p>
      <w:pPr>
        <w:pStyle w:val="Heading2"/>
      </w:pPr>
      <w:r>
        <w:rPr>
          <w:rFonts w:ascii="Cambria" w:hAnsi="Cambria" w:eastAsia="Cambria" w:cs="Cambria"/>
          <w:b/>
          <w:color w:val="1D2D3F"/>
          <w:sz w:val="20"/>
          <w:szCs w:val="22"/>
        </w:rPr>
        <w:t>11.3 Proactive De-Escalation Deployment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The de-escalation channel established in Section 11.1 is proactively deployed by the Neutral Guarantor in the absence of any verified incident.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Proactive deployment triggers when:</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(a) Two or more Amber signals are detected in the Early Warning Network (Section 12.4) within any 48-hour period.</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(b) The Strain Gauge (Section 6.6) increases by 15 or more points in a single weekly assessment.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(c) Either Party requests proactive deployment and the Neutral Guarantor confirms that conditions warrant it.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Upon proactive deployment: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(1) The Neutral Guarantor convenes a confidential consultation through the de-escalation channel.</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(2) Both Parties receive a confidential report on the indicators triggering deployment.</w:t>
      </w:r>
    </w:p>
    <w:p>
      <w:pPr>
        <w:pStyle w:val="Normal"/>
        <w:spacing w:after="160" w:line="288" w:lineRule="auto"/>
      </w:pPr>
    </w:p>
    <w:p>
      <w:pPr>
        <w:pStyle w:val="Normal"/>
        <w:spacing w:before="60" w:after="60"/>
      </w:pPr>
      <w:r>
        <w:rPr>
          <w:rFonts w:ascii="Cambria" w:hAnsi="Cambria" w:eastAsia="Cambria" w:cs="Cambria"/>
          <w:b/>
          <w:color w:val="1D2D3F"/>
          <w:sz w:val="20"/>
          <w:szCs w:val="20"/>
        </w:rPr>
        <w:t>Mandatory Activation: The de-escalation channel auto-activates when Strain Gauge reaches 50 or above, or when two Amber signals occur within 48 hours. No Party consent is required. Either Party refusing engagement is recorded in the Reciprocity Ledger as a non-cooperation event and triggers Band Two review.</w:t>
      </w:r>
    </w:p>
    <w:p>
      <w:pPr>
        <w:pStyle w:val="Normal"/>
        <w:spacing w:before="60" w:after="60"/>
      </w:pPr>
    </w:p>
    <w:p>
      <w:pPr>
        <w:pStyle w:val="Normal"/>
        <w:spacing w:before="60" w:after="60"/>
      </w:pPr>
      <w:r>
        <w:rPr>
          <w:rFonts w:ascii="Cambria" w:hAnsi="Cambria" w:eastAsia="Cambria" w:cs="Cambria"/>
          <w:b/>
          <w:color w:val="1D2D3F"/>
          <w:sz w:val="20"/>
          <w:szCs w:val="20"/>
        </w:rPr>
        <w:t>No obligation to respond is created for substantive positions. The consultation is advisory and non-binding for political commitments. Participation itself is mandatory; refusal to attend constitutes a cooperation deficit.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(4) The deployment is logged in the Forward Drift Archive as a proactive measure.</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Proactive deployment does not constitute a drift event and does not affect the Synchronization Clock.</w:t>
      </w:r>
    </w:p>
    <w:p>
      <w:pPr>
        <w:pStyle w:val="Normal"/>
        <w:spacing w:after="160" w:line="288" w:lineRule="auto"/>
      </w:pPr>
    </w:p>
    <w:p>
      <w:pPr>
        <w:pStyle w:val="Heading2"/>
      </w:pPr>
      <w:r>
        <w:rPr>
          <w:rFonts w:ascii="Cambria" w:hAnsi="Cambria" w:eastAsia="Cambria" w:cs="Cambria"/>
          <w:b/>
          <w:color w:val="1D2D3F"/>
          <w:sz w:val="20"/>
          <w:szCs w:val="22"/>
        </w:rPr>
        <w:t>11.4 Pilot Security Zones Framework</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The Parties acknowledge that implementation of this Compact requires the establishment of Pilot Security Zones in southern Lebanon as a confidence-building measure and transitional security arrangement.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Definition: Pilot Security Zones are geographically defined areas south of the Litani River where: (a) The Lebanese Armed Forces exercises exclusive security control; (b) Hezbollah and affiliated armed groups are excluded from visible presence and military activity; (c) Israel maintains the right of self-defense against imminent threats but refrains from offensive operations within designated zones.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Designation Protocol: (1) The Joint Coordination Center, in consultation with the Neutral Guarantor, designates the boundaries of the initial Pilot Security Zones. (2) Designation specifies: the precise geographic coordinates; the transitional timeline for LAF deployment; the verification mechanism; and the escalation response for violations. (3) The boundaries are reviewed and adjusted quarterly based on operational experience and verified calm.</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Verification and Enforcement: (1) The Lebanon-Specific Verification Team (Section 12.1) monitors compliance with the Pilot Security Zones. (2) Any violation of a Pilot Security Zone by Hezbollah or affiliated groups constitutes a Firewall Activation Trigger under Section 1.1. (3) Any violation by Israel of the agreed boundaries constitutes a Firewall Activation Trigger under Section 1.1. (4) The Cascade Barrier (Section 5.5) applies: violations of Pilot Security Zones do not automatically affect nuclear, maritime, or economic tracks.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United States Role: The United States supports the LAF through: (a) Vetting and training of LAF units designated for Pilot Security Zones. (b) Provision of equipment: sensors, communication systems, armored vehicles. (c) Intelligence sharing limited to Pilot Security Zone operations. (d) Coordination with the Neutral Guarantor and the Lebanon-Specific Verification Team.</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This framework is explicitly firewalled from the Compact's core reciprocity units. A breach or violation of a Pilot Security Zone triggers consequences only within the Lebanon unit under the proportionality scale. Nuclear, maritime, and economic tracks continue without interruption.</w:t>
      </w:r>
    </w:p>
    <w:p>
      <w:pPr>
        <w:pStyle w:val="Normal"/>
        <w:spacing w:after="160" w:line="288" w:lineRule="auto"/>
      </w:pPr>
    </w:p>
    <w:p>
      <w:pPr>
        <w:pStyle w:val="Heading2"/>
      </w:pPr>
      <w:r>
        <w:rPr>
          <w:rFonts w:ascii="Cambria" w:hAnsi="Cambria" w:eastAsia="Cambria" w:cs="Cambria"/>
          <w:b/>
          <w:color w:val="1D2D3F"/>
          <w:sz w:val="20"/>
          <w:szCs w:val="22"/>
        </w:rPr>
        <w:t>11.5 Washington Summit Protocol</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The Parties acknowledge that implementation of this Compact requires a dedicated security summit addressing the Lebanon front and the establishment of Pilot Security Zones.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Summit Framework: (1) The United States convenes and chairs the Washington Summit, with participation from Israeli and Lebanese officials, as well as the Neutral Guarantor and the Joint Coordination Center. (2) The agenda includes: the boundaries and timeline for Pilot Security Zone implementation; the deployment schedule for Lebanese Armed Forces units; the verification mechanism for Hezbollah withdrawal; and the response protocol for violations. (3) The Summit produces a written Implementation Plan appended to this Annex.</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Timeline: (1) The initial Washington Summit convenes no later than June 22, 2026. (2) An Implementation Plan is finalized within 7 days of the Summit. (3) Pilot Security Zones are operational within 30 days of Implementation Plan finalization.</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Clock Relationship: The Synchronization Clock for the nuclear, maritime, and economic tracks remains paused until the Implementation Plan is verified by the Joint Coordination Center and the Stability Coefficient for the Lebanon Stability Corridor exceeds 40.</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Firewall Application: The outcomes of the Washington Summit are firewalled from the Compact's core reciprocity units. A delay or disagreement at the Summit does not affect nuclear, maritime, or economic obligations except through the Synchronization Clock pause mechanism described above.</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Appendix L: The Implementation Plan produced under this Section is appended to this Annex as Appendix L. The Plan includes: (a) Precise geographic coordinates of Pilot Security Zones. (b) Deployment schedule for Lebanese Armed Forces units. (c) Verification mechanism for Hezbollah withdrawal. (d) Response protocol for violations. (e) Timeline for implementation and review.</w:t>
      </w:r>
    </w:p>
    <w:p>
      <w:pPr>
        <w:pStyle w:val="Normal"/>
        <w:spacing w:after="160" w:line="288" w:lineRule="auto"/>
      </w:pPr>
    </w:p>
    <w:p>
      <w:pPr>
        <w:pStyle w:val="Heading2"/>
      </w:pPr>
      <w:r>
        <w:rPr>
          <w:rFonts w:ascii="Cambria" w:hAnsi="Cambria" w:eastAsia="Cambria" w:cs="Cambria"/>
          <w:b/>
          <w:color w:val="1D2D3F"/>
          <w:sz w:val="20"/>
          <w:szCs w:val="22"/>
        </w:rPr>
        <w:t>11.6 June 22 Decision Matrix</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Purpose: To provide a pre-agreed framework for assessing the outcomes of the Washington Summit.</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Option 1: Full Agreement. (a) Implementation Plan finalized. (b) Stability Coefficient recalculated. (c) Synchronization Clock resumes. (d) Technical talks reconvene.</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Option 2: Partial Agreement. (a) Implementation Plan partially finalized. (b) Disputed elements referred to Band Two processing for resolution. (c) Stability Coefficient recalculated with partial compliance. (d) If Stability Coefficient exceeds 40, Clock resumes on limited basis. (e) Nuclear, maritime, and economic tracks proceed conditionally.</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Option 3: No Agreement. (a) Implementation Plan not finalized. (b) Stability Coefficient remains below 40. (c) Synchronization Clock remains paused. (d) Technical talks do not reconvene. (e) All reciprocity units remain in current status.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Option 4: Escalation. (a) Firewall Activation Protocol (Section 5) triggered. (b) Lebanon unit enters Safe Mode. (c) Synchronization Clock paused for all units. (d) Crisis Anchor Protocol (Article VII) triggers. (e) No nuclear, maritime, or economic progress.</w:t>
      </w:r>
    </w:p>
    <w:p>
      <w:pPr>
        <w:pStyle w:val="Normal"/>
        <w:spacing w:after="160" w:line="288" w:lineRule="auto"/>
      </w:pPr>
    </w:p>
    <w:p>
      <w:pPr>
        <w:pStyle w:val="Normal"/>
        <w:spacing w:after="160" w:line="288" w:lineRule="auto"/>
      </w:pPr>
      <w:r>
        <w:rPr>
          <w:rFonts w:ascii="Cambria" w:hAnsi="Cambria" w:eastAsia="Cambria" w:cs="Cambria"/>
          <w:color w:val="5C7A96"/>
          <w:sz w:val="30"/>
          <w:b/>
          <w:szCs w:val="20"/>
        </w:rPr>
        <w:t>Protection: If Option 4 occurs, the Cascade Barrier (Section 5.5) applies. Nuclear, maritime, and economic tracks do not automatically terminate.</w:t>
      </w:r>
    </w:p>
    <w:p>
      <w:pPr>
        <w:pStyle w:val="Normal"/>
        <w:spacing w:after="160" w:line="288" w:lineRule="auto"/>
      </w:pPr>
    </w:p>
    <w:p>
      <w:pPr>
        <w:pStyle w:val="Heading2"/>
      </w:pPr>
      <w:r>
        <w:rPr>
          <w:rFonts w:ascii="Cambria" w:hAnsi="Cambria" w:eastAsia="Cambria" w:cs="Cambria"/>
          <w:b/>
          <w:color w:val="1D2D3F"/>
          <w:sz w:val="20"/>
          <w:szCs w:val="20"/>
        </w:rPr>
        <w:t>SECTION 12: GOVERNANCE AND VERIFICATION</w:t>
      </w:r>
    </w:p>
    <w:p>
      <w:pPr>
        <w:pStyle w:val="Normal"/>
        <w:spacing w:after="160" w:line="288" w:lineRule="auto"/>
      </w:pPr>
    </w:p>
    <w:p>
      <w:pPr>
        <w:pStyle w:val="Heading2"/>
      </w:pPr>
      <w:r>
        <w:rPr>
          <w:rFonts w:ascii="Cambria" w:hAnsi="Cambria" w:eastAsia="Cambria" w:cs="Cambria"/>
          <w:b/>
          <w:color w:val="1D2D3F"/>
          <w:sz w:val="20"/>
          <w:szCs w:val="20"/>
        </w:rPr>
        <w:t>12.1 Lebanon-Specific Verification Team</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The Neutral Guarantor deploys a dedicated Lebanon verification team comprising personnel from neutral nations with relevant technical expertise.</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Team Composition:</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Military observers with Lebanon-specific experience.</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Satellite imagery analysts.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Open-source intelligence specialists.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UNIFIL liaison (if available).</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Access Rights: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Full access to all relevant data and sites.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Authority to deploy unarmed observers to incident locations.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Authority to interview witnesses.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Full cooperation from both Parties.</w:t>
      </w:r>
    </w:p>
    <w:p>
      <w:pPr>
        <w:pStyle w:val="Normal"/>
        <w:spacing w:before="60" w:after="60"/>
      </w:pPr>
    </w:p>
    <w:p>
      <w:pPr>
        <w:pStyle w:val="Normal"/>
        <w:spacing w:before="60" w:after="60"/>
      </w:pPr>
      <w:r>
        <w:rPr>
          <w:rFonts w:ascii="Cambria" w:hAnsi="Cambria" w:eastAsia="Cambria" w:cs="Cambria"/>
          <w:b/>
          <w:color w:val="1D2D3F"/>
          <w:sz w:val="20"/>
          <w:szCs w:val="20"/>
        </w:rPr>
        <w:t>Triangulated Verification Standard: An incident counts as verified when any two of the following independently confirm it: (a) Neutral Guarantor on-site observation. (b) Satellite imagery from commercial or neutral source. (c) Credible local witnesses (at least 3 independent sources). (d) Communications intercept corroboration (if available). (e) Either Party's own admission of involvement. Convergence of any two sources constitutes verification for Compact purposes.</w:t>
      </w:r>
    </w:p>
    <w:p>
      <w:pPr>
        <w:pStyle w:val="Normal"/>
        <w:spacing w:after="160" w:line="288" w:lineRule="auto"/>
      </w:pPr>
    </w:p>
    <w:p>
      <w:pPr>
        <w:pStyle w:val="Heading2"/>
      </w:pPr>
      <w:r>
        <w:rPr>
          <w:rFonts w:ascii="Cambria" w:hAnsi="Cambria" w:eastAsia="Cambria" w:cs="Cambria"/>
          <w:b/>
          <w:color w:val="1D2D3F"/>
          <w:sz w:val="20"/>
          <w:szCs w:val="20"/>
        </w:rPr>
        <w:t>12.2 Lebanon Status Dashboard</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The Joint Coordination Center maintains a Lebanon Status Dashboard as a dedicated module within the Compact's public dashboard.</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Content:</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Lebanon Stability Corridor score.</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Compliance Credit balance.</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Active Firewall status.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Pending de-escalation actions.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Incident log with classification.</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Update Requirements: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Updated within 4 hours of any Lebanon incident.</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Published daily during normal operations.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Published hourly during Firewall activation.</w:t>
      </w:r>
    </w:p>
    <w:p>
      <w:pPr>
        <w:pStyle w:val="Normal"/>
        <w:spacing w:after="160" w:line="288" w:lineRule="auto"/>
      </w:pPr>
    </w:p>
    <w:p>
      <w:pPr>
        <w:pStyle w:val="Normal"/>
        <w:spacing w:after="160" w:line="288" w:lineRule="auto"/>
      </w:pPr>
      <w:r>
        <w:rPr>
          <w:rFonts w:ascii="Cambria" w:hAnsi="Cambria" w:eastAsia="Cambria" w:cs="Cambria"/>
          <w:color w:val="5C7A96"/>
          <w:sz w:val="30"/>
          <w:b/>
          <w:szCs w:val="30"/>
        </w:rPr>
        <w:t>Escalation Transparency Mandate: The Joint Coordination Center publishes on the Lebanon Status Dashboard, in addition to compliance data, a quarterly Escalation Dynamics Report.</w:t>
      </w:r>
    </w:p>
    <w:p>
      <w:pPr>
        <w:pStyle w:val="Normal"/>
        <w:spacing w:after="160" w:line="288" w:lineRule="auto"/>
      </w:pPr>
    </w:p>
    <w:p>
      <w:pPr>
        <w:pStyle w:val="Normal"/>
        <w:spacing w:after="160" w:line="288" w:lineRule="auto"/>
      </w:pPr>
      <w:r>
        <w:rPr>
          <w:rFonts w:ascii="Cambria" w:hAnsi="Cambria" w:eastAsia="Cambria" w:cs="Cambria"/>
          <w:color w:val="5C7A96"/>
          <w:sz w:val="30"/>
          <w:b/>
          <w:szCs w:val="30"/>
        </w:rPr>
        <w:t>The Escalation Dynamics Report documents:</w:t>
      </w:r>
    </w:p>
    <w:p>
      <w:pPr>
        <w:pStyle w:val="Normal"/>
        <w:spacing w:after="160" w:line="288" w:lineRule="auto"/>
      </w:pPr>
    </w:p>
    <w:p>
      <w:pPr>
        <w:pStyle w:val="Normal"/>
        <w:spacing w:after="160" w:line="288" w:lineRule="auto"/>
      </w:pPr>
      <w:r>
        <w:rPr>
          <w:rFonts w:ascii="Cambria" w:hAnsi="Cambria" w:eastAsia="Cambria" w:cs="Cambria"/>
          <w:color w:val="5C7A96"/>
          <w:sz w:val="30"/>
          <w:b/>
          <w:szCs w:val="30"/>
        </w:rPr>
        <w:t>(a) Incident frequency trends over the preceding 90 days, disaggregated by type and attribution status.</w:t>
      </w:r>
    </w:p>
    <w:p>
      <w:pPr>
        <w:pStyle w:val="Normal"/>
        <w:spacing w:after="160" w:line="288" w:lineRule="auto"/>
      </w:pPr>
    </w:p>
    <w:p>
      <w:pPr>
        <w:pStyle w:val="Normal"/>
        <w:spacing w:after="160" w:line="288" w:lineRule="auto"/>
      </w:pPr>
      <w:r>
        <w:rPr>
          <w:rFonts w:ascii="Cambria" w:hAnsi="Cambria" w:eastAsia="Cambria" w:cs="Cambria"/>
          <w:color w:val="5C7A96"/>
          <w:sz w:val="30"/>
          <w:b/>
          <w:szCs w:val="30"/>
        </w:rPr>
        <w:t>(b) Strain Gauge readings with trend analysis.</w:t>
      </w:r>
    </w:p>
    <w:p>
      <w:pPr>
        <w:pStyle w:val="Normal"/>
        <w:spacing w:after="160" w:line="288" w:lineRule="auto"/>
      </w:pPr>
    </w:p>
    <w:p>
      <w:pPr>
        <w:pStyle w:val="Normal"/>
        <w:spacing w:after="160" w:line="288" w:lineRule="auto"/>
      </w:pPr>
      <w:r>
        <w:rPr>
          <w:rFonts w:ascii="Cambria" w:hAnsi="Cambria" w:eastAsia="Cambria" w:cs="Cambria"/>
          <w:color w:val="5C7A96"/>
          <w:sz w:val="30"/>
          <w:b/>
          <w:szCs w:val="30"/>
        </w:rPr>
        <w:t>(c) Early Warning Network signal classifications and their disposition.</w:t>
      </w:r>
    </w:p>
    <w:p>
      <w:pPr>
        <w:pStyle w:val="Normal"/>
        <w:spacing w:after="160" w:line="288" w:lineRule="auto"/>
      </w:pPr>
    </w:p>
    <w:p>
      <w:pPr>
        <w:pStyle w:val="Normal"/>
        <w:spacing w:after="160" w:line="288" w:lineRule="auto"/>
      </w:pPr>
      <w:r>
        <w:rPr>
          <w:rFonts w:ascii="Cambria" w:hAnsi="Cambria" w:eastAsia="Cambria" w:cs="Cambria"/>
          <w:color w:val="5C7A96"/>
          <w:sz w:val="30"/>
          <w:b/>
          <w:szCs w:val="30"/>
        </w:rPr>
        <w:t>(d) Verified instances of third-party escalation and the response taken.</w:t>
      </w:r>
    </w:p>
    <w:p>
      <w:pPr>
        <w:pStyle w:val="Normal"/>
        <w:spacing w:after="160" w:line="288" w:lineRule="auto"/>
      </w:pPr>
    </w:p>
    <w:p>
      <w:pPr>
        <w:pStyle w:val="Normal"/>
        <w:spacing w:after="160" w:line="288" w:lineRule="auto"/>
      </w:pPr>
      <w:r>
        <w:rPr>
          <w:rFonts w:ascii="Cambria" w:hAnsi="Cambria" w:eastAsia="Cambria" w:cs="Cambria"/>
          <w:color w:val="5C7A96"/>
          <w:sz w:val="30"/>
          <w:b/>
          <w:szCs w:val="30"/>
        </w:rPr>
        <w:t>(e) Patterns of non-attributed spoiler activity and any patterns that emerge.</w:t>
      </w:r>
    </w:p>
    <w:p>
      <w:pPr>
        <w:pStyle w:val="Normal"/>
        <w:spacing w:after="160" w:line="288" w:lineRule="auto"/>
      </w:pPr>
    </w:p>
    <w:p>
      <w:pPr>
        <w:pStyle w:val="Normal"/>
        <w:spacing w:after="160" w:line="288" w:lineRule="auto"/>
      </w:pPr>
      <w:r>
        <w:rPr>
          <w:rFonts w:ascii="Cambria" w:hAnsi="Cambria" w:eastAsia="Cambria" w:cs="Cambria"/>
          <w:color w:val="5C7A96"/>
          <w:sz w:val="30"/>
          <w:b/>
          <w:szCs w:val="30"/>
        </w:rPr>
        <w:t>(f) The balance of the Lebanon Stability Corridor and any deficits.</w:t>
      </w:r>
    </w:p>
    <w:p>
      <w:pPr>
        <w:pStyle w:val="Normal"/>
        <w:spacing w:after="160" w:line="288" w:lineRule="auto"/>
      </w:pPr>
    </w:p>
    <w:p>
      <w:pPr>
        <w:pStyle w:val="Normal"/>
        <w:spacing w:after="160" w:line="288" w:lineRule="auto"/>
      </w:pPr>
      <w:r>
        <w:rPr>
          <w:rFonts w:ascii="Cambria" w:hAnsi="Cambria" w:eastAsia="Cambria" w:cs="Cambria"/>
          <w:color w:val="5C7A96"/>
          <w:sz w:val="30"/>
          <w:b/>
          <w:szCs w:val="30"/>
        </w:rPr>
        <w:t>The Report is factual, non-attributive, and available to the public. The Report does not assign political credit or blame. The Report documents patterns, not judgments. The Report is appended to the Quarterly Public Accountability Report required by Article V, Section 5.10.</w:t>
      </w:r>
    </w:p>
    <w:p>
      <w:pPr>
        <w:pStyle w:val="Normal"/>
        <w:spacing w:after="160" w:line="288" w:lineRule="auto"/>
      </w:pPr>
    </w:p>
    <w:p>
      <w:pPr>
        <w:pStyle w:val="Heading2"/>
      </w:pPr>
      <w:r>
        <w:rPr>
          <w:rFonts w:ascii="Cambria" w:hAnsi="Cambria" w:eastAsia="Cambria" w:cs="Cambria"/>
          <w:b/>
          <w:color w:val="1D2D3F"/>
          <w:sz w:val="20"/>
          <w:szCs w:val="20"/>
        </w:rPr>
        <w:t>12.3 Backup Path</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The architecture maintains redundant verification pathways so no single point of failure breaks the Lebanon monitoring chain:</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Primary Path: Joint Coordination Center verification through standard telemetry.</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Backup Path 1: Neutral Guarantor independent verification using separate data sources.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Backup Path 2: Swiss-hosted dashboard cross-reference with publicly available satellite data.</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Backup Path 3: UNIFIL or neutral ground observer reports.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If the primary path fails, the Backup Path activates automatically within 2 hours. No Party-level decision switches paths.</w:t>
      </w:r>
    </w:p>
    <w:p>
      <w:pPr>
        <w:pStyle w:val="Normal"/>
        <w:spacing w:after="160" w:line="288" w:lineRule="auto"/>
      </w:pPr>
    </w:p>
    <w:p>
      <w:pPr>
        <w:pStyle w:val="Heading2"/>
      </w:pPr>
      <w:r>
        <w:rPr>
          <w:rFonts w:ascii="Cambria" w:hAnsi="Cambria" w:eastAsia="Cambria" w:cs="Cambria"/>
          <w:b/>
          <w:color w:val="1D2D3F"/>
          <w:sz w:val="20"/>
          <w:szCs w:val="20"/>
        </w:rPr>
        <w:t>12.4 Early Warning Network</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The Early Warning Network detects escalation indicators before they reach crisis thresholds: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 xml:space="preserve">Level 1 :  Amber Signal: An anomaly detected by a single source. Action: Enhanced monitoring; no automatic response. The Joint Coordination Center logs the signal and increases monitoring frequency for 48 hours.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 xml:space="preserve">Level 2 :  Orange Signal: A confirmed pattern from two or more independent sources indicating escalation risk within 14 days. Action: Joint Coordination Center advisory to both Parties; preparation for possible Clock pause; de-escalation channel pre-activation.</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 xml:space="preserve">Level 3 :  Red Signal: A verified imminent threat to the ceasefire or Compact integrity. Action: Automatic Firewall activation; Clock pause; Neutral Guarantor notification within 2 hours.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Signal Classification:</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Signals classify based on: incident type, escalation trajectory, source reliability, and time sensitivity.</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The Joint Coordination Center publishes classification decisions with reasoning.</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Any Party appeals a classification within 4 hours.</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Signal Log: The Joint Coordination Center maintains a Signal Log, updated within 2 hours of each Amber, Orange, or Red signal. The Log is accessible to both Parties and appended to the Forward Drift Archive.</w:t>
      </w:r>
    </w:p>
    <w:p>
      <w:pPr>
        <w:pStyle w:val="Normal"/>
        <w:spacing w:after="160" w:line="288" w:lineRule="auto"/>
      </w:pPr>
    </w:p>
    <w:p>
      <w:pPr>
        <w:pStyle w:val="Heading2"/>
      </w:pPr>
      <w:r>
        <w:rPr>
          <w:rFonts w:ascii="Cambria" w:hAnsi="Cambria" w:eastAsia="Cambria" w:cs="Cambria"/>
          <w:b/>
          <w:color w:val="1D2D3F"/>
          <w:sz w:val="20"/>
          <w:szCs w:val="20"/>
        </w:rPr>
        <w:t>12.5 Auto-Extension</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All Lebanon commitments under this Annex operate under Auto-Extension:</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Default: All commitments extend automatically for successive 90-day periods unless either Party provides written notice of non-extension at least 30 days before the end of the current period.</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No sunset: Nothing in this Annex expires automatically.</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Active change required: Termination or modification requires affirmative action, not passive allowance.</w:t>
      </w: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This rule prevents the politically dangerous expiration of commitments at moments of crisis.</w:t>
      </w:r>
    </w:p>
    <w:p>
      <w:pPr>
        <w:pStyle w:val="Normal"/>
        <w:spacing w:after="160" w:line="288" w:lineRule="auto"/>
      </w:pPr>
    </w:p>
    <w:p>
      <w:pPr>
        <w:pStyle w:val="Heading2"/>
      </w:pPr>
      <w:r>
        <w:rPr>
          <w:rFonts w:ascii="Cambria" w:hAnsi="Cambria" w:eastAsia="Cambria" w:cs="Cambria"/>
          <w:b/>
          <w:color w:val="3D5A80"/>
          <w:sz w:val="56"/>
          <w:szCs w:val="56"/>
        </w:rPr>
        <w:t>12.6 Disinformation and Information Warfare Protocol</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The Joint Coordination Center maintains a dedicated Disinformation Assessment Function as part of the verification architecture.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The Function: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 Monitors public and open-source information streams for verified instances of disinformation targeting the Lebanon front.</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(b) Cross-references claims against telemetry and sensor data.</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(c) Publishes factual corrections within 24 hours of identifying verified disinformation.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(d) Flags patterns of disinformation to both Parties through the Shared Awareness Network (Article V, Section 5.7).</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A verified instance of disinformation that incites or escalates conflict is treated as a spoiler activity and recorded as such in the Forward Drift Archive.</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Disinformation originating from a non-state actor is recorded as a non-attributed spoiler event. Disinformation attributable to a state actor is designated as a spoiler activity under Section 8.3.</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The Disinformation Assessment Function operates under Telemetry-First Verification principles. Human judgment supplements but does not override mechanical confirmation.</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No Party is penalized for disinformation that it did not generate and actively countered.</w:t>
      </w:r>
    </w:p>
    <w:p>
      <w:pPr>
        <w:pStyle w:val="Normal"/>
        <w:spacing w:after="160" w:line="288" w:lineRule="auto"/>
      </w:pPr>
    </w:p>
    <w:p>
      <w:pPr>
        <w:pStyle w:val="Normal"/>
        <w:spacing w:after="160" w:line="288" w:lineRule="auto"/>
      </w:pPr>
      <w:r>
        <w:rPr>
          <w:rFonts w:ascii="Cambria" w:hAnsi="Cambria" w:eastAsia="Cambria" w:cs="Cambria"/>
          <w:color w:val="1D2D3F"/>
          <w:sz w:val="20"/>
          <w:b/>
          <w:szCs w:val="20"/>
        </w:rPr>
        <w:t>The Protocol creates no obligation on any State to act on disinformation assessments. Assessments are factual, non-binding, and publicly available.</w:t>
      </w:r>
    </w:p>
    <w:p>
      <w:pPr>
        <w:pStyle w:val="Normal"/>
        <w:spacing w:after="160" w:line="288" w:lineRule="auto"/>
      </w:pPr>
    </w:p>
    <w:p>
      <w:pPr>
        <w:pStyle w:val="Heading2"/>
      </w:pPr>
      <w:r>
        <w:rPr>
          <w:rFonts w:ascii="Cambria" w:hAnsi="Cambria" w:eastAsia="Cambria" w:cs="Cambria"/>
          <w:b/>
          <w:color w:val="3D5A80"/>
          <w:sz w:val="56"/>
          <w:szCs w:val="56"/>
        </w:rPr>
        <w:t>12.7 Technical Drafters Access Protocol</w:t>
      </w:r>
    </w:p>
    <w:p>
      <w:pPr>
        <w:pStyle w:val="Normal"/>
        <w:spacing w:after="160" w:line="288" w:lineRule="auto"/>
      </w:pPr>
    </w:p>
    <w:p>
      <w:pPr>
        <w:pStyle w:val="Normal"/>
        <w:spacing w:after="160" w:line="288" w:lineRule="auto"/>
      </w:pPr>
      <w:r>
        <w:rPr>
          <w:rFonts w:ascii="Cambria" w:hAnsi="Cambria" w:eastAsia="Cambria" w:cs="Cambria"/>
          <w:color w:val="4A5D6E"/>
          <w:sz w:val="22"/>
          <w:i/>
          <w:szCs w:val="22"/>
        </w:rPr>
        <w:t>Purpose: To ensure that technical drafters have the necessary access to prepare verification protocols and implementation plans for all Compact obligations.</w:t>
      </w:r>
    </w:p>
    <w:p>
      <w:pPr>
        <w:pStyle w:val="Normal"/>
        <w:spacing w:after="160" w:line="288" w:lineRule="auto"/>
      </w:pPr>
    </w:p>
    <w:p>
      <w:pPr>
        <w:pStyle w:val="Normal"/>
        <w:spacing w:after="160" w:line="288" w:lineRule="auto"/>
      </w:pPr>
      <w:r>
        <w:rPr>
          <w:rFonts w:ascii="Cambria" w:hAnsi="Cambria" w:eastAsia="Cambria" w:cs="Cambria"/>
          <w:color w:val="4A5D6E"/>
          <w:sz w:val="22"/>
          <w:i/>
          <w:szCs w:val="22"/>
        </w:rPr>
        <w:t>Access Framework: (1) The Neutral Guarantor facilitates access for technical drafters to all relevant sites, documents, and personnel required to draft verification protocols. (2) For nuclear-related commitments, access is consistent with IAEA safeguards protocols and the Compact's telemetry-first verification principles. (3) For Lebanon-related commitments, access is provided to the Lebanon-Specific Verification Team (Section 12.1) and any technical drafters designated by the Joint Coordination Center.</w:t>
      </w:r>
    </w:p>
    <w:p>
      <w:pPr>
        <w:pStyle w:val="Normal"/>
        <w:spacing w:after="160" w:line="288" w:lineRule="auto"/>
      </w:pPr>
    </w:p>
    <w:p>
      <w:pPr>
        <w:pStyle w:val="Normal"/>
        <w:spacing w:after="160" w:line="288" w:lineRule="auto"/>
      </w:pPr>
      <w:r>
        <w:rPr>
          <w:rFonts w:ascii="Cambria" w:hAnsi="Cambria" w:eastAsia="Cambria" w:cs="Cambria"/>
          <w:color w:val="4A5D6E"/>
          <w:sz w:val="22"/>
          <w:i/>
          <w:szCs w:val="22"/>
        </w:rPr>
        <w:t>Conditional Access: (1) Access is conditional on the maintenance of the ceasefire and the absence of a Firewall Activation. (2) If a Firewall Activation occurs, access for technical drafters suspends until the Firewall is resolved. (3) The Neutral Guarantor determines whether conditions permit access.</w:t>
      </w:r>
    </w:p>
    <w:p>
      <w:pPr>
        <w:pStyle w:val="Normal"/>
        <w:spacing w:after="160" w:line="288" w:lineRule="auto"/>
      </w:pPr>
    </w:p>
    <w:p>
      <w:pPr>
        <w:pStyle w:val="Normal"/>
        <w:spacing w:after="160" w:line="288" w:lineRule="auto"/>
      </w:pPr>
      <w:r>
        <w:rPr>
          <w:rFonts w:ascii="Cambria" w:hAnsi="Cambria" w:eastAsia="Cambria" w:cs="Cambria"/>
          <w:color w:val="4A5D6E"/>
          <w:sz w:val="22"/>
          <w:i/>
          <w:szCs w:val="22"/>
        </w:rPr>
        <w:t>Protected Status: Technical drafters are protected by the same immunities and access rights as the Lebanon-Specific Verification Team. Neither Party obstructs or interferes with their work without triggering a Firewall Activation.</w:t>
      </w:r>
    </w:p>
    <w:p>
      <w:pPr>
        <w:pStyle w:val="Normal"/>
        <w:spacing w:after="160" w:line="288" w:lineRule="auto"/>
      </w:pPr>
    </w:p>
    <w:p>
      <w:pPr>
        <w:pStyle w:val="Heading2"/>
      </w:pPr>
      <w:r>
        <w:rPr>
          <w:rFonts w:ascii="Cambria" w:hAnsi="Cambria" w:eastAsia="Cambria" w:cs="Cambria"/>
          <w:b/>
          <w:color w:val="1D2D3F"/>
          <w:sz w:val="20"/>
          <w:szCs w:val="56"/>
        </w:rPr>
        <w:t>12.8 Observer Safe Conduct Protocol</w:t>
      </w:r>
    </w:p>
    <w:p>
      <w:pPr>
        <w:pStyle w:val="Normal"/>
        <w:spacing w:before="60" w:after="60"/>
      </w:pPr>
    </w:p>
    <w:p>
      <w:pPr>
        <w:pStyle w:val="Normal"/>
        <w:spacing w:before="60" w:after="60"/>
      </w:pPr>
      <w:r>
        <w:rPr>
          <w:rFonts w:ascii="Cambria" w:hAnsi="Cambria" w:eastAsia="Cambria" w:cs="Cambria"/>
          <w:b/>
          <w:color w:val="1D2D3F"/>
          <w:sz w:val="20"/>
          <w:szCs w:val="20"/>
        </w:rPr>
        <w:t>The Neutral Guarantor maintains a dedicated safe conduct corridor in Lebanese territory. Both Parties guarantee: free passage for Neutral Guarantor personnel; no harassment or intelligence targeting of observers; 72-hour pre-notification of military operations near observer positions; and medical evacuation rights if personnel are injured.</w:t>
      </w:r>
    </w:p>
    <w:p>
      <w:pPr>
        <w:pStyle w:val="Normal"/>
        <w:spacing w:before="60" w:after="60"/>
      </w:pPr>
    </w:p>
    <w:p>
      <w:pPr>
        <w:pStyle w:val="Normal"/>
        <w:spacing w:before="60" w:after="60"/>
      </w:pPr>
      <w:r>
        <w:rPr>
          <w:rFonts w:ascii="Cambria" w:hAnsi="Cambria" w:eastAsia="Cambria" w:cs="Cambria"/>
          <w:b/>
          <w:color w:val="1D2D3F"/>
          <w:sz w:val="20"/>
          <w:szCs w:val="20"/>
        </w:rPr>
        <w:t>Violation of observer safe conduct is an automatic Firewall trigger under Section 1.1.</w:t>
      </w:r>
    </w:p>
    <w:p>
      <w:pPr>
        <w:pStyle w:val="Normal"/>
        <w:spacing w:before="60" w:after="60"/>
      </w:pPr>
    </w:p>
    <w:p>
      <w:pPr>
        <w:pStyle w:val="Normal"/>
        <w:spacing w:after="160" w:line="288" w:lineRule="auto"/>
      </w:pPr>
    </w:p>
    <w:p>
      <w:pPr>
        <w:pStyle w:val="Normal"/>
        <w:spacing w:after="160" w:line="288" w:lineRule="auto"/>
      </w:pPr>
      <w:r>
        <w:rPr>
          <w:rFonts w:ascii="Cambria" w:hAnsi="Cambria" w:eastAsia="Cambria" w:cs="Cambria"/>
          <w:color w:val="1D2D3F"/>
          <w:sz w:val="20"/>
          <w:b/>
          <w:szCs w:val="22"/>
        </w:rPr>
        <w:t>Verified state-source disinformation that incites an escalation is treated as a Breach by Action: the originating state is held responsible for consequences of the disinformation as if the state had taken the physical action itself. This includes: false claims that trigger retaliatory attacks; fabricated evidence of ceasefire violations; or coordinated information campaigns designed to derail the Compact.</w:t>
      </w:r>
    </w:p>
    <w:p>
      <w:pPr>
        <w:pStyle w:val="Normal"/>
        <w:spacing w:after="160" w:line="288" w:lineRule="auto"/>
      </w:pPr>
    </w:p>
    <w:p>
      <w:pPr>
        <w:pStyle w:val="Heading2"/>
      </w:pPr>
      <w:r>
        <w:rPr>
          <w:rFonts w:ascii="Cambria" w:hAnsi="Cambria" w:eastAsia="Cambria" w:cs="Cambria"/>
          <w:b/>
          <w:color w:val="1D2D3F"/>
          <w:sz w:val="20"/>
          <w:szCs w:val="20"/>
        </w:rPr>
        <w:t>SECTION 13: EXIT AND DURATION</w:t>
      </w:r>
    </w:p>
    <w:p>
      <w:pPr>
        <w:pStyle w:val="Normal"/>
        <w:spacing w:after="160" w:line="288" w:lineRule="auto"/>
      </w:pPr>
    </w:p>
    <w:p>
      <w:pPr>
        <w:pStyle w:val="Heading2"/>
      </w:pPr>
      <w:r>
        <w:rPr>
          <w:rFonts w:ascii="Cambria" w:hAnsi="Cambria" w:eastAsia="Cambria" w:cs="Cambria"/>
          <w:b/>
          <w:color w:val="1D2D3F"/>
          <w:sz w:val="20"/>
          <w:szCs w:val="20"/>
        </w:rPr>
        <w:t>13.1 Lebanon-Only Exit</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Notwithstanding the general exit provisions, either Party invokes a Lebanon-only exit by giving 14 days' notice to the Neutral Guarantor.</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Effects:</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The Lebanon unit terminates.</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All other articles and annexes remain in full force.</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The Party retains full participation rights in nuclear, maritime, and economic tracks.</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The Lebanon-only exit does not constitute a breach of the Compact.</w:t>
      </w:r>
    </w:p>
    <w:p>
      <w:pPr>
        <w:pStyle w:val="Normal"/>
        <w:spacing w:after="160" w:line="288" w:lineRule="auto"/>
      </w:pPr>
    </w:p>
    <w:p>
      <w:pPr>
        <w:pStyle w:val="Heading2"/>
      </w:pPr>
      <w:r>
        <w:rPr>
          <w:rFonts w:ascii="Cambria" w:hAnsi="Cambria" w:eastAsia="Cambria" w:cs="Cambria"/>
          <w:b/>
          <w:color w:val="1D2D3F"/>
          <w:sz w:val="20"/>
          <w:szCs w:val="20"/>
        </w:rPr>
        <w:t>13.2 Earn-Back and Re-Entry</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A Party that exercises a Lebanon-only exit re-enters the Lebanon unit by providing written notice of intent to resume, subject to mutual agreement on any adjustments to reciprocity units.</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Re-Entry Conditions:</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14 consecutive days of verified calm.</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Joint Coordination Center confirmation of restored compliance.</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Human-in-the-Loop Review Panel certification.</w:t>
      </w:r>
    </w:p>
    <w:p>
      <w:pPr>
        <w:pStyle w:val="Normal"/>
        <w:spacing w:after="160" w:line="288" w:lineRule="auto"/>
      </w:pPr>
    </w:p>
    <w:p>
      <w:pPr>
        <w:pStyle w:val="Heading2"/>
      </w:pPr>
      <w:r>
        <w:rPr>
          <w:rFonts w:ascii="Cambria" w:hAnsi="Cambria" w:eastAsia="Cambria" w:cs="Cambria"/>
          <w:b/>
          <w:color w:val="1D2D3F"/>
          <w:sz w:val="20"/>
          <w:szCs w:val="20"/>
        </w:rPr>
        <w:t>13.3 Trial Period</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This Annex operates under a 6-month trial period from the date of Compact signature:</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During the trial period, either Party withdraws from this Annex without penalty by providing 30 days' notice.</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Trial Period Success Metrics: (1) Zero Firewall activations during the period. (2) Strain Gauge never exceeds 60 for more than 7 consecutive days. (3) Neutral Guarantor certification of operational readiness.</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Automatic Extension: If all metrics are met, Annex auto-extends indefinitely under the Auto-Extension clause (Section 12.5). Exit requires 60 days' notice and good-cause justification.</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Exit Pathway: If metrics are not met, either Party exits with 30 days' notice. The trial period becomes harder to exit once metrics are demonstrably achieved.</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Upon trial period completion, the Auto-Extension clause (Section 12.5) activates.</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The trial period allows both Parties to assess the Annex's effectiveness before committing to its indefinite operation.</w:t>
      </w:r>
    </w:p>
    <w:p>
      <w:pPr>
        <w:pStyle w:val="Normal"/>
        <w:spacing w:after="160" w:line="288" w:lineRule="auto"/>
      </w:pPr>
    </w:p>
    <w:p>
      <w:pPr>
        <w:pStyle w:val="Normal"/>
        <w:spacing w:after="160" w:line="288" w:lineRule="auto"/>
      </w:pPr>
    </w:p>
    <w:p>
      <w:pPr>
        <w:pStyle w:val="Heading2"/>
      </w:pPr>
      <w:r>
        <w:rPr>
          <w:rFonts w:ascii="Cambria" w:hAnsi="Cambria" w:eastAsia="Cambria" w:cs="Cambria"/>
          <w:b/>
          <w:color w:val="1D2D3F"/>
          <w:sz w:val="20"/>
          <w:szCs w:val="20"/>
        </w:rPr>
        <w:t>SECTION 14: NO PRECEDENT AND LEGAL PROTECTION</w:t>
      </w:r>
    </w:p>
    <w:p>
      <w:pPr>
        <w:pStyle w:val="Normal"/>
        <w:spacing w:after="160" w:line="288" w:lineRule="auto"/>
      </w:pPr>
    </w:p>
    <w:p>
      <w:pPr>
        <w:pStyle w:val="Heading2"/>
      </w:pPr>
      <w:r>
        <w:rPr>
          <w:rFonts w:ascii="Cambria" w:hAnsi="Cambria" w:eastAsia="Cambria" w:cs="Cambria"/>
          <w:b/>
          <w:color w:val="1D2D3F"/>
          <w:sz w:val="20"/>
          <w:szCs w:val="20"/>
        </w:rPr>
        <w:t>14.1 No-Precedent Clause</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Consistent with the Compact's governing principles, this Protocol:</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Creates no legal precedent.</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Applies only to the circumstances of June 2026.</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Does not bind either Party in future negotiations.</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This mirrors the Compact's "No-Precedent Clause" and the specific language: "Nothing in this Compact binds either side in future diplomatic engagements."</w:t>
      </w:r>
    </w:p>
    <w:p>
      <w:pPr>
        <w:pStyle w:val="Normal"/>
        <w:spacing w:after="160" w:line="288" w:lineRule="auto"/>
      </w:pPr>
    </w:p>
    <w:p>
      <w:pPr>
        <w:pStyle w:val="Heading2"/>
      </w:pPr>
      <w:r>
        <w:rPr>
          <w:rFonts w:ascii="Cambria" w:hAnsi="Cambria" w:eastAsia="Cambria" w:cs="Cambria"/>
          <w:b/>
          <w:color w:val="1D2D3F"/>
          <w:sz w:val="20"/>
          <w:szCs w:val="20"/>
        </w:rPr>
        <w:t>14.2 No Endorsement of Boycotts</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This Protocol does not endorse, encourage, or facilitate boycotts, divestment, sanctions, or other economic measures against any State.</w:t>
      </w:r>
    </w:p>
    <w:p>
      <w:pPr>
        <w:pStyle w:val="Normal"/>
        <w:spacing w:after="160" w:line="288" w:lineRule="auto"/>
      </w:pPr>
    </w:p>
    <w:p>
      <w:pPr>
        <w:pStyle w:val="Heading2"/>
      </w:pPr>
      <w:r>
        <w:rPr>
          <w:rFonts w:ascii="Cambria" w:hAnsi="Cambria" w:eastAsia="Cambria" w:cs="Cambria"/>
          <w:b/>
          <w:color w:val="1D2D3F"/>
          <w:sz w:val="20"/>
          <w:szCs w:val="20"/>
        </w:rPr>
        <w:t>14.3 Domestic Framing Autonomy</w:t>
      </w:r>
    </w:p>
    <w:p>
      <w:pPr>
        <w:pStyle w:val="Normal"/>
        <w:spacing w:after="160" w:line="288" w:lineRule="auto"/>
      </w:pPr>
    </w:p>
    <w:p>
      <w:pPr>
        <w:pStyle w:val="Normal"/>
        <w:spacing w:after="160" w:line="288" w:lineRule="auto"/>
      </w:pPr>
      <w:r>
        <w:rPr>
          <w:rFonts w:ascii="Cambria" w:hAnsi="Cambria" w:eastAsia="Cambria" w:cs="Cambria"/>
          <w:color w:val="1D2D3F"/>
          <w:sz w:val="22"/>
          <w:szCs w:val="22"/>
        </w:rPr>
        <w:t>Each Party describes this Protocol to its own public in its own terminology. Neither Party dictates the narrative language the other uses.</w:t>
      </w:r>
    </w:p>
    <w:p>
      <w:pPr>
        <w:pStyle w:val="Normal"/>
        <w:spacing w:after="160" w:line="288" w:lineRule="auto"/>
      </w:pPr>
    </w:p>
    <w:p>
      <w:pPr>
        <w:pStyle w:val="Normal"/>
        <w:spacing w:after="160" w:line="288" w:lineRule="auto"/>
      </w:pPr>
    </w:p>
    <w:p>
      <w:pPr>
        <w:pStyle w:val="Heading2"/>
      </w:pPr>
      <w:r>
        <w:rPr>
          <w:rFonts w:ascii="Cambria" w:hAnsi="Cambria" w:eastAsia="Cambria" w:cs="Cambria"/>
          <w:b/>
          <w:color w:val="1D2D3F"/>
          <w:sz w:val="20"/>
          <w:szCs w:val="20"/>
        </w:rPr>
        <w:t>SECTION 15: INTEGRATION WITH THE COMPACT</w:t>
      </w:r>
    </w:p>
    <w:p>
      <w:pPr>
        <w:pStyle w:val="Normal"/>
        <w:spacing w:after="160" w:line="288" w:lineRule="auto"/>
      </w:pPr>
    </w:p>
    <w:p>
      <w:pPr>
        <w:pStyle w:val="Heading1"/>
      </w:pPr>
      <w:r>
        <w:rPr>
          <w:rFonts w:ascii="Cambria" w:hAnsi="Cambria" w:eastAsia="Cambria" w:cs="Cambria"/>
          <w:b/>
          <w:color w:val="3D5A80"/>
          <w:sz w:val="40"/>
          <w:szCs w:val="40"/>
        </w:rPr>
        <w:t>Annex L: Sanctions and Financial Architecture</w:t>
      </w:r>
    </w:p>
    <w:p>
      <w:pPr>
        <w:pStyle w:val="Normal"/>
        <w:spacing w:after="100"/>
        <w:jc w:val="center"/>
      </w:pPr>
      <w:r>
        <w:rPr>
          <w:rFonts w:ascii="Cambria" w:hAnsi="Cambria" w:eastAsia="Cambria" w:cs="Cambria"/>
          <w:i/>
          <w:color w:val="1D2D3F"/>
          <w:sz w:val="22"/>
          <w:szCs w:val="22"/>
        </w:rPr>
        <w:t>This annex builds the financial machinery that Article III and Annex C operate upon. It states the sanctions inventory framework, the relief sequencing map across Day 1, Day 14, and Day 45, the banking compliance architecture, and the frozen-asset accounting. Every relief action tracks a verified compliance step, and the reversible design keeps each tranche inside the Step-Back and Earn-Back architecture.</w:t>
      </w:r>
    </w:p>
    <w:p>
      <w:pPr>
        <w:pStyle w:val="Heading2"/>
      </w:pPr>
      <w:r>
        <w:rPr>
          <w:rFonts w:ascii="Cambria" w:hAnsi="Cambria" w:eastAsia="Cambria" w:cs="Cambria"/>
          <w:b/>
          <w:color w:val="8A9DAA"/>
          <w:sz w:val="22"/>
          <w:szCs w:val="20"/>
        </w:rPr>
        <w:t>L.1 Sanctions Inventory Framework</w:t>
      </w:r>
    </w:p>
    <w:p>
      <w:pPr>
        <w:pStyle w:val="Normal"/>
        <w:spacing w:after="100"/>
        <w:jc w:val="center"/>
      </w:pPr>
      <w:r>
        <w:rPr>
          <w:rFonts w:ascii="Cambria" w:hAnsi="Cambria" w:eastAsia="Cambria" w:cs="Cambria"/>
          <w:i/>
          <w:color w:val="1D2D3F"/>
          <w:sz w:val="22"/>
          <w:szCs w:val="22"/>
        </w:rPr>
        <w:t>The inventory framework categorizes the relevant measures by authority class and by the waiver or revocation mechanism that activates relief. The framework states categories rather than an exhaustive enumeration, so that each relief action maps to the mechanism that executes it.</w:t>
      </w:r>
    </w:p>
    <w:tbl>
      <w:tblPr>
        <w:tblLayout w:type="fixed"/>
        <w:tblW w:w="9026" w:type="dxa"/>
      </w:tblPr>
      <w:tblGrid>
        <w:gridCol w:w="2300"/>
        <w:gridCol w:w="2200"/>
        <w:gridCol w:w="2400"/>
        <w:gridCol w:w="2126"/>
      </w:tblGrid>
      <w:tr>
        <w:tc>
          <w:tcPr>
            <w:tcW w:w="23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Authority Class</w:t>
            </w:r>
          </w:p>
        </w:tc>
        <w:tc>
          <w:tcPr>
            <w:tcW w:w="22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Measure Type</w:t>
            </w:r>
          </w:p>
        </w:tc>
        <w:tc>
          <w:tcPr>
            <w:tcW w:w="24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Relief Mechanism</w:t>
            </w:r>
          </w:p>
        </w:tc>
        <w:tc>
          <w:tcPr>
            <w:tcW w:w="2126"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Reversibility</w:t>
            </w:r>
          </w:p>
        </w:tc>
      </w:tr>
      <w:tr>
        <w:tc>
          <w:tcPr>
            <w:tcW w:w="2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Executive sanctions authority</w:t>
            </w:r>
          </w:p>
        </w:tc>
        <w:tc>
          <w:tcPr>
            <w:tcW w:w="22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Designations and asset blocks</w:t>
            </w:r>
          </w:p>
        </w:tc>
        <w:tc>
          <w:tcPr>
            <w:tcW w:w="24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Executive waiver or de-listing action</w:t>
            </w:r>
          </w:p>
        </w:tc>
        <w:tc>
          <w:tcPr>
            <w:tcW w:w="21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Reversible by re-designation</w:t>
            </w:r>
          </w:p>
        </w:tc>
      </w:tr>
      <w:tr>
        <w:tc>
          <w:tcPr>
            <w:tcW w:w="2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Banking and financial measures</w:t>
            </w:r>
          </w:p>
        </w:tc>
        <w:tc>
          <w:tcPr>
            <w:tcW w:w="22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Correspondent and messaging restrictions</w:t>
            </w:r>
          </w:p>
        </w:tc>
        <w:tc>
          <w:tcPr>
            <w:tcW w:w="24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Licensing and waiver action</w:t>
            </w:r>
          </w:p>
        </w:tc>
        <w:tc>
          <w:tcPr>
            <w:tcW w:w="21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Reversible by license withdrawal</w:t>
            </w:r>
          </w:p>
        </w:tc>
      </w:tr>
      <w:tr>
        <w:tc>
          <w:tcPr>
            <w:tcW w:w="2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Sectoral measures</w:t>
            </w:r>
          </w:p>
        </w:tc>
        <w:tc>
          <w:tcPr>
            <w:tcW w:w="22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Energy and shipping restrictions</w:t>
            </w:r>
          </w:p>
        </w:tc>
        <w:tc>
          <w:tcPr>
            <w:tcW w:w="24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General-license activation</w:t>
            </w:r>
          </w:p>
        </w:tc>
        <w:tc>
          <w:tcPr>
            <w:tcW w:w="21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Reversible by license expiry</w:t>
            </w:r>
          </w:p>
        </w:tc>
      </w:tr>
      <w:tr>
        <w:tc>
          <w:tcPr>
            <w:tcW w:w="2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Asset-specific freezes</w:t>
            </w:r>
          </w:p>
        </w:tc>
        <w:tc>
          <w:tcPr>
            <w:tcW w:w="22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Blocked national funds</w:t>
            </w:r>
          </w:p>
        </w:tc>
        <w:tc>
          <w:tcPr>
            <w:tcW w:w="24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Escrow release under defined conditions</w:t>
            </w:r>
          </w:p>
        </w:tc>
        <w:tc>
          <w:tcPr>
            <w:tcW w:w="21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Conditioned on verified compliance</w:t>
            </w:r>
          </w:p>
        </w:tc>
      </w:tr>
    </w:tbl>
    <w:p>
      <w:pPr>
        <w:pStyle w:val="Normal"/>
        <w:spacing w:before="4000"/>
      </w:pPr>
    </w:p>
    <w:p>
      <w:pPr>
        <w:pStyle w:val="Normal"/>
        <w:spacing w:after="100"/>
        <w:jc w:val="center"/>
      </w:pPr>
      <w:r>
        <w:rPr>
          <w:rFonts w:ascii="Cambria" w:hAnsi="Cambria" w:eastAsia="Cambria" w:cs="Cambria"/>
          <w:i/>
          <w:color w:val="1D2D3F"/>
          <w:sz w:val="22"/>
          <w:szCs w:val="22"/>
        </w:rPr>
        <w:t>Each category carries its own waiver mechanism, and the relief sequence activates categories in the order the next section defines. The reversibility column anchors the Earn-Back logic: a relief action that a non-compliance event suspends re-activates upon verified correction.</w:t>
      </w:r>
    </w:p>
    <w:p>
      <w:pPr>
        <w:pStyle w:val="Heading2"/>
      </w:pPr>
      <w:r>
        <w:rPr>
          <w:rFonts w:ascii="Cambria" w:hAnsi="Cambria" w:eastAsia="Cambria" w:cs="Cambria"/>
          <w:b/>
          <w:color w:val="8A9DAA"/>
          <w:sz w:val="22"/>
          <w:szCs w:val="20"/>
        </w:rPr>
        <w:t>L.2 Relief Sequencing Map</w:t>
      </w:r>
    </w:p>
    <w:p>
      <w:pPr>
        <w:pStyle w:val="Normal"/>
        <w:spacing w:after="100"/>
        <w:jc w:val="center"/>
      </w:pPr>
      <w:r>
        <w:rPr>
          <w:rFonts w:ascii="Cambria" w:hAnsi="Cambria" w:eastAsia="Cambria" w:cs="Cambria"/>
          <w:i/>
          <w:color w:val="1D2D3F"/>
          <w:sz w:val="22"/>
          <w:szCs w:val="22"/>
        </w:rPr>
        <w:t>Relief flows in measured tranches keyed to verified milestones. The map states what activates on Day 1, Day 14, and Day 45, and it pairs each tranche with the Iranian compliance step that the dashboard confirms before the tranche activates.</w:t>
      </w:r>
    </w:p>
    <w:tbl>
      <w:tblPr>
        <w:tblLayout w:type="fixed"/>
        <w:tblW w:w="9026" w:type="dxa"/>
      </w:tblPr>
      <w:tblGrid>
        <w:gridCol w:w="1100"/>
        <w:gridCol w:w="2600"/>
        <w:gridCol w:w="2900"/>
        <w:gridCol w:w="2426"/>
      </w:tblGrid>
      <w:tr>
        <w:tc>
          <w:tcPr>
            <w:tcW w:w="11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Day</w:t>
            </w:r>
          </w:p>
        </w:tc>
        <w:tc>
          <w:tcPr>
            <w:tcW w:w="26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Relief Tranche</w:t>
            </w:r>
          </w:p>
        </w:tc>
        <w:tc>
          <w:tcPr>
            <w:tcW w:w="29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Paired Verified Milestone</w:t>
            </w:r>
          </w:p>
        </w:tc>
        <w:tc>
          <w:tcPr>
            <w:tcW w:w="2426"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Reversibility Status</w:t>
            </w:r>
          </w:p>
        </w:tc>
      </w:tr>
      <w:tr>
        <w:tc>
          <w:tcPr>
            <w:tcW w:w="11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Day 1</w:t>
            </w:r>
          </w:p>
        </w:tc>
        <w:tc>
          <w:tcPr>
            <w:tcW w:w="26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Humanitarian asset release ($250M) + transit normalization</w:t>
            </w:r>
          </w:p>
        </w:tc>
        <w:tc>
          <w:tcPr>
            <w:tcW w:w="29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IAEA baseline access granted (Section 2.4)</w:t>
            </w:r>
          </w:p>
        </w:tc>
        <w:tc>
          <w:tcPr>
            <w:tcW w:w="24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Humanitarian portion non-reversible; transit reversible</w:t>
            </w:r>
          </w:p>
        </w:tc>
      </w:tr>
      <w:tr>
        <w:tc>
          <w:tcPr>
            <w:tcW w:w="11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Day 14</w:t>
            </w:r>
          </w:p>
        </w:tc>
        <w:tc>
          <w:tcPr>
            <w:tcW w:w="26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Banking-channel licensing + sectoral general licenses</w:t>
            </w:r>
          </w:p>
        </w:tc>
        <w:tc>
          <w:tcPr>
            <w:tcW w:w="29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Material above 5% sealed under IAEA monitoring (Section 3.1.1)</w:t>
            </w:r>
          </w:p>
        </w:tc>
        <w:tc>
          <w:tcPr>
            <w:tcW w:w="24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Reversible by license withdrawal</w:t>
            </w:r>
          </w:p>
        </w:tc>
      </w:tr>
      <w:tr>
        <w:tc>
          <w:tcPr>
            <w:tcW w:w="11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Day 45</w:t>
            </w:r>
          </w:p>
        </w:tc>
        <w:tc>
          <w:tcPr>
            <w:tcW w:w="26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Broader designation relief + expanded financial access</w:t>
            </w:r>
          </w:p>
        </w:tc>
        <w:tc>
          <w:tcPr>
            <w:tcW w:w="29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Sustained verified compliance across the window</w:t>
            </w:r>
          </w:p>
        </w:tc>
        <w:tc>
          <w:tcPr>
            <w:tcW w:w="24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Reversible by re-designation</w:t>
            </w:r>
          </w:p>
        </w:tc>
      </w:tr>
      <w:tr>
        <w:tc>
          <w:tcPr>
            <w:tcW w:w="1100" w:type="dxa"/>
          </w:tcPr>
          <w:p>
            <w:pPr>
              <w:pStyle w:val="Normal"/>
              <w:spacing w:before="60" w:after="60"/>
            </w:pPr>
            <w:r>
              <w:rPr>
                <w:rFonts w:ascii="Cambria" w:hAnsi="Cambria" w:eastAsia="Cambria" w:cs="Cambria"/>
                <w:b/>
                <w:color w:val="1D2D3F"/>
                <w:sz w:val="22"/>
                <w:szCs w:val="22"/>
              </w:rPr>
              <w:t>Day 60</w:t>
            </w:r>
          </w:p>
        </w:tc>
        <w:tc>
          <w:tcPr>
            <w:tcW w:w="2600" w:type="dxa"/>
          </w:tcPr>
          <w:p>
            <w:pPr>
              <w:pStyle w:val="Normal"/>
              <w:spacing w:before="60" w:after="60"/>
            </w:pPr>
            <w:r>
              <w:rPr>
                <w:rFonts w:ascii="Cambria" w:hAnsi="Cambria" w:eastAsia="Cambria" w:cs="Cambria"/>
                <w:b/>
                <w:color w:val="1D2D3F"/>
                <w:sz w:val="22"/>
                <w:szCs w:val="22"/>
              </w:rPr>
              <w:t>Comprehensive sanctions relief activation; permanent nuclear framework dialogue</w:t>
            </w:r>
          </w:p>
        </w:tc>
        <w:tc>
          <w:tcPr>
            <w:tcW w:w="2900" w:type="dxa"/>
          </w:tcPr>
          <w:p>
            <w:pPr>
              <w:pStyle w:val="Normal"/>
              <w:spacing w:before="60" w:after="60"/>
            </w:pPr>
            <w:r>
              <w:rPr>
                <w:rFonts w:ascii="Cambria" w:hAnsi="Cambria" w:eastAsia="Cambria" w:cs="Cambria"/>
                <w:b/>
                <w:color w:val="1D2D3F"/>
                <w:sz w:val="22"/>
                <w:szCs w:val="22"/>
              </w:rPr>
              <w:t>75% of 60% HEU disposition complete; all material above 5% under IAEA monitoring</w:t>
            </w:r>
          </w:p>
        </w:tc>
        <w:tc>
          <w:tcPr>
            <w:tcW w:w="2426" w:type="dxa"/>
          </w:tcPr>
          <w:p>
            <w:pPr>
              <w:pStyle w:val="Normal"/>
              <w:spacing w:before="60" w:after="60"/>
            </w:pPr>
            <w:r>
              <w:rPr>
                <w:rFonts w:ascii="Cambria" w:hAnsi="Cambria" w:eastAsia="Cambria" w:cs="Cambria"/>
                <w:b/>
                <w:color w:val="1D2D3F"/>
                <w:sz w:val="22"/>
                <w:szCs w:val="22"/>
              </w:rPr>
              <w:t>Reversible by Tier 3 Step-Back only</w:t>
            </w:r>
          </w:p>
        </w:tc>
      </w:tr>
      <w:tr>
        <w:tc>
          <w:tcPr>
            <w:tcW w:w="1100" w:type="dxa"/>
          </w:tcPr>
          <w:p>
            <w:pPr>
              <w:pStyle w:val="Normal"/>
              <w:spacing w:before="60" w:after="60"/>
            </w:pPr>
            <w:r>
              <w:rPr>
                <w:rFonts w:ascii="Cambria" w:hAnsi="Cambria" w:eastAsia="Cambria" w:cs="Cambria"/>
                <w:b/>
                <w:color w:val="1D2D3F"/>
                <w:sz w:val="22"/>
                <w:szCs w:val="22"/>
              </w:rPr>
              <w:t>Day 90</w:t>
            </w:r>
          </w:p>
        </w:tc>
        <w:tc>
          <w:tcPr>
            <w:tcW w:w="2600" w:type="dxa"/>
          </w:tcPr>
          <w:p>
            <w:pPr>
              <w:pStyle w:val="Normal"/>
              <w:spacing w:before="60" w:after="60"/>
            </w:pPr>
            <w:r>
              <w:rPr>
                <w:rFonts w:ascii="Cambria" w:hAnsi="Cambria" w:eastAsia="Cambria" w:cs="Cambria"/>
                <w:b/>
                <w:color w:val="1D2D3F"/>
                <w:sz w:val="22"/>
                <w:szCs w:val="22"/>
              </w:rPr>
              <w:t>Permanent resolution working group; JCPOA successor framework</w:t>
            </w:r>
          </w:p>
        </w:tc>
        <w:tc>
          <w:tcPr>
            <w:tcW w:w="2900" w:type="dxa"/>
          </w:tcPr>
          <w:p>
            <w:pPr>
              <w:pStyle w:val="Normal"/>
              <w:spacing w:before="60" w:after="60"/>
            </w:pPr>
            <w:r>
              <w:rPr>
                <w:rFonts w:ascii="Cambria" w:hAnsi="Cambria" w:eastAsia="Cambria" w:cs="Cambria"/>
                <w:b/>
                <w:color w:val="1D2D3F"/>
                <w:sz w:val="22"/>
                <w:szCs w:val="22"/>
              </w:rPr>
              <w:t>100% of 60% HEU disposition complete; final IAEA material accountancy</w:t>
            </w:r>
          </w:p>
        </w:tc>
        <w:tc>
          <w:tcPr>
            <w:tcW w:w="2426" w:type="dxa"/>
          </w:tcPr>
          <w:p>
            <w:pPr>
              <w:pStyle w:val="Normal"/>
              <w:spacing w:before="60" w:after="60"/>
            </w:pPr>
            <w:r>
              <w:rPr>
                <w:rFonts w:ascii="Cambria" w:hAnsi="Cambria" w:eastAsia="Cambria" w:cs="Cambria"/>
                <w:b/>
                <w:color w:val="1D2D3F"/>
                <w:sz w:val="22"/>
                <w:szCs w:val="22"/>
              </w:rPr>
              <w:t>Permanent after 24 months of sustained compliance (Section 6.3.1)</w:t>
            </w:r>
          </w:p>
        </w:tc>
      </w:tr>
    </w:tbl>
    <w:p>
      <w:pPr>
        <w:pStyle w:val="Normal"/>
        <w:spacing w:before="4000"/>
      </w:pPr>
    </w:p>
    <w:p>
      <w:pPr>
        <w:pStyle w:val="Normal"/>
        <w:spacing w:after="100"/>
        <w:jc w:val="center"/>
      </w:pPr>
      <w:r>
        <w:rPr>
          <w:rFonts w:ascii="Cambria" w:hAnsi="Cambria" w:eastAsia="Cambria" w:cs="Cambria"/>
          <w:i/>
          <w:color w:val="1D2D3F"/>
          <w:sz w:val="22"/>
          <w:szCs w:val="22"/>
        </w:rPr>
        <w:t>No tranche activates ahead of its paired milestone. The Neutral Guarantor confirms the milestone on the dashboard, and confirmation activates the tranche. A milestone that the dashboard does not confirm holds the paired tranche in suspension inside the Step-Back architecture.</w:t>
      </w:r>
    </w:p>
    <w:p>
      <w:pPr>
        <w:pStyle w:val="Heading3"/>
      </w:pPr>
      <w:r>
        <w:rPr>
          <w:rFonts w:ascii="Cambria" w:hAnsi="Cambria" w:eastAsia="Cambria" w:cs="Cambria"/>
          <w:b/>
          <w:color w:val="5C7A96"/>
          <w:sz w:val="30"/>
          <w:szCs w:val="20"/>
        </w:rPr>
        <w:t xml:space="preserve">L.2.1  -  Tranche Activation Logic</w:t>
      </w:r>
    </w:p>
    <w:p>
      <w:pPr>
        <w:pStyle w:val="Normal"/>
        <w:spacing w:after="200"/>
        <w:jc w:val="center"/>
      </w:pPr>
      <w:r>
        <w:rPr>
          <w:rFonts w:ascii="Cambria" w:hAnsi="Cambria" w:eastAsia="Cambria" w:cs="Cambria"/>
          <w:b/>
          <w:color w:val="1D2D3F"/>
          <w:sz w:val="22"/>
          <w:szCs w:val="22"/>
        </w:rPr>
        <w:t xml:space="preserve">Confirmation gate  -  </w:t>
        <w:t>Dashboard confirmation of the paired milestone activates the tranche; absence of confirmation holds it.</w:t>
      </w:r>
    </w:p>
    <w:p>
      <w:pPr>
        <w:pStyle w:val="Normal"/>
        <w:spacing w:after="200"/>
        <w:jc w:val="center"/>
      </w:pPr>
      <w:r>
        <w:rPr>
          <w:rFonts w:ascii="Cambria" w:hAnsi="Cambria" w:eastAsia="Cambria" w:cs="Cambria"/>
          <w:b/>
          <w:color w:val="1D2D3F"/>
          <w:sz w:val="22"/>
          <w:szCs w:val="22"/>
        </w:rPr>
        <w:t xml:space="preserve">Reversal pathway  -  </w:t>
        <w:t>A verified non-compliance event suspends the corresponding tranche in proportion to the breach, and verified correction re-activates it through Earn-Back.</w:t>
      </w:r>
    </w:p>
    <w:p>
      <w:pPr>
        <w:pStyle w:val="Normal"/>
        <w:spacing w:after="200"/>
        <w:jc w:val="center"/>
      </w:pPr>
      <w:r>
        <w:rPr>
          <w:rFonts w:ascii="Cambria" w:hAnsi="Cambria" w:eastAsia="Cambria" w:cs="Cambria"/>
          <w:b/>
          <w:color w:val="1D2D3F"/>
          <w:sz w:val="22"/>
          <w:szCs w:val="22"/>
        </w:rPr>
        <w:t xml:space="preserve">Firewall  -  </w:t>
        <w:t>Suspension of one tranche leaves every other tranche operating, consistent with the Firewalled Provisions principle.</w:t>
      </w:r>
    </w:p>
    <w:p>
      <w:pPr>
        <w:pStyle w:val="Heading2"/>
      </w:pPr>
      <w:r>
        <w:rPr>
          <w:rFonts w:ascii="Cambria" w:hAnsi="Cambria" w:eastAsia="Cambria" w:cs="Cambria"/>
          <w:b/>
          <w:color w:val="8A9DAA"/>
          <w:sz w:val="22"/>
          <w:szCs w:val="20"/>
        </w:rPr>
        <w:t>L.3 Banking Compliance Architecture</w:t>
      </w:r>
    </w:p>
    <w:p>
      <w:pPr>
        <w:pStyle w:val="Normal"/>
        <w:spacing w:after="100"/>
        <w:jc w:val="center"/>
      </w:pPr>
      <w:r>
        <w:rPr>
          <w:rFonts w:ascii="Cambria" w:hAnsi="Cambria" w:eastAsia="Cambria" w:cs="Cambria"/>
          <w:i/>
          <w:color w:val="1D2D3F"/>
          <w:sz w:val="22"/>
          <w:szCs w:val="22"/>
        </w:rPr>
        <w:t>This section states the banking architecture that converts relief into usable financial access. It governs messaging reconnection, compliance standards, and the escrow design that protects both Parties.</w:t>
      </w:r>
    </w:p>
    <w:p>
      <w:pPr>
        <w:pStyle w:val="Heading3"/>
      </w:pPr>
      <w:r>
        <w:rPr>
          <w:rFonts w:ascii="Cambria" w:hAnsi="Cambria" w:eastAsia="Cambria" w:cs="Cambria"/>
          <w:b/>
          <w:color w:val="5C7A96"/>
          <w:sz w:val="30"/>
          <w:szCs w:val="20"/>
        </w:rPr>
        <w:t xml:space="preserve">L.3.1  -  Financial Messaging Reconnection</w:t>
      </w:r>
    </w:p>
    <w:p>
      <w:pPr>
        <w:pStyle w:val="Normal"/>
        <w:spacing w:after="200"/>
        <w:jc w:val="center"/>
      </w:pPr>
      <w:r>
        <w:rPr>
          <w:rFonts w:ascii="Cambria" w:hAnsi="Cambria" w:eastAsia="Cambria" w:cs="Cambria"/>
          <w:b/>
          <w:color w:val="1D2D3F"/>
          <w:sz w:val="22"/>
          <w:szCs w:val="22"/>
        </w:rPr>
        <w:t xml:space="preserve">Reconnection trigger  -  </w:t>
        <w:t>Day 14 licensing activates the reconnection of designated Iranian financial institutions to international messaging services for permitted transactions.</w:t>
      </w:r>
    </w:p>
    <w:p>
      <w:pPr>
        <w:pStyle w:val="Normal"/>
        <w:spacing w:after="200"/>
        <w:jc w:val="center"/>
      </w:pPr>
      <w:r>
        <w:rPr>
          <w:rFonts w:ascii="Cambria" w:hAnsi="Cambria" w:eastAsia="Cambria" w:cs="Cambria"/>
          <w:b/>
          <w:color w:val="1D2D3F"/>
          <w:sz w:val="22"/>
          <w:szCs w:val="22"/>
        </w:rPr>
        <w:t xml:space="preserve">Scope discipline  -  </w:t>
        <w:t>Reconnection covers permitted commercial and humanitarian transactions, and the architecture excludes prohibited categories through the compliance screen rather than through a blanket cut-off.</w:t>
      </w:r>
    </w:p>
    <w:p>
      <w:pPr>
        <w:pStyle w:val="Heading3"/>
      </w:pPr>
      <w:r>
        <w:rPr>
          <w:rFonts w:ascii="Cambria" w:hAnsi="Cambria" w:eastAsia="Cambria" w:cs="Cambria"/>
          <w:b/>
          <w:color w:val="5C7A96"/>
          <w:sz w:val="30"/>
          <w:szCs w:val="20"/>
        </w:rPr>
        <w:t xml:space="preserve">L.3.2  -  Compliance Standards</w:t>
      </w:r>
    </w:p>
    <w:p>
      <w:pPr>
        <w:pStyle w:val="Normal"/>
        <w:spacing w:after="200"/>
        <w:jc w:val="center"/>
      </w:pPr>
      <w:r>
        <w:rPr>
          <w:rFonts w:ascii="Cambria" w:hAnsi="Cambria" w:eastAsia="Cambria" w:cs="Cambria"/>
          <w:b/>
          <w:color w:val="1D2D3F"/>
          <w:sz w:val="22"/>
          <w:szCs w:val="22"/>
        </w:rPr>
        <w:t xml:space="preserve">Standards alignment  -  </w:t>
        <w:t>Designated institutions operate under recognized anti-money-laundering and counter-financing standards, and the compliance screen applies these standards to every transaction inside the architecture.</w:t>
      </w:r>
    </w:p>
    <w:p>
      <w:pPr>
        <w:pStyle w:val="Normal"/>
        <w:spacing w:after="200"/>
        <w:jc w:val="center"/>
      </w:pPr>
      <w:r>
        <w:rPr>
          <w:rFonts w:ascii="Cambria" w:hAnsi="Cambria" w:eastAsia="Cambria" w:cs="Cambria"/>
          <w:b/>
          <w:color w:val="1D2D3F"/>
          <w:sz w:val="22"/>
          <w:szCs w:val="22"/>
        </w:rPr>
        <w:t xml:space="preserve">Monitoring  -  </w:t>
        <w:t>The Swiss technical guarantor protects the escrow and messaging architecture and confirms that permitted flows operate transparently.</w:t>
      </w:r>
    </w:p>
    <w:p>
      <w:pPr>
        <w:pStyle w:val="Heading3"/>
      </w:pPr>
      <w:r>
        <w:rPr>
          <w:rFonts w:ascii="Cambria" w:hAnsi="Cambria" w:eastAsia="Cambria" w:cs="Cambria"/>
          <w:b/>
          <w:color w:val="5C7A96"/>
          <w:sz w:val="30"/>
          <w:szCs w:val="20"/>
        </w:rPr>
        <w:t xml:space="preserve">L.3.3  -  Escrow Architecture</w:t>
      </w:r>
    </w:p>
    <w:p>
      <w:pPr>
        <w:pStyle w:val="Normal"/>
        <w:spacing w:after="100"/>
        <w:jc w:val="center"/>
      </w:pPr>
      <w:r>
        <w:rPr>
          <w:rFonts w:ascii="Cambria" w:hAnsi="Cambria" w:eastAsia="Cambria" w:cs="Cambria"/>
          <w:i/>
          <w:color w:val="1D2D3F"/>
          <w:sz w:val="22"/>
          <w:szCs w:val="22"/>
        </w:rPr>
        <w:t>Released funds move through an escrow architecture that the Swiss guarantor protects. The escrow design holds each tranche against its paired milestone, releases it on dashboard confirmation, and records every movement. The architecture excludes any opaque transfer outside the recorded escrow path.</w:t>
      </w:r>
    </w:p>
    <w:tbl>
      <w:tblPr>
        <w:tblLayout w:type="fixed"/>
        <w:tblW w:w="9026" w:type="dxa"/>
      </w:tblPr>
      <w:tblGrid>
        <w:gridCol w:w="2400"/>
        <w:gridCol w:w="3800"/>
        <w:gridCol w:w="2826"/>
      </w:tblGrid>
      <w:tr>
        <w:tc>
          <w:tcPr>
            <w:tcW w:w="24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Escrow Stage</w:t>
            </w:r>
          </w:p>
        </w:tc>
        <w:tc>
          <w:tcPr>
            <w:tcW w:w="38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Function</w:t>
            </w:r>
          </w:p>
        </w:tc>
        <w:tc>
          <w:tcPr>
            <w:tcW w:w="2826"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Control</w:t>
            </w:r>
          </w:p>
        </w:tc>
      </w:tr>
      <w:tr>
        <w:tc>
          <w:tcPr>
            <w:tcW w:w="24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Inbound hold</w:t>
            </w:r>
          </w:p>
        </w:tc>
        <w:tc>
          <w:tcPr>
            <w:tcW w:w="3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Tranche enters escrow against its milestone</w:t>
            </w:r>
          </w:p>
        </w:tc>
        <w:tc>
          <w:tcPr>
            <w:tcW w:w="28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Swiss guarantor custody</w:t>
            </w:r>
          </w:p>
        </w:tc>
      </w:tr>
      <w:tr>
        <w:tc>
          <w:tcPr>
            <w:tcW w:w="24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Confirmation release</w:t>
            </w:r>
          </w:p>
        </w:tc>
        <w:tc>
          <w:tcPr>
            <w:tcW w:w="3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Dashboard milestone confirmation releases the tranche</w:t>
            </w:r>
          </w:p>
        </w:tc>
        <w:tc>
          <w:tcPr>
            <w:tcW w:w="2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Joint visibility</w:t>
            </w:r>
          </w:p>
        </w:tc>
      </w:tr>
      <w:tr>
        <w:tc>
          <w:tcPr>
            <w:tcW w:w="24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Suspension hold</w:t>
            </w:r>
          </w:p>
        </w:tc>
        <w:tc>
          <w:tcPr>
            <w:tcW w:w="3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Non-compliance returns the tranche to hold</w:t>
            </w:r>
          </w:p>
        </w:tc>
        <w:tc>
          <w:tcPr>
            <w:tcW w:w="28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Step-Back proportionality</w:t>
            </w:r>
          </w:p>
        </w:tc>
      </w:tr>
      <w:tr>
        <w:tc>
          <w:tcPr>
            <w:tcW w:w="24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Earn-back release</w:t>
            </w:r>
          </w:p>
        </w:tc>
        <w:tc>
          <w:tcPr>
            <w:tcW w:w="3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Verified correction re-releases the tranche</w:t>
            </w:r>
          </w:p>
        </w:tc>
        <w:tc>
          <w:tcPr>
            <w:tcW w:w="2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Dashboard re-confirmation</w:t>
            </w:r>
          </w:p>
        </w:tc>
      </w:tr>
    </w:tbl>
    <w:p>
      <w:pPr>
        <w:pStyle w:val="Normal"/>
        <w:spacing w:before="4000"/>
      </w:pPr>
    </w:p>
    <w:p>
      <w:pPr>
        <w:pStyle w:val="Heading2"/>
      </w:pPr>
      <w:r>
        <w:rPr>
          <w:rFonts w:ascii="Cambria" w:hAnsi="Cambria" w:eastAsia="Cambria" w:cs="Cambria"/>
          <w:b/>
          <w:color w:val="8A9DAA"/>
          <w:sz w:val="22"/>
          <w:szCs w:val="20"/>
        </w:rPr>
        <w:t>L.4 Frozen Asset Accounting</w:t>
      </w:r>
    </w:p>
    <w:p>
      <w:pPr>
        <w:pStyle w:val="Normal"/>
        <w:spacing w:after="100"/>
        <w:jc w:val="center"/>
      </w:pPr>
      <w:r>
        <w:rPr>
          <w:rFonts w:ascii="Cambria" w:hAnsi="Cambria" w:eastAsia="Cambria" w:cs="Cambria"/>
          <w:i/>
          <w:color w:val="1D2D3F"/>
          <w:sz w:val="22"/>
          <w:szCs w:val="22"/>
        </w:rPr>
        <w:t>This section accounts for the blocked national funds the framework addresses. It states the amount categories, the custodians, and the conditions that govern release. It complements the Frozen Asset Release Schedule of Annex C.</w:t>
      </w:r>
    </w:p>
    <w:tbl>
      <w:tblPr>
        <w:tblLayout w:type="fixed"/>
        <w:tblW w:w="9026" w:type="dxa"/>
      </w:tblPr>
      <w:tblGrid>
        <w:gridCol w:w="2500"/>
        <w:gridCol w:w="2200"/>
        <w:gridCol w:w="2400"/>
        <w:gridCol w:w="1926"/>
      </w:tblGrid>
      <w:tr>
        <w:tc>
          <w:tcPr>
            <w:tcW w:w="25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Asset Category</w:t>
            </w:r>
          </w:p>
        </w:tc>
        <w:tc>
          <w:tcPr>
            <w:tcW w:w="22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Custodian Class</w:t>
            </w:r>
          </w:p>
        </w:tc>
        <w:tc>
          <w:tcPr>
            <w:tcW w:w="24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Release Condition</w:t>
            </w:r>
          </w:p>
        </w:tc>
        <w:tc>
          <w:tcPr>
            <w:tcW w:w="1926"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Reversibility</w:t>
            </w:r>
          </w:p>
        </w:tc>
      </w:tr>
      <w:tr>
        <w:tc>
          <w:tcPr>
            <w:tcW w:w="25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Humanitarian tranche ($250M)</w:t>
            </w:r>
          </w:p>
        </w:tc>
        <w:tc>
          <w:tcPr>
            <w:tcW w:w="22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United States holding institution</w:t>
            </w:r>
          </w:p>
        </w:tc>
        <w:tc>
          <w:tcPr>
            <w:tcW w:w="24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Released inside 48 hours (Section 2.4)</w:t>
            </w:r>
          </w:p>
        </w:tc>
        <w:tc>
          <w:tcPr>
            <w:tcW w:w="19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Non-reversible</w:t>
            </w:r>
          </w:p>
        </w:tc>
      </w:tr>
      <w:tr>
        <w:tc>
          <w:tcPr>
            <w:tcW w:w="25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Restricted-purpose national funds</w:t>
            </w:r>
          </w:p>
        </w:tc>
        <w:tc>
          <w:tcPr>
            <w:tcW w:w="22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Third-country holding institutions</w:t>
            </w:r>
          </w:p>
        </w:tc>
        <w:tc>
          <w:tcPr>
            <w:tcW w:w="24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Phased release on verified milestones</w:t>
            </w:r>
          </w:p>
        </w:tc>
        <w:tc>
          <w:tcPr>
            <w:tcW w:w="19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Conditioned and escrow-held</w:t>
            </w:r>
          </w:p>
        </w:tc>
      </w:tr>
      <w:tr>
        <w:tc>
          <w:tcPr>
            <w:tcW w:w="25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General national reserves</w:t>
            </w:r>
          </w:p>
        </w:tc>
        <w:tc>
          <w:tcPr>
            <w:tcW w:w="22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Multiple custodial jurisdictions</w:t>
            </w:r>
          </w:p>
        </w:tc>
        <w:tc>
          <w:tcPr>
            <w:tcW w:w="24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Release on sustained verified compliance</w:t>
            </w:r>
          </w:p>
        </w:tc>
        <w:tc>
          <w:tcPr>
            <w:tcW w:w="19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szCs w:val="22"/>
              </w:rPr>
              <w:t>Conditioned on the window record</w:t>
            </w:r>
          </w:p>
        </w:tc>
      </w:tr>
    </w:tbl>
    <w:p>
      <w:pPr>
        <w:pStyle w:val="Normal"/>
        <w:spacing w:before="4000"/>
      </w:pPr>
    </w:p>
    <w:p>
      <w:pPr>
        <w:pStyle w:val="Normal"/>
        <w:spacing w:after="100"/>
        <w:jc w:val="center"/>
      </w:pPr>
      <w:r>
        <w:rPr>
          <w:rFonts w:ascii="Cambria" w:hAnsi="Cambria" w:eastAsia="Cambria" w:cs="Cambria"/>
          <w:i/>
          <w:color w:val="1D2D3F"/>
          <w:sz w:val="22"/>
          <w:szCs w:val="22"/>
        </w:rPr>
        <w:t>The accounting framework records each asset category, its custodian class, and the verified condition that activates release. The humanitarian tranche releases without reversibility, which anchors the framework's good-faith floor. Every other category releases through the escrow architecture against its paired milestone, and a milestone gap holds the category rather than releasing it.</w:t>
      </w:r>
    </w:p>
    <w:p>
      <w:pPr>
        <w:pStyle w:val="Heading1"/>
      </w:pPr>
      <w:r>
        <w:rPr>
          <w:rFonts w:ascii="Cambria" w:hAnsi="Cambria" w:eastAsia="Cambria" w:cs="Cambria"/>
          <w:b/>
          <w:color w:val="3D5A80"/>
          <w:sz w:val="40"/>
          <w:szCs w:val="40"/>
        </w:rPr>
        <w:t>Annex M: Maritime and Security Protocols</w:t>
      </w:r>
    </w:p>
    <w:p>
      <w:pPr>
        <w:pStyle w:val="Normal"/>
        <w:spacing w:before="4000"/>
      </w:pPr>
      <w:r>
        <w:rPr>
          <w:rFonts w:ascii="Cambria" w:hAnsi="Cambria" w:eastAsia="Cambria" w:cs="Cambria"/>
          <w:color w:val="1D2D3F"/>
          <w:sz w:val="22"/>
          <w:szCs w:val="22"/>
        </w:rPr>
        <w:t>This annex supports Article II and the Strait reopening architecture. It states the traffic framework for the Strait of Hormuz, the naval deconfliction protocol, the coastal-state rights legal framework, and the operating manual for the Joint Maritime Coordination Center. The architecture keeps the Strait open to commercial transit under a shared governance design rather than under either Party's unilateral control.</w:t>
      </w:r>
    </w:p>
    <w:p>
      <w:pPr>
        <w:pStyle w:val="Heading2"/>
      </w:pPr>
      <w:r>
        <w:rPr>
          <w:rFonts w:ascii="Cambria" w:hAnsi="Cambria" w:eastAsia="Cambria" w:cs="Cambria"/>
          <w:b/>
          <w:color w:val="4A5D6E"/>
          <w:sz w:val="22"/>
          <w:szCs w:val="20"/>
          <w:i/>
        </w:rPr>
        <w:t>M.1 Strait of Hormuz Traffic Framework</w:t>
      </w:r>
    </w:p>
    <w:p>
      <w:pPr>
        <w:pStyle w:val="Normal"/>
        <w:spacing w:before="4000"/>
      </w:pPr>
      <w:r>
        <w:rPr>
          <w:rFonts w:ascii="Cambria" w:hAnsi="Cambria" w:eastAsia="Cambria" w:cs="Cambria"/>
          <w:color w:val="1D2D3F"/>
          <w:sz w:val="22"/>
          <w:szCs w:val="22"/>
        </w:rPr>
        <w:t>This section frames the transit data architecture that the Joint Maritime Coordination Center operates. It states the data sources, the volume baseline, and the choke-point analysis that informs deconfliction. Commercial transit operates under an absolute non-interdiction protocol within the framework.</w:t>
      </w:r>
    </w:p>
    <w:p>
      <w:pPr>
        <w:pStyle w:val="Heading3"/>
      </w:pPr>
      <w:r>
        <w:rPr>
          <w:rFonts w:ascii="Cambria" w:hAnsi="Cambria" w:eastAsia="Cambria" w:cs="Cambria"/>
          <w:b/>
          <w:color w:val="5C7A96"/>
          <w:sz w:val="30"/>
          <w:szCs w:val="20"/>
        </w:rPr>
        <w:t xml:space="preserve">M.1.1  -  Data Sources</w:t>
      </w:r>
    </w:p>
    <w:p>
      <w:pPr>
        <w:pStyle w:val="Normal"/>
        <w:spacing w:after="200"/>
        <w:jc w:val="center"/>
      </w:pPr>
      <w:r>
        <w:rPr>
          <w:rFonts w:ascii="Cambria" w:hAnsi="Cambria" w:eastAsia="Cambria" w:cs="Cambria"/>
          <w:b/>
          <w:color w:val="1D2D3F"/>
          <w:sz w:val="20"/>
          <w:szCs w:val="22"/>
        </w:rPr>
        <w:t xml:space="preserve">Automatic identification data  -  </w:t>
      </w:r>
      <w:r>
        <w:rPr>
          <w:rFonts w:ascii="Cambria" w:hAnsi="Cambria" w:eastAsia="Cambria" w:cs="Cambria"/>
          <w:b/>
          <w:color w:val="1D2D3F"/>
          <w:sz w:val="22"/>
          <w:szCs w:val="22"/>
        </w:rPr>
        <w:t>Vessel position and identity data feed the Center's traffic picture in real time, and the Center publishes aggregate transit volumes to the public dashboard.</w:t>
      </w:r>
    </w:p>
    <w:p>
      <w:pPr>
        <w:pStyle w:val="Normal"/>
        <w:spacing w:after="200"/>
        <w:jc w:val="center"/>
      </w:pPr>
      <w:r>
        <w:rPr>
          <w:rFonts w:ascii="Cambria" w:hAnsi="Cambria" w:eastAsia="Cambria" w:cs="Cambria"/>
          <w:b/>
          <w:color w:val="1D2D3F"/>
          <w:sz w:val="20"/>
          <w:szCs w:val="22"/>
        </w:rPr>
        <w:t xml:space="preserve">Transit logs  -  </w:t>
      </w:r>
      <w:r>
        <w:rPr>
          <w:rFonts w:ascii="Cambria" w:hAnsi="Cambria" w:eastAsia="Cambria" w:cs="Cambria"/>
          <w:b/>
          <w:color w:val="1D2D3F"/>
          <w:sz w:val="22"/>
          <w:szCs w:val="22"/>
        </w:rPr>
        <w:t>The Center logs each transit event and reconciles the log against the position data, so that the public volume figure rests on a verified record.</w:t>
      </w:r>
    </w:p>
    <w:p>
      <w:pPr>
        <w:pStyle w:val="Normal"/>
        <w:spacing w:after="200"/>
        <w:jc w:val="center"/>
      </w:pPr>
      <w:r>
        <w:rPr>
          <w:rFonts w:ascii="Cambria" w:hAnsi="Cambria" w:eastAsia="Cambria" w:cs="Cambria"/>
          <w:b/>
          <w:color w:val="1D2D3F"/>
          <w:sz w:val="20"/>
          <w:szCs w:val="22"/>
        </w:rPr>
        <w:t xml:space="preserve">Recovery tracking  -  </w:t>
      </w:r>
      <w:r>
        <w:rPr>
          <w:rFonts w:ascii="Cambria" w:hAnsi="Cambria" w:eastAsia="Cambria" w:cs="Cambria"/>
          <w:b/>
          <w:color w:val="1D2D3F"/>
          <w:sz w:val="22"/>
          <w:szCs w:val="22"/>
        </w:rPr>
        <w:t>During the 30-day recovery period, the Center tracks the return toward pre-conflict volumes and the Neutral Guarantor publishes weekly recovery reports.</w:t>
      </w:r>
    </w:p>
    <w:p>
      <w:pPr>
        <w:pStyle w:val="Heading3"/>
      </w:pPr>
      <w:r>
        <w:rPr>
          <w:rFonts w:ascii="Cambria" w:hAnsi="Cambria" w:eastAsia="Cambria" w:cs="Cambria"/>
          <w:b/>
          <w:color w:val="5C7A96"/>
          <w:sz w:val="30"/>
          <w:szCs w:val="20"/>
        </w:rPr>
        <w:t xml:space="preserve">M.1.2  -  Volume Baseline and Recovery Curve</w:t>
      </w:r>
    </w:p>
    <w:tbl>
      <w:tblPr>
        <w:tblLayout w:type="fixed"/>
        <w:tblW w:w="9026" w:type="dxa"/>
      </w:tblPr>
      <w:tblGrid>
        <w:gridCol w:w="2000"/>
        <w:gridCol w:w="3500"/>
        <w:gridCol w:w="3526"/>
      </w:tblGrid>
      <w:tr>
        <w:tc>
          <w:tcPr>
            <w:tcW w:w="20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Phase</w:t>
            </w:r>
          </w:p>
        </w:tc>
        <w:tc>
          <w:tcPr>
            <w:tcW w:w="35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Transit Posture</w:t>
            </w:r>
          </w:p>
        </w:tc>
        <w:tc>
          <w:tcPr>
            <w:tcW w:w="3526"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Center Function</w:t>
            </w:r>
          </w:p>
        </w:tc>
      </w:tr>
      <w:tr>
        <w:tc>
          <w:tcPr>
            <w:tcW w:w="20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Day 1</w:t>
            </w:r>
          </w:p>
        </w:tc>
        <w:tc>
          <w:tcPr>
            <w:tcW w:w="35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Strait open to unrestricted commercial transit</w:t>
            </w:r>
          </w:p>
        </w:tc>
        <w:tc>
          <w:tcPr>
            <w:tcW w:w="35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Real-time dashboard activates</w:t>
            </w:r>
          </w:p>
        </w:tc>
      </w:tr>
      <w:tr>
        <w:tc>
          <w:tcPr>
            <w:tcW w:w="20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Days 1-30</w:t>
            </w:r>
          </w:p>
        </w:tc>
        <w:tc>
          <w:tcPr>
            <w:tcW w:w="35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Phased recovery toward pre-conflict volumes</w:t>
            </w:r>
          </w:p>
        </w:tc>
        <w:tc>
          <w:tcPr>
            <w:tcW w:w="35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Traffic management and weekly reporting</w:t>
            </w:r>
          </w:p>
        </w:tc>
      </w:tr>
      <w:tr>
        <w:tc>
          <w:tcPr>
            <w:tcW w:w="20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Day 30+</w:t>
            </w:r>
          </w:p>
        </w:tc>
        <w:tc>
          <w:tcPr>
            <w:tcW w:w="35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Normalized commercial transit</w:t>
            </w:r>
          </w:p>
        </w:tc>
        <w:tc>
          <w:tcPr>
            <w:tcW w:w="35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Continuous monitoring and incident logging</w:t>
            </w:r>
          </w:p>
        </w:tc>
      </w:tr>
    </w:tbl>
    <w:p>
      <w:pPr>
        <w:pStyle w:val="Normal"/>
        <w:spacing w:before="600"/>
      </w:pPr>
    </w:p>
    <w:p>
      <w:pPr>
        <w:pStyle w:val="Heading3"/>
      </w:pPr>
      <w:r>
        <w:rPr>
          <w:rFonts w:ascii="Cambria" w:hAnsi="Cambria" w:eastAsia="Cambria" w:cs="Cambria"/>
          <w:b/>
          <w:color w:val="5C7A96"/>
          <w:sz w:val="30"/>
          <w:szCs w:val="20"/>
        </w:rPr>
        <w:t xml:space="preserve">M.1.3  -  Choke-Point Analysis</w:t>
      </w:r>
    </w:p>
    <w:p>
      <w:pPr>
        <w:pStyle w:val="Normal"/>
        <w:spacing w:before="4000"/>
      </w:pPr>
      <w:r>
        <w:rPr>
          <w:rFonts w:ascii="Cambria" w:hAnsi="Cambria" w:eastAsia="Cambria" w:cs="Cambria"/>
          <w:color w:val="1D2D3F"/>
          <w:sz w:val="22"/>
          <w:szCs w:val="22"/>
        </w:rPr>
        <w:t>The Strait's narrow transit lanes concentrate traffic, and the concentration creates the deconfliction requirement the next section addresses. The Center maps the inbound and outbound traffic-separation scheme, identifies the points where naval and commercial paths converge, and feeds the analysis to the deconfliction channel so that each convergence point carries a defined communication procedure.</w:t>
      </w:r>
    </w:p>
    <w:p>
      <w:pPr>
        <w:pStyle w:val="Heading3"/>
      </w:pPr>
      <w:r>
        <w:rPr>
          <w:rFonts w:ascii="Cambria" w:hAnsi="Cambria" w:eastAsia="Microsoft YaHei" w:cs="Cambria"/>
          <w:b/>
          <w:color w:val="2C3E5E"/>
          <w:sz w:val="26"/>
          <w:szCs w:val="26"/>
        </w:rPr>
        <w:t>M.1.4 - Service-Fee Schedule</w:t>
      </w:r>
    </w:p>
    <w:p>
      <w:pPr>
        <w:pStyle w:val="Normal"/>
        <w:spacing w:before="60" w:after="60"/>
      </w:pPr>
      <w:r>
        <w:rPr>
          <w:rFonts w:ascii="Cambria" w:hAnsi="Cambria" w:eastAsia="Cambria" w:cs="Cambria"/>
          <w:b/>
          <w:color w:val="1D2D3F"/>
          <w:sz w:val="22"/>
          <w:i/>
          <w:szCs w:val="22"/>
        </w:rPr>
        <w:t>The framework draws a firm line between a transit toll and a service fee. A transit toll charges a vessel for the act of passage itself; the framework architecture excludes transit tolls entirely. A service fee compensates an actual marine service that the coastal state renders; the framework permits a capped, transparent, non-discriminatory service fee and treats it as a coastal-state user charge consistent with the rights Section M.3 describes.</w:t>
      </w:r>
    </w:p>
    <w:p>
      <w:pPr>
        <w:pStyle w:val="Normal"/>
        <w:spacing w:before="60" w:after="60"/>
      </w:pPr>
      <w:r>
        <w:rPr>
          <w:rFonts w:ascii="Cambria" w:hAnsi="Cambria" w:eastAsia="Cambria" w:cs="Cambria"/>
          <w:b/>
          <w:color w:val="1D2D3F"/>
          <w:sz w:val="22"/>
          <w:i/>
          <w:szCs w:val="22"/>
        </w:rPr>
        <w:t>The service fee covers defined marine services only. The fee stays at or below a per-vessel cap that the Parties set jointly and publish, and it stays proportionate to the service the vessel receives. The fee never conditions passage: a vessel transits whether or not a fee dispute remains open, and the non-interdiction protocol governs throughout.</w:t>
      </w:r>
    </w:p>
    <w:p>
      <w:pPr>
        <w:pStyle w:val="Normal"/>
        <w:spacing w:after="2000"/>
        <w:jc w:val="center"/>
      </w:pPr>
      <w:r>
        <w:rPr>
          <w:rFonts w:ascii="Cambria" w:hAnsi="Cambria" w:eastAsia="Cambria" w:cs="Cambria"/>
          <w:color w:val="1D2D3F"/>
          <w:sz w:val="20"/>
          <w:b/>
          <w:szCs w:val="20"/>
        </w:rPr>
        <w:t xml:space="preserve">Pilotage support  -  </w:t>
      </w:r>
      <w:r>
        <w:rPr>
          <w:rFonts w:ascii="Cambria" w:hAnsi="Cambria" w:eastAsia="Cambria" w:cs="Cambria"/>
          <w:color w:val="1D2D3F"/>
          <w:sz w:val="22"/>
          <w:b/>
          <w:szCs w:val="22"/>
        </w:rPr>
        <w:t>covers boarding-pilot service and transit assistance through the traffic-separation scheme; the schedule charges it per vessel, at or below the published cap.</w:t>
      </w:r>
    </w:p>
    <w:p>
      <w:pPr>
        <w:pStyle w:val="Normal"/>
        <w:spacing w:after="2000"/>
        <w:jc w:val="center"/>
      </w:pPr>
      <w:r>
        <w:rPr>
          <w:rFonts w:ascii="Cambria" w:hAnsi="Cambria" w:eastAsia="Cambria" w:cs="Cambria"/>
          <w:color w:val="1D2D3F"/>
          <w:sz w:val="20"/>
          <w:b/>
          <w:szCs w:val="20"/>
        </w:rPr>
        <w:t xml:space="preserve">Search-and-rescue coordination  -  </w:t>
      </w:r>
      <w:r>
        <w:rPr>
          <w:rFonts w:ascii="Cambria" w:hAnsi="Cambria" w:eastAsia="Cambria" w:cs="Cambria"/>
          <w:color w:val="1D2D3F"/>
          <w:sz w:val="22"/>
          <w:b/>
          <w:szCs w:val="22"/>
        </w:rPr>
        <w:t>covers standby readiness and incident-response coordination for the transit corridor; the schedule charges it per vessel, at or below the published cap.</w:t>
      </w:r>
    </w:p>
    <w:p>
      <w:pPr>
        <w:pStyle w:val="Normal"/>
        <w:spacing w:after="2000"/>
        <w:jc w:val="center"/>
      </w:pPr>
      <w:r>
        <w:rPr>
          <w:rFonts w:ascii="Cambria" w:hAnsi="Cambria" w:eastAsia="Cambria" w:cs="Cambria"/>
          <w:color w:val="1D2D3F"/>
          <w:sz w:val="20"/>
          <w:b/>
          <w:szCs w:val="20"/>
        </w:rPr>
        <w:t xml:space="preserve">Navigational guidance  -  </w:t>
      </w:r>
      <w:r>
        <w:rPr>
          <w:rFonts w:ascii="Cambria" w:hAnsi="Cambria" w:eastAsia="Cambria" w:cs="Cambria"/>
          <w:color w:val="1D2D3F"/>
          <w:sz w:val="22"/>
          <w:b/>
          <w:szCs w:val="22"/>
        </w:rPr>
        <w:t>covers traffic management, lane-status information, and hydrographic guidance; the schedule charges it per vessel, at or below the published cap.</w:t>
      </w:r>
    </w:p>
    <w:p>
      <w:pPr>
        <w:pStyle w:val="Normal"/>
        <w:spacing w:before="60" w:after="60"/>
      </w:pPr>
      <w:r>
        <w:rPr>
          <w:rFonts w:ascii="Cambria" w:hAnsi="Cambria" w:eastAsia="Cambria" w:cs="Cambria"/>
          <w:b/>
          <w:color w:val="1D2D3F"/>
          <w:sz w:val="22"/>
          <w:i/>
          <w:szCs w:val="22"/>
        </w:rPr>
        <w:t>A single published schedule applies to every vessel regardless of flag, origin, or destination. The Joint Maritime Coordination Center logs each fee against each transit, and the public dashboard displays both the schedule and the aggregate fee record. The Neutral Guarantor confirms that the schedule operates transparently and applies equally to all transit.</w:t>
      </w:r>
    </w:p>
    <w:p>
      <w:pPr>
        <w:pStyle w:val="Normal"/>
        <w:spacing w:before="60" w:after="60"/>
      </w:pPr>
      <w:r>
        <w:rPr>
          <w:rFonts w:ascii="Cambria" w:hAnsi="Cambria" w:eastAsia="Cambria" w:cs="Cambria"/>
          <w:b/>
          <w:color w:val="1D2D3F"/>
          <w:sz w:val="22"/>
          <w:i/>
          <w:szCs w:val="22"/>
        </w:rPr>
        <w:t>An excessive fee, a discriminatory fee, or a fee that conditions passage breaches the schedule. Such a breach suspends only the Hormuz transit reciprocity unit under the proportionality scale of Annex N, and verified correction restores the unit through Earn-Back. The firewall keeps every other reciprocity unit operating.</w:t>
      </w:r>
    </w:p>
    <w:p>
      <w:pPr>
        <w:pStyle w:val="Heading2"/>
      </w:pPr>
      <w:r>
        <w:rPr>
          <w:rFonts w:ascii="Cambria" w:hAnsi="Cambria" w:eastAsia="Cambria" w:cs="Cambria"/>
          <w:b/>
          <w:color w:val="4A5D6E"/>
          <w:sz w:val="22"/>
          <w:szCs w:val="20"/>
          <w:i/>
        </w:rPr>
        <w:t>M.2 Naval Deconfliction Protocol</w:t>
      </w:r>
    </w:p>
    <w:p>
      <w:pPr>
        <w:pStyle w:val="Normal"/>
        <w:spacing w:before="4000"/>
      </w:pPr>
      <w:r>
        <w:rPr>
          <w:rFonts w:ascii="Cambria" w:hAnsi="Cambria" w:eastAsia="Cambria" w:cs="Cambria"/>
          <w:color w:val="1D2D3F"/>
          <w:sz w:val="22"/>
          <w:szCs w:val="22"/>
        </w:rPr>
        <w:t>This section states the rules that keep naval forces and commercial traffic separated and that prevent a transit event from reading as a hostile act. The protocol defines engagement posture, patrol zones, and communication channels.</w:t>
      </w:r>
    </w:p>
    <w:p>
      <w:pPr>
        <w:pStyle w:val="Heading3"/>
      </w:pPr>
      <w:r>
        <w:rPr>
          <w:rFonts w:ascii="Cambria" w:hAnsi="Cambria" w:eastAsia="Cambria" w:cs="Cambria"/>
          <w:b/>
          <w:color w:val="5C7A96"/>
          <w:sz w:val="30"/>
          <w:szCs w:val="20"/>
        </w:rPr>
        <w:t xml:space="preserve">M.2.1  -  Engagement Posture</w:t>
      </w:r>
    </w:p>
    <w:p>
      <w:pPr>
        <w:pStyle w:val="Normal"/>
        <w:spacing w:after="200"/>
        <w:jc w:val="center"/>
      </w:pPr>
      <w:r>
        <w:rPr>
          <w:rFonts w:ascii="Cambria" w:hAnsi="Cambria" w:eastAsia="Cambria" w:cs="Cambria"/>
          <w:b/>
          <w:color w:val="1D2D3F"/>
          <w:sz w:val="20"/>
          <w:szCs w:val="22"/>
        </w:rPr>
        <w:t xml:space="preserve">Defensive posture  -  </w:t>
      </w:r>
      <w:r>
        <w:rPr>
          <w:rFonts w:ascii="Cambria" w:hAnsi="Cambria" w:eastAsia="Cambria" w:cs="Cambria"/>
          <w:b/>
          <w:color w:val="1D2D3F"/>
          <w:sz w:val="22"/>
          <w:szCs w:val="22"/>
        </w:rPr>
        <w:t>United States forces maintain defensive positions only, consistent with Section 2.2, and the framework architecture excludes offensive naval operations in the Persian Gulf and the Strait.</w:t>
      </w:r>
    </w:p>
    <w:p>
      <w:pPr>
        <w:pStyle w:val="Normal"/>
        <w:spacing w:after="200"/>
        <w:jc w:val="center"/>
      </w:pPr>
      <w:r>
        <w:rPr>
          <w:rFonts w:ascii="Cambria" w:hAnsi="Cambria" w:eastAsia="Cambria" w:cs="Cambria"/>
          <w:b/>
          <w:color w:val="1D2D3F"/>
          <w:sz w:val="20"/>
          <w:szCs w:val="22"/>
        </w:rPr>
        <w:t xml:space="preserve">Non-interdiction  -  </w:t>
      </w:r>
      <w:r>
        <w:rPr>
          <w:rFonts w:ascii="Cambria" w:hAnsi="Cambria" w:eastAsia="Cambria" w:cs="Cambria"/>
          <w:b/>
          <w:color w:val="1D2D3F"/>
          <w:sz w:val="22"/>
          <w:szCs w:val="22"/>
        </w:rPr>
        <w:t>Commercial transit operates under an absolute non-interdiction protocol within the framework; the architecture excludes transit tolls and inspection delays and never conditions passage on a fee. The capped service-fee schedule of Section M.1.4 operates separately and compensates defined marine services only.</w:t>
      </w:r>
    </w:p>
    <w:p>
      <w:pPr>
        <w:pStyle w:val="Normal"/>
        <w:spacing w:after="200"/>
        <w:jc w:val="center"/>
      </w:pPr>
      <w:r>
        <w:rPr>
          <w:rFonts w:ascii="Cambria" w:hAnsi="Cambria" w:eastAsia="Cambria" w:cs="Cambria"/>
          <w:b/>
          <w:color w:val="1D2D3F"/>
          <w:sz w:val="20"/>
          <w:szCs w:val="22"/>
        </w:rPr>
        <w:t xml:space="preserve">Incident discipline  -  </w:t>
      </w:r>
      <w:r>
        <w:rPr>
          <w:rFonts w:ascii="Cambria" w:hAnsi="Cambria" w:eastAsia="Cambria" w:cs="Cambria"/>
          <w:b/>
          <w:color w:val="1D2D3F"/>
          <w:sz w:val="22"/>
          <w:szCs w:val="22"/>
        </w:rPr>
        <w:t>A vessel encounter resolves through the deconfliction channel, not through unilateral escalation, and the no-surprise commitment governs the exchange.</w:t>
      </w:r>
    </w:p>
    <w:p>
      <w:pPr>
        <w:pStyle w:val="Heading3"/>
      </w:pPr>
      <w:r>
        <w:rPr>
          <w:rFonts w:ascii="Cambria" w:hAnsi="Cambria" w:eastAsia="Cambria" w:cs="Cambria"/>
          <w:b/>
          <w:color w:val="5C7A96"/>
          <w:sz w:val="30"/>
          <w:szCs w:val="20"/>
        </w:rPr>
        <w:t xml:space="preserve">M.2.2  -  Patrol Zones</w:t>
      </w:r>
    </w:p>
    <w:tbl>
      <w:tblPr>
        <w:tblLayout w:type="fixed"/>
        <w:tblW w:w="9026" w:type="dxa"/>
      </w:tblPr>
      <w:tblGrid>
        <w:gridCol w:w="1800"/>
        <w:gridCol w:w="3600"/>
        <w:gridCol w:w="3626"/>
      </w:tblGrid>
      <w:tr>
        <w:tc>
          <w:tcPr>
            <w:tcW w:w="18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Zone</w:t>
            </w:r>
          </w:p>
        </w:tc>
        <w:tc>
          <w:tcPr>
            <w:tcW w:w="36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Posture</w:t>
            </w:r>
          </w:p>
        </w:tc>
        <w:tc>
          <w:tcPr>
            <w:tcW w:w="3626"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Coordinating Authority</w:t>
            </w:r>
          </w:p>
        </w:tc>
      </w:tr>
      <w:tr>
        <w:tc>
          <w:tcPr>
            <w:tcW w:w="1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Commercial transit lanes</w:t>
            </w:r>
          </w:p>
        </w:tc>
        <w:tc>
          <w:tcPr>
            <w:tcW w:w="36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Unimpeded transit; non-interdiction</w:t>
            </w:r>
          </w:p>
        </w:tc>
        <w:tc>
          <w:tcPr>
            <w:tcW w:w="36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Joint Maritime Coordination Center</w:t>
            </w:r>
          </w:p>
        </w:tc>
      </w:tr>
      <w:tr>
        <w:tc>
          <w:tcPr>
            <w:tcW w:w="1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Defensive naval zones</w:t>
            </w:r>
          </w:p>
        </w:tc>
        <w:tc>
          <w:tcPr>
            <w:tcW w:w="36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Defensive positioning only</w:t>
            </w:r>
          </w:p>
        </w:tc>
        <w:tc>
          <w:tcPr>
            <w:tcW w:w="36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Respective national command under deconfliction</w:t>
            </w:r>
          </w:p>
        </w:tc>
      </w:tr>
      <w:tr>
        <w:tc>
          <w:tcPr>
            <w:tcW w:w="1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Convergence points</w:t>
            </w:r>
          </w:p>
        </w:tc>
        <w:tc>
          <w:tcPr>
            <w:tcW w:w="36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Pre-agreed separation procedure</w:t>
            </w:r>
          </w:p>
        </w:tc>
        <w:tc>
          <w:tcPr>
            <w:tcW w:w="36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Center-managed real-time coordination</w:t>
            </w:r>
          </w:p>
        </w:tc>
      </w:tr>
    </w:tbl>
    <w:p>
      <w:pPr>
        <w:pStyle w:val="Normal"/>
        <w:spacing w:before="600"/>
      </w:pPr>
    </w:p>
    <w:p>
      <w:pPr>
        <w:pStyle w:val="Heading3"/>
      </w:pPr>
      <w:r>
        <w:rPr>
          <w:rFonts w:ascii="Cambria" w:hAnsi="Cambria" w:eastAsia="Cambria" w:cs="Cambria"/>
          <w:b/>
          <w:color w:val="5C7A96"/>
          <w:sz w:val="30"/>
          <w:szCs w:val="20"/>
        </w:rPr>
        <w:t xml:space="preserve">M.2.3  -  Communication Channels</w:t>
      </w:r>
    </w:p>
    <w:p>
      <w:pPr>
        <w:pStyle w:val="Normal"/>
        <w:spacing w:after="200"/>
        <w:jc w:val="center"/>
      </w:pPr>
      <w:r>
        <w:rPr>
          <w:rFonts w:ascii="Cambria" w:hAnsi="Cambria" w:eastAsia="Cambria" w:cs="Cambria"/>
          <w:b/>
          <w:color w:val="1D2D3F"/>
          <w:sz w:val="20"/>
          <w:szCs w:val="22"/>
        </w:rPr>
        <w:t xml:space="preserve">Primary channel  -  </w:t>
      </w:r>
      <w:r>
        <w:rPr>
          <w:rFonts w:ascii="Cambria" w:hAnsi="Cambria" w:eastAsia="Cambria" w:cs="Cambria"/>
          <w:b/>
          <w:color w:val="1D2D3F"/>
          <w:sz w:val="22"/>
          <w:szCs w:val="22"/>
        </w:rPr>
        <w:t>A dedicated maritime deconfliction channel links the two navies through the Joint Maritime Coordination Center, and the channel operates continuously.</w:t>
      </w:r>
    </w:p>
    <w:p>
      <w:pPr>
        <w:pStyle w:val="Normal"/>
        <w:spacing w:after="200"/>
        <w:jc w:val="center"/>
      </w:pPr>
      <w:r>
        <w:rPr>
          <w:rFonts w:ascii="Cambria" w:hAnsi="Cambria" w:eastAsia="Cambria" w:cs="Cambria"/>
          <w:b/>
          <w:color w:val="1D2D3F"/>
          <w:sz w:val="20"/>
          <w:szCs w:val="22"/>
        </w:rPr>
        <w:t xml:space="preserve">Escalation-prevention link  -  </w:t>
      </w:r>
      <w:r>
        <w:rPr>
          <w:rFonts w:ascii="Cambria" w:hAnsi="Cambria" w:eastAsia="Cambria" w:cs="Cambria"/>
          <w:b/>
          <w:color w:val="1D2D3F"/>
          <w:sz w:val="22"/>
          <w:szCs w:val="22"/>
        </w:rPr>
        <w:t>A direct technical-liaison link activates inside the crisis-communication timeline of Annex I when an event exceeds routine coordination.</w:t>
      </w:r>
    </w:p>
    <w:p>
      <w:pPr>
        <w:pStyle w:val="Normal"/>
        <w:spacing w:after="200"/>
        <w:jc w:val="center"/>
      </w:pPr>
      <w:r>
        <w:rPr>
          <w:rFonts w:ascii="Cambria" w:hAnsi="Cambria" w:eastAsia="Cambria" w:cs="Cambria"/>
          <w:b/>
          <w:color w:val="1D2D3F"/>
          <w:sz w:val="20"/>
          <w:szCs w:val="22"/>
        </w:rPr>
        <w:t xml:space="preserve">Verbatim relay  -  </w:t>
      </w:r>
      <w:r>
        <w:rPr>
          <w:rFonts w:ascii="Cambria" w:hAnsi="Cambria" w:eastAsia="Cambria" w:cs="Cambria"/>
          <w:b/>
          <w:color w:val="1D2D3F"/>
          <w:sz w:val="22"/>
          <w:szCs w:val="22"/>
        </w:rPr>
        <w:t>The Center relays each notification verbatim to both Parties and the Neutral Guarantor, so that both navies read the same text.</w:t>
      </w:r>
    </w:p>
    <w:p>
      <w:pPr>
        <w:pStyle w:val="Heading2"/>
      </w:pPr>
      <w:r>
        <w:rPr>
          <w:rFonts w:ascii="Cambria" w:hAnsi="Cambria" w:eastAsia="Cambria" w:cs="Cambria"/>
          <w:b/>
          <w:color w:val="4A5D6E"/>
          <w:sz w:val="22"/>
          <w:szCs w:val="20"/>
          <w:i/>
        </w:rPr>
        <w:t>M.3 Coastal-State Rights Legal Framework</w:t>
      </w:r>
    </w:p>
    <w:p>
      <w:pPr>
        <w:pStyle w:val="Normal"/>
        <w:spacing w:before="4000"/>
      </w:pPr>
      <w:r>
        <w:rPr>
          <w:rFonts w:ascii="Cambria" w:hAnsi="Cambria" w:eastAsia="Cambria" w:cs="Cambria"/>
          <w:color w:val="1D2D3F"/>
          <w:sz w:val="22"/>
          <w:szCs w:val="22"/>
        </w:rPr>
        <w:t>This section states the legal framework that grounds Iran's coastal-state position and the corresponding transit rights of all states. It frames the maritime architecture inside recognized law of the sea rather than inside either Party's unilateral assertion.</w:t>
      </w:r>
    </w:p>
    <w:p>
      <w:pPr>
        <w:pStyle w:val="Heading3"/>
      </w:pPr>
      <w:r>
        <w:rPr>
          <w:rFonts w:ascii="Cambria" w:hAnsi="Cambria" w:eastAsia="Cambria" w:cs="Cambria"/>
          <w:b/>
          <w:color w:val="5C7A96"/>
          <w:sz w:val="30"/>
          <w:szCs w:val="20"/>
        </w:rPr>
        <w:t xml:space="preserve">M.3.1  -  Coastal-State Position</w:t>
      </w:r>
    </w:p>
    <w:p>
      <w:pPr>
        <w:pStyle w:val="Normal"/>
        <w:spacing w:after="200"/>
        <w:jc w:val="center"/>
      </w:pPr>
      <w:r>
        <w:rPr>
          <w:rFonts w:ascii="Cambria" w:hAnsi="Cambria" w:eastAsia="Cambria" w:cs="Cambria"/>
          <w:b/>
          <w:color w:val="1D2D3F"/>
          <w:sz w:val="20"/>
          <w:szCs w:val="22"/>
        </w:rPr>
        <w:t xml:space="preserve">Recognized rights and responsibilities  -  </w:t>
      </w:r>
      <w:r>
        <w:rPr>
          <w:rFonts w:ascii="Cambria" w:hAnsi="Cambria" w:eastAsia="Cambria" w:cs="Cambria"/>
          <w:b/>
          <w:color w:val="1D2D3F"/>
          <w:sz w:val="22"/>
          <w:szCs w:val="22"/>
        </w:rPr>
        <w:t>Iran holds the rights and responsibilities of a coastal state bordering an international strait, consistent with the maritime-law framework the Compact references.</w:t>
      </w:r>
    </w:p>
    <w:p>
      <w:pPr>
        <w:pStyle w:val="Normal"/>
        <w:spacing w:after="200"/>
        <w:jc w:val="center"/>
      </w:pPr>
      <w:r>
        <w:rPr>
          <w:rFonts w:ascii="Cambria" w:hAnsi="Cambria" w:eastAsia="Cambria" w:cs="Cambria"/>
          <w:b/>
          <w:color w:val="1D2D3F"/>
          <w:sz w:val="20"/>
          <w:szCs w:val="22"/>
        </w:rPr>
        <w:t xml:space="preserve">Transit-passage architecture  -  </w:t>
      </w:r>
      <w:r>
        <w:rPr>
          <w:rFonts w:ascii="Cambria" w:hAnsi="Cambria" w:eastAsia="Cambria" w:cs="Cambria"/>
          <w:b/>
          <w:color w:val="1D2D3F"/>
          <w:sz w:val="22"/>
          <w:szCs w:val="22"/>
        </w:rPr>
        <w:t>The framework treats the Strait as a passage open to the continuous transit of all vessels, and the non-interdiction protocol gives this principle operational force.</w:t>
      </w:r>
    </w:p>
    <w:p>
      <w:pPr>
        <w:pStyle w:val="Normal"/>
        <w:spacing w:after="200"/>
        <w:jc w:val="center"/>
      </w:pPr>
      <w:r>
        <w:rPr>
          <w:rFonts w:ascii="Cambria" w:hAnsi="Cambria" w:eastAsia="Cambria" w:cs="Cambria"/>
          <w:b/>
          <w:color w:val="1D2D3F"/>
          <w:sz w:val="20"/>
          <w:szCs w:val="22"/>
        </w:rPr>
        <w:t xml:space="preserve">Balance  -  </w:t>
      </w:r>
      <w:r>
        <w:rPr>
          <w:rFonts w:ascii="Cambria" w:hAnsi="Cambria" w:eastAsia="Cambria" w:cs="Cambria"/>
          <w:b/>
          <w:color w:val="1D2D3F"/>
          <w:sz w:val="22"/>
          <w:szCs w:val="22"/>
        </w:rPr>
        <w:t>The framework balances the coastal state's rights with the transit rights of all states, so that neither the coastal-state position nor the transit principle overrides the other.</w:t>
      </w:r>
    </w:p>
    <w:p>
      <w:pPr>
        <w:pStyle w:val="Heading3"/>
      </w:pPr>
      <w:r>
        <w:rPr>
          <w:rFonts w:ascii="Cambria" w:hAnsi="Cambria" w:eastAsia="Cambria" w:cs="Cambria"/>
          <w:b/>
          <w:color w:val="5C7A96"/>
          <w:sz w:val="30"/>
          <w:szCs w:val="20"/>
        </w:rPr>
        <w:t xml:space="preserve">M.3.2  -  Interpretive Anchors (Model)</w:t>
      </w:r>
    </w:p>
    <w:p>
      <w:pPr>
        <w:pStyle w:val="Normal"/>
        <w:spacing w:before="4000"/>
      </w:pPr>
      <w:r>
        <w:rPr>
          <w:rFonts w:ascii="Cambria" w:hAnsi="Cambria" w:eastAsia="Cambria" w:cs="Cambria"/>
          <w:color w:val="1D2D3F"/>
          <w:sz w:val="22"/>
          <w:szCs w:val="22"/>
        </w:rPr>
        <w:t>The framework anchors its maritime provisions on recognized law-of-the-sea concepts: the regime of transit passage through straits used for international navigation, the coastal state's regulatory rights consistent with non-suspension of passage, and the duty of all vessels to transit without threat. These anchors hold whether or not every party is a formal signatory to a given instrument, because the framework adopts the concepts directly into its own architecture.</w:t>
      </w:r>
    </w:p>
    <w:p>
      <w:pPr>
        <w:pStyle w:val="Heading2"/>
      </w:pPr>
      <w:r>
        <w:rPr>
          <w:rFonts w:ascii="Cambria" w:hAnsi="Cambria" w:eastAsia="Cambria" w:cs="Cambria"/>
          <w:b/>
          <w:color w:val="4A5D6E"/>
          <w:sz w:val="22"/>
          <w:szCs w:val="20"/>
          <w:i/>
        </w:rPr>
        <w:t>M.4 Joint Maritime Coordination Center Operating Manual</w:t>
      </w:r>
    </w:p>
    <w:p>
      <w:pPr>
        <w:pStyle w:val="Normal"/>
        <w:spacing w:before="4000"/>
      </w:pPr>
      <w:r>
        <w:rPr>
          <w:rFonts w:ascii="Cambria" w:hAnsi="Cambria" w:eastAsia="Cambria" w:cs="Cambria"/>
          <w:color w:val="1D2D3F"/>
          <w:sz w:val="22"/>
          <w:szCs w:val="22"/>
        </w:rPr>
        <w:t>This section states the operating architecture of the Joint Maritime Coordination Center in Bandar Abbas, with its coordinating partner function in Muscat. It defines staffing, dashboards, and reporting.</w:t>
      </w:r>
    </w:p>
    <w:p>
      <w:pPr>
        <w:pStyle w:val="Heading3"/>
      </w:pPr>
      <w:r>
        <w:rPr>
          <w:rFonts w:ascii="Cambria" w:hAnsi="Cambria" w:eastAsia="Cambria" w:cs="Cambria"/>
          <w:b/>
          <w:color w:val="5C7A96"/>
          <w:sz w:val="30"/>
          <w:szCs w:val="20"/>
        </w:rPr>
        <w:t xml:space="preserve">M.4.1  -  Staffing Architecture</w:t>
      </w:r>
    </w:p>
    <w:p>
      <w:pPr>
        <w:pStyle w:val="Normal"/>
        <w:spacing w:after="200"/>
        <w:jc w:val="center"/>
      </w:pPr>
      <w:r>
        <w:rPr>
          <w:rFonts w:ascii="Cambria" w:hAnsi="Cambria" w:eastAsia="Cambria" w:cs="Cambria"/>
          <w:b/>
          <w:color w:val="1D2D3F"/>
          <w:sz w:val="20"/>
          <w:szCs w:val="22"/>
        </w:rPr>
        <w:t xml:space="preserve">Composition  -  </w:t>
      </w:r>
      <w:r>
        <w:rPr>
          <w:rFonts w:ascii="Cambria" w:hAnsi="Cambria" w:eastAsia="Cambria" w:cs="Cambria"/>
          <w:b/>
          <w:color w:val="1D2D3F"/>
          <w:sz w:val="22"/>
          <w:szCs w:val="22"/>
        </w:rPr>
        <w:t>The Center seats maritime liaisons from both Parties and a Neutral-Guarantor coordinator, so that no single Party operates the Center alone.</w:t>
      </w:r>
    </w:p>
    <w:p>
      <w:pPr>
        <w:pStyle w:val="Normal"/>
        <w:spacing w:after="200"/>
        <w:jc w:val="center"/>
      </w:pPr>
      <w:r>
        <w:rPr>
          <w:rFonts w:ascii="Cambria" w:hAnsi="Cambria" w:eastAsia="Cambria" w:cs="Cambria"/>
          <w:b/>
          <w:color w:val="1D2D3F"/>
          <w:sz w:val="20"/>
          <w:szCs w:val="22"/>
        </w:rPr>
        <w:t xml:space="preserve">Watch structure  -  </w:t>
      </w:r>
      <w:r>
        <w:rPr>
          <w:rFonts w:ascii="Cambria" w:hAnsi="Cambria" w:eastAsia="Cambria" w:cs="Cambria"/>
          <w:b/>
          <w:color w:val="1D2D3F"/>
          <w:sz w:val="22"/>
          <w:szCs w:val="22"/>
        </w:rPr>
        <w:t>A continuous watch covers the traffic picture around the clock, and each watch logs its handover to the next.</w:t>
      </w:r>
    </w:p>
    <w:p>
      <w:pPr>
        <w:pStyle w:val="Normal"/>
        <w:spacing w:after="200"/>
        <w:jc w:val="center"/>
      </w:pPr>
      <w:r>
        <w:rPr>
          <w:rFonts w:ascii="Cambria" w:hAnsi="Cambria" w:eastAsia="Cambria" w:cs="Cambria"/>
          <w:b/>
          <w:color w:val="1D2D3F"/>
          <w:sz w:val="20"/>
          <w:szCs w:val="22"/>
        </w:rPr>
        <w:t xml:space="preserve">Authority  -  </w:t>
      </w:r>
      <w:r>
        <w:rPr>
          <w:rFonts w:ascii="Cambria" w:hAnsi="Cambria" w:eastAsia="Cambria" w:cs="Cambria"/>
          <w:b/>
          <w:color w:val="1D2D3F"/>
          <w:sz w:val="22"/>
          <w:szCs w:val="22"/>
        </w:rPr>
        <w:t>The Center coordinates and communicates; it issues no compliance determination, consistent with the guarantor's facilitation role.</w:t>
      </w:r>
    </w:p>
    <w:p>
      <w:pPr>
        <w:pStyle w:val="Heading3"/>
      </w:pPr>
      <w:r>
        <w:rPr>
          <w:rFonts w:ascii="Cambria" w:hAnsi="Cambria" w:eastAsia="Cambria" w:cs="Cambria"/>
          <w:b/>
          <w:color w:val="5C7A96"/>
          <w:sz w:val="30"/>
          <w:szCs w:val="20"/>
        </w:rPr>
        <w:t xml:space="preserve">M.4.2  -  Dashboards</w:t>
      </w:r>
    </w:p>
    <w:tbl>
      <w:tblPr>
        <w:tblLayout w:type="fixed"/>
        <w:tblW w:w="9026" w:type="dxa"/>
      </w:tblPr>
      <w:tblGrid>
        <w:gridCol w:w="2600"/>
        <w:gridCol w:w="3800"/>
        <w:gridCol w:w="2626"/>
      </w:tblGrid>
      <w:tr>
        <w:tc>
          <w:tcPr>
            <w:tcW w:w="26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Dashboard</w:t>
            </w:r>
          </w:p>
        </w:tc>
        <w:tc>
          <w:tcPr>
            <w:tcW w:w="38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Content</w:t>
            </w:r>
          </w:p>
        </w:tc>
        <w:tc>
          <w:tcPr>
            <w:tcW w:w="2626"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4A5D6E"/>
                <w:sz w:val="22"/>
                <w:i/>
                <w:szCs w:val="22"/>
              </w:rPr>
              <w:t>Audience</w:t>
            </w:r>
          </w:p>
        </w:tc>
      </w:tr>
      <w:tr>
        <w:tc>
          <w:tcPr>
            <w:tcW w:w="26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Public transit dashboard</w:t>
            </w:r>
          </w:p>
        </w:tc>
        <w:tc>
          <w:tcPr>
            <w:tcW w:w="3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Aggregate transit volumes and recovery curve</w:t>
            </w:r>
          </w:p>
        </w:tc>
        <w:tc>
          <w:tcPr>
            <w:tcW w:w="26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Public</w:t>
            </w:r>
          </w:p>
        </w:tc>
      </w:tr>
      <w:tr>
        <w:tc>
          <w:tcPr>
            <w:tcW w:w="26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Operational traffic picture</w:t>
            </w:r>
          </w:p>
        </w:tc>
        <w:tc>
          <w:tcPr>
            <w:tcW w:w="3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Real-time vessel positions and convergence alerts</w:t>
            </w:r>
          </w:p>
        </w:tc>
        <w:tc>
          <w:tcPr>
            <w:tcW w:w="26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Center watch and both navies</w:t>
            </w:r>
          </w:p>
        </w:tc>
      </w:tr>
      <w:tr>
        <w:tc>
          <w:tcPr>
            <w:tcW w:w="26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Incident log</w:t>
            </w:r>
          </w:p>
        </w:tc>
        <w:tc>
          <w:tcPr>
            <w:tcW w:w="3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Logged events and their resolution status</w:t>
            </w:r>
          </w:p>
        </w:tc>
        <w:tc>
          <w:tcPr>
            <w:tcW w:w="26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Both Parties and the Neutral Guarantor</w:t>
            </w:r>
          </w:p>
        </w:tc>
      </w:tr>
    </w:tbl>
    <w:p>
      <w:pPr>
        <w:pStyle w:val="Normal"/>
        <w:spacing w:before="600"/>
      </w:pPr>
    </w:p>
    <w:p>
      <w:pPr>
        <w:pStyle w:val="Heading3"/>
      </w:pPr>
      <w:r>
        <w:rPr>
          <w:rFonts w:ascii="Cambria" w:hAnsi="Cambria" w:eastAsia="Cambria" w:cs="Cambria"/>
          <w:b/>
          <w:color w:val="5C7A96"/>
          <w:sz w:val="30"/>
          <w:szCs w:val="20"/>
        </w:rPr>
        <w:t xml:space="preserve">M.4.3  -  Reporting Cadence</w:t>
      </w:r>
    </w:p>
    <w:p>
      <w:pPr>
        <w:pStyle w:val="Normal"/>
        <w:spacing w:after="200"/>
        <w:jc w:val="center"/>
      </w:pPr>
      <w:r>
        <w:rPr>
          <w:rFonts w:ascii="Cambria" w:hAnsi="Cambria" w:eastAsia="Cambria" w:cs="Cambria"/>
          <w:b/>
          <w:color w:val="1D2D3F"/>
          <w:sz w:val="20"/>
          <w:szCs w:val="22"/>
        </w:rPr>
        <w:t xml:space="preserve">Weekly recovery report  -  </w:t>
      </w:r>
      <w:r>
        <w:rPr>
          <w:rFonts w:ascii="Cambria" w:hAnsi="Cambria" w:eastAsia="Cambria" w:cs="Cambria"/>
          <w:b/>
          <w:color w:val="1D2D3F"/>
          <w:sz w:val="22"/>
          <w:szCs w:val="22"/>
        </w:rPr>
        <w:t>The Neutral Guarantor publishes a weekly recovery report during the 30-day window and posts it to the public dashboard.</w:t>
      </w:r>
    </w:p>
    <w:p>
      <w:pPr>
        <w:pStyle w:val="Normal"/>
        <w:spacing w:after="200"/>
        <w:jc w:val="center"/>
      </w:pPr>
      <w:r>
        <w:rPr>
          <w:rFonts w:ascii="Cambria" w:hAnsi="Cambria" w:eastAsia="Cambria" w:cs="Cambria"/>
          <w:b/>
          <w:color w:val="1D2D3F"/>
          <w:sz w:val="20"/>
          <w:szCs w:val="22"/>
        </w:rPr>
        <w:t xml:space="preserve">Incident closure  -  </w:t>
      </w:r>
      <w:r>
        <w:rPr>
          <w:rFonts w:ascii="Cambria" w:hAnsi="Cambria" w:eastAsia="Cambria" w:cs="Cambria"/>
          <w:b/>
          <w:color w:val="1D2D3F"/>
          <w:sz w:val="22"/>
          <w:szCs w:val="22"/>
        </w:rPr>
        <w:t>Each logged incident carries a closure entry that both Parties confirm, and the entry records the factual resolution.</w:t>
      </w:r>
    </w:p>
    <w:p>
      <w:pPr>
        <w:pStyle w:val="Normal"/>
        <w:spacing w:after="200"/>
        <w:jc w:val="center"/>
      </w:pPr>
      <w:r>
        <w:rPr>
          <w:rFonts w:ascii="Cambria" w:hAnsi="Cambria" w:eastAsia="Cambria" w:cs="Cambria"/>
          <w:b/>
          <w:color w:val="1D2D3F"/>
          <w:sz w:val="20"/>
          <w:szCs w:val="22"/>
        </w:rPr>
        <w:t xml:space="preserve">Milestone confirmation  -  </w:t>
      </w:r>
      <w:r>
        <w:rPr>
          <w:rFonts w:ascii="Cambria" w:hAnsi="Cambria" w:eastAsia="Cambria" w:cs="Cambria"/>
          <w:b/>
          <w:color w:val="1D2D3F"/>
          <w:sz w:val="22"/>
          <w:szCs w:val="22"/>
        </w:rPr>
        <w:t>The Center confirms the transit-normalization milestone that pairs with the Day 1 relief tranche, and the confirmation posts to the verification dashboard.</w:t>
      </w:r>
    </w:p>
    <w:p>
      <w:pPr>
        <w:pStyle w:val="Heading1"/>
      </w:pPr>
      <w:r>
        <w:rPr>
          <w:rFonts w:ascii="Cambria" w:hAnsi="Cambria" w:eastAsia="Cambria" w:cs="Cambria"/>
          <w:b/>
          <w:color w:val="3D5A80"/>
          <w:sz w:val="40"/>
          <w:szCs w:val="40"/>
        </w:rPr>
        <w:t>Annex N: Verification, Compliance, and Dispute Resolution Frameworks</w:t>
      </w:r>
    </w:p>
    <w:p>
      <w:pPr>
        <w:pStyle w:val="Normal"/>
        <w:spacing w:after="100"/>
        <w:jc w:val="center"/>
      </w:pPr>
      <w:r>
        <w:rPr>
          <w:rFonts w:ascii="Cambria" w:hAnsi="Cambria" w:eastAsia="Cambria" w:cs="Cambria"/>
          <w:i/>
          <w:color w:val="1D2D3F"/>
          <w:sz w:val="20"/>
          <w:szCs w:val="20"/>
        </w:rPr>
        <w:t>This annex builds the machinery that Articles V, VI, VII, and VIII operate upon. It states the Human-in-the-Loop Review charter, the neutral-guarantor agreements for Oman, Qatar, and Switzerland, the telemetry dashboard specification, and the Step-Back and Earn-Back protocol. The architecture keeps compliance determinations anchored on the telemetry record and keeps every dispute inside a proportionate, reversible pathway.</w:t>
      </w:r>
    </w:p>
    <w:p>
      <w:pPr>
        <w:pStyle w:val="Heading2"/>
      </w:pPr>
      <w:r>
        <w:rPr>
          <w:rFonts w:ascii="Cambria" w:hAnsi="Cambria" w:eastAsia="Cambria" w:cs="Cambria"/>
          <w:b/>
          <w:color w:val="1D2D3F"/>
          <w:sz w:val="22"/>
          <w:szCs w:val="20"/>
          <w:i/>
        </w:rPr>
        <w:t>N.1 Human-in-the-Loop Review Charter</w:t>
      </w:r>
    </w:p>
    <w:p>
      <w:pPr>
        <w:pStyle w:val="Normal"/>
        <w:spacing w:after="100"/>
        <w:jc w:val="center"/>
      </w:pPr>
      <w:r>
        <w:rPr>
          <w:rFonts w:ascii="Cambria" w:hAnsi="Cambria" w:eastAsia="Cambria" w:cs="Cambria"/>
          <w:i/>
          <w:color w:val="1D2D3F"/>
          <w:sz w:val="20"/>
          <w:szCs w:val="20"/>
        </w:rPr>
        <w:t>This section states the composition, authority, and timelines of the Human-in-the-Loop Review. The Review supplements the mechanical record: it interprets an anomaly that the telemetry flags, and its judgment refines rather than overrides the sensor data.</w:t>
      </w:r>
    </w:p>
    <w:p>
      <w:pPr>
        <w:pStyle w:val="Heading3"/>
      </w:pPr>
      <w:r>
        <w:rPr>
          <w:rFonts w:ascii="Cambria" w:hAnsi="Cambria" w:eastAsia="Cambria" w:cs="Cambria"/>
          <w:b/>
          <w:color w:val="5C7A96"/>
          <w:sz w:val="30"/>
          <w:szCs w:val="20"/>
        </w:rPr>
        <w:t xml:space="preserve">N.1.1  -  Composition</w:t>
      </w:r>
    </w:p>
    <w:p>
      <w:pPr>
        <w:pStyle w:val="Normal"/>
        <w:spacing w:before="4000"/>
      </w:pPr>
      <w:r>
        <w:rPr>
          <w:rFonts w:ascii="Cambria" w:hAnsi="Cambria" w:eastAsia="Cambria" w:cs="Cambria"/>
          <w:color w:val="1D2D3F"/>
          <w:sz w:val="20"/>
          <w:szCs w:val="22"/>
          <w:b/>
        </w:rPr>
        <w:t xml:space="preserve">Membership  -  </w:t>
      </w:r>
      <w:r>
        <w:rPr>
          <w:rFonts w:ascii="Cambria" w:hAnsi="Cambria" w:eastAsia="Cambria" w:cs="Cambria"/>
          <w:color w:val="1D2D3F"/>
          <w:sz w:val="20"/>
          <w:szCs w:val="22"/>
        </w:rPr>
        <w:t>The Review seats technical representatives from both Parties and a Neutral-Guarantor chair, so that neither Party holds a majority and the chair holds no compliance vote.</w:t>
      </w:r>
    </w:p>
    <w:p>
      <w:pPr>
        <w:pStyle w:val="Normal"/>
        <w:spacing w:before="4000"/>
      </w:pPr>
      <w:r>
        <w:rPr>
          <w:rFonts w:ascii="Cambria" w:hAnsi="Cambria" w:eastAsia="Cambria" w:cs="Cambria"/>
          <w:color w:val="1D2D3F"/>
          <w:sz w:val="20"/>
          <w:szCs w:val="22"/>
          <w:b/>
        </w:rPr>
        <w:t xml:space="preserve">Technical advisors  -  </w:t>
      </w:r>
      <w:r>
        <w:rPr>
          <w:rFonts w:ascii="Cambria" w:hAnsi="Cambria" w:eastAsia="Cambria" w:cs="Cambria"/>
          <w:color w:val="1D2D3F"/>
          <w:sz w:val="20"/>
          <w:szCs w:val="22"/>
        </w:rPr>
        <w:t>IAEA and maritime technical advisors support the Review with the verification record relevant to the flagged anomaly.</w:t>
      </w:r>
    </w:p>
    <w:p>
      <w:pPr>
        <w:pStyle w:val="Normal"/>
        <w:spacing w:before="4000"/>
      </w:pPr>
      <w:r>
        <w:rPr>
          <w:rFonts w:ascii="Cambria" w:hAnsi="Cambria" w:eastAsia="Cambria" w:cs="Cambria"/>
          <w:color w:val="1D2D3F"/>
          <w:sz w:val="20"/>
          <w:szCs w:val="22"/>
          <w:b/>
        </w:rPr>
        <w:t xml:space="preserve">Quorum  -  </w:t>
      </w:r>
      <w:r>
        <w:rPr>
          <w:rFonts w:ascii="Cambria" w:hAnsi="Cambria" w:eastAsia="Cambria" w:cs="Cambria"/>
          <w:color w:val="1D2D3F"/>
          <w:sz w:val="20"/>
          <w:szCs w:val="22"/>
        </w:rPr>
        <w:t>The Review convenes with both Parties present; the architecture excludes a determination reached in the absence of either Party.</w:t>
      </w:r>
    </w:p>
    <w:p>
      <w:pPr>
        <w:pStyle w:val="Heading3"/>
      </w:pPr>
      <w:r>
        <w:rPr>
          <w:rFonts w:ascii="Cambria" w:hAnsi="Cambria" w:eastAsia="Cambria" w:cs="Cambria"/>
          <w:b/>
          <w:color w:val="5C7A96"/>
          <w:sz w:val="30"/>
          <w:szCs w:val="20"/>
        </w:rPr>
        <w:t xml:space="preserve">N.1.2  -  Authority</w:t>
      </w:r>
    </w:p>
    <w:p>
      <w:pPr>
        <w:pStyle w:val="Normal"/>
        <w:spacing w:before="4000"/>
      </w:pPr>
      <w:r>
        <w:rPr>
          <w:rFonts w:ascii="Cambria" w:hAnsi="Cambria" w:eastAsia="Cambria" w:cs="Cambria"/>
          <w:color w:val="1D2D3F"/>
          <w:sz w:val="20"/>
          <w:szCs w:val="22"/>
          <w:b/>
        </w:rPr>
        <w:t xml:space="preserve">Interpretive authority  -  </w:t>
      </w:r>
      <w:r>
        <w:rPr>
          <w:rFonts w:ascii="Cambria" w:hAnsi="Cambria" w:eastAsia="Cambria" w:cs="Cambria"/>
          <w:color w:val="1D2D3F"/>
          <w:sz w:val="20"/>
          <w:szCs w:val="22"/>
        </w:rPr>
        <w:t>The Review interprets a flagged anomaly against the telemetry record and recommends a correction pathway.</w:t>
      </w:r>
    </w:p>
    <w:p>
      <w:pPr>
        <w:pStyle w:val="Normal"/>
        <w:spacing w:before="4000"/>
      </w:pPr>
      <w:r>
        <w:rPr>
          <w:rFonts w:ascii="Cambria" w:hAnsi="Cambria" w:eastAsia="Cambria" w:cs="Cambria"/>
          <w:color w:val="1D2D3F"/>
          <w:sz w:val="20"/>
          <w:szCs w:val="22"/>
          <w:b/>
        </w:rPr>
        <w:t xml:space="preserve">Boundary  -  </w:t>
      </w:r>
      <w:r>
        <w:rPr>
          <w:rFonts w:ascii="Cambria" w:hAnsi="Cambria" w:eastAsia="Cambria" w:cs="Cambria"/>
          <w:color w:val="1D2D3F"/>
          <w:sz w:val="20"/>
          <w:szCs w:val="22"/>
        </w:rPr>
        <w:t>The Review's judgment supplements the mechanical confirmation and refines its interpretation; the architecture excludes any Review action that overrides a clear dashboard-verified reading.</w:t>
      </w:r>
    </w:p>
    <w:p>
      <w:pPr>
        <w:pStyle w:val="Normal"/>
        <w:spacing w:before="4000"/>
      </w:pPr>
      <w:r>
        <w:rPr>
          <w:rFonts w:ascii="Cambria" w:hAnsi="Cambria" w:eastAsia="Cambria" w:cs="Cambria"/>
          <w:color w:val="1D2D3F"/>
          <w:sz w:val="20"/>
          <w:szCs w:val="22"/>
          <w:b/>
        </w:rPr>
        <w:t xml:space="preserve">Output  -  </w:t>
      </w:r>
      <w:r>
        <w:rPr>
          <w:rFonts w:ascii="Cambria" w:hAnsi="Cambria" w:eastAsia="Cambria" w:cs="Cambria"/>
          <w:color w:val="1D2D3F"/>
          <w:sz w:val="20"/>
          <w:szCs w:val="22"/>
        </w:rPr>
        <w:t>The Review issues a factual finding and a correction window; it issues no penalty beyond the proportionate Step-Back the next protocol defines.</w:t>
      </w:r>
    </w:p>
    <w:p>
      <w:pPr>
        <w:pStyle w:val="Heading3"/>
      </w:pPr>
      <w:r>
        <w:rPr>
          <w:rFonts w:ascii="Cambria" w:hAnsi="Cambria" w:eastAsia="Cambria" w:cs="Cambria"/>
          <w:b/>
          <w:color w:val="5C7A96"/>
          <w:sz w:val="30"/>
          <w:szCs w:val="20"/>
        </w:rPr>
        <w:t xml:space="preserve">N.1.3  -  Timelines</w:t>
      </w:r>
    </w:p>
    <w:tbl>
      <w:tblPr>
        <w:tblLayout w:type="fixed"/>
        <w:tblW w:w="9026" w:type="dxa"/>
      </w:tblPr>
      <w:tblGrid>
        <w:gridCol w:w="2300"/>
        <w:gridCol w:w="2300"/>
        <w:gridCol w:w="4426"/>
      </w:tblGrid>
      <w:tr>
        <w:tc>
          <w:tcPr>
            <w:tcW w:w="23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3D5A80"/>
                <w:sz w:val="40"/>
                <w:i/>
                <w:szCs w:val="22"/>
              </w:rPr>
              <w:t>Stage</w:t>
            </w:r>
          </w:p>
        </w:tc>
        <w:tc>
          <w:tcPr>
            <w:tcW w:w="23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3D5A80"/>
                <w:sz w:val="40"/>
                <w:i/>
                <w:szCs w:val="22"/>
              </w:rPr>
              <w:t>Window</w:t>
            </w:r>
          </w:p>
        </w:tc>
        <w:tc>
          <w:tcPr>
            <w:tcW w:w="4426"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3D5A80"/>
                <w:sz w:val="40"/>
                <w:i/>
                <w:szCs w:val="22"/>
              </w:rPr>
              <w:t>Action</w:t>
            </w:r>
          </w:p>
        </w:tc>
      </w:tr>
      <w:tr>
        <w:tc>
          <w:tcPr>
            <w:tcW w:w="2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Convening</w:t>
            </w:r>
          </w:p>
        </w:tc>
        <w:tc>
          <w:tcPr>
            <w:tcW w:w="2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Inside the charter window after an anomaly flag</w:t>
            </w:r>
          </w:p>
        </w:tc>
        <w:tc>
          <w:tcPr>
            <w:tcW w:w="44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Review seats both Parties and the chair</w:t>
            </w:r>
          </w:p>
        </w:tc>
      </w:tr>
      <w:tr>
        <w:tc>
          <w:tcPr>
            <w:tcW w:w="2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Fact-finding</w:t>
            </w:r>
          </w:p>
        </w:tc>
        <w:tc>
          <w:tcPr>
            <w:tcW w:w="2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Defined fact-finding period</w:t>
            </w:r>
          </w:p>
        </w:tc>
        <w:tc>
          <w:tcPr>
            <w:tcW w:w="44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Review examines the telemetry record</w:t>
            </w:r>
          </w:p>
        </w:tc>
      </w:tr>
      <w:tr>
        <w:tc>
          <w:tcPr>
            <w:tcW w:w="2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Finding</w:t>
            </w:r>
          </w:p>
        </w:tc>
        <w:tc>
          <w:tcPr>
            <w:tcW w:w="2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On completion of fact-finding</w:t>
            </w:r>
          </w:p>
        </w:tc>
        <w:tc>
          <w:tcPr>
            <w:tcW w:w="44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Review issues a factual finding</w:t>
            </w:r>
          </w:p>
        </w:tc>
      </w:tr>
      <w:tr>
        <w:tc>
          <w:tcPr>
            <w:tcW w:w="2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Correction window</w:t>
            </w:r>
          </w:p>
        </w:tc>
        <w:tc>
          <w:tcPr>
            <w:tcW w:w="2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Proportionate to the anomaly</w:t>
            </w:r>
          </w:p>
        </w:tc>
        <w:tc>
          <w:tcPr>
            <w:tcW w:w="44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Affected Party corrects; Earn-Back re-activates the paired unit</w:t>
            </w:r>
          </w:p>
        </w:tc>
      </w:tr>
    </w:tbl>
    <w:p>
      <w:pPr>
        <w:pStyle w:val="Normal"/>
        <w:spacing w:after="2000"/>
        <w:jc w:val="center"/>
      </w:pPr>
    </w:p>
    <w:p>
      <w:pPr>
        <w:pStyle w:val="Heading2"/>
      </w:pPr>
      <w:r>
        <w:rPr>
          <w:rFonts w:ascii="Cambria" w:hAnsi="Cambria" w:eastAsia="Cambria" w:cs="Cambria"/>
          <w:b/>
          <w:color w:val="1D2D3F"/>
          <w:sz w:val="22"/>
          <w:szCs w:val="20"/>
          <w:i/>
        </w:rPr>
        <w:t>N.2 Neutral Guarantor Agreements</w:t>
      </w:r>
    </w:p>
    <w:p>
      <w:pPr>
        <w:pStyle w:val="Normal"/>
        <w:spacing w:after="100"/>
        <w:jc w:val="center"/>
      </w:pPr>
      <w:r>
        <w:rPr>
          <w:rFonts w:ascii="Cambria" w:hAnsi="Cambria" w:eastAsia="Cambria" w:cs="Cambria"/>
          <w:i/>
          <w:color w:val="1D2D3F"/>
          <w:sz w:val="20"/>
          <w:szCs w:val="20"/>
        </w:rPr>
        <w:t>This section states the distinct roles of the three guarantor functions. Oman serves as the diplomatic guarantor, Switzerland as the technical guarantor, and Qatar as a regional facilitation partner. Each guarantor facilitates and protects infrastructure; none enforces compliance.</w:t>
      </w:r>
    </w:p>
    <w:p>
      <w:pPr>
        <w:pStyle w:val="Heading3"/>
      </w:pPr>
      <w:r>
        <w:rPr>
          <w:rFonts w:ascii="Cambria" w:hAnsi="Cambria" w:eastAsia="Cambria" w:cs="Cambria"/>
          <w:b/>
          <w:color w:val="5C7A96"/>
          <w:sz w:val="30"/>
          <w:szCs w:val="20"/>
        </w:rPr>
        <w:t xml:space="preserve">N.2.1  -  Oman (Diplomatic Guarantor)</w:t>
      </w:r>
    </w:p>
    <w:p>
      <w:pPr>
        <w:pStyle w:val="Normal"/>
        <w:spacing w:before="4000"/>
      </w:pPr>
      <w:r>
        <w:rPr>
          <w:rFonts w:ascii="Cambria" w:hAnsi="Cambria" w:eastAsia="Cambria" w:cs="Cambria"/>
          <w:color w:val="1D2D3F"/>
          <w:sz w:val="20"/>
          <w:szCs w:val="22"/>
          <w:b/>
        </w:rPr>
        <w:t xml:space="preserve">Role  -  </w:t>
      </w:r>
      <w:r>
        <w:rPr>
          <w:rFonts w:ascii="Cambria" w:hAnsi="Cambria" w:eastAsia="Cambria" w:cs="Cambria"/>
          <w:color w:val="1D2D3F"/>
          <w:sz w:val="20"/>
          <w:szCs w:val="22"/>
        </w:rPr>
        <w:t>Oman hosts the Joint Coordination Center, facilitates communication, and offers its good offices to both Parties.</w:t>
      </w:r>
    </w:p>
    <w:p>
      <w:pPr>
        <w:pStyle w:val="Normal"/>
        <w:spacing w:before="4000"/>
      </w:pPr>
      <w:r>
        <w:rPr>
          <w:rFonts w:ascii="Cambria" w:hAnsi="Cambria" w:eastAsia="Cambria" w:cs="Cambria"/>
          <w:color w:val="1D2D3F"/>
          <w:sz w:val="20"/>
          <w:szCs w:val="22"/>
          <w:b/>
        </w:rPr>
        <w:t xml:space="preserve">Boundary  -  </w:t>
      </w:r>
      <w:r>
        <w:rPr>
          <w:rFonts w:ascii="Cambria" w:hAnsi="Cambria" w:eastAsia="Cambria" w:cs="Cambria"/>
          <w:color w:val="1D2D3F"/>
          <w:sz w:val="20"/>
          <w:szCs w:val="22"/>
        </w:rPr>
        <w:t>Oman facilitates rather than enforces; Oman takes no side and issues no compliance determination.</w:t>
      </w:r>
    </w:p>
    <w:p>
      <w:pPr>
        <w:pStyle w:val="Heading3"/>
      </w:pPr>
      <w:r>
        <w:rPr>
          <w:rFonts w:ascii="Cambria" w:hAnsi="Cambria" w:eastAsia="Cambria" w:cs="Cambria"/>
          <w:b/>
          <w:color w:val="5C7A96"/>
          <w:sz w:val="30"/>
          <w:szCs w:val="20"/>
        </w:rPr>
        <w:t xml:space="preserve">N.2.2  -  Switzerland (Technical Guarantor)</w:t>
      </w:r>
    </w:p>
    <w:p>
      <w:pPr>
        <w:pStyle w:val="Normal"/>
        <w:spacing w:before="4000"/>
      </w:pPr>
      <w:r>
        <w:rPr>
          <w:rFonts w:ascii="Cambria" w:hAnsi="Cambria" w:eastAsia="Cambria" w:cs="Cambria"/>
          <w:color w:val="1D2D3F"/>
          <w:sz w:val="20"/>
          <w:szCs w:val="22"/>
          <w:b/>
        </w:rPr>
        <w:t xml:space="preserve">Role  -  </w:t>
      </w:r>
      <w:r>
        <w:rPr>
          <w:rFonts w:ascii="Cambria" w:hAnsi="Cambria" w:eastAsia="Cambria" w:cs="Cambria"/>
          <w:color w:val="1D2D3F"/>
          <w:sz w:val="20"/>
          <w:szCs w:val="22"/>
        </w:rPr>
        <w:t>Switzerland hosts the verification dashboard and protects the escrow architecture, so that data and financial flows operate transparently.</w:t>
      </w:r>
    </w:p>
    <w:p>
      <w:pPr>
        <w:pStyle w:val="Normal"/>
        <w:spacing w:before="4000"/>
      </w:pPr>
      <w:r>
        <w:rPr>
          <w:rFonts w:ascii="Cambria" w:hAnsi="Cambria" w:eastAsia="Cambria" w:cs="Cambria"/>
          <w:color w:val="1D2D3F"/>
          <w:sz w:val="20"/>
          <w:szCs w:val="22"/>
          <w:b/>
        </w:rPr>
        <w:t xml:space="preserve">Boundary  -  </w:t>
      </w:r>
      <w:r>
        <w:rPr>
          <w:rFonts w:ascii="Cambria" w:hAnsi="Cambria" w:eastAsia="Cambria" w:cs="Cambria"/>
          <w:color w:val="1D2D3F"/>
          <w:sz w:val="20"/>
          <w:szCs w:val="22"/>
        </w:rPr>
        <w:t>Switzerland provides technical infrastructure rather than political judgment, and it determines neither compliance nor relief.</w:t>
      </w:r>
    </w:p>
    <w:p>
      <w:pPr>
        <w:pStyle w:val="Heading3"/>
      </w:pPr>
      <w:r>
        <w:rPr>
          <w:rFonts w:ascii="Cambria" w:hAnsi="Cambria" w:eastAsia="Cambria" w:cs="Cambria"/>
          <w:b/>
          <w:color w:val="5C7A96"/>
          <w:sz w:val="30"/>
          <w:szCs w:val="20"/>
        </w:rPr>
        <w:t xml:space="preserve">N.2.3  -  Qatar (Regional Facilitation Partner)</w:t>
      </w:r>
    </w:p>
    <w:p>
      <w:pPr>
        <w:pStyle w:val="Normal"/>
        <w:spacing w:before="4000"/>
      </w:pPr>
      <w:r>
        <w:rPr>
          <w:rFonts w:ascii="Cambria" w:hAnsi="Cambria" w:eastAsia="Cambria" w:cs="Cambria"/>
          <w:color w:val="1D2D3F"/>
          <w:sz w:val="20"/>
          <w:szCs w:val="22"/>
          <w:b/>
        </w:rPr>
        <w:t xml:space="preserve">Role  -  </w:t>
      </w:r>
      <w:r>
        <w:rPr>
          <w:rFonts w:ascii="Cambria" w:hAnsi="Cambria" w:eastAsia="Cambria" w:cs="Cambria"/>
          <w:color w:val="1D2D3F"/>
          <w:sz w:val="20"/>
          <w:szCs w:val="22"/>
        </w:rPr>
        <w:t>Qatar supports regional facilitation and backchannel communication, and its long-standing channels with both Parties position it to relay sensitive matters.</w:t>
      </w:r>
    </w:p>
    <w:p>
      <w:pPr>
        <w:pStyle w:val="Normal"/>
        <w:spacing w:before="4000"/>
      </w:pPr>
      <w:r>
        <w:rPr>
          <w:rFonts w:ascii="Cambria" w:hAnsi="Cambria" w:eastAsia="Cambria" w:cs="Cambria"/>
          <w:color w:val="1D2D3F"/>
          <w:sz w:val="20"/>
          <w:szCs w:val="22"/>
          <w:b/>
        </w:rPr>
        <w:t xml:space="preserve">Boundary  -  </w:t>
      </w:r>
      <w:r>
        <w:rPr>
          <w:rFonts w:ascii="Cambria" w:hAnsi="Cambria" w:eastAsia="Cambria" w:cs="Cambria"/>
          <w:color w:val="1D2D3F"/>
          <w:sz w:val="20"/>
          <w:szCs w:val="22"/>
        </w:rPr>
        <w:t>Qatar facilitates communication and takes no enforcement role, consistent with the neutral-facilitation architecture.</w:t>
      </w:r>
    </w:p>
    <w:p>
      <w:pPr>
        <w:pStyle w:val="Heading3"/>
      </w:pPr>
      <w:r>
        <w:rPr>
          <w:rFonts w:ascii="Cambria" w:hAnsi="Cambria" w:eastAsia="Cambria" w:cs="Cambria"/>
          <w:b/>
          <w:color w:val="5C7A96"/>
          <w:sz w:val="30"/>
          <w:szCs w:val="20"/>
        </w:rPr>
        <w:t xml:space="preserve">N.2.4  -  Coordinated Guarantor Function</w:t>
      </w:r>
    </w:p>
    <w:p>
      <w:pPr>
        <w:pStyle w:val="Normal"/>
        <w:spacing w:after="100"/>
        <w:jc w:val="center"/>
      </w:pPr>
      <w:r>
        <w:rPr>
          <w:rFonts w:ascii="Cambria" w:hAnsi="Cambria" w:eastAsia="Cambria" w:cs="Cambria"/>
          <w:i/>
          <w:color w:val="1D2D3F"/>
          <w:sz w:val="20"/>
          <w:szCs w:val="20"/>
        </w:rPr>
        <w:t>On each major milestone, the guarantors issue a coordinated factual statement that records the dashboard status and confirms that the escrow mechanisms operate as designed. The coordinated function keeps the guarantor voice factual and aligned, and the architecture excludes any guarantor characterization that assigns blame or claims knowledge beyond the dashboard.</w:t>
      </w:r>
    </w:p>
    <w:p>
      <w:pPr>
        <w:pStyle w:val="Heading2"/>
      </w:pPr>
      <w:r>
        <w:rPr>
          <w:rFonts w:ascii="Cambria" w:hAnsi="Cambria" w:eastAsia="Cambria" w:cs="Cambria"/>
          <w:b/>
          <w:color w:val="1D2D3F"/>
          <w:sz w:val="22"/>
          <w:szCs w:val="20"/>
          <w:i/>
        </w:rPr>
        <w:t>N.3 Telemetry Dashboard Specification</w:t>
      </w:r>
    </w:p>
    <w:p>
      <w:pPr>
        <w:pStyle w:val="Normal"/>
        <w:spacing w:after="100"/>
        <w:jc w:val="center"/>
      </w:pPr>
      <w:r>
        <w:rPr>
          <w:rFonts w:ascii="Cambria" w:hAnsi="Cambria" w:eastAsia="Cambria" w:cs="Cambria"/>
          <w:i/>
          <w:color w:val="1D2D3F"/>
          <w:sz w:val="20"/>
          <w:szCs w:val="20"/>
        </w:rPr>
        <w:t>This section specifies the dashboard that the Swiss guarantor hosts. It states the data sources, the encryption architecture, and the access rules. The dashboard supplies the single shared record that every compliance determination rests upon.</w:t>
      </w:r>
    </w:p>
    <w:p>
      <w:pPr>
        <w:pStyle w:val="Heading3"/>
      </w:pPr>
      <w:r>
        <w:rPr>
          <w:rFonts w:ascii="Cambria" w:hAnsi="Cambria" w:eastAsia="Cambria" w:cs="Cambria"/>
          <w:b/>
          <w:color w:val="5C7A96"/>
          <w:sz w:val="30"/>
          <w:szCs w:val="20"/>
        </w:rPr>
        <w:t xml:space="preserve">N.3.1  -  Data Sources</w:t>
      </w:r>
    </w:p>
    <w:tbl>
      <w:tblPr>
        <w:tblLayout w:type="fixed"/>
        <w:tblW w:w="9026" w:type="dxa"/>
      </w:tblPr>
      <w:tblGrid>
        <w:gridCol w:w="2300"/>
        <w:gridCol w:w="3000"/>
        <w:gridCol w:w="3726"/>
      </w:tblGrid>
      <w:tr>
        <w:tc>
          <w:tcPr>
            <w:tcW w:w="23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3D5A80"/>
                <w:sz w:val="40"/>
                <w:i/>
                <w:szCs w:val="22"/>
              </w:rPr>
              <w:t>Source</w:t>
            </w:r>
          </w:p>
        </w:tc>
        <w:tc>
          <w:tcPr>
            <w:tcW w:w="30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3D5A80"/>
                <w:sz w:val="40"/>
                <w:i/>
                <w:szCs w:val="22"/>
              </w:rPr>
              <w:t>Feed</w:t>
            </w:r>
          </w:p>
        </w:tc>
        <w:tc>
          <w:tcPr>
            <w:tcW w:w="3726"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3D5A80"/>
                <w:sz w:val="40"/>
                <w:i/>
                <w:szCs w:val="22"/>
              </w:rPr>
              <w:t>Determination Role</w:t>
            </w:r>
          </w:p>
        </w:tc>
      </w:tr>
      <w:tr>
        <w:tc>
          <w:tcPr>
            <w:tcW w:w="2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Nuclear telemetry</w:t>
            </w:r>
          </w:p>
        </w:tc>
        <w:tc>
          <w:tcPr>
            <w:tcW w:w="30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IAEA monitors, cameras, electronic seals</w:t>
            </w:r>
          </w:p>
        </w:tc>
        <w:tc>
          <w:tcPr>
            <w:tcW w:w="37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Anchors nuclear compliance readings</w:t>
            </w:r>
          </w:p>
        </w:tc>
      </w:tr>
      <w:tr>
        <w:tc>
          <w:tcPr>
            <w:tcW w:w="2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Financial escrow</w:t>
            </w:r>
          </w:p>
        </w:tc>
        <w:tc>
          <w:tcPr>
            <w:tcW w:w="30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Escrow movement and milestone confirmations</w:t>
            </w:r>
          </w:p>
        </w:tc>
        <w:tc>
          <w:tcPr>
            <w:tcW w:w="37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Anchors relief-tranche activation</w:t>
            </w:r>
          </w:p>
        </w:tc>
      </w:tr>
      <w:tr>
        <w:tc>
          <w:tcPr>
            <w:tcW w:w="2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Maritime traffic</w:t>
            </w:r>
          </w:p>
        </w:tc>
        <w:tc>
          <w:tcPr>
            <w:tcW w:w="30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Transit volumes and incident log</w:t>
            </w:r>
          </w:p>
        </w:tc>
        <w:tc>
          <w:tcPr>
            <w:tcW w:w="37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Anchors Strait-reopening confirmation</w:t>
            </w:r>
          </w:p>
        </w:tc>
      </w:tr>
      <w:tr>
        <w:tc>
          <w:tcPr>
            <w:tcW w:w="2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Communication record</w:t>
            </w:r>
          </w:p>
        </w:tc>
        <w:tc>
          <w:tcPr>
            <w:tcW w:w="30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Crisis-channel notifications and closures</w:t>
            </w:r>
          </w:p>
        </w:tc>
        <w:tc>
          <w:tcPr>
            <w:tcW w:w="37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Anchors no-surprise verification</w:t>
            </w:r>
          </w:p>
        </w:tc>
      </w:tr>
    </w:tbl>
    <w:p>
      <w:pPr>
        <w:pStyle w:val="Normal"/>
        <w:spacing w:after="2000"/>
        <w:jc w:val="center"/>
      </w:pPr>
    </w:p>
    <w:p>
      <w:pPr>
        <w:pStyle w:val="Heading3"/>
      </w:pPr>
      <w:r>
        <w:rPr>
          <w:rFonts w:ascii="Cambria" w:hAnsi="Cambria" w:eastAsia="Cambria" w:cs="Cambria"/>
          <w:b/>
          <w:color w:val="5C7A96"/>
          <w:sz w:val="30"/>
          <w:szCs w:val="20"/>
        </w:rPr>
        <w:t xml:space="preserve">N.3.2  -  Encryption and Integrity</w:t>
      </w:r>
    </w:p>
    <w:p>
      <w:pPr>
        <w:pStyle w:val="Normal"/>
        <w:spacing w:before="4000"/>
      </w:pPr>
      <w:r>
        <w:rPr>
          <w:rFonts w:ascii="Cambria" w:hAnsi="Cambria" w:eastAsia="Cambria" w:cs="Cambria"/>
          <w:color w:val="1D2D3F"/>
          <w:sz w:val="20"/>
          <w:szCs w:val="22"/>
          <w:b/>
        </w:rPr>
        <w:t xml:space="preserve">Encryption  -  </w:t>
      </w:r>
      <w:r>
        <w:rPr>
          <w:rFonts w:ascii="Cambria" w:hAnsi="Cambria" w:eastAsia="Cambria" w:cs="Cambria"/>
          <w:color w:val="1D2D3F"/>
          <w:sz w:val="20"/>
          <w:szCs w:val="22"/>
        </w:rPr>
        <w:t>End-to-end encryption protects every feed, and the architecture excludes unilateral alteration of the record.</w:t>
      </w:r>
    </w:p>
    <w:p>
      <w:pPr>
        <w:pStyle w:val="Normal"/>
        <w:spacing w:before="4000"/>
      </w:pPr>
      <w:r>
        <w:rPr>
          <w:rFonts w:ascii="Cambria" w:hAnsi="Cambria" w:eastAsia="Cambria" w:cs="Cambria"/>
          <w:color w:val="1D2D3F"/>
          <w:sz w:val="20"/>
          <w:szCs w:val="22"/>
          <w:b/>
        </w:rPr>
        <w:t xml:space="preserve">Tamper evidence  -  </w:t>
      </w:r>
      <w:r>
        <w:rPr>
          <w:rFonts w:ascii="Cambria" w:hAnsi="Cambria" w:eastAsia="Cambria" w:cs="Cambria"/>
          <w:color w:val="1D2D3F"/>
          <w:sz w:val="20"/>
          <w:szCs w:val="22"/>
        </w:rPr>
        <w:t>A break in any feed registers as an anomaly flag rather than a silent gap, and the flag routes to the Human-in-the-Loop Review.</w:t>
      </w:r>
    </w:p>
    <w:p>
      <w:pPr>
        <w:pStyle w:val="Normal"/>
        <w:spacing w:before="4000"/>
      </w:pPr>
      <w:r>
        <w:rPr>
          <w:rFonts w:ascii="Cambria" w:hAnsi="Cambria" w:eastAsia="Cambria" w:cs="Cambria"/>
          <w:color w:val="1D2D3F"/>
          <w:sz w:val="20"/>
          <w:szCs w:val="22"/>
          <w:b/>
        </w:rPr>
        <w:t xml:space="preserve">Archival integrity  -  </w:t>
      </w:r>
      <w:r>
        <w:rPr>
          <w:rFonts w:ascii="Cambria" w:hAnsi="Cambria" w:eastAsia="Cambria" w:cs="Cambria"/>
          <w:color w:val="1D2D3F"/>
          <w:sz w:val="20"/>
          <w:szCs w:val="22"/>
        </w:rPr>
        <w:t>The Swiss guarantor maintains an immutable archive of every reading for the duration of the framework.</w:t>
      </w:r>
    </w:p>
    <w:p>
      <w:pPr>
        <w:pStyle w:val="Heading3"/>
      </w:pPr>
      <w:r>
        <w:rPr>
          <w:rFonts w:ascii="Cambria" w:hAnsi="Cambria" w:eastAsia="Cambria" w:cs="Cambria"/>
          <w:b/>
          <w:color w:val="5C7A96"/>
          <w:sz w:val="30"/>
          <w:szCs w:val="20"/>
        </w:rPr>
        <w:t xml:space="preserve">N.3.3  -  Access Rules</w:t>
      </w:r>
    </w:p>
    <w:p>
      <w:pPr>
        <w:pStyle w:val="Normal"/>
        <w:spacing w:before="4000"/>
      </w:pPr>
      <w:r>
        <w:rPr>
          <w:rFonts w:ascii="Cambria" w:hAnsi="Cambria" w:eastAsia="Cambria" w:cs="Cambria"/>
          <w:color w:val="1D2D3F"/>
          <w:sz w:val="20"/>
          <w:szCs w:val="22"/>
          <w:b/>
        </w:rPr>
        <w:t xml:space="preserve">Equal access  -  </w:t>
      </w:r>
      <w:r>
        <w:rPr>
          <w:rFonts w:ascii="Cambria" w:hAnsi="Cambria" w:eastAsia="Cambria" w:cs="Cambria"/>
          <w:color w:val="1D2D3F"/>
          <w:sz w:val="20"/>
          <w:szCs w:val="22"/>
        </w:rPr>
        <w:t>Both Parties hold identical access to the dashboard, and neither Party holds a private channel the other lacks.</w:t>
      </w:r>
    </w:p>
    <w:p>
      <w:pPr>
        <w:pStyle w:val="Normal"/>
        <w:spacing w:before="4000"/>
      </w:pPr>
      <w:r>
        <w:rPr>
          <w:rFonts w:ascii="Cambria" w:hAnsi="Cambria" w:eastAsia="Cambria" w:cs="Cambria"/>
          <w:color w:val="1D2D3F"/>
          <w:sz w:val="20"/>
          <w:szCs w:val="22"/>
          <w:b/>
        </w:rPr>
        <w:t xml:space="preserve">Guarantor access  -  </w:t>
      </w:r>
      <w:r>
        <w:rPr>
          <w:rFonts w:ascii="Cambria" w:hAnsi="Cambria" w:eastAsia="Cambria" w:cs="Cambria"/>
          <w:color w:val="1D2D3F"/>
          <w:sz w:val="20"/>
          <w:szCs w:val="22"/>
        </w:rPr>
        <w:t>The guarantors hold the access their facilitation and protection functions define, and they alter no reading.</w:t>
      </w:r>
    </w:p>
    <w:p>
      <w:pPr>
        <w:pStyle w:val="Normal"/>
        <w:spacing w:before="4000"/>
      </w:pPr>
      <w:r>
        <w:rPr>
          <w:rFonts w:ascii="Cambria" w:hAnsi="Cambria" w:eastAsia="Cambria" w:cs="Cambria"/>
          <w:color w:val="1D2D3F"/>
          <w:sz w:val="20"/>
          <w:szCs w:val="22"/>
          <w:b/>
        </w:rPr>
        <w:t xml:space="preserve">Public layer  -  </w:t>
      </w:r>
      <w:r>
        <w:rPr>
          <w:rFonts w:ascii="Cambria" w:hAnsi="Cambria" w:eastAsia="Cambria" w:cs="Cambria"/>
          <w:color w:val="1D2D3F"/>
          <w:sz w:val="20"/>
          <w:szCs w:val="22"/>
        </w:rPr>
        <w:t>A public layer publishes the aggregate transit and milestone status that the Compact designates for public release, and it excludes classified operational detail.</w:t>
      </w:r>
    </w:p>
    <w:p>
      <w:pPr>
        <w:pStyle w:val="Heading2"/>
      </w:pPr>
      <w:r>
        <w:rPr>
          <w:rFonts w:ascii="Cambria" w:hAnsi="Cambria" w:eastAsia="Cambria" w:cs="Cambria"/>
          <w:b/>
          <w:color w:val="1D2D3F"/>
          <w:sz w:val="22"/>
          <w:szCs w:val="20"/>
          <w:i/>
        </w:rPr>
        <w:t>N.4 Step-Back and Earn-Back Protocol</w:t>
      </w:r>
    </w:p>
    <w:p>
      <w:pPr>
        <w:pStyle w:val="Normal"/>
        <w:spacing w:after="100"/>
        <w:jc w:val="center"/>
      </w:pPr>
      <w:r>
        <w:rPr>
          <w:rFonts w:ascii="Cambria" w:hAnsi="Cambria" w:eastAsia="Cambria" w:cs="Cambria"/>
          <w:i/>
          <w:color w:val="1D2D3F"/>
          <w:sz w:val="20"/>
          <w:szCs w:val="20"/>
        </w:rPr>
        <w:t>This section states the proportionality architecture that governs a compliance failure and its correction. A non-compliance event triggers a proportionate Step-Back of the affected reciprocity unit, a correction window opens, and verified correction re-activates the unit through Earn-Back. The protocol keeps every failure inside a reversible, proportionate pathway rather than a binary collapse.</w:t>
      </w:r>
    </w:p>
    <w:p>
      <w:pPr>
        <w:pStyle w:val="Heading3"/>
      </w:pPr>
      <w:r>
        <w:rPr>
          <w:rFonts w:ascii="Cambria" w:hAnsi="Cambria" w:eastAsia="Cambria" w:cs="Cambria"/>
          <w:b/>
          <w:color w:val="5C7A96"/>
          <w:sz w:val="30"/>
          <w:szCs w:val="20"/>
        </w:rPr>
        <w:t xml:space="preserve">N.4.1  -  Proportionality Scale</w:t>
      </w:r>
    </w:p>
    <w:tbl>
      <w:tblPr>
        <w:tblLayout w:type="fixed"/>
        <w:tblW w:w="9026" w:type="dxa"/>
      </w:tblPr>
      <w:tblGrid>
        <w:gridCol w:w="2100"/>
        <w:gridCol w:w="2400"/>
        <w:gridCol w:w="2200"/>
        <w:gridCol w:w="2326"/>
      </w:tblGrid>
      <w:tr>
        <w:tc>
          <w:tcPr>
            <w:tcW w:w="21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3D5A80"/>
                <w:sz w:val="40"/>
                <w:i/>
                <w:szCs w:val="22"/>
              </w:rPr>
              <w:t>Breach Class</w:t>
            </w:r>
          </w:p>
        </w:tc>
        <w:tc>
          <w:tcPr>
            <w:tcW w:w="24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3D5A80"/>
                <w:sz w:val="40"/>
                <w:i/>
                <w:szCs w:val="22"/>
              </w:rPr>
              <w:t>Step-Back Magnitude</w:t>
            </w:r>
          </w:p>
        </w:tc>
        <w:tc>
          <w:tcPr>
            <w:tcW w:w="2200"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3D5A80"/>
                <w:sz w:val="40"/>
                <w:i/>
                <w:szCs w:val="22"/>
              </w:rPr>
              <w:t>Correction Window</w:t>
            </w:r>
          </w:p>
        </w:tc>
        <w:tc>
          <w:tcPr>
            <w:tcW w:w="2326" w:type="dxa"/>
            <w:shd w:val="clear" w:color="auto" w:fill="1F496E"/>
            <w:tcBorders>
              <w:top w:val="single" w:space="0"/>
              <w:left w:val="single" w:space="0"/>
              <w:bottom w:val="single" w:space="0"/>
              <w:right w:val="single" w:space="0"/>
            </w:tcBorders>
          </w:tcPr>
          <w:p>
            <w:pPr>
              <w:pStyle w:val="Normal"/>
              <w:spacing w:before="60" w:after="60"/>
            </w:pPr>
            <w:r>
              <w:rPr>
                <w:rFonts w:ascii="Cambria" w:hAnsi="Cambria" w:eastAsia="Cambria" w:cs="Cambria"/>
                <w:b/>
                <w:color w:val="3D5A80"/>
                <w:sz w:val="40"/>
                <w:i/>
                <w:szCs w:val="22"/>
              </w:rPr>
              <w:t>Earn-Back Trigger</w:t>
            </w:r>
          </w:p>
        </w:tc>
      </w:tr>
      <w:tr>
        <w:tc>
          <w:tcPr>
            <w:tcW w:w="21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Technical anomaly</w:t>
            </w:r>
          </w:p>
        </w:tc>
        <w:tc>
          <w:tcPr>
            <w:tcW w:w="24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No step-back; flag only</w:t>
            </w:r>
          </w:p>
        </w:tc>
        <w:tc>
          <w:tcPr>
            <w:tcW w:w="22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Immediate technical conference</w:t>
            </w:r>
          </w:p>
        </w:tc>
        <w:tc>
          <w:tcPr>
            <w:tcW w:w="23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Anomaly explained on the record</w:t>
            </w:r>
          </w:p>
        </w:tc>
      </w:tr>
      <w:tr>
        <w:tc>
          <w:tcPr>
            <w:tcW w:w="21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Single-unit lapse</w:t>
            </w:r>
          </w:p>
        </w:tc>
        <w:tc>
          <w:tcPr>
            <w:tcW w:w="24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Suspend the affected reciprocity unit only</w:t>
            </w:r>
          </w:p>
        </w:tc>
        <w:tc>
          <w:tcPr>
            <w:tcW w:w="22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Proportionate short window</w:t>
            </w:r>
          </w:p>
        </w:tc>
        <w:tc>
          <w:tcPr>
            <w:tcW w:w="23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Verified correction of the unit</w:t>
            </w:r>
          </w:p>
        </w:tc>
      </w:tr>
      <w:tr>
        <w:tc>
          <w:tcPr>
            <w:tcW w:w="21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Repeated lapse</w:t>
            </w:r>
          </w:p>
        </w:tc>
        <w:tc>
          <w:tcPr>
            <w:tcW w:w="24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Suspend the unit and the paired tranche</w:t>
            </w:r>
          </w:p>
        </w:tc>
        <w:tc>
          <w:tcPr>
            <w:tcW w:w="22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Defined medium window</w:t>
            </w:r>
          </w:p>
        </w:tc>
        <w:tc>
          <w:tcPr>
            <w:tcW w:w="23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Sustained verified correction</w:t>
            </w:r>
          </w:p>
        </w:tc>
      </w:tr>
      <w:tr>
        <w:tc>
          <w:tcPr>
            <w:tcW w:w="21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Material breach</w:t>
            </w:r>
          </w:p>
        </w:tc>
        <w:tc>
          <w:tcPr>
            <w:tcW w:w="24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Suspend the affected module</w:t>
            </w:r>
          </w:p>
        </w:tc>
        <w:tc>
          <w:tcPr>
            <w:tcW w:w="22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Charter-defined window</w:t>
            </w:r>
          </w:p>
        </w:tc>
        <w:tc>
          <w:tcPr>
            <w:tcW w:w="23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Full verified restoration</w:t>
            </w:r>
          </w:p>
        </w:tc>
      </w:tr>
      <w:tr>
        <w:tc>
          <w:tcPr>
            <w:tcW w:w="21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Sustained uncorrected breach</w:t>
            </w:r>
          </w:p>
        </w:tc>
        <w:tc>
          <w:tcPr>
            <w:tcW w:w="24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Module exit under Article VI</w:t>
            </w:r>
          </w:p>
        </w:tc>
        <w:tc>
          <w:tcPr>
            <w:tcW w:w="22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Final window before exit</w:t>
            </w:r>
          </w:p>
        </w:tc>
        <w:tc>
          <w:tcPr>
            <w:tcW w:w="23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0"/>
                <w:i/>
                <w:szCs w:val="22"/>
              </w:rPr>
              <w:t>Restoration before window close</w:t>
            </w:r>
          </w:p>
        </w:tc>
      </w:tr>
    </w:tbl>
    <w:p>
      <w:pPr>
        <w:pStyle w:val="Normal"/>
        <w:spacing w:after="2000"/>
        <w:jc w:val="center"/>
      </w:pPr>
    </w:p>
    <w:p>
      <w:pPr>
        <w:pStyle w:val="Heading3"/>
      </w:pPr>
      <w:r>
        <w:rPr>
          <w:rFonts w:ascii="Cambria" w:hAnsi="Cambria" w:eastAsia="Microsoft YaHei" w:cs="Cambria"/>
          <w:b/>
          <w:color w:val="4A5568"/>
          <w:sz w:val="26"/>
          <w:szCs w:val="24"/>
        </w:rPr>
        <w:t xml:space="preserve">N.4.2  -  Proportionality Discipline</w:t>
      </w:r>
    </w:p>
    <w:p>
      <w:pPr>
        <w:pStyle w:val="Normal"/>
        <w:spacing w:before="4000"/>
      </w:pPr>
      <w:r>
        <w:rPr>
          <w:rFonts w:ascii="Cambria" w:hAnsi="Cambria" w:eastAsia="Cambria" w:cs="Cambria"/>
          <w:color w:val="1D2D3F"/>
          <w:sz w:val="20"/>
          <w:szCs w:val="22"/>
          <w:b/>
        </w:rPr>
        <w:t xml:space="preserve">Match  -  </w:t>
      </w:r>
      <w:r>
        <w:rPr>
          <w:rFonts w:ascii="Cambria" w:hAnsi="Cambria" w:eastAsia="Cambria" w:cs="Cambria"/>
          <w:color w:val="1D2D3F"/>
          <w:sz w:val="20"/>
          <w:szCs w:val="22"/>
        </w:rPr>
        <w:t>The Step-Back magnitude matches the breach class; the architecture excludes a disproportionate response that suspends unrelated units.</w:t>
      </w:r>
    </w:p>
    <w:p>
      <w:pPr>
        <w:pStyle w:val="Normal"/>
        <w:spacing w:before="4000"/>
      </w:pPr>
      <w:r>
        <w:rPr>
          <w:rFonts w:ascii="Cambria" w:hAnsi="Cambria" w:eastAsia="Cambria" w:cs="Cambria"/>
          <w:color w:val="1D2D3F"/>
          <w:sz w:val="20"/>
          <w:szCs w:val="22"/>
          <w:b/>
        </w:rPr>
        <w:t xml:space="preserve">Firewall  -  </w:t>
      </w:r>
      <w:r>
        <w:rPr>
          <w:rFonts w:ascii="Cambria" w:hAnsi="Cambria" w:eastAsia="Cambria" w:cs="Cambria"/>
          <w:color w:val="1D2D3F"/>
          <w:sz w:val="20"/>
          <w:szCs w:val="22"/>
        </w:rPr>
        <w:t>Suspension confines itself to the affected unit, tranche, or module, and every unaffected provision continues operating.</w:t>
      </w:r>
    </w:p>
    <w:p>
      <w:pPr>
        <w:pStyle w:val="Normal"/>
        <w:spacing w:before="4000"/>
      </w:pPr>
      <w:r>
        <w:rPr>
          <w:rFonts w:ascii="Cambria" w:hAnsi="Cambria" w:eastAsia="Cambria" w:cs="Cambria"/>
          <w:color w:val="1D2D3F"/>
          <w:sz w:val="20"/>
          <w:szCs w:val="22"/>
          <w:b/>
        </w:rPr>
        <w:t xml:space="preserve">Reversibility  -  </w:t>
      </w:r>
      <w:r>
        <w:rPr>
          <w:rFonts w:ascii="Cambria" w:hAnsi="Cambria" w:eastAsia="Cambria" w:cs="Cambria"/>
          <w:color w:val="1D2D3F"/>
          <w:sz w:val="20"/>
          <w:szCs w:val="22"/>
        </w:rPr>
        <w:t>Verified correction re-activates the suspended element through Earn-Back, so that a corrected lapse restores rather than penalizes.</w:t>
      </w:r>
    </w:p>
    <w:p>
      <w:pPr>
        <w:pStyle w:val="Heading3"/>
      </w:pPr>
      <w:r>
        <w:rPr>
          <w:rFonts w:ascii="Cambria" w:hAnsi="Cambria" w:eastAsia="Microsoft YaHei" w:cs="Cambria"/>
          <w:b/>
          <w:color w:val="4A5568"/>
          <w:sz w:val="26"/>
          <w:szCs w:val="24"/>
        </w:rPr>
        <w:t xml:space="preserve">N.4.3  -  Correction Windows</w:t>
      </w:r>
    </w:p>
    <w:p>
      <w:pPr>
        <w:pStyle w:val="Normal"/>
        <w:spacing w:after="100"/>
        <w:jc w:val="center"/>
      </w:pPr>
      <w:r>
        <w:rPr>
          <w:rFonts w:ascii="Cambria" w:hAnsi="Cambria" w:eastAsia="Cambria" w:cs="Cambria"/>
          <w:i/>
          <w:color w:val="1D2D3F"/>
          <w:sz w:val="20"/>
          <w:szCs w:val="20"/>
        </w:rPr>
        <w:t>Each breach class carries a correction window proportionate to its magnitude. The window opens on the finding, runs for its defined duration, and closes on verified correction or, in the sustained-uncorrected case, on activation of the module exit. The Human-in-the-Loop Review sets the window inside its charter, and the dashboard records its open and close.</w:t>
      </w:r>
    </w:p>
    <w:p>
      <w:pPr>
        <w:pStyle w:val="Heading3"/>
      </w:pPr>
      <w:r>
        <w:rPr>
          <w:rFonts w:ascii="Cambria" w:hAnsi="Cambria" w:eastAsia="Microsoft YaHei" w:cs="Cambria"/>
          <w:b/>
          <w:color w:val="4A5568"/>
          <w:sz w:val="26"/>
          <w:szCs w:val="24"/>
        </w:rPr>
        <w:t xml:space="preserve">N.4.4  -  Exit Architecture</w:t>
      </w:r>
    </w:p>
    <w:p>
      <w:pPr>
        <w:pStyle w:val="Normal"/>
        <w:spacing w:after="100"/>
        <w:jc w:val="center"/>
      </w:pPr>
      <w:r>
        <w:rPr>
          <w:rFonts w:ascii="Cambria" w:hAnsi="Cambria" w:eastAsia="Cambria" w:cs="Cambria"/>
          <w:i/>
          <w:color w:val="1D2D3F"/>
          <w:sz w:val="20"/>
          <w:szCs w:val="20"/>
        </w:rPr>
        <w:t>Module exit activates only on a sustained, dashboard-verified, uncorrected material breach after the final correction window closes. Exit confines itself to the affected module; the Firewalled Provisions principle keeps every other module and the core Compact intact. The exiting Party records the dashboard basis for exit, so that the exit rests on the verification record rather than on assertion.</w:t>
      </w:r>
    </w:p>
    <w:p>
      <w:pPr>
        <w:pStyle w:val="Heading1"/>
      </w:pPr>
      <w:r>
        <w:rPr>
          <w:rFonts w:ascii="Cambria" w:hAnsi="Cambria" w:eastAsia="Cambria" w:cs="Cambria"/>
          <w:b/>
          <w:color w:val="1D2D3F"/>
          <w:sz w:val="20"/>
          <w:szCs w:val="40"/>
        </w:rPr>
        <w:t>Annex X: Opt-In Roles Framework</w:t>
      </w:r>
    </w:p>
    <w:p>
      <w:pPr>
        <w:pStyle w:val="Normal"/>
        <w:spacing w:before="60" w:after="60"/>
      </w:pPr>
      <w:r>
        <w:rPr>
          <w:rFonts w:ascii="Cambria" w:hAnsi="Cambria" w:eastAsia="Cambria" w:cs="Cambria"/>
          <w:b/>
          <w:color w:val="1D2D3F"/>
          <w:sz w:val="20"/>
          <w:i/>
          <w:szCs w:val="22"/>
        </w:rPr>
        <w:t>This Annex establishes the voluntary opt-in architecture through which States and international organizations select participation roles aligned with their capacities, interests, and national policies. The framework transforms bilateral Compact implementation into distributed multilateral stewardship. Every role operates on a voluntary basis. No State receives assignment. No State faces exclusion. Participation is non-hierarchical, non-binding unless actively chosen, and open to all. This annex operates on the foundation of Synchronized Reciprocal Motion.</w:t>
      </w:r>
    </w:p>
    <w:p>
      <w:pPr>
        <w:pStyle w:val="Heading2"/>
      </w:pPr>
      <w:r>
        <w:rPr>
          <w:rFonts w:ascii="Cambria" w:hAnsi="Cambria" w:eastAsia="Cambria" w:cs="Cambria"/>
          <w:b/>
          <w:color w:val="8A9DAA"/>
          <w:sz w:val="22"/>
          <w:szCs w:val="20"/>
          <w:i/>
        </w:rPr>
        <w:t xml:space="preserve">Section X.1  -  Purpose and Guiding Principles</w:t>
      </w:r>
    </w:p>
    <w:p>
      <w:pPr>
        <w:pStyle w:val="Normal"/>
        <w:spacing w:before="60" w:after="60"/>
      </w:pPr>
      <w:r>
        <w:rPr>
          <w:rFonts w:ascii="Cambria" w:hAnsi="Cambria" w:eastAsia="Cambria" w:cs="Cambria"/>
          <w:b/>
          <w:color w:val="1D2D3F"/>
          <w:sz w:val="20"/>
          <w:i/>
          <w:szCs w:val="22"/>
        </w:rPr>
        <w:t>This Annex serves three functions. First, it provides a structured menu of participation roles that align existing international capabilities with Compact implementation requirements. Second, it establishes the diplomatic and operational protocols through which contributors integrate into the verification, maritime, humanitarian, and coordination tracks. Third, it ensures that every State or international organization wishing to participate finds a role that matches its capacity and policy framework.</w:t>
      </w:r>
    </w:p>
    <w:p>
      <w:pPr>
        <w:pStyle w:val="Normal"/>
        <w:spacing w:before="60" w:after="60"/>
      </w:pPr>
      <w:r>
        <w:rPr>
          <w:rFonts w:ascii="Cambria" w:hAnsi="Cambria" w:eastAsia="Cambria" w:cs="Cambria"/>
          <w:b/>
          <w:color w:val="1D2D3F"/>
          <w:sz w:val="20"/>
          <w:i/>
          <w:szCs w:val="22"/>
        </w:rPr>
        <w:t>The following principles govern this Annex:</w:t>
      </w:r>
    </w:p>
    <w:p>
      <w:pPr>
        <w:pStyle w:val="Normal"/>
        <w:spacing w:before="60" w:after="60"/>
      </w:pPr>
      <w:r>
        <w:rPr>
          <w:rFonts w:ascii="Cambria" w:hAnsi="Cambria" w:eastAsia="Cambria" w:cs="Cambria"/>
          <w:b/>
          <w:color w:val="5C7A96"/>
          <w:sz w:val="30"/>
          <w:i/>
          <w:szCs w:val="22"/>
        </w:rPr>
        <w:t xml:space="preserve">Voluntary selection  -  </w:t>
      </w:r>
      <w:r>
        <w:rPr>
          <w:rFonts w:ascii="Cambria" w:hAnsi="Cambria" w:eastAsia="Cambria" w:cs="Cambria"/>
          <w:b/>
          <w:color w:val="1D2D3F"/>
          <w:sz w:val="20"/>
          <w:i/>
          <w:szCs w:val="22"/>
        </w:rPr>
        <w:t>Each State selects its own role or roles. No external entity assigns participation. The Implementation Secretariat records each selection and coordinates integration.</w:t>
      </w:r>
    </w:p>
    <w:p>
      <w:pPr>
        <w:pStyle w:val="Normal"/>
        <w:spacing w:before="60" w:after="60"/>
      </w:pPr>
      <w:r>
        <w:rPr>
          <w:rFonts w:ascii="Cambria" w:hAnsi="Cambria" w:eastAsia="Cambria" w:cs="Cambria"/>
          <w:b/>
          <w:color w:val="5C7A96"/>
          <w:sz w:val="30"/>
          <w:i/>
          <w:szCs w:val="22"/>
        </w:rPr>
        <w:t xml:space="preserve">Non-hierarchy  -  </w:t>
      </w:r>
      <w:r>
        <w:rPr>
          <w:rFonts w:ascii="Cambria" w:hAnsi="Cambria" w:eastAsia="Cambria" w:cs="Cambria"/>
          <w:b/>
          <w:color w:val="1D2D3F"/>
          <w:sz w:val="20"/>
          <w:i/>
          <w:szCs w:val="22"/>
        </w:rPr>
        <w:t>No role carries superiority over another. Tier numbering indicates functional specialization, not rank. All contributions receive equal recognition in Compact documentation and guarantor reporting.</w:t>
      </w:r>
    </w:p>
    <w:p>
      <w:pPr>
        <w:pStyle w:val="Normal"/>
        <w:spacing w:before="60" w:after="60"/>
      </w:pPr>
      <w:r>
        <w:rPr>
          <w:rFonts w:ascii="Cambria" w:hAnsi="Cambria" w:eastAsia="Cambria" w:cs="Cambria"/>
          <w:b/>
          <w:color w:val="5C7A96"/>
          <w:sz w:val="30"/>
          <w:i/>
          <w:szCs w:val="22"/>
        </w:rPr>
        <w:t xml:space="preserve">Firewalled participation  -  </w:t>
      </w:r>
      <w:r>
        <w:rPr>
          <w:rFonts w:ascii="Cambria" w:hAnsi="Cambria" w:eastAsia="Cambria" w:cs="Cambria"/>
          <w:b/>
          <w:color w:val="1D2D3F"/>
          <w:sz w:val="20"/>
          <w:i/>
          <w:szCs w:val="22"/>
        </w:rPr>
        <w:t>A participant's withdrawal from a specific role suspends only that role's activities. Other roles the same participant holds continue operating. Other participants' roles remain unaffected. The Firewalled Provisions principle applies fully.</w:t>
      </w:r>
    </w:p>
    <w:p>
      <w:pPr>
        <w:pStyle w:val="Normal"/>
        <w:spacing w:before="60" w:after="60"/>
      </w:pPr>
      <w:r>
        <w:rPr>
          <w:rFonts w:ascii="Cambria" w:hAnsi="Cambria" w:eastAsia="Cambria" w:cs="Cambria"/>
          <w:b/>
          <w:color w:val="5C7A96"/>
          <w:sz w:val="30"/>
          <w:i/>
          <w:szCs w:val="22"/>
        </w:rPr>
        <w:t xml:space="preserve">Neutral designation  -  </w:t>
      </w:r>
      <w:r>
        <w:rPr>
          <w:rFonts w:ascii="Cambria" w:hAnsi="Cambria" w:eastAsia="Cambria" w:cs="Cambria"/>
          <w:b/>
          <w:color w:val="1D2D3F"/>
          <w:sz w:val="20"/>
          <w:i/>
          <w:szCs w:val="22"/>
        </w:rPr>
        <w:t>This Annex contains no country names, regional labels, or political groupings. Roles describe functions, capabilities, and contribution types. States self-identify against functional criteria.</w:t>
      </w:r>
    </w:p>
    <w:p>
      <w:pPr>
        <w:pStyle w:val="Normal"/>
        <w:spacing w:before="60" w:after="60"/>
      </w:pPr>
      <w:r>
        <w:rPr>
          <w:rFonts w:ascii="Cambria" w:hAnsi="Cambria" w:eastAsia="Cambria" w:cs="Cambria"/>
          <w:b/>
          <w:color w:val="5C7A96"/>
          <w:sz w:val="30"/>
          <w:i/>
          <w:szCs w:val="22"/>
        </w:rPr>
        <w:t xml:space="preserve">Open accession  -  </w:t>
      </w:r>
      <w:r>
        <w:rPr>
          <w:rFonts w:ascii="Cambria" w:hAnsi="Cambria" w:eastAsia="Cambria" w:cs="Cambria"/>
          <w:b/>
          <w:color w:val="1D2D3F"/>
          <w:sz w:val="20"/>
          <w:i/>
          <w:szCs w:val="22"/>
        </w:rPr>
        <w:t>States not ready to select a role enter Tier V as prospective participants. The framework architecture excludes any deadline for role selection. A State transitions from prospective participation to active participation at any time through written notification to the Implementation Secretariat.</w:t>
      </w:r>
    </w:p>
    <w:p>
      <w:pPr>
        <w:pStyle w:val="Heading2"/>
      </w:pPr>
      <w:r>
        <w:rPr>
          <w:rFonts w:ascii="Cambria" w:hAnsi="Cambria" w:eastAsia="Cambria" w:cs="Cambria"/>
          <w:b/>
          <w:color w:val="8A9DAA"/>
          <w:sz w:val="22"/>
          <w:szCs w:val="20"/>
          <w:i/>
        </w:rPr>
        <w:t xml:space="preserve">Section X.2  -  General Participation Clause</w:t>
      </w:r>
    </w:p>
    <w:p>
      <w:pPr>
        <w:pStyle w:val="Normal"/>
        <w:spacing w:before="60" w:after="60"/>
      </w:pPr>
      <w:r>
        <w:rPr>
          <w:rFonts w:ascii="Cambria" w:hAnsi="Cambria" w:eastAsia="Cambria" w:cs="Cambria"/>
          <w:b/>
          <w:color w:val="1D2D3F"/>
          <w:sz w:val="20"/>
          <w:i/>
          <w:szCs w:val="22"/>
        </w:rPr>
        <w:t>Any State joins the Framework in a capacity of its choosing, including but not limited to the roles this Annex enumerates. States propose additional roles at any time. New roles enter this Annex upon consensus of the Implementation Secretariat. This clause prevents exclusion and ensures universal dignity.</w:t>
      </w:r>
    </w:p>
    <w:p>
      <w:pPr>
        <w:pStyle w:val="Normal"/>
        <w:spacing w:before="60" w:after="60"/>
      </w:pPr>
      <w:r>
        <w:rPr>
          <w:rFonts w:ascii="Cambria" w:hAnsi="Cambria" w:eastAsia="Cambria" w:cs="Cambria"/>
          <w:b/>
          <w:color w:val="1D2D3F"/>
          <w:sz w:val="20"/>
          <w:i/>
          <w:szCs w:val="22"/>
        </w:rPr>
        <w:t>The framework architecture excludes any minimum capability threshold for participation. A State with limited resources selects a Tier IV or Tier V role. A State with extensive capabilities selects multiple roles across tiers. The architecture accommodates every level of contribution.</w:t>
      </w:r>
    </w:p>
    <w:p>
      <w:pPr>
        <w:pStyle w:val="Heading2"/>
      </w:pPr>
      <w:r>
        <w:rPr>
          <w:rFonts w:ascii="Cambria" w:hAnsi="Cambria" w:eastAsia="Cambria" w:cs="Cambria"/>
          <w:b/>
          <w:color w:val="8A9DAA"/>
          <w:sz w:val="22"/>
          <w:szCs w:val="20"/>
          <w:i/>
        </w:rPr>
        <w:t xml:space="preserve">Section X.3  -  Tiered Opt-In Roles</w:t>
      </w:r>
    </w:p>
    <w:p>
      <w:pPr>
        <w:pStyle w:val="Normal"/>
        <w:spacing w:before="60" w:after="60"/>
      </w:pPr>
      <w:r>
        <w:rPr>
          <w:rFonts w:ascii="Cambria" w:hAnsi="Cambria" w:eastAsia="Cambria" w:cs="Cambria"/>
          <w:b/>
          <w:color w:val="1D2D3F"/>
          <w:sz w:val="20"/>
          <w:i/>
          <w:szCs w:val="22"/>
        </w:rPr>
        <w:t>The following tiers group roles by functional category. States join any tier or combination of tiers. States move between tiers at any time without prejudice. Each role description includes: the function summary, the required capabilities, the integration track, and the coordination mechanism.</w:t>
      </w:r>
    </w:p>
    <w:p>
      <w:pPr>
        <w:pStyle w:val="Heading3"/>
      </w:pPr>
      <w:r>
        <w:rPr>
          <w:rFonts w:ascii="Cambria" w:hAnsi="Cambria" w:eastAsia="Cambria" w:cs="Cambria"/>
          <w:b/>
          <w:color w:val="1D2D3F"/>
          <w:sz w:val="20"/>
          <w:szCs w:val="20"/>
        </w:rPr>
        <w:t xml:space="preserve">Tier I  -  Core Implementation and Security Partners</w:t>
      </w:r>
    </w:p>
    <w:p>
      <w:pPr>
        <w:pStyle w:val="Normal"/>
        <w:spacing w:after="100"/>
        <w:jc w:val="center"/>
      </w:pPr>
      <w:r>
        <w:rPr>
          <w:rFonts w:ascii="Cambria" w:hAnsi="Cambria" w:eastAsia="Cambria" w:cs="Cambria"/>
          <w:i/>
          <w:color w:val="1D2D3F"/>
          <w:sz w:val="20"/>
          <w:szCs w:val="20"/>
        </w:rPr>
        <w:t>Tier I addresses States directly engaged in primary Compact obligations: maritime security, implementation coordination, and verification leadership. Participation in Tier I does not preclude participation in other tiers.</w:t>
      </w:r>
    </w:p>
    <w:p>
      <w:pPr>
        <w:pStyle w:val="Normal"/>
        <w:spacing w:before="60" w:after="60"/>
      </w:pPr>
      <w:r>
        <w:rPr>
          <w:rFonts w:ascii="Cambria" w:hAnsi="Cambria" w:eastAsia="Cambria" w:cs="Cambria"/>
          <w:b/>
          <w:color w:val="5C7A96"/>
          <w:sz w:val="30"/>
          <w:i/>
          <w:szCs w:val="22"/>
        </w:rPr>
        <w:t>Role I-A: Maritime Security Coalition Lead</w:t>
      </w:r>
    </w:p>
    <w:p>
      <w:pPr>
        <w:pStyle w:val="Normal"/>
        <w:spacing w:before="60" w:after="60"/>
      </w:pPr>
      <w:r>
        <w:rPr>
          <w:rFonts w:ascii="Cambria" w:hAnsi="Cambria" w:eastAsia="Cambria" w:cs="Cambria"/>
          <w:b/>
          <w:color w:val="1D2D3F"/>
          <w:sz w:val="20"/>
          <w:i/>
          <w:szCs w:val="22"/>
        </w:rPr>
        <w:t>This role involves leading the multinational defensive maritime initiative that protects merchant vessels, reassures commercial shipping operators, and supports verification that the Strait remains mine-free and transit-capable. The role requires naval command-and-control capability, blue-water naval assets, and experience in multinational maritime coalition leadership.</w:t>
      </w:r>
    </w:p>
    <w:p>
      <w:pPr>
        <w:pStyle w:val="Normal"/>
        <w:spacing w:before="60" w:after="60"/>
      </w:pPr>
      <w:r>
        <w:rPr>
          <w:rFonts w:ascii="Cambria" w:hAnsi="Cambria" w:eastAsia="Cambria" w:cs="Cambria"/>
          <w:b/>
          <w:color w:val="1D2D3F"/>
          <w:sz w:val="20"/>
          <w:i/>
          <w:szCs w:val="22"/>
        </w:rPr>
        <w:t>The coalition lead coordinates with the Joint Maritime Coordination Center described in Annex M. The lead provides regular operational reports to the Implementation Secretariat. The lead facilitates mine-countermeasures operations, air-patrol coordination, and defensive maritime posture.</w:t>
      </w:r>
    </w:p>
    <w:p>
      <w:pPr>
        <w:pStyle w:val="Normal"/>
        <w:spacing w:before="60" w:after="60"/>
      </w:pPr>
      <w:r>
        <w:rPr>
          <w:rFonts w:ascii="Cambria" w:hAnsi="Cambria" w:eastAsia="Cambria" w:cs="Cambria"/>
          <w:b/>
          <w:color w:val="1D2D3F"/>
          <w:sz w:val="20"/>
          <w:i/>
          <w:szCs w:val="22"/>
        </w:rPr>
        <w:t>This role typically involves two co-leading States to ensure distributed command and continuity. The co-leads rotate operational command on a schedule the Implementation Secretariat sets.</w:t>
      </w:r>
    </w:p>
    <w:p>
      <w:pPr>
        <w:pStyle w:val="Normal"/>
        <w:spacing w:before="60" w:after="60"/>
      </w:pPr>
      <w:r>
        <w:rPr>
          <w:rFonts w:ascii="Cambria" w:hAnsi="Cambria" w:eastAsia="Cambria" w:cs="Cambria"/>
          <w:b/>
          <w:color w:val="5C7A96"/>
          <w:sz w:val="30"/>
          <w:i/>
          <w:szCs w:val="22"/>
        </w:rPr>
        <w:t>Role I-B: Implementation Coordinator</w:t>
      </w:r>
    </w:p>
    <w:p>
      <w:pPr>
        <w:pStyle w:val="Normal"/>
        <w:spacing w:before="60" w:after="60"/>
      </w:pPr>
      <w:r>
        <w:rPr>
          <w:rFonts w:ascii="Cambria" w:hAnsi="Cambria" w:eastAsia="Cambria" w:cs="Cambria"/>
          <w:b/>
          <w:color w:val="1D2D3F"/>
          <w:sz w:val="20"/>
          <w:i/>
          <w:szCs w:val="22"/>
        </w:rPr>
        <w:t>This role oversees the sequencing of verification and relief across all reciprocity units. The Implementation Coordinator maintains the master implementation timeline, tracks milestone completion, and flags synchronization risks before they escalate into disputes.</w:t>
      </w:r>
    </w:p>
    <w:p>
      <w:pPr>
        <w:pStyle w:val="Normal"/>
        <w:spacing w:before="60" w:after="60"/>
      </w:pPr>
      <w:r>
        <w:rPr>
          <w:rFonts w:ascii="Cambria" w:hAnsi="Cambria" w:eastAsia="Cambria" w:cs="Cambria"/>
          <w:b/>
          <w:color w:val="1D2D3F"/>
          <w:sz w:val="20"/>
          <w:i/>
          <w:szCs w:val="22"/>
        </w:rPr>
        <w:t>The Coordinator chairs the weekly implementation review, maintains the executive summary dashboard, and serves as the primary liaison between the Neutral Guarantor and participating States. This role requires diplomatic infrastructure, experience in multilateral implementation frameworks, and capacity for 24/7 operational coordination.</w:t>
      </w:r>
    </w:p>
    <w:p>
      <w:pPr>
        <w:pStyle w:val="Normal"/>
        <w:spacing w:before="60" w:after="60"/>
      </w:pPr>
      <w:r>
        <w:rPr>
          <w:rFonts w:ascii="Cambria" w:hAnsi="Cambria" w:eastAsia="Cambria" w:cs="Cambria"/>
          <w:b/>
          <w:color w:val="1D2D3F"/>
          <w:sz w:val="20"/>
          <w:i/>
          <w:szCs w:val="22"/>
        </w:rPr>
        <w:t>The Coordinator holds no enforcement authority. The Coordinator facilitates communication and tracks progress. Disputes route to the Human-in-the-Loop Review under Article VII, not to the Coordinator.</w:t>
      </w:r>
    </w:p>
    <w:p>
      <w:pPr>
        <w:pStyle w:val="Normal"/>
        <w:spacing w:before="60" w:after="60"/>
      </w:pPr>
      <w:r>
        <w:rPr>
          <w:rFonts w:ascii="Cambria" w:hAnsi="Cambria" w:eastAsia="Cambria" w:cs="Cambria"/>
          <w:b/>
          <w:color w:val="5C7A96"/>
          <w:sz w:val="30"/>
          <w:i/>
          <w:szCs w:val="22"/>
        </w:rPr>
        <w:t>Role I-C: Verification and Monitoring Liaison</w:t>
      </w:r>
    </w:p>
    <w:p>
      <w:pPr>
        <w:pStyle w:val="Normal"/>
        <w:spacing w:before="60" w:after="60"/>
      </w:pPr>
      <w:r>
        <w:rPr>
          <w:rFonts w:ascii="Cambria" w:hAnsi="Cambria" w:eastAsia="Cambria" w:cs="Cambria"/>
          <w:b/>
          <w:color w:val="1D2D3F"/>
          <w:sz w:val="20"/>
          <w:i/>
          <w:szCs w:val="22"/>
        </w:rPr>
        <w:t>This role provides intelligence, surveillance, and reconnaissance capabilities that supplement the IAEA verification architecture. The Verification Liaison operates airborne early-warning platforms, maritime surveillance systems, or space-based monitoring assets that contribute to the telemetry record.</w:t>
      </w:r>
    </w:p>
    <w:p>
      <w:pPr>
        <w:pStyle w:val="Normal"/>
        <w:spacing w:before="60" w:after="60"/>
      </w:pPr>
      <w:r>
        <w:rPr>
          <w:rFonts w:ascii="Cambria" w:hAnsi="Cambria" w:eastAsia="Cambria" w:cs="Cambria"/>
          <w:b/>
          <w:color w:val="1D2D3F"/>
          <w:sz w:val="20"/>
          <w:i/>
          <w:szCs w:val="22"/>
        </w:rPr>
        <w:t>Data flows directly to the Swiss-hosted dashboard described in Article V. The Verification Liaison holds no unilateral interpretation authority. The IAEA and the Human-in-the-Loop Review use the data as supplementary verification material.</w:t>
      </w:r>
    </w:p>
    <w:p>
      <w:pPr>
        <w:pStyle w:val="Normal"/>
        <w:spacing w:before="60" w:after="60"/>
      </w:pPr>
      <w:r>
        <w:rPr>
          <w:rFonts w:ascii="Cambria" w:hAnsi="Cambria" w:eastAsia="Cambria" w:cs="Cambria"/>
          <w:b/>
          <w:color w:val="1D2D3F"/>
          <w:sz w:val="20"/>
          <w:i/>
          <w:szCs w:val="22"/>
        </w:rPr>
        <w:t>This role requires existing surveillance infrastructure, data-sharing agreements with the Swiss technical guarantor, and capacity for continuous or near-continuous coverage during the implementation window.</w:t>
      </w:r>
    </w:p>
    <w:p>
      <w:pPr>
        <w:pStyle w:val="Normal"/>
        <w:spacing w:before="60" w:after="60"/>
      </w:pPr>
      <w:r>
        <w:rPr>
          <w:rFonts w:ascii="Cambria" w:hAnsi="Cambria" w:eastAsia="Cambria" w:cs="Cambria"/>
          <w:b/>
          <w:color w:val="5C7A96"/>
          <w:sz w:val="30"/>
          <w:i/>
          <w:szCs w:val="22"/>
        </w:rPr>
        <w:t>Role I-D: Sanctions-Sequencing Facilitator</w:t>
      </w:r>
    </w:p>
    <w:p>
      <w:pPr>
        <w:pStyle w:val="Normal"/>
        <w:spacing w:before="60" w:after="60"/>
      </w:pPr>
      <w:r>
        <w:rPr>
          <w:rFonts w:ascii="Cambria" w:hAnsi="Cambria" w:eastAsia="Cambria" w:cs="Cambria"/>
          <w:b/>
          <w:color w:val="1D2D3F"/>
          <w:sz w:val="20"/>
          <w:i/>
          <w:szCs w:val="22"/>
        </w:rPr>
        <w:t>This role supports the financial architecture of Annex L by providing banking-channel expertise, sanctions-compliance guidance, and financial-messaging infrastructure. The Facilitator works with the Swiss escrow manager to ensure relief tranches flow efficiently to their designated recipients.</w:t>
      </w:r>
    </w:p>
    <w:p>
      <w:pPr>
        <w:pStyle w:val="Normal"/>
        <w:spacing w:before="60" w:after="60"/>
      </w:pPr>
      <w:r>
        <w:rPr>
          <w:rFonts w:ascii="Cambria" w:hAnsi="Cambria" w:eastAsia="Cambria" w:cs="Cambria"/>
          <w:b/>
          <w:color w:val="1D2D3F"/>
          <w:sz w:val="20"/>
          <w:i/>
          <w:szCs w:val="22"/>
        </w:rPr>
        <w:t>This role requires presence in the global financial system, experience with international banking compliance standards, and established relationships with the financial institutions that process relief flows.</w:t>
      </w:r>
    </w:p>
    <w:p>
      <w:pPr>
        <w:pStyle w:val="Heading3"/>
      </w:pPr>
      <w:r>
        <w:rPr>
          <w:rFonts w:ascii="Cambria" w:hAnsi="Cambria" w:eastAsia="Cambria" w:cs="Cambria"/>
          <w:b/>
          <w:color w:val="1D2D3F"/>
          <w:sz w:val="20"/>
          <w:szCs w:val="20"/>
        </w:rPr>
        <w:t xml:space="preserve">Tier II  -  Technical and Maritime Contributors</w:t>
      </w:r>
    </w:p>
    <w:p>
      <w:pPr>
        <w:pStyle w:val="Normal"/>
        <w:spacing w:after="100"/>
        <w:jc w:val="center"/>
      </w:pPr>
      <w:r>
        <w:rPr>
          <w:rFonts w:ascii="Cambria" w:hAnsi="Cambria" w:eastAsia="Cambria" w:cs="Cambria"/>
          <w:i/>
          <w:color w:val="1D2D3F"/>
          <w:sz w:val="20"/>
          <w:szCs w:val="20"/>
        </w:rPr>
        <w:t>Tier II addresses States providing specialized naval assets, technical expertise, or regulatory support. These roles support Tier I functions without requiring the command-and-control responsibilities that Tier I carries.</w:t>
      </w:r>
    </w:p>
    <w:p>
      <w:pPr>
        <w:pStyle w:val="Normal"/>
        <w:spacing w:before="60" w:after="60"/>
      </w:pPr>
      <w:r>
        <w:rPr>
          <w:rFonts w:ascii="Cambria" w:hAnsi="Cambria" w:eastAsia="Cambria" w:cs="Cambria"/>
          <w:b/>
          <w:color w:val="5C7A96"/>
          <w:sz w:val="30"/>
          <w:i/>
          <w:szCs w:val="22"/>
        </w:rPr>
        <w:t>Role II-A: Mine Countermeasures and Clearance Contributor</w:t>
      </w:r>
    </w:p>
    <w:p>
      <w:pPr>
        <w:pStyle w:val="Normal"/>
        <w:spacing w:before="60" w:after="60"/>
      </w:pPr>
      <w:r>
        <w:rPr>
          <w:rFonts w:ascii="Cambria" w:hAnsi="Cambria" w:eastAsia="Cambria" w:cs="Cambria"/>
          <w:b/>
          <w:color w:val="1D2D3F"/>
          <w:sz w:val="20"/>
          <w:i/>
          <w:szCs w:val="22"/>
        </w:rPr>
        <w:t>This role provides dedicated minehunting vessels, remotely-operated underwater vehicles, mine-neutralization divers, or autonomous mine-detection systems for the clearance of the Strait of Hormuz and approaches. Mine clearance is the pacing item for full commercial-transit resumption; this role is operationally critical.</w:t>
      </w:r>
    </w:p>
    <w:p>
      <w:pPr>
        <w:pStyle w:val="Normal"/>
        <w:spacing w:before="60" w:after="60"/>
      </w:pPr>
      <w:r>
        <w:rPr>
          <w:rFonts w:ascii="Cambria" w:hAnsi="Cambria" w:eastAsia="Cambria" w:cs="Cambria"/>
          <w:b/>
          <w:color w:val="1D2D3F"/>
          <w:sz w:val="20"/>
          <w:i/>
          <w:szCs w:val="22"/>
        </w:rPr>
        <w:t>The contributor operates under the tactical coordination of the Maritime Security Coalition Lead. The contributor reports clearance progress to the Joint Maritime Coordination Center. The contributor adheres to the safety protocols the Center publishes.</w:t>
      </w:r>
    </w:p>
    <w:p>
      <w:pPr>
        <w:pStyle w:val="Normal"/>
        <w:spacing w:before="60" w:after="60"/>
      </w:pPr>
      <w:r>
        <w:rPr>
          <w:rFonts w:ascii="Cambria" w:hAnsi="Cambria" w:eastAsia="Cambria" w:cs="Cambria"/>
          <w:b/>
          <w:color w:val="1D2D3F"/>
          <w:sz w:val="20"/>
          <w:i/>
          <w:szCs w:val="22"/>
        </w:rPr>
        <w:t>This role requires proven mine-countermeasures capability, operational experience in littoral environments, and availability for sustained deployment during the 30-day recovery period and beyond.</w:t>
      </w:r>
    </w:p>
    <w:p>
      <w:pPr>
        <w:pStyle w:val="Normal"/>
        <w:spacing w:before="60" w:after="60"/>
      </w:pPr>
      <w:r>
        <w:rPr>
          <w:rFonts w:ascii="Cambria" w:hAnsi="Cambria" w:eastAsia="Cambria" w:cs="Cambria"/>
          <w:b/>
          <w:color w:val="5C7A96"/>
          <w:sz w:val="30"/>
          <w:i/>
          <w:szCs w:val="22"/>
        </w:rPr>
        <w:t>Role II-B: Maritime Domain Awareness and Data-Sharing Contributor</w:t>
      </w:r>
    </w:p>
    <w:p>
      <w:pPr>
        <w:pStyle w:val="Normal"/>
        <w:spacing w:before="60" w:after="60"/>
      </w:pPr>
      <w:r>
        <w:rPr>
          <w:rFonts w:ascii="Cambria" w:hAnsi="Cambria" w:eastAsia="Cambria" w:cs="Cambria"/>
          <w:b/>
          <w:color w:val="1D2D3F"/>
          <w:sz w:val="20"/>
          <w:i/>
          <w:szCs w:val="22"/>
        </w:rPr>
        <w:t>This role provides vessel-tracking data, port-state information, or commercial shipping intelligence that feeds the Joint Maritime Coordination Center's traffic picture. The contributor integrates automatic identification system feeds, port logs, or commercial maritime databases into the shared operational picture.</w:t>
      </w:r>
    </w:p>
    <w:p>
      <w:pPr>
        <w:pStyle w:val="Normal"/>
        <w:spacing w:before="60" w:after="60"/>
      </w:pPr>
      <w:r>
        <w:rPr>
          <w:rFonts w:ascii="Cambria" w:hAnsi="Cambria" w:eastAsia="Cambria" w:cs="Cambria"/>
          <w:b/>
          <w:color w:val="1D2D3F"/>
          <w:sz w:val="20"/>
          <w:i/>
          <w:szCs w:val="22"/>
        </w:rPr>
        <w:t>This role requires existing maritime-data infrastructure, agreements for sharing commercial shipping information, and technical capacity for real-time or near-real-time data feeds.</w:t>
      </w:r>
    </w:p>
    <w:p>
      <w:pPr>
        <w:pStyle w:val="Normal"/>
        <w:spacing w:before="60" w:after="60"/>
      </w:pPr>
      <w:r>
        <w:rPr>
          <w:rFonts w:ascii="Cambria" w:hAnsi="Cambria" w:eastAsia="Cambria" w:cs="Cambria"/>
          <w:b/>
          <w:color w:val="5C7A96"/>
          <w:sz w:val="30"/>
          <w:i/>
          <w:szCs w:val="22"/>
        </w:rPr>
        <w:t>Role II-C: Monitoring Technology Contributor</w:t>
      </w:r>
    </w:p>
    <w:p>
      <w:pPr>
        <w:pStyle w:val="Normal"/>
        <w:spacing w:before="60" w:after="60"/>
      </w:pPr>
      <w:r>
        <w:rPr>
          <w:rFonts w:ascii="Cambria" w:hAnsi="Cambria" w:eastAsia="Cambria" w:cs="Cambria"/>
          <w:b/>
          <w:color w:val="1D2D3F"/>
          <w:sz w:val="20"/>
          <w:i/>
          <w:szCs w:val="22"/>
        </w:rPr>
        <w:t>This role provides sensor technology, communications infrastructure, or cybersecurity capabilities that protect the verification and monitoring architecture. The contributor supplies hardware, software, or technical personnel that the IAEA or the Swiss technical guarantor deploys.</w:t>
      </w:r>
    </w:p>
    <w:p>
      <w:pPr>
        <w:pStyle w:val="Normal"/>
        <w:spacing w:before="60" w:after="60"/>
      </w:pPr>
      <w:r>
        <w:rPr>
          <w:rFonts w:ascii="Cambria" w:hAnsi="Cambria" w:eastAsia="Cambria" w:cs="Cambria"/>
          <w:b/>
          <w:color w:val="1D2D3F"/>
          <w:sz w:val="20"/>
          <w:i/>
          <w:szCs w:val="22"/>
        </w:rPr>
        <w:t>This role requires demonstrated capability in surveillance technology, secure communications, or industrial cybersecurity. The contributor transfers no technology with military applications; all contributions serve civilian verification purposes.</w:t>
      </w:r>
    </w:p>
    <w:p>
      <w:pPr>
        <w:pStyle w:val="Normal"/>
        <w:spacing w:before="60" w:after="60"/>
      </w:pPr>
      <w:r>
        <w:rPr>
          <w:rFonts w:ascii="Cambria" w:hAnsi="Cambria" w:eastAsia="Cambria" w:cs="Cambria"/>
          <w:b/>
          <w:color w:val="5C7A96"/>
          <w:sz w:val="30"/>
          <w:i/>
          <w:szCs w:val="22"/>
        </w:rPr>
        <w:t>Role II-D: Naval Presence Contributor</w:t>
      </w:r>
    </w:p>
    <w:p>
      <w:pPr>
        <w:pStyle w:val="Normal"/>
        <w:spacing w:before="60" w:after="60"/>
      </w:pPr>
      <w:r>
        <w:rPr>
          <w:rFonts w:ascii="Cambria" w:hAnsi="Cambria" w:eastAsia="Cambria" w:cs="Cambria"/>
          <w:b/>
          <w:color w:val="1D2D3F"/>
          <w:sz w:val="20"/>
          <w:i/>
          <w:szCs w:val="22"/>
        </w:rPr>
        <w:t xml:space="preserve">This role provides naval vessels  -  frigates, destroyers, patrol vessels, logistics ships, or amphibious support vessels  -  that reinforce the defensive maritime posture. The contributor operates under the coordination framework the Maritime Security Coalition Lead establishes.</w:t>
      </w:r>
    </w:p>
    <w:p>
      <w:pPr>
        <w:pStyle w:val="Normal"/>
        <w:spacing w:before="60" w:after="60"/>
      </w:pPr>
      <w:r>
        <w:rPr>
          <w:rFonts w:ascii="Cambria" w:hAnsi="Cambria" w:eastAsia="Cambria" w:cs="Cambria"/>
          <w:b/>
          <w:color w:val="1D2D3F"/>
          <w:sz w:val="20"/>
          <w:i/>
          <w:szCs w:val="22"/>
        </w:rPr>
        <w:t>This role requires blue-water or green-water naval capability and availability for sustained deployment. The contributor maintains defensive posture only; offensive operations fall outside this role's scope.</w:t>
      </w:r>
    </w:p>
    <w:p>
      <w:pPr>
        <w:pStyle w:val="Heading3"/>
      </w:pPr>
      <w:r>
        <w:rPr>
          <w:rFonts w:ascii="Cambria" w:hAnsi="Cambria" w:eastAsia="Cambria" w:cs="Cambria"/>
          <w:b/>
          <w:color w:val="1D2D3F"/>
          <w:sz w:val="20"/>
          <w:szCs w:val="20"/>
        </w:rPr>
        <w:t xml:space="preserve">Tier III  -  Humanitarian and Civilian Support Partners</w:t>
      </w:r>
    </w:p>
    <w:p>
      <w:pPr>
        <w:pStyle w:val="Normal"/>
        <w:spacing w:after="100"/>
        <w:jc w:val="center"/>
      </w:pPr>
      <w:r>
        <w:rPr>
          <w:rFonts w:ascii="Cambria" w:hAnsi="Cambria" w:eastAsia="Cambria" w:cs="Cambria"/>
          <w:i/>
          <w:color w:val="1D2D3F"/>
          <w:sz w:val="20"/>
          <w:szCs w:val="20"/>
        </w:rPr>
        <w:t>Tier III addresses States supporting humanitarian, medical, or civilian-nuclear channels. These roles require no military capability. They serve the civilian population and the international community directly.</w:t>
      </w:r>
    </w:p>
    <w:p>
      <w:pPr>
        <w:pStyle w:val="Normal"/>
        <w:spacing w:before="60" w:after="60"/>
      </w:pPr>
      <w:r>
        <w:rPr>
          <w:rFonts w:ascii="Cambria" w:hAnsi="Cambria" w:eastAsia="Cambria" w:cs="Cambria"/>
          <w:b/>
          <w:color w:val="5C7A96"/>
          <w:sz w:val="30"/>
          <w:i/>
          <w:szCs w:val="22"/>
        </w:rPr>
        <w:t>Role III-A: Humanitarian Corridor Partner</w:t>
      </w:r>
    </w:p>
    <w:p>
      <w:pPr>
        <w:pStyle w:val="Normal"/>
        <w:spacing w:before="60" w:after="60"/>
      </w:pPr>
      <w:r>
        <w:rPr>
          <w:rFonts w:ascii="Cambria" w:hAnsi="Cambria" w:eastAsia="Cambria" w:cs="Cambria"/>
          <w:b/>
          <w:color w:val="1D2D3F"/>
          <w:sz w:val="20"/>
          <w:i/>
          <w:szCs w:val="22"/>
        </w:rPr>
        <w:t>This role facilitates the passage of medicine, food, medical equipment, and other humanitarian goods through the Strait of Hormuz and into receiving ports. The partner provides logistical coordination, transport capacity, or diplomatic clearance mechanisms that humanitarian flows require.</w:t>
      </w:r>
    </w:p>
    <w:p>
      <w:pPr>
        <w:pStyle w:val="Normal"/>
        <w:spacing w:before="60" w:after="60"/>
      </w:pPr>
      <w:r>
        <w:rPr>
          <w:rFonts w:ascii="Cambria" w:hAnsi="Cambria" w:eastAsia="Cambria" w:cs="Cambria"/>
          <w:b/>
          <w:color w:val="1D2D3F"/>
          <w:sz w:val="20"/>
          <w:i/>
          <w:szCs w:val="22"/>
        </w:rPr>
        <w:t>The partner coordinates with the Neutral Guarantor and the Joint Coordination Center. Humanitarian goods transit under the absolute non-interdiction protocol. The partner reports humanitarian-flow volumes to the public dashboard.</w:t>
      </w:r>
    </w:p>
    <w:p>
      <w:pPr>
        <w:pStyle w:val="Normal"/>
        <w:spacing w:before="60" w:after="60"/>
      </w:pPr>
      <w:r>
        <w:rPr>
          <w:rFonts w:ascii="Cambria" w:hAnsi="Cambria" w:eastAsia="Cambria" w:cs="Cambria"/>
          <w:b/>
          <w:color w:val="5C7A96"/>
          <w:sz w:val="30"/>
          <w:i/>
          <w:szCs w:val="22"/>
        </w:rPr>
        <w:t>Role III-B: Medical-Isotope Supply Facilitator</w:t>
      </w:r>
    </w:p>
    <w:p>
      <w:pPr>
        <w:pStyle w:val="Normal"/>
        <w:spacing w:before="60" w:after="60"/>
      </w:pPr>
      <w:r>
        <w:rPr>
          <w:rFonts w:ascii="Cambria" w:hAnsi="Cambria" w:eastAsia="Cambria" w:cs="Cambria"/>
          <w:b/>
          <w:color w:val="1D2D3F"/>
          <w:sz w:val="20"/>
          <w:i/>
          <w:szCs w:val="22"/>
        </w:rPr>
        <w:t>This role supports the production, transport, or delivery of medical isotopes for civilian nuclear medicine. The facilitator ensures that the Tehran Research Reactor and associated medical facilities receive the isotope supplies and technical support that civilian nuclear medicine programs require.</w:t>
      </w:r>
    </w:p>
    <w:p>
      <w:pPr>
        <w:pStyle w:val="Normal"/>
        <w:spacing w:before="60" w:after="60"/>
      </w:pPr>
      <w:r>
        <w:rPr>
          <w:rFonts w:ascii="Cambria" w:hAnsi="Cambria" w:eastAsia="Cambria" w:cs="Cambria"/>
          <w:b/>
          <w:color w:val="1D2D3F"/>
          <w:sz w:val="20"/>
          <w:i/>
          <w:szCs w:val="22"/>
        </w:rPr>
        <w:t>This role requires existing capability in nuclear medicine, radioisotope logistics, or radiopharmaceutical supply chains.</w:t>
      </w:r>
    </w:p>
    <w:p>
      <w:pPr>
        <w:pStyle w:val="Normal"/>
        <w:spacing w:before="60" w:after="60"/>
      </w:pPr>
      <w:r>
        <w:rPr>
          <w:rFonts w:ascii="Cambria" w:hAnsi="Cambria" w:eastAsia="Cambria" w:cs="Cambria"/>
          <w:b/>
          <w:color w:val="5C7A96"/>
          <w:sz w:val="30"/>
          <w:i/>
          <w:szCs w:val="22"/>
        </w:rPr>
        <w:t>Role III-C: Civilian Nuclear Safety Supporter</w:t>
      </w:r>
    </w:p>
    <w:p>
      <w:pPr>
        <w:pStyle w:val="Normal"/>
        <w:spacing w:before="60" w:after="60"/>
      </w:pPr>
      <w:r>
        <w:rPr>
          <w:rFonts w:ascii="Cambria" w:hAnsi="Cambria" w:eastAsia="Cambria" w:cs="Cambria"/>
          <w:b/>
          <w:color w:val="1D2D3F"/>
          <w:sz w:val="20"/>
          <w:i/>
          <w:szCs w:val="22"/>
        </w:rPr>
        <w:t>This role provides nuclear safety expertise, training, or technical assistance for Iran's civilian nuclear program. The supporter assists with reactor safety assessments, regulatory framework development, or emergency preparedness programs.</w:t>
      </w:r>
    </w:p>
    <w:p>
      <w:pPr>
        <w:pStyle w:val="Normal"/>
        <w:spacing w:before="60" w:after="60"/>
      </w:pPr>
      <w:r>
        <w:rPr>
          <w:rFonts w:ascii="Cambria" w:hAnsi="Cambria" w:eastAsia="Cambria" w:cs="Cambria"/>
          <w:b/>
          <w:color w:val="1D2D3F"/>
          <w:sz w:val="20"/>
          <w:i/>
          <w:szCs w:val="22"/>
        </w:rPr>
        <w:t>This role operates exclusively at declared civilian facilities. The supporter engages only through the IAEA coordination channel. The supporter performs no verification function; that authority resides with the IAEA alone.</w:t>
      </w:r>
    </w:p>
    <w:p>
      <w:pPr>
        <w:pStyle w:val="Normal"/>
        <w:spacing w:before="60" w:after="60"/>
      </w:pPr>
      <w:r>
        <w:rPr>
          <w:rFonts w:ascii="Cambria" w:hAnsi="Cambria" w:eastAsia="Cambria" w:cs="Cambria"/>
          <w:b/>
          <w:color w:val="5C7A96"/>
          <w:sz w:val="30"/>
          <w:i/>
          <w:szCs w:val="22"/>
        </w:rPr>
        <w:t>Role III-D: Essential Goods Access Partner</w:t>
      </w:r>
    </w:p>
    <w:p>
      <w:pPr>
        <w:pStyle w:val="Normal"/>
        <w:spacing w:before="60" w:after="60"/>
      </w:pPr>
      <w:r>
        <w:rPr>
          <w:rFonts w:ascii="Cambria" w:hAnsi="Cambria" w:eastAsia="Cambria" w:cs="Cambria"/>
          <w:b/>
          <w:color w:val="1D2D3F"/>
          <w:sz w:val="20"/>
          <w:i/>
          <w:szCs w:val="22"/>
        </w:rPr>
        <w:t>This role ensures the continued flow of food, medicine, agricultural commodities, and civilian aircraft parts to Iran through the general-licensing architecture. The partner provides trade finance, logistics, or diplomatic support for essential-goods transactions that fall under the Tier One relief unlock.</w:t>
      </w:r>
    </w:p>
    <w:p>
      <w:pPr>
        <w:pStyle w:val="Normal"/>
        <w:spacing w:before="60" w:after="60"/>
      </w:pPr>
      <w:r>
        <w:rPr>
          <w:rFonts w:ascii="Cambria" w:hAnsi="Cambria" w:eastAsia="Cambria" w:cs="Cambria"/>
          <w:b/>
          <w:color w:val="1D2D3F"/>
          <w:sz w:val="20"/>
          <w:i/>
          <w:szCs w:val="22"/>
        </w:rPr>
        <w:t>This role requires participation in international trade finance, agricultural commodity markets, or civilian aviation supply chains.</w:t>
      </w:r>
    </w:p>
    <w:p>
      <w:pPr>
        <w:pStyle w:val="Normal"/>
        <w:spacing w:before="60" w:after="60"/>
      </w:pPr>
      <w:r>
        <w:rPr>
          <w:rFonts w:ascii="Cambria" w:hAnsi="Cambria" w:eastAsia="Cambria" w:cs="Cambria"/>
          <w:b/>
          <w:color w:val="5C7A96"/>
          <w:sz w:val="30"/>
          <w:i/>
          <w:szCs w:val="22"/>
        </w:rPr>
        <w:t>Role III-E: Economic Normalization Partner</w:t>
      </w:r>
    </w:p>
    <w:p>
      <w:pPr>
        <w:pStyle w:val="Normal"/>
        <w:spacing w:before="60" w:after="60"/>
      </w:pPr>
      <w:r>
        <w:rPr>
          <w:rFonts w:ascii="Cambria" w:hAnsi="Cambria" w:eastAsia="Cambria" w:cs="Cambria"/>
          <w:b/>
          <w:color w:val="1D2D3F"/>
          <w:sz w:val="20"/>
          <w:i/>
          <w:szCs w:val="22"/>
        </w:rPr>
        <w:t>This role supports the long-term economic reintegration pathway described in Article IV. The partner provides technical assistance for financial transparency reforms, trade-and-investment facilitation, or capacity-building for economic modernization.</w:t>
      </w:r>
    </w:p>
    <w:p>
      <w:pPr>
        <w:pStyle w:val="Normal"/>
        <w:spacing w:before="60" w:after="60"/>
      </w:pPr>
      <w:r>
        <w:rPr>
          <w:rFonts w:ascii="Cambria" w:hAnsi="Cambria" w:eastAsia="Cambria" w:cs="Cambria"/>
          <w:b/>
          <w:color w:val="1D2D3F"/>
          <w:sz w:val="20"/>
          <w:i/>
          <w:szCs w:val="22"/>
        </w:rPr>
        <w:t>This role engages during Phase Three and continues through the follow-on negotiation period. The partner coordinates with the comprehensive sanctions architecture review process that the Tier Three unlock triggers.</w:t>
      </w:r>
    </w:p>
    <w:p>
      <w:pPr>
        <w:pStyle w:val="Heading3"/>
      </w:pPr>
      <w:r>
        <w:rPr>
          <w:rFonts w:ascii="Cambria" w:hAnsi="Cambria" w:eastAsia="Cambria" w:cs="Cambria"/>
          <w:b/>
          <w:color w:val="1D2D3F"/>
          <w:sz w:val="20"/>
          <w:szCs w:val="20"/>
        </w:rPr>
        <w:t xml:space="preserve">Tier IV  -  Observers and Dialogue Partners</w:t>
      </w:r>
    </w:p>
    <w:p>
      <w:pPr>
        <w:pStyle w:val="Normal"/>
        <w:spacing w:after="100"/>
        <w:jc w:val="center"/>
      </w:pPr>
      <w:r>
        <w:rPr>
          <w:rFonts w:ascii="Cambria" w:hAnsi="Cambria" w:eastAsia="Cambria" w:cs="Cambria"/>
          <w:i/>
          <w:color w:val="1D2D3F"/>
          <w:sz w:val="20"/>
          <w:szCs w:val="20"/>
        </w:rPr>
        <w:t>Tier IV addresses States wishing to participate without operational obligations. Observer and dialogue roles carry no compliance burden. They provide political legitimacy, regional credibility, and diplomatic channels.</w:t>
      </w:r>
    </w:p>
    <w:p>
      <w:pPr>
        <w:pStyle w:val="Normal"/>
        <w:spacing w:before="60" w:after="60"/>
      </w:pPr>
      <w:r>
        <w:rPr>
          <w:rFonts w:ascii="Cambria" w:hAnsi="Cambria" w:eastAsia="Cambria" w:cs="Cambria"/>
          <w:b/>
          <w:color w:val="5C7A96"/>
          <w:sz w:val="30"/>
          <w:i/>
          <w:szCs w:val="22"/>
        </w:rPr>
        <w:t>Role IV-A: Transparency Observer</w:t>
      </w:r>
    </w:p>
    <w:p>
      <w:pPr>
        <w:pStyle w:val="Normal"/>
        <w:spacing w:before="60" w:after="60"/>
      </w:pPr>
      <w:r>
        <w:rPr>
          <w:rFonts w:ascii="Cambria" w:hAnsi="Cambria" w:eastAsia="Cambria" w:cs="Cambria"/>
          <w:b/>
          <w:color w:val="1D2D3F"/>
          <w:sz w:val="20"/>
          <w:i/>
          <w:szCs w:val="22"/>
        </w:rPr>
        <w:t>This role provides international credibility through presence and observation. The Transparency Observer receives access to public dashboard data, attends Implementation Secretariat briefings, and publishes independent assessments of Compact implementation.</w:t>
      </w:r>
    </w:p>
    <w:p>
      <w:pPr>
        <w:pStyle w:val="Normal"/>
        <w:spacing w:before="60" w:after="60"/>
      </w:pPr>
      <w:r>
        <w:rPr>
          <w:rFonts w:ascii="Cambria" w:hAnsi="Cambria" w:eastAsia="Cambria" w:cs="Cambria"/>
          <w:b/>
          <w:color w:val="1D2D3F"/>
          <w:sz w:val="20"/>
          <w:i/>
          <w:szCs w:val="22"/>
        </w:rPr>
        <w:t>The Observer holds no compliance authority, issues no binding determinations, and performs no verification. The Observer's value lies in independent witness and transparent reporting to the international community.</w:t>
      </w:r>
    </w:p>
    <w:p>
      <w:pPr>
        <w:pStyle w:val="Normal"/>
        <w:spacing w:before="60" w:after="60"/>
      </w:pPr>
      <w:r>
        <w:rPr>
          <w:rFonts w:ascii="Cambria" w:hAnsi="Cambria" w:eastAsia="Cambria" w:cs="Cambria"/>
          <w:b/>
          <w:color w:val="5C7A96"/>
          <w:sz w:val="30"/>
          <w:i/>
          <w:szCs w:val="22"/>
        </w:rPr>
        <w:t>Role IV-B: Dialogue Partner</w:t>
      </w:r>
    </w:p>
    <w:p>
      <w:pPr>
        <w:pStyle w:val="Normal"/>
        <w:spacing w:before="60" w:after="60"/>
      </w:pPr>
      <w:r>
        <w:rPr>
          <w:rFonts w:ascii="Cambria" w:hAnsi="Cambria" w:eastAsia="Cambria" w:cs="Cambria"/>
          <w:b/>
          <w:color w:val="1D2D3F"/>
          <w:sz w:val="20"/>
          <w:i/>
          <w:szCs w:val="22"/>
        </w:rPr>
        <w:t>This role maintains formal communication channels with the Implementation Secretariat and both Parties. The Dialogue Partner participates in scheduled consultations, receives progress reports, and provides non-binding input on regional stability considerations.</w:t>
      </w:r>
    </w:p>
    <w:p>
      <w:pPr>
        <w:pStyle w:val="Normal"/>
        <w:spacing w:before="60" w:after="60"/>
      </w:pPr>
      <w:r>
        <w:rPr>
          <w:rFonts w:ascii="Cambria" w:hAnsi="Cambria" w:eastAsia="Cambria" w:cs="Cambria"/>
          <w:b/>
          <w:color w:val="1D2D3F"/>
          <w:sz w:val="20"/>
          <w:i/>
          <w:szCs w:val="22"/>
        </w:rPr>
        <w:t>This role suits regional States whose endorsement carries political weight for long-term legitimacy. The Dialogue Partner holds no vote, no veto, and no operational responsibility.</w:t>
      </w:r>
    </w:p>
    <w:p>
      <w:pPr>
        <w:pStyle w:val="Normal"/>
        <w:spacing w:before="60" w:after="60"/>
      </w:pPr>
      <w:r>
        <w:rPr>
          <w:rFonts w:ascii="Cambria" w:hAnsi="Cambria" w:eastAsia="Cambria" w:cs="Cambria"/>
          <w:b/>
          <w:color w:val="5C7A96"/>
          <w:sz w:val="30"/>
          <w:i/>
          <w:szCs w:val="22"/>
        </w:rPr>
        <w:t>Role IV-C: Regional Stability Liaison</w:t>
      </w:r>
    </w:p>
    <w:p>
      <w:pPr>
        <w:pStyle w:val="Normal"/>
        <w:spacing w:before="60" w:after="60"/>
      </w:pPr>
      <w:r>
        <w:rPr>
          <w:rFonts w:ascii="Cambria" w:hAnsi="Cambria" w:eastAsia="Cambria" w:cs="Cambria"/>
          <w:b/>
          <w:color w:val="1D2D3F"/>
          <w:sz w:val="20"/>
          <w:i/>
          <w:szCs w:val="22"/>
        </w:rPr>
        <w:t>This role supports the Regional Security Dialogue described in Article IV by facilitating communication among regional States, hosting dialogue sessions, and providing good offices for bilateral or multilateral consultations related to regional security.</w:t>
      </w:r>
    </w:p>
    <w:p>
      <w:pPr>
        <w:pStyle w:val="Normal"/>
        <w:spacing w:before="60" w:after="60"/>
      </w:pPr>
      <w:r>
        <w:rPr>
          <w:rFonts w:ascii="Cambria" w:hAnsi="Cambria" w:eastAsia="Cambria" w:cs="Cambria"/>
          <w:b/>
          <w:color w:val="1D2D3F"/>
          <w:sz w:val="20"/>
          <w:i/>
          <w:szCs w:val="22"/>
        </w:rPr>
        <w:t>This role requires established diplomatic relationships across the region and a credible history of neutral facilitation. The liaison takes no side in regional disputes and performs no enforcement function.</w:t>
      </w:r>
    </w:p>
    <w:p>
      <w:pPr>
        <w:pStyle w:val="Normal"/>
        <w:spacing w:before="60" w:after="60"/>
      </w:pPr>
      <w:r>
        <w:rPr>
          <w:rFonts w:ascii="Cambria" w:hAnsi="Cambria" w:eastAsia="Cambria" w:cs="Cambria"/>
          <w:b/>
          <w:color w:val="5C7A96"/>
          <w:sz w:val="30"/>
          <w:i/>
          <w:szCs w:val="22"/>
        </w:rPr>
        <w:t>Role IV-D: Information-Sharing Partner</w:t>
      </w:r>
    </w:p>
    <w:p>
      <w:pPr>
        <w:pStyle w:val="Normal"/>
        <w:spacing w:before="60" w:after="60"/>
      </w:pPr>
      <w:r>
        <w:rPr>
          <w:rFonts w:ascii="Cambria" w:hAnsi="Cambria" w:eastAsia="Cambria" w:cs="Cambria"/>
          <w:b/>
          <w:color w:val="1D2D3F"/>
          <w:sz w:val="20"/>
          <w:i/>
          <w:szCs w:val="22"/>
        </w:rPr>
        <w:t>This role provides open-source intelligence, analytical assessments, or situational awareness products that supplement the verification record. The partner shares data through the Swiss-hosted dashboard or the Joint Coordination Center.</w:t>
      </w:r>
    </w:p>
    <w:p>
      <w:pPr>
        <w:pStyle w:val="Normal"/>
        <w:spacing w:before="60" w:after="60"/>
      </w:pPr>
      <w:r>
        <w:rPr>
          <w:rFonts w:ascii="Cambria" w:hAnsi="Cambria" w:eastAsia="Cambria" w:cs="Cambria"/>
          <w:b/>
          <w:color w:val="1D2D3F"/>
          <w:sz w:val="20"/>
          <w:i/>
          <w:szCs w:val="22"/>
        </w:rPr>
        <w:t>This role requires analytical capability and existing information-sharing agreements with the technical guarantor infrastructure.</w:t>
      </w:r>
    </w:p>
    <w:p>
      <w:pPr>
        <w:pStyle w:val="Normal"/>
        <w:spacing w:after="120" w:line="276" w:lineRule="auto"/>
        <w:ind w:left="720" w:hanging="360"/>
      </w:pPr>
      <w:r>
        <w:rPr>
          <w:rFonts w:ascii="Cambria" w:hAnsi="Cambria" w:eastAsia="Cambria" w:cs="Cambria"/>
          <w:color w:val="1D2D3F"/>
          <w:sz w:val="20"/>
          <w:b/>
          <w:szCs w:val="22"/>
        </w:rPr>
        <w:t>Role IV-E: Humanitarian and Human Rights Accountability Partner</w:t>
      </w:r>
    </w:p>
    <w:p>
      <w:pPr>
        <w:pStyle w:val="Normal"/>
        <w:spacing w:after="120" w:line="276" w:lineRule="auto"/>
        <w:ind w:left="720" w:hanging="360"/>
      </w:pPr>
      <w:r>
        <w:rPr>
          <w:rFonts w:ascii="Cambria" w:hAnsi="Cambria" w:eastAsia="Cambria" w:cs="Cambria"/>
          <w:color w:val="1D2D3F"/>
          <w:sz w:val="20"/>
          <w:szCs w:val="20"/>
        </w:rPr>
        <w:t xml:space="preserve">This role is for States that wish to coordinate and implement sovereign measures  -  including sanctions, trade restrictions, or legal actions  -  in response to a verified violation of international law, humanitarian law, or human rights, such as a verified unprovoked attack under Annex B, Section B.9.</w:t>
      </w:r>
    </w:p>
    <w:p>
      <w:pPr>
        <w:pStyle w:val="Normal"/>
        <w:spacing w:after="120" w:line="276" w:lineRule="auto"/>
        <w:ind w:left="720" w:hanging="360"/>
      </w:pPr>
      <w:r>
        <w:rPr>
          <w:rFonts w:ascii="Cambria" w:hAnsi="Cambria" w:eastAsia="Cambria" w:cs="Cambria"/>
          <w:color w:val="1D2D3F"/>
          <w:sz w:val="20"/>
          <w:szCs w:val="20"/>
        </w:rPr>
        <w:t>This role requires: an established legal framework for imposing sanctions or trade measures; participation in international trade or financial systems; and willingness to coordinate with other States on timing and scope of measures.</w:t>
      </w:r>
    </w:p>
    <w:p>
      <w:pPr>
        <w:pStyle w:val="Normal"/>
        <w:spacing w:after="120" w:line="276" w:lineRule="auto"/>
        <w:ind w:left="720" w:hanging="360"/>
      </w:pPr>
      <w:r>
        <w:rPr>
          <w:rFonts w:ascii="Cambria" w:hAnsi="Cambria" w:eastAsia="Cambria" w:cs="Cambria"/>
          <w:color w:val="1D2D3F"/>
          <w:sz w:val="20"/>
          <w:szCs w:val="20"/>
        </w:rPr>
        <w:t>Partners receive notifications under Annex B, Section B.9.2. Partners participate in extraordinary consultations under Annex B, Section B.9.3. Partners coordinate through the confidential coordination channel established in Annex B, Section B.10.2. The commitment level is low to medium; activation occurs only upon a verified trigger event. The primary track is Track F (Political Legitimacy and Dialogue).</w:t>
      </w:r>
    </w:p>
    <w:p>
      <w:pPr>
        <w:pStyle w:val="Normal"/>
        <w:spacing w:after="120" w:line="276" w:lineRule="auto"/>
        <w:ind w:left="720" w:hanging="360"/>
      </w:pPr>
      <w:r>
        <w:rPr>
          <w:rFonts w:ascii="Cambria" w:hAnsi="Cambria" w:eastAsia="Cambria" w:cs="Cambria"/>
          <w:color w:val="1D2D3F"/>
          <w:sz w:val="20"/>
          <w:szCs w:val="20"/>
        </w:rPr>
        <w:t>Participation in this role does not imply endorsement of the Compact by the Partner State. Partners implement measures independently of the Compact's synchronization architecture. The Compact bears no responsibility for any measures Partners choose to implement.</w:t>
      </w:r>
    </w:p>
    <w:p>
      <w:pPr>
        <w:pStyle w:val="Normal"/>
        <w:spacing w:after="120" w:line="276" w:lineRule="auto"/>
        <w:ind w:left="720" w:hanging="360"/>
      </w:pPr>
      <w:r>
        <w:rPr>
          <w:rFonts w:ascii="Cambria" w:hAnsi="Cambria" w:eastAsia="Cambria" w:cs="Cambria"/>
          <w:color w:val="1D2D3F"/>
          <w:sz w:val="20"/>
          <w:b/>
          <w:szCs w:val="22"/>
        </w:rPr>
        <w:t>Role IV-F: Independent Fact-Finding Partner</w:t>
      </w:r>
    </w:p>
    <w:p>
      <w:pPr>
        <w:pStyle w:val="Normal"/>
        <w:spacing w:after="120" w:line="276" w:lineRule="auto"/>
        <w:ind w:left="720" w:hanging="360"/>
      </w:pPr>
      <w:r>
        <w:rPr>
          <w:rFonts w:ascii="Cambria" w:hAnsi="Cambria" w:eastAsia="Cambria" w:cs="Cambria"/>
          <w:color w:val="1D2D3F"/>
          <w:sz w:val="20"/>
          <w:szCs w:val="20"/>
        </w:rPr>
        <w:t>This role is for States that commit to deploying neutral, independent fact-finding teams to investigate reports of violations of international humanitarian law or the Compact's provisions in the region. Findings are posted to the Swiss-hosted dashboard and shared with international mechanisms.</w:t>
      </w:r>
    </w:p>
    <w:p>
      <w:pPr>
        <w:pStyle w:val="Normal"/>
        <w:spacing w:after="120" w:line="276" w:lineRule="auto"/>
        <w:ind w:left="720" w:hanging="360"/>
      </w:pPr>
      <w:r>
        <w:rPr>
          <w:rFonts w:ascii="Cambria" w:hAnsi="Cambria" w:eastAsia="Cambria" w:cs="Cambria"/>
          <w:color w:val="1D2D3F"/>
          <w:sz w:val="20"/>
          <w:szCs w:val="20"/>
        </w:rPr>
        <w:t>This role requires: experience in international humanitarian law or human rights investigations; access to neutral observers or investigative teams; and willingness to operate transparently and factually.</w:t>
      </w:r>
    </w:p>
    <w:p>
      <w:pPr>
        <w:pStyle w:val="Normal"/>
        <w:spacing w:after="120" w:line="276" w:lineRule="auto"/>
        <w:ind w:left="720" w:hanging="360"/>
      </w:pPr>
      <w:r>
        <w:rPr>
          <w:rFonts w:ascii="Cambria" w:hAnsi="Cambria" w:eastAsia="Cambria" w:cs="Cambria"/>
          <w:color w:val="1D2D3F"/>
          <w:sz w:val="20"/>
          <w:szCs w:val="20"/>
        </w:rPr>
        <w:t>Fact-finding teams coordinate with the Joint Coordination Center to avoid operational interference. Findings are posted to the public dashboard upon completion. Findings are shared with relevant international mechanisms. The commitment level is low; activation occurs at the State's discretion. The primary track is Track F (Political Legitimacy and Dialogue).</w:t>
      </w:r>
    </w:p>
    <w:p>
      <w:pPr>
        <w:pStyle w:val="Normal"/>
        <w:spacing w:after="120" w:line="276" w:lineRule="auto"/>
        <w:ind w:left="720" w:hanging="360"/>
      </w:pPr>
      <w:r>
        <w:rPr>
          <w:rFonts w:ascii="Cambria" w:hAnsi="Cambria" w:eastAsia="Cambria" w:cs="Cambria"/>
          <w:color w:val="1D2D3F"/>
          <w:sz w:val="20"/>
          <w:szCs w:val="20"/>
        </w:rPr>
        <w:t>Fact-finding is purely factual and does not make legal determinations. Fact-finding does not assign criminal liability. Fact-finding does not trigger compliance consequences under the Compact. All findings are published. Participation in this role does not imply endorsement of the Compact.</w:t>
      </w:r>
    </w:p>
    <w:p>
      <w:pPr>
        <w:pStyle w:val="Normal"/>
        <w:spacing w:before="60" w:after="60"/>
      </w:pPr>
      <w:r>
        <w:rPr>
          <w:rFonts w:ascii="Cambria" w:hAnsi="Cambria" w:eastAsia="Cambria" w:cs="Cambria"/>
          <w:b/>
          <w:color w:val="1D2D3F"/>
          <w:sz w:val="20"/>
          <w:i/>
          <w:szCs w:val="22"/>
        </w:rPr>
        <w:t>Role IV-G: Missile Attack Verification Observer</w:t>
      </w:r>
    </w:p>
    <w:p>
      <w:pPr>
        <w:pStyle w:val="Normal"/>
        <w:spacing w:before="60" w:after="60"/>
      </w:pPr>
      <w:r>
        <w:rPr>
          <w:rFonts w:ascii="Cambria" w:hAnsi="Cambria" w:eastAsia="Cambria" w:cs="Cambria"/>
          <w:b/>
          <w:color w:val="1D2D3F"/>
          <w:sz w:val="20"/>
          <w:i/>
          <w:szCs w:val="22"/>
        </w:rPr>
        <w:t>This role is for States that commit to deploying technical verification teams to independently confirm missile attack reports under Section B.11. The Missile Attack Verification Observer receives early notification from the Neutral Guarantor when Section B.11 activates, deploys technical experts to assess impact sites alongside Joint Coordination Center personnel, and publishes an independent factual assessment within 48 hours of site access.</w:t>
      </w:r>
    </w:p>
    <w:p>
      <w:pPr>
        <w:pStyle w:val="Normal"/>
        <w:spacing w:before="60" w:after="60"/>
      </w:pPr>
      <w:r>
        <w:rPr>
          <w:rFonts w:ascii="Cambria" w:hAnsi="Cambria" w:eastAsia="Cambria" w:cs="Cambria"/>
          <w:b/>
          <w:color w:val="1D2D3F"/>
          <w:sz w:val="20"/>
          <w:i/>
          <w:szCs w:val="22"/>
        </w:rPr>
        <w:t>This role requires: demonstrated expertise in ballistic missile forensics, damage assessment, or satellite imagery analysis; existing bilateral data-sharing agreements with both Parties or with the IAEA; and capacity to deploy assessment teams within 24 hours of activation notice.</w:t>
      </w:r>
    </w:p>
    <w:p>
      <w:pPr>
        <w:pStyle w:val="Normal"/>
        <w:spacing w:before="60" w:after="60"/>
      </w:pPr>
      <w:r>
        <w:rPr>
          <w:rFonts w:ascii="Cambria" w:hAnsi="Cambria" w:eastAsia="Cambria" w:cs="Cambria"/>
          <w:b/>
          <w:color w:val="1D2D3F"/>
          <w:sz w:val="20"/>
          <w:i/>
          <w:szCs w:val="22"/>
        </w:rPr>
        <w:t>Verification Observers operate under the same confidentiality protocols as the Joint Coordination Center. Their assessments are posted to the Swiss-hosted dashboard simultaneously with the Center's factual summary. The Observer's assessment does not replace the Center's summary; it supplements it with independent technical analysis. If the Observer's assessment materially diverges from the Center's summary, both assessments are posted side by side with a notation of the divergence points.</w:t>
      </w:r>
    </w:p>
    <w:p>
      <w:pPr>
        <w:pStyle w:val="Normal"/>
        <w:spacing w:before="60" w:after="60"/>
      </w:pPr>
      <w:r>
        <w:rPr>
          <w:rFonts w:ascii="Cambria" w:hAnsi="Cambria" w:eastAsia="Cambria" w:cs="Cambria"/>
          <w:b/>
          <w:color w:val="1D2D3F"/>
          <w:sz w:val="20"/>
          <w:i/>
          <w:szCs w:val="22"/>
        </w:rPr>
        <w:t>This role carries no compliance authority and makes no legal determinations. The role provides technical credibility to the Section B.11 process and ensures that missile attack verification rests on multiple independent assessments rather than a single source.</w:t>
      </w:r>
    </w:p>
    <w:p>
      <w:pPr>
        <w:pStyle w:val="Normal"/>
        <w:spacing w:before="60" w:after="60"/>
      </w:pPr>
      <w:r>
        <w:rPr>
          <w:rFonts w:ascii="Cambria" w:hAnsi="Cambria" w:eastAsia="Cambria" w:cs="Cambria"/>
          <w:b/>
          <w:color w:val="1D2D3F"/>
          <w:sz w:val="20"/>
          <w:i/>
          <w:szCs w:val="22"/>
        </w:rPr>
        <w:t>Israel Observer-Dialogue Partner</w:t>
      </w:r>
    </w:p>
    <w:p>
      <w:pPr>
        <w:pStyle w:val="Normal"/>
        <w:spacing w:before="60" w:after="60"/>
      </w:pPr>
      <w:r>
        <w:rPr>
          <w:rFonts w:ascii="Cambria" w:hAnsi="Cambria" w:eastAsia="Cambria" w:cs="Cambria"/>
          <w:b/>
          <w:color w:val="1D2D3F"/>
          <w:sz w:val="20"/>
          <w:i/>
          <w:szCs w:val="22"/>
        </w:rPr>
        <w:t>The Government of Israel participates in this Compact as an Observer-Dialogue Partner. Israel receives access to unclassified verification data from the Swiss-hosted dashboard. Israel submits written observations to the Joint Coordination Center, which relays them to both Parties on a non-attribution basis. Israel holds no compliance authority, no veto power, and no vote in any Compact body. Israel does not participate in the Human-in-the-Loop Review. Israel's independent assessments carry no compliance weight.</w:t>
      </w:r>
    </w:p>
    <w:p>
      <w:pPr>
        <w:pStyle w:val="Normal"/>
        <w:spacing w:before="60" w:after="60"/>
      </w:pPr>
      <w:r>
        <w:rPr>
          <w:rFonts w:ascii="Cambria" w:hAnsi="Cambria" w:eastAsia="Cambria" w:cs="Cambria"/>
          <w:b/>
          <w:color w:val="1D2D3F"/>
          <w:sz w:val="20"/>
          <w:i/>
          <w:szCs w:val="22"/>
        </w:rPr>
        <w:t>This role requires: existing diplomatic relations with the Neutral Guarantor; a permanent diplomatic mission in the host country of the Joint Coordination Center; and a commitment to the non-attribution protocol for all observations and communications.</w:t>
      </w:r>
    </w:p>
    <w:p>
      <w:pPr>
        <w:pStyle w:val="Heading3"/>
      </w:pPr>
      <w:r>
        <w:rPr>
          <w:rFonts w:ascii="Cambria" w:hAnsi="Cambria" w:eastAsia="Cambria" w:cs="Cambria"/>
          <w:b/>
          <w:color w:val="1D2D3F"/>
          <w:sz w:val="20"/>
          <w:szCs w:val="20"/>
        </w:rPr>
        <w:t xml:space="preserve">Tier V  -  Future Accessions and Open Participation Group</w:t>
      </w:r>
    </w:p>
    <w:p>
      <w:pPr>
        <w:pStyle w:val="Normal"/>
        <w:spacing w:after="100"/>
        <w:jc w:val="center"/>
      </w:pPr>
      <w:r>
        <w:rPr>
          <w:rFonts w:ascii="Cambria" w:hAnsi="Cambria" w:eastAsia="Cambria" w:cs="Cambria"/>
          <w:i/>
          <w:color w:val="1D2D3F"/>
          <w:sz w:val="20"/>
          <w:szCs w:val="20"/>
        </w:rPr>
        <w:t>Tier V ensures that no State remains outside the framework due to indecision, capacity constraints, or policy review timelines. Every State in Tier V holds full status as a Framework participant.</w:t>
      </w:r>
    </w:p>
    <w:p>
      <w:pPr>
        <w:pStyle w:val="Normal"/>
        <w:spacing w:before="60" w:after="60"/>
      </w:pPr>
      <w:r>
        <w:rPr>
          <w:rFonts w:ascii="Cambria" w:hAnsi="Cambria" w:eastAsia="Cambria" w:cs="Cambria"/>
          <w:b/>
          <w:color w:val="5C7A96"/>
          <w:sz w:val="30"/>
          <w:i/>
          <w:szCs w:val="22"/>
        </w:rPr>
        <w:t>Role V-A: Prospective Participant</w:t>
      </w:r>
    </w:p>
    <w:p>
      <w:pPr>
        <w:pStyle w:val="Normal"/>
        <w:spacing w:before="60" w:after="60"/>
      </w:pPr>
      <w:r>
        <w:rPr>
          <w:rFonts w:ascii="Cambria" w:hAnsi="Cambria" w:eastAsia="Cambria" w:cs="Cambria"/>
          <w:b/>
          <w:color w:val="1D2D3F"/>
          <w:sz w:val="20"/>
          <w:i/>
          <w:szCs w:val="22"/>
        </w:rPr>
        <w:t>This role designates a State that intends to select an active role but has not yet completed its internal policy review. The Prospective Participant receives all Implementation Secretariat communications, attends all open briefings, and maintains observer access to the public dashboard. The Prospective Participant selects an active role at any time by written notification.</w:t>
      </w:r>
    </w:p>
    <w:p>
      <w:pPr>
        <w:pStyle w:val="Normal"/>
        <w:spacing w:before="60" w:after="60"/>
      </w:pPr>
      <w:r>
        <w:rPr>
          <w:rFonts w:ascii="Cambria" w:hAnsi="Cambria" w:eastAsia="Cambria" w:cs="Cambria"/>
          <w:b/>
          <w:color w:val="5C7A96"/>
          <w:sz w:val="30"/>
          <w:i/>
          <w:szCs w:val="22"/>
        </w:rPr>
        <w:t>Role V-B: General Observer</w:t>
      </w:r>
    </w:p>
    <w:p>
      <w:pPr>
        <w:pStyle w:val="Normal"/>
        <w:spacing w:before="60" w:after="60"/>
      </w:pPr>
      <w:r>
        <w:rPr>
          <w:rFonts w:ascii="Cambria" w:hAnsi="Cambria" w:eastAsia="Cambria" w:cs="Cambria"/>
          <w:b/>
          <w:color w:val="1D2D3F"/>
          <w:sz w:val="20"/>
          <w:i/>
          <w:szCs w:val="22"/>
        </w:rPr>
        <w:t>This role designates a State that wishes to monitor the Compact's implementation without assuming obligations. The General Observer receives public reports and participates in open sessions of the Implementation Secretariat.</w:t>
      </w:r>
    </w:p>
    <w:p>
      <w:pPr>
        <w:pStyle w:val="Normal"/>
        <w:spacing w:before="60" w:after="60"/>
      </w:pPr>
      <w:r>
        <w:rPr>
          <w:rFonts w:ascii="Cambria" w:hAnsi="Cambria" w:eastAsia="Cambria" w:cs="Cambria"/>
          <w:b/>
          <w:color w:val="5C7A96"/>
          <w:sz w:val="30"/>
          <w:i/>
          <w:szCs w:val="22"/>
        </w:rPr>
        <w:t>Role V-C: Consultation-Only Member</w:t>
      </w:r>
    </w:p>
    <w:p>
      <w:pPr>
        <w:pStyle w:val="Normal"/>
        <w:spacing w:before="60" w:after="60"/>
      </w:pPr>
      <w:r>
        <w:rPr>
          <w:rFonts w:ascii="Cambria" w:hAnsi="Cambria" w:eastAsia="Cambria" w:cs="Cambria"/>
          <w:b/>
          <w:color w:val="1D2D3F"/>
          <w:sz w:val="20"/>
          <w:i/>
          <w:szCs w:val="22"/>
        </w:rPr>
        <w:t>This role designates a State or international organization that participates solely through the consultation mechanisms. The Consultation-Only Member provides input on specific topics at the invitation of the Implementation Secretariat or either Party. This role carries no standing obligation to contribute.</w:t>
      </w:r>
    </w:p>
    <w:p>
      <w:pPr>
        <w:pStyle w:val="Normal"/>
        <w:spacing w:before="60" w:after="60"/>
      </w:pPr>
      <w:r>
        <w:rPr>
          <w:rFonts w:ascii="Cambria" w:hAnsi="Cambria" w:eastAsia="Cambria" w:cs="Cambria"/>
          <w:b/>
          <w:color w:val="5C7A96"/>
          <w:sz w:val="30"/>
          <w:i/>
          <w:szCs w:val="22"/>
        </w:rPr>
        <w:t>Role V-D: Future Accession Candidate</w:t>
      </w:r>
    </w:p>
    <w:p>
      <w:pPr>
        <w:pStyle w:val="Normal"/>
        <w:spacing w:before="60" w:after="60"/>
      </w:pPr>
      <w:r>
        <w:rPr>
          <w:rFonts w:ascii="Cambria" w:hAnsi="Cambria" w:eastAsia="Cambria" w:cs="Cambria"/>
          <w:b/>
          <w:color w:val="1D2D3F"/>
          <w:sz w:val="20"/>
          <w:i/>
          <w:szCs w:val="22"/>
        </w:rPr>
        <w:t>This role designates a State that is not ready to participate now but seeks a formal pathway for future participation. The Accession Candidate maintains contact with the Implementation Secretariat and receives guidance on role requirements. The Candidate converts to Prospective Participant status at any time.</w:t>
      </w:r>
    </w:p>
    <w:p>
      <w:pPr>
        <w:pStyle w:val="Heading2"/>
      </w:pPr>
      <w:r>
        <w:rPr>
          <w:rFonts w:ascii="Cambria" w:hAnsi="Cambria" w:eastAsia="Cambria" w:cs="Cambria"/>
          <w:b/>
          <w:color w:val="3D5A80"/>
          <w:sz w:val="40"/>
          <w:szCs w:val="22"/>
          <w:i/>
        </w:rPr>
        <w:t xml:space="preserve">Section X.4  -  Role Creation Mechanism</w:t>
      </w:r>
    </w:p>
    <w:p>
      <w:pPr>
        <w:pStyle w:val="Normal"/>
        <w:spacing w:before="60" w:after="60"/>
      </w:pPr>
      <w:r>
        <w:rPr>
          <w:rFonts w:ascii="Cambria" w:hAnsi="Cambria" w:eastAsia="Cambria" w:cs="Cambria"/>
          <w:b/>
          <w:color w:val="1D2D3F"/>
          <w:sz w:val="20"/>
          <w:i/>
          <w:szCs w:val="22"/>
        </w:rPr>
        <w:t>States propose new roles at any time. The proposal addresses: the role function, the required capabilities, the integration track, and the coordination mechanism. The Implementation Secretariat reviews the proposal within 14 days. The Secretariat adds the role to this Annex upon consensus of both Parties and the Neutral Guarantor. New roles enter immediately upon addition; no waiting period applies.</w:t>
      </w:r>
    </w:p>
    <w:p>
      <w:pPr>
        <w:pStyle w:val="Normal"/>
        <w:spacing w:before="60" w:after="60"/>
      </w:pPr>
      <w:r>
        <w:rPr>
          <w:rFonts w:ascii="Cambria" w:hAnsi="Cambria" w:eastAsia="Cambria" w:cs="Cambria"/>
          <w:b/>
          <w:color w:val="1D2D3F"/>
          <w:sz w:val="20"/>
          <w:i/>
          <w:szCs w:val="22"/>
        </w:rPr>
        <w:t>This mechanism keeps the Annex alive and adaptive. It prevents role gaps. It accommodates emerging capabilities, new technologies, and evolving geopolitical circumstances.</w:t>
      </w:r>
    </w:p>
    <w:p>
      <w:pPr>
        <w:pStyle w:val="Heading2"/>
      </w:pPr>
      <w:r>
        <w:rPr>
          <w:rFonts w:ascii="Cambria" w:hAnsi="Cambria" w:eastAsia="Cambria" w:cs="Cambria"/>
          <w:b/>
          <w:color w:val="3D5A80"/>
          <w:sz w:val="40"/>
          <w:szCs w:val="22"/>
          <w:i/>
        </w:rPr>
        <w:t xml:space="preserve">Section X.5  -  Non-Hierarchy Clause</w:t>
      </w:r>
    </w:p>
    <w:p>
      <w:pPr>
        <w:pStyle w:val="Normal"/>
        <w:spacing w:before="60" w:after="60"/>
      </w:pPr>
      <w:r>
        <w:rPr>
          <w:rFonts w:ascii="Cambria" w:hAnsi="Cambria" w:eastAsia="Cambria" w:cs="Cambria"/>
          <w:b/>
          <w:color w:val="1D2D3F"/>
          <w:sz w:val="20"/>
          <w:i/>
          <w:szCs w:val="22"/>
        </w:rPr>
        <w:t>No tier or role carries superior or inferior status. Tier numbering indicates functional specialization, not rank. The framework architecture excludes any interpretation that assigns hierarchy based on tier, role, or contribution magnitude.</w:t>
      </w:r>
    </w:p>
    <w:p>
      <w:pPr>
        <w:pStyle w:val="Normal"/>
        <w:spacing w:before="60" w:after="60"/>
      </w:pPr>
      <w:r>
        <w:rPr>
          <w:rFonts w:ascii="Cambria" w:hAnsi="Cambria" w:eastAsia="Cambria" w:cs="Cambria"/>
          <w:b/>
          <w:color w:val="1D2D3F"/>
          <w:sz w:val="20"/>
          <w:i/>
          <w:szCs w:val="22"/>
        </w:rPr>
        <w:t>All participants receive equal recognition in: guarantor public reports, Implementation Secretariat documentation, milestone celebration statements, and the shared factual floor that both Parties use for domestic messaging. A Tier V participant receives the same diplomatic recognition as a Tier I participant.</w:t>
      </w:r>
    </w:p>
    <w:p>
      <w:pPr>
        <w:pStyle w:val="Normal"/>
        <w:spacing w:before="60" w:after="60"/>
      </w:pPr>
      <w:r>
        <w:rPr>
          <w:rFonts w:ascii="Cambria" w:hAnsi="Cambria" w:eastAsia="Cambria" w:cs="Cambria"/>
          <w:b/>
          <w:color w:val="1D2D3F"/>
          <w:sz w:val="20"/>
          <w:i/>
          <w:szCs w:val="22"/>
        </w:rPr>
        <w:t>The Implementation Secretariat publishes an annual participant recognition report that lists every State and organization by role, with no tier ordering. The report alphabetizes entries within each tier.</w:t>
      </w:r>
    </w:p>
    <w:p>
      <w:pPr>
        <w:pStyle w:val="Heading3"/>
      </w:pPr>
      <w:r>
        <w:rPr>
          <w:rFonts w:ascii="Cambria" w:hAnsi="Cambria" w:eastAsia="Cambria" w:cs="Cambria"/>
          <w:b/>
          <w:color w:val="5C7A96"/>
          <w:sz w:val="30"/>
          <w:szCs w:val="20"/>
        </w:rPr>
        <w:t>Domestic Recognition Note -</w:t>
      </w:r>
    </w:p>
    <w:p>
      <w:pPr>
        <w:pStyle w:val="Normal"/>
        <w:spacing w:before="60" w:after="60"/>
      </w:pPr>
      <w:r>
        <w:rPr>
          <w:rFonts w:ascii="Cambria" w:hAnsi="Cambria" w:eastAsia="Cambria" w:cs="Cambria"/>
          <w:b/>
          <w:color w:val="1D2D3F"/>
          <w:sz w:val="20"/>
          <w:i/>
          <w:szCs w:val="22"/>
        </w:rPr>
        <w:t>The Implementation Secretariat recognizes that participant States face domestic political pressure for their participation. The Secretariat provides confidential briefings to participating States on request, summarizing the factual status of Compact implementation. The briefings are non-attributive and available only to the requesting State. The Secretariat does not comment on domestic political dynamics; it provides facts only.</w:t>
      </w:r>
    </w:p>
    <w:p>
      <w:pPr>
        <w:pStyle w:val="Heading2"/>
      </w:pPr>
      <w:r>
        <w:rPr>
          <w:rFonts w:ascii="Cambria" w:hAnsi="Cambria" w:eastAsia="Cambria" w:cs="Cambria"/>
          <w:b/>
          <w:color w:val="3D5A80"/>
          <w:sz w:val="40"/>
          <w:szCs w:val="22"/>
          <w:i/>
        </w:rPr>
        <w:t xml:space="preserve">Section X.6  -  Flexibility Clause</w:t>
      </w:r>
    </w:p>
    <w:p>
      <w:pPr>
        <w:pStyle w:val="Normal"/>
        <w:spacing w:before="60" w:after="60"/>
      </w:pPr>
      <w:r>
        <w:rPr>
          <w:rFonts w:ascii="Cambria" w:hAnsi="Cambria" w:eastAsia="Cambria" w:cs="Cambria"/>
          <w:b/>
          <w:color w:val="1D2D3F"/>
          <w:sz w:val="20"/>
          <w:i/>
          <w:szCs w:val="22"/>
        </w:rPr>
        <w:t>States modify, expand, or withdraw from chosen roles at any time without prejudice. A withdrawal notification requires 14 days' written notice to the Implementation Secretariat. The Secretariat records the change and adjusts coordination arrangements. No participant faces questioning, criticism, or diplomatic consequence for role modification or withdrawal.</w:t>
      </w:r>
    </w:p>
    <w:p>
      <w:pPr>
        <w:pStyle w:val="Normal"/>
        <w:spacing w:before="60" w:after="60"/>
      </w:pPr>
      <w:r>
        <w:rPr>
          <w:rFonts w:ascii="Cambria" w:hAnsi="Cambria" w:eastAsia="Cambria" w:cs="Cambria"/>
          <w:b/>
          <w:color w:val="1D2D3F"/>
          <w:sz w:val="20"/>
          <w:i/>
          <w:szCs w:val="22"/>
        </w:rPr>
        <w:t>A State that withdraws from one role retains all other roles it holds. A State that withdraws from all roles becomes a General Observer under Tier IV-B automatically, unless the State requests a different Tier V role or full withdrawal from the Framework.</w:t>
      </w:r>
    </w:p>
    <w:p>
      <w:pPr>
        <w:pStyle w:val="Heading2"/>
      </w:pPr>
      <w:r>
        <w:rPr>
          <w:rFonts w:ascii="Cambria" w:hAnsi="Cambria" w:eastAsia="Cambria" w:cs="Cambria"/>
          <w:b/>
          <w:color w:val="3D5A80"/>
          <w:sz w:val="40"/>
          <w:szCs w:val="22"/>
          <w:i/>
        </w:rPr>
        <w:t xml:space="preserve">Section X.7  -  Inclusivity Clause</w:t>
      </w:r>
    </w:p>
    <w:p>
      <w:pPr>
        <w:pStyle w:val="Normal"/>
        <w:spacing w:before="60" w:after="60"/>
      </w:pPr>
      <w:r>
        <w:rPr>
          <w:rFonts w:ascii="Cambria" w:hAnsi="Cambria" w:eastAsia="Cambria" w:cs="Cambria"/>
          <w:b/>
          <w:color w:val="1D2D3F"/>
          <w:sz w:val="20"/>
          <w:i/>
          <w:szCs w:val="22"/>
        </w:rPr>
        <w:t>Participation under this Annex is open to all States, regional organizations, international agencies, and technical bodies wishing to contribute to stability, transparency, and cooperation. The framework architecture excludes no State on the basis of political alignment, economic system, regional location, or alliance structure.</w:t>
      </w:r>
    </w:p>
    <w:p>
      <w:pPr>
        <w:pStyle w:val="Normal"/>
        <w:spacing w:before="60" w:after="60"/>
      </w:pPr>
      <w:r>
        <w:rPr>
          <w:rFonts w:ascii="Cambria" w:hAnsi="Cambria" w:eastAsia="Cambria" w:cs="Cambria"/>
          <w:b/>
          <w:color w:val="1D2D3F"/>
          <w:sz w:val="20"/>
          <w:i/>
          <w:szCs w:val="22"/>
        </w:rPr>
        <w:t>International organizations participate under the same terms as States. Organizations select roles from the same tiered menu. Organizations modify or withdraw from roles under the same flexibility clause. Organizations receive equal recognition.</w:t>
      </w:r>
    </w:p>
    <w:p>
      <w:pPr>
        <w:pStyle w:val="Normal"/>
        <w:spacing w:before="60" w:after="60"/>
      </w:pPr>
      <w:r>
        <w:rPr>
          <w:rFonts w:ascii="Cambria" w:hAnsi="Cambria" w:eastAsia="Cambria" w:cs="Cambria"/>
          <w:b/>
          <w:color w:val="1D2D3F"/>
          <w:sz w:val="20"/>
          <w:i/>
          <w:szCs w:val="22"/>
        </w:rPr>
        <w:t>This clause embodies the principle that sustainable peace requires broad ownership. Every participant, regardless of role, strengthens the framework through its presence.</w:t>
      </w:r>
    </w:p>
    <w:p>
      <w:pPr>
        <w:pStyle w:val="Heading2"/>
      </w:pPr>
      <w:r>
        <w:rPr>
          <w:rFonts w:ascii="Cambria" w:hAnsi="Cambria" w:eastAsia="Cambria" w:cs="Cambria"/>
          <w:b/>
          <w:color w:val="3D5A80"/>
          <w:sz w:val="40"/>
          <w:szCs w:val="22"/>
          <w:i/>
        </w:rPr>
        <w:t xml:space="preserve">Section X.8  -  Activation and Integration Protocol</w:t>
      </w:r>
    </w:p>
    <w:p>
      <w:pPr>
        <w:pStyle w:val="Normal"/>
        <w:spacing w:before="60" w:after="60"/>
      </w:pPr>
      <w:r>
        <w:rPr>
          <w:rFonts w:ascii="Cambria" w:hAnsi="Cambria" w:eastAsia="Cambria" w:cs="Cambria"/>
          <w:b/>
          <w:color w:val="1D2D3F"/>
          <w:sz w:val="20"/>
          <w:i/>
          <w:szCs w:val="22"/>
        </w:rPr>
        <w:t>This section states the operational mechanics through which participants enter their roles and integrate into Compact implementation. The protocol ensures that participation produces immediate operational value rather than bureaucratic delay.</w:t>
      </w:r>
    </w:p>
    <w:p>
      <w:pPr>
        <w:pStyle w:val="Heading3"/>
      </w:pPr>
      <w:r>
        <w:rPr>
          <w:rFonts w:ascii="Cambria" w:hAnsi="Cambria" w:eastAsia="Cambria" w:cs="Cambria"/>
          <w:b/>
          <w:color w:val="1D2D3F"/>
          <w:sz w:val="22"/>
          <w:szCs w:val="20"/>
        </w:rPr>
        <w:t xml:space="preserve">X.8.1  -  Registration and Onboarding</w:t>
      </w:r>
    </w:p>
    <w:p>
      <w:pPr>
        <w:pStyle w:val="Normal"/>
        <w:spacing w:before="60" w:after="60"/>
      </w:pPr>
      <w:r>
        <w:rPr>
          <w:rFonts w:ascii="Cambria" w:hAnsi="Cambria" w:eastAsia="Cambria" w:cs="Cambria"/>
          <w:b/>
          <w:color w:val="1D2D3F"/>
          <w:sz w:val="20"/>
          <w:i/>
          <w:szCs w:val="22"/>
        </w:rPr>
        <w:t>A State registers its selected role by submitting a Role Selection Instrument to the Implementation Secretariat. The Instrument states: the role or roles selected, the capabilities the State commits, the intended start date, and the point of contact for coordination.</w:t>
      </w:r>
    </w:p>
    <w:p>
      <w:pPr>
        <w:pStyle w:val="Normal"/>
        <w:spacing w:before="60" w:after="60"/>
      </w:pPr>
      <w:r>
        <w:rPr>
          <w:rFonts w:ascii="Cambria" w:hAnsi="Cambria" w:eastAsia="Cambria" w:cs="Cambria"/>
          <w:b/>
          <w:color w:val="1D2D3F"/>
          <w:sz w:val="20"/>
          <w:i/>
          <w:szCs w:val="22"/>
        </w:rPr>
        <w:t>The Secretariat acknowledges receipt within 48 hours. The Secretariat confirms role activation within 7 days or requests clarification if the selection requires additional information. Role activation is automatic upon Secretariat confirmation; no further approval from either Party or the Neutral Guarantor is required.</w:t>
      </w:r>
    </w:p>
    <w:p>
      <w:pPr>
        <w:pStyle w:val="Normal"/>
        <w:spacing w:before="60" w:after="60"/>
      </w:pPr>
      <w:r>
        <w:rPr>
          <w:rFonts w:ascii="Cambria" w:hAnsi="Cambria" w:eastAsia="Cambria" w:cs="Cambria"/>
          <w:b/>
          <w:color w:val="1D2D3F"/>
          <w:sz w:val="22"/>
          <w:i/>
          <w:szCs w:val="22"/>
        </w:rPr>
        <w:t xml:space="preserve">Note on Role IV-E  -  A State selecting Role IV-E is not required to endorse the Compact or any of its provisions. The State participates exclusively in the notification and coordination mechanisms established in Annex B, Sections B.9 and B.10. The State's participation in this role is independent of any position the State holds regarding the United States, Iran, or Israel. This provision ensures that States with differing views on the Compact still participate in accountability mechanisms.</w:t>
      </w:r>
    </w:p>
    <w:p>
      <w:pPr>
        <w:pStyle w:val="Heading3"/>
      </w:pPr>
      <w:r>
        <w:rPr>
          <w:rFonts w:ascii="Cambria" w:hAnsi="Cambria" w:eastAsia="Cambria" w:cs="Cambria"/>
          <w:b/>
          <w:color w:val="1D2D3F"/>
          <w:sz w:val="22"/>
          <w:szCs w:val="20"/>
        </w:rPr>
        <w:t xml:space="preserve">X.8.2  -  Track Integration</w:t>
      </w:r>
    </w:p>
    <w:p>
      <w:pPr>
        <w:pStyle w:val="Normal"/>
        <w:spacing w:before="60" w:after="60"/>
      </w:pPr>
      <w:r>
        <w:rPr>
          <w:rFonts w:ascii="Cambria" w:hAnsi="Cambria" w:eastAsia="Cambria" w:cs="Cambria"/>
          <w:b/>
          <w:color w:val="1D2D3F"/>
          <w:sz w:val="20"/>
          <w:i/>
          <w:szCs w:val="22"/>
        </w:rPr>
        <w:t>Each role integrates into one or more implementation tracks. The following matrix maps each role to its primary and secondary tracks:</w:t>
      </w:r>
    </w:p>
    <w:p>
      <w:pPr>
        <w:pStyle w:val="Normal"/>
        <w:spacing w:before="60" w:after="60"/>
      </w:pPr>
      <w:r>
        <w:rPr>
          <w:rFonts w:ascii="Cambria" w:hAnsi="Cambria" w:eastAsia="Cambria" w:cs="Cambria"/>
          <w:b/>
          <w:color w:val="1D2D3F"/>
          <w:sz w:val="20"/>
          <w:i/>
          <w:szCs w:val="22"/>
        </w:rPr>
        <w:t xml:space="preserve">Track A  -  Maritime Security: Roles I-A, I-C, II-A, II-B, II-D</w:t>
      </w:r>
    </w:p>
    <w:p>
      <w:pPr>
        <w:pStyle w:val="Normal"/>
        <w:spacing w:before="60" w:after="60"/>
      </w:pPr>
      <w:r>
        <w:rPr>
          <w:rFonts w:ascii="Cambria" w:hAnsi="Cambria" w:eastAsia="Cambria" w:cs="Cambria"/>
          <w:b/>
          <w:color w:val="1D2D3F"/>
          <w:sz w:val="20"/>
          <w:i/>
          <w:szCs w:val="22"/>
        </w:rPr>
        <w:t xml:space="preserve">Track B  -  Verification and Monitoring: Roles I-C, II-C, IV-A, IV-D</w:t>
      </w:r>
    </w:p>
    <w:p>
      <w:pPr>
        <w:pStyle w:val="Normal"/>
        <w:spacing w:before="60" w:after="60"/>
      </w:pPr>
      <w:r>
        <w:rPr>
          <w:rFonts w:ascii="Cambria" w:hAnsi="Cambria" w:eastAsia="Cambria" w:cs="Cambria"/>
          <w:b/>
          <w:color w:val="1D2D3F"/>
          <w:sz w:val="20"/>
          <w:i/>
          <w:szCs w:val="22"/>
        </w:rPr>
        <w:t xml:space="preserve">Track C  -  Humanitarian and Civilian Flows: Roles III-A, III-B, III-C, III-D</w:t>
      </w:r>
    </w:p>
    <w:p>
      <w:pPr>
        <w:pStyle w:val="Normal"/>
        <w:spacing w:before="60" w:after="60"/>
      </w:pPr>
      <w:r>
        <w:rPr>
          <w:rFonts w:ascii="Cambria" w:hAnsi="Cambria" w:eastAsia="Cambria" w:cs="Cambria"/>
          <w:b/>
          <w:color w:val="1D2D3F"/>
          <w:sz w:val="20"/>
          <w:i/>
          <w:szCs w:val="22"/>
        </w:rPr>
        <w:t xml:space="preserve">Track D  -  Economic Normalization: Roles I-D, III-E, III-D</w:t>
      </w:r>
    </w:p>
    <w:p>
      <w:pPr>
        <w:pStyle w:val="Normal"/>
        <w:spacing w:before="60" w:after="60"/>
      </w:pPr>
      <w:r>
        <w:rPr>
          <w:rFonts w:ascii="Cambria" w:hAnsi="Cambria" w:eastAsia="Cambria" w:cs="Cambria"/>
          <w:b/>
          <w:color w:val="1D2D3F"/>
          <w:sz w:val="20"/>
          <w:i/>
          <w:szCs w:val="22"/>
        </w:rPr>
        <w:t xml:space="preserve">Track E  -  Implementation Coordination: Roles I-B, IV-B, IV-C</w:t>
      </w:r>
    </w:p>
    <w:p>
      <w:pPr>
        <w:pStyle w:val="Normal"/>
        <w:spacing w:before="60" w:after="60"/>
      </w:pPr>
      <w:r>
        <w:rPr>
          <w:rFonts w:ascii="Cambria" w:hAnsi="Cambria" w:eastAsia="Cambria" w:cs="Cambria"/>
          <w:b/>
          <w:color w:val="1D2D3F"/>
          <w:sz w:val="20"/>
          <w:i/>
          <w:szCs w:val="22"/>
        </w:rPr>
        <w:t xml:space="preserve">Track F  -  Political Legitimacy and Dialogue: Roles IV-A, IV-B, IV-C, IV-D, all Tier V roles</w:t>
      </w:r>
    </w:p>
    <w:p>
      <w:pPr>
        <w:pStyle w:val="Normal"/>
        <w:spacing w:before="60" w:after="60"/>
      </w:pPr>
      <w:r>
        <w:rPr>
          <w:rFonts w:ascii="Cambria" w:hAnsi="Cambria" w:eastAsia="Cambria" w:cs="Cambria"/>
          <w:b/>
          <w:color w:val="1D2D3F"/>
          <w:sz w:val="20"/>
          <w:i/>
          <w:szCs w:val="22"/>
        </w:rPr>
        <w:t>A participant engages in its track through the coordinating body that the track designates: the Joint Maritime Coordination Center for Track A, the Swiss-hosted dashboard and IAEA channels for Track B, the Neutral Guarantor humanitarian coordination office for Track C, the Swiss escrow and banking working group for Track D, the Implementation Secretariat for Track E, and the Regional Security Dialogue framework for Track F.</w:t>
      </w:r>
    </w:p>
    <w:p>
      <w:pPr>
        <w:pStyle w:val="Heading3"/>
      </w:pPr>
      <w:r>
        <w:rPr>
          <w:rFonts w:ascii="Cambria" w:hAnsi="Cambria" w:eastAsia="Cambria" w:cs="Cambria"/>
          <w:b/>
          <w:color w:val="1D2D3F"/>
          <w:sz w:val="22"/>
          <w:szCs w:val="20"/>
        </w:rPr>
        <w:t xml:space="preserve">X.8.3  -  Coordination Cadence</w:t>
      </w:r>
    </w:p>
    <w:p>
      <w:pPr>
        <w:pStyle w:val="Normal"/>
        <w:spacing w:before="60" w:after="60"/>
      </w:pPr>
      <w:r>
        <w:rPr>
          <w:rFonts w:ascii="Cambria" w:hAnsi="Cambria" w:eastAsia="Cambria" w:cs="Cambria"/>
          <w:b/>
          <w:color w:val="1D2D3F"/>
          <w:sz w:val="20"/>
          <w:i/>
          <w:szCs w:val="22"/>
        </w:rPr>
        <w:t>The Implementation Secretariat convenes the following coordination mechanisms:</w:t>
      </w:r>
    </w:p>
    <w:p>
      <w:pPr>
        <w:pStyle w:val="Normal"/>
        <w:spacing w:before="60" w:after="60"/>
      </w:pPr>
      <w:r>
        <w:rPr>
          <w:rFonts w:ascii="Cambria" w:hAnsi="Cambria" w:eastAsia="Cambria" w:cs="Cambria"/>
          <w:b/>
          <w:color w:val="1D2D3F"/>
          <w:sz w:val="20"/>
          <w:i/>
          <w:szCs w:val="22"/>
        </w:rPr>
        <w:t xml:space="preserve">Weekly operational sync  -  </w:t>
        <w:t>All Track A and Track B participants join a secure video conference every Tuesday. The conference addresses operational status, upcoming milestones, and coordination requirements. The Joint Maritime Coordination Center chairs the maritime portion. The IAEA chairs the verification portion.</w:t>
      </w:r>
    </w:p>
    <w:p>
      <w:pPr>
        <w:pStyle w:val="Normal"/>
        <w:spacing w:before="60" w:after="60"/>
      </w:pPr>
      <w:r>
        <w:rPr>
          <w:rFonts w:ascii="Cambria" w:hAnsi="Cambria" w:eastAsia="Cambria" w:cs="Cambria"/>
          <w:b/>
          <w:color w:val="1D2D3F"/>
          <w:sz w:val="20"/>
          <w:i/>
          <w:szCs w:val="22"/>
        </w:rPr>
        <w:t xml:space="preserve">Bi-weekly humanitarian brief  -  </w:t>
        <w:t>All Track C participants receive a humanitarian-flow briefing every other Thursday. The Neutral Guarantor chairs. The briefing covers transit volumes, corridor status, and emerging needs.</w:t>
      </w:r>
    </w:p>
    <w:p>
      <w:pPr>
        <w:pStyle w:val="Normal"/>
        <w:spacing w:before="60" w:after="60"/>
      </w:pPr>
      <w:r>
        <w:rPr>
          <w:rFonts w:ascii="Cambria" w:hAnsi="Cambria" w:eastAsia="Cambria" w:cs="Cambria"/>
          <w:b/>
          <w:color w:val="1D2D3F"/>
          <w:sz w:val="20"/>
          <w:i/>
          <w:szCs w:val="22"/>
        </w:rPr>
        <w:t xml:space="preserve">Monthly economic coordination  -  </w:t>
        <w:t>All Track D participants meet monthly to review sanctions-relief implementation, banking reconnection progress, and economic-normalization pathways. The Swiss technical guarantor chairs.</w:t>
      </w:r>
    </w:p>
    <w:p>
      <w:pPr>
        <w:pStyle w:val="Normal"/>
        <w:spacing w:before="60" w:after="60"/>
      </w:pPr>
      <w:r>
        <w:rPr>
          <w:rFonts w:ascii="Cambria" w:hAnsi="Cambria" w:eastAsia="Cambria" w:cs="Cambria"/>
          <w:b/>
          <w:color w:val="1D2D3F"/>
          <w:sz w:val="20"/>
          <w:i/>
          <w:szCs w:val="22"/>
        </w:rPr>
        <w:t xml:space="preserve">Quarterly political consultation  -  </w:t>
        <w:t>All Track F participants and the Dialogue Partners convene quarterly for a political-strategic review. The Neutral Guarantor chairs. The consultation addresses regional dynamics, long-term stability, and the transition to follow-on negotiations.</w:t>
      </w:r>
    </w:p>
    <w:p>
      <w:pPr>
        <w:pStyle w:val="Normal"/>
        <w:spacing w:before="60" w:after="60"/>
      </w:pPr>
      <w:r>
        <w:rPr>
          <w:rFonts w:ascii="Cambria" w:hAnsi="Cambria" w:eastAsia="Cambria" w:cs="Cambria"/>
          <w:b/>
          <w:color w:val="1D2D3F"/>
          <w:sz w:val="20"/>
          <w:i/>
          <w:szCs w:val="22"/>
        </w:rPr>
        <w:t xml:space="preserve">Annual recognition and review  -  </w:t>
        <w:t>All participants gather annually for a recognition ceremony and framework review. The Implementation Secretariat publishes the annual report. Participants propose role adjustments, new roles, and framework improvements.</w:t>
      </w:r>
    </w:p>
    <w:p>
      <w:pPr>
        <w:pStyle w:val="Heading3"/>
      </w:pPr>
      <w:r>
        <w:rPr>
          <w:rFonts w:ascii="Cambria" w:hAnsi="Cambria" w:eastAsia="Cambria" w:cs="Cambria"/>
          <w:b/>
          <w:color w:val="1D2D3F"/>
          <w:sz w:val="22"/>
          <w:szCs w:val="20"/>
        </w:rPr>
        <w:t xml:space="preserve">X.8.4  -  Data-Sharing Protocol</w:t>
      </w:r>
    </w:p>
    <w:p>
      <w:pPr>
        <w:pStyle w:val="Normal"/>
        <w:spacing w:before="60" w:after="60"/>
      </w:pPr>
      <w:r>
        <w:rPr>
          <w:rFonts w:ascii="Cambria" w:hAnsi="Cambria" w:eastAsia="Cambria" w:cs="Cambria"/>
          <w:b/>
          <w:color w:val="1D2D3F"/>
          <w:sz w:val="20"/>
          <w:i/>
          <w:szCs w:val="22"/>
        </w:rPr>
        <w:t>Participants share data through the Swiss-hosted dashboard only. The dashboard provides tiered access: public layer for aggregate transit and milestone data; participant layer for operational coordination data; restricted layer for intelligence and surveillance material that access agreements govern.</w:t>
      </w:r>
    </w:p>
    <w:p>
      <w:pPr>
        <w:pStyle w:val="Normal"/>
        <w:spacing w:before="60" w:after="60"/>
      </w:pPr>
      <w:r>
        <w:rPr>
          <w:rFonts w:ascii="Cambria" w:hAnsi="Cambria" w:eastAsia="Cambria" w:cs="Cambria"/>
          <w:b/>
          <w:color w:val="1D2D3F"/>
          <w:sz w:val="20"/>
          <w:i/>
          <w:szCs w:val="22"/>
        </w:rPr>
        <w:t>The framework architecture excludes bilateral data-sharing arrangements that bypass the dashboard. All participants access the same data simultaneously. No participant holds exclusive information.</w:t>
      </w:r>
    </w:p>
    <w:p>
      <w:pPr>
        <w:pStyle w:val="Heading2"/>
      </w:pPr>
      <w:r>
        <w:rPr>
          <w:rFonts w:ascii="Cambria" w:hAnsi="Cambria" w:eastAsia="Cambria" w:cs="Cambria"/>
          <w:b/>
          <w:color w:val="1D2D3F"/>
          <w:sz w:val="20"/>
          <w:szCs w:val="22"/>
          <w:i/>
        </w:rPr>
        <w:t xml:space="preserve">Section X.9  -  Implementation Secretariat</w:t>
      </w:r>
    </w:p>
    <w:p>
      <w:pPr>
        <w:pStyle w:val="Normal"/>
        <w:spacing w:before="60" w:after="60"/>
      </w:pPr>
      <w:r>
        <w:rPr>
          <w:rFonts w:ascii="Cambria" w:hAnsi="Cambria" w:eastAsia="Cambria" w:cs="Cambria"/>
          <w:b/>
          <w:color w:val="1D2D3F"/>
          <w:sz w:val="20"/>
          <w:i/>
          <w:szCs w:val="22"/>
        </w:rPr>
        <w:t>This section establishes the Implementation Secretariat as the operational body that administers this Annex. The Secretariat is not a new international organization; it is a coordination function staffed by the Neutral Guarantor and supported by contributing States.</w:t>
      </w:r>
    </w:p>
    <w:p>
      <w:pPr>
        <w:pStyle w:val="Heading3"/>
      </w:pPr>
      <w:r>
        <w:rPr>
          <w:rFonts w:ascii="Cambria" w:hAnsi="Cambria" w:eastAsia="Cambria" w:cs="Cambria"/>
          <w:b/>
          <w:color w:val="1D2D3F"/>
          <w:sz w:val="22"/>
          <w:szCs w:val="20"/>
        </w:rPr>
        <w:t xml:space="preserve">X.9.1  -  Secretariat Functions</w:t>
      </w:r>
    </w:p>
    <w:p>
      <w:pPr>
        <w:pStyle w:val="Normal"/>
        <w:spacing w:before="60" w:after="60"/>
      </w:pPr>
      <w:r>
        <w:rPr>
          <w:rFonts w:ascii="Cambria" w:hAnsi="Cambria" w:eastAsia="Cambria" w:cs="Cambria"/>
          <w:b/>
          <w:color w:val="1D2D3F"/>
          <w:sz w:val="20"/>
          <w:i/>
          <w:szCs w:val="22"/>
        </w:rPr>
        <w:t>The Implementation Secretariat performs the following functions: receives and processes Role Selection Instruments; maintains the master participant registry; convenes coordination meetings; publishes the annual recognition report; proposes new roles for consensus; mediates role disputes; and serves as the single point of contact for all participant inquiries.</w:t>
      </w:r>
    </w:p>
    <w:p>
      <w:pPr>
        <w:pStyle w:val="Heading3"/>
      </w:pPr>
      <w:r>
        <w:rPr>
          <w:rFonts w:ascii="Cambria" w:hAnsi="Cambria" w:eastAsia="Cambria" w:cs="Cambria"/>
          <w:b/>
          <w:color w:val="1D2D3F"/>
          <w:sz w:val="22"/>
          <w:szCs w:val="20"/>
        </w:rPr>
        <w:t xml:space="preserve">X.9.2  -  Secretariat Staffing</w:t>
      </w:r>
    </w:p>
    <w:p>
      <w:pPr>
        <w:pStyle w:val="Normal"/>
        <w:spacing w:before="60" w:after="60"/>
      </w:pPr>
      <w:r>
        <w:rPr>
          <w:rFonts w:ascii="Cambria" w:hAnsi="Cambria" w:eastAsia="Cambria" w:cs="Cambria"/>
          <w:b/>
          <w:color w:val="1D2D3F"/>
          <w:sz w:val="20"/>
          <w:i/>
          <w:szCs w:val="22"/>
        </w:rPr>
        <w:t>The Secretariat maintains a core staff of six personnel: a director appointed by the Neutral Guarantor; two deputy directors, one nominated by each Party; and three operations officers seconded from participating States on rotating six-month assignments. The staffing mix ensures neutral leadership with balanced Party input.</w:t>
      </w:r>
    </w:p>
    <w:p>
      <w:pPr>
        <w:pStyle w:val="Heading3"/>
      </w:pPr>
      <w:r>
        <w:rPr>
          <w:rFonts w:ascii="Cambria" w:hAnsi="Cambria" w:eastAsia="Cambria" w:cs="Cambria"/>
          <w:b/>
          <w:color w:val="1D2D3F"/>
          <w:sz w:val="22"/>
          <w:szCs w:val="20"/>
        </w:rPr>
        <w:t xml:space="preserve">X.9.3  -  Secretariat Location</w:t>
      </w:r>
    </w:p>
    <w:p>
      <w:pPr>
        <w:pStyle w:val="Normal"/>
        <w:spacing w:before="60" w:after="60"/>
      </w:pPr>
      <w:r>
        <w:rPr>
          <w:rFonts w:ascii="Cambria" w:hAnsi="Cambria" w:eastAsia="Cambria" w:cs="Cambria"/>
          <w:b/>
          <w:color w:val="1D2D3F"/>
          <w:sz w:val="20"/>
          <w:i/>
          <w:szCs w:val="22"/>
        </w:rPr>
        <w:t>The Secretariat operates from the Joint Coordination Center in Muscat. It maintains a liaison office at the Swiss-hosted dashboard facility for technical coordination. States with multiple participants host regional coordination outposts by mutual agreement.</w:t>
      </w:r>
    </w:p>
    <w:p>
      <w:pPr>
        <w:pStyle w:val="Heading3"/>
      </w:pPr>
      <w:r>
        <w:rPr>
          <w:rFonts w:ascii="Microsoft YaHei" w:hAnsi="Microsoft YaHei" w:eastAsia="Microsoft YaHei" w:cs="Cambria"/>
          <w:b/>
          <w:color w:val="4A5568"/>
          <w:sz w:val="19"/>
          <w:szCs w:val="24"/>
        </w:rPr>
        <w:t xml:space="preserve">X.9.4  -  Reporting and Dispute Mediation</w:t>
      </w:r>
    </w:p>
    <w:p>
      <w:pPr>
        <w:pStyle w:val="Normal"/>
        <w:spacing w:after="120" w:line="276" w:lineRule="auto"/>
        <w:ind w:left="720" w:hanging="360"/>
      </w:pPr>
      <w:r>
        <w:rPr>
          <w:rFonts w:ascii="Cambria" w:hAnsi="Cambria" w:eastAsia="Cambria" w:cs="Cambria"/>
          <w:color w:val="1D2D3F"/>
          <w:sz w:val="22"/>
          <w:b/>
          <w:szCs w:val="22"/>
        </w:rPr>
        <w:t>The Secretariat publishes a monthly operational report. The report documents the following: participant role selections and changes; coordination meeting outcomes; track integration status; and any disputes or concerns that participants raise. The report is factual, non-attributive, and available to all participants through the dashboard.</w:t>
      </w:r>
    </w:p>
    <w:p>
      <w:pPr>
        <w:pStyle w:val="Normal"/>
        <w:spacing w:after="120" w:line="276" w:lineRule="auto"/>
        <w:ind w:left="720" w:hanging="360"/>
      </w:pPr>
      <w:r>
        <w:rPr>
          <w:rFonts w:ascii="Cambria" w:hAnsi="Cambria" w:eastAsia="Cambria" w:cs="Cambria"/>
          <w:color w:val="1D2D3F"/>
          <w:sz w:val="22"/>
          <w:b/>
          <w:szCs w:val="22"/>
        </w:rPr>
        <w:t>The Secretariat mediates role disputes between participants through structured consultation. The mediation process is confidential, non-binding, and subject to a 14-day time limit. The Secretariat records the process in a private memo that only the disputing parties see. The process operates without prejudice to either party's standing in the Framework. If mediation does not resolve the dispute within 14 days, either party escalates the dispute to the Human-in-the-Loop Review for advisory opinion. The Review's opinion is non-binding but carries the full weight of the Neutral Guarantor's institutional credibility.</w:t>
      </w:r>
    </w:p>
    <w:p>
      <w:pPr>
        <w:pStyle w:val="Heading2"/>
      </w:pPr>
      <w:r>
        <w:rPr>
          <w:rFonts w:ascii="Cambria" w:hAnsi="Cambria" w:eastAsia="Cambria" w:cs="Cambria"/>
          <w:b/>
          <w:color w:val="3D5A80"/>
          <w:sz w:val="40"/>
          <w:szCs w:val="22"/>
          <w:i/>
        </w:rPr>
        <w:t xml:space="preserve">Annex X.1  -  Role Selection Summary Table</w:t>
      </w:r>
    </w:p>
    <w:p>
      <w:pPr>
        <w:pStyle w:val="Normal"/>
        <w:spacing w:after="120" w:line="276" w:lineRule="auto"/>
        <w:ind w:left="720" w:hanging="360"/>
      </w:pPr>
      <w:r>
        <w:rPr>
          <w:rFonts w:ascii="Cambria" w:hAnsi="Cambria" w:eastAsia="Cambria" w:cs="Cambria"/>
          <w:color w:val="1D2D3F"/>
          <w:sz w:val="22"/>
          <w:b/>
          <w:szCs w:val="22"/>
        </w:rPr>
        <w:t>The following table summarizes all roles by tier, track, and commitment level. States use this table as a quick-reference guide during role selection.</w:t>
      </w:r>
    </w:p>
    <w:tbl>
      <w:tblPr>
        <w:tblLayout w:type="fixed"/>
        <w:tblW w:w="9026" w:type="dxa"/>
      </w:tblPr>
      <w:tblGrid>
        <w:gridCol w:w="1200"/>
        <w:gridCol w:w="1300"/>
        <w:gridCol w:w="2800"/>
        <w:gridCol w:w="1900"/>
        <w:gridCol w:w="1826"/>
      </w:tblGrid>
      <w:tr>
        <w:tc>
          <w:tcPr>
            <w:tcW w:w="1200" w:type="dxa"/>
            <w:shd w:val="clear" w:color="auto" w:fill="1A2744"/>
            <w:tcBorders>
              <w:top w:val="single" w:space="0"/>
              <w:left w:val="single" w:space="0"/>
              <w:bottom w:val="single" w:space="0"/>
              <w:right w:val="single" w:space="0"/>
            </w:tcBorders>
          </w:tcPr>
          <w:p>
            <w:pPr>
              <w:pStyle w:val="Normal"/>
              <w:spacing w:after="2000"/>
              <w:jc w:val="center"/>
            </w:pPr>
            <w:r>
              <w:rPr>
                <w:rFonts w:ascii="Microsoft YaHei" w:hAnsi="Microsoft YaHei" w:eastAsia="Microsoft YaHei" w:cs="Cambria"/>
                <w:color w:val="FFFFFF"/>
                <w:sz w:val="22"/>
                <w:b/>
                <w:szCs w:val="22"/>
              </w:rPr>
              <w:t>Tier</w:t>
            </w:r>
          </w:p>
        </w:tc>
        <w:tc>
          <w:tcPr>
            <w:tcW w:w="1300" w:type="dxa"/>
            <w:shd w:val="clear" w:color="auto" w:fill="1A2744"/>
            <w:tcBorders>
              <w:top w:val="single" w:space="0"/>
              <w:left w:val="single" w:space="0"/>
              <w:bottom w:val="single" w:space="0"/>
              <w:right w:val="single" w:space="0"/>
            </w:tcBorders>
          </w:tcPr>
          <w:p>
            <w:pPr>
              <w:pStyle w:val="Normal"/>
              <w:spacing w:after="2000"/>
              <w:jc w:val="center"/>
            </w:pPr>
            <w:r>
              <w:rPr>
                <w:rFonts w:ascii="Microsoft YaHei" w:hAnsi="Microsoft YaHei" w:eastAsia="Microsoft YaHei" w:cs="Cambria"/>
                <w:color w:val="FFFFFF"/>
                <w:sz w:val="22"/>
                <w:b/>
                <w:szCs w:val="22"/>
              </w:rPr>
              <w:t>Role Code</w:t>
            </w:r>
          </w:p>
        </w:tc>
        <w:tc>
          <w:tcPr>
            <w:tcW w:w="2800" w:type="dxa"/>
            <w:shd w:val="clear" w:color="auto" w:fill="1A2744"/>
            <w:tcBorders>
              <w:top w:val="single" w:space="0"/>
              <w:left w:val="single" w:space="0"/>
              <w:bottom w:val="single" w:space="0"/>
              <w:right w:val="single" w:space="0"/>
            </w:tcBorders>
          </w:tcPr>
          <w:p>
            <w:pPr>
              <w:pStyle w:val="Normal"/>
              <w:spacing w:after="2000"/>
              <w:jc w:val="center"/>
            </w:pPr>
            <w:r>
              <w:rPr>
                <w:rFonts w:ascii="Microsoft YaHei" w:hAnsi="Microsoft YaHei" w:eastAsia="Microsoft YaHei" w:cs="Cambria"/>
                <w:color w:val="FFFFFF"/>
                <w:sz w:val="22"/>
                <w:b/>
                <w:szCs w:val="22"/>
              </w:rPr>
              <w:t>Role Title</w:t>
            </w:r>
          </w:p>
        </w:tc>
        <w:tc>
          <w:tcPr>
            <w:tcW w:w="1900" w:type="dxa"/>
            <w:shd w:val="clear" w:color="auto" w:fill="1A2744"/>
            <w:tcBorders>
              <w:top w:val="single" w:space="0"/>
              <w:left w:val="single" w:space="0"/>
              <w:bottom w:val="single" w:space="0"/>
              <w:right w:val="single" w:space="0"/>
            </w:tcBorders>
          </w:tcPr>
          <w:p>
            <w:pPr>
              <w:pStyle w:val="Normal"/>
              <w:spacing w:after="2000"/>
              <w:jc w:val="center"/>
            </w:pPr>
            <w:r>
              <w:rPr>
                <w:rFonts w:ascii="Microsoft YaHei" w:hAnsi="Microsoft YaHei" w:eastAsia="Microsoft YaHei" w:cs="Cambria"/>
                <w:color w:val="FFFFFF"/>
                <w:sz w:val="22"/>
                <w:b/>
                <w:szCs w:val="22"/>
              </w:rPr>
              <w:t>Primary Track</w:t>
            </w:r>
          </w:p>
        </w:tc>
        <w:tc>
          <w:tcPr>
            <w:tcW w:w="1826" w:type="dxa"/>
            <w:shd w:val="clear" w:color="auto" w:fill="1A2744"/>
            <w:tcBorders>
              <w:top w:val="single" w:space="0"/>
              <w:left w:val="single" w:space="0"/>
              <w:bottom w:val="single" w:space="0"/>
              <w:right w:val="single" w:space="0"/>
            </w:tcBorders>
          </w:tcPr>
          <w:p>
            <w:pPr>
              <w:pStyle w:val="Normal"/>
              <w:spacing w:after="2000"/>
              <w:jc w:val="center"/>
            </w:pPr>
            <w:r>
              <w:rPr>
                <w:rFonts w:ascii="Microsoft YaHei" w:hAnsi="Microsoft YaHei" w:eastAsia="Microsoft YaHei" w:cs="Cambria"/>
                <w:color w:val="FFFFFF"/>
                <w:sz w:val="22"/>
                <w:b/>
                <w:szCs w:val="22"/>
              </w:rPr>
              <w:t>Commitment Level</w:t>
            </w:r>
          </w:p>
        </w:tc>
      </w:tr>
      <w:tr>
        <w:tc>
          <w:tcPr>
            <w:tcW w:w="1200" w:type="dxa"/>
            <w:shd w:val="clear" w:color="auto" w:fill="EEF2F7"/>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w:t>
            </w:r>
          </w:p>
        </w:tc>
        <w:tc>
          <w:tcPr>
            <w:tcW w:w="1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I-A</w:t>
            </w:r>
          </w:p>
        </w:tc>
        <w:tc>
          <w:tcPr>
            <w:tcW w:w="2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Maritime Security Coalition Lead</w:t>
            </w:r>
          </w:p>
        </w:tc>
        <w:tc>
          <w:tcPr>
            <w:tcW w:w="19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A (Maritime)</w:t>
            </w:r>
          </w:p>
        </w:tc>
        <w:tc>
          <w:tcPr>
            <w:tcW w:w="1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High  -  Operational command</w:t>
            </w:r>
          </w:p>
        </w:tc>
      </w:tr>
      <w:tr>
        <w:tc>
          <w:tcPr>
            <w:tcW w:w="1200" w:type="dxa"/>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w:t>
            </w:r>
          </w:p>
        </w:tc>
        <w:tc>
          <w:tcPr>
            <w:tcW w:w="1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I-B</w:t>
            </w:r>
          </w:p>
        </w:tc>
        <w:tc>
          <w:tcPr>
            <w:tcW w:w="2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Implementation Coordinator</w:t>
            </w:r>
          </w:p>
        </w:tc>
        <w:tc>
          <w:tcPr>
            <w:tcW w:w="19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E (Coordination)</w:t>
            </w:r>
          </w:p>
        </w:tc>
        <w:tc>
          <w:tcPr>
            <w:tcW w:w="18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High  -  24/7 coordination</w:t>
            </w:r>
          </w:p>
        </w:tc>
      </w:tr>
      <w:tr>
        <w:tc>
          <w:tcPr>
            <w:tcW w:w="1200" w:type="dxa"/>
            <w:shd w:val="clear" w:color="auto" w:fill="EEF2F7"/>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w:t>
            </w:r>
          </w:p>
        </w:tc>
        <w:tc>
          <w:tcPr>
            <w:tcW w:w="1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I-C</w:t>
            </w:r>
          </w:p>
        </w:tc>
        <w:tc>
          <w:tcPr>
            <w:tcW w:w="2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Verification and Monitoring Liaison</w:t>
            </w:r>
          </w:p>
        </w:tc>
        <w:tc>
          <w:tcPr>
            <w:tcW w:w="19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A, Track B</w:t>
            </w:r>
          </w:p>
        </w:tc>
        <w:tc>
          <w:tcPr>
            <w:tcW w:w="1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High  -  Continuous surveillance</w:t>
            </w:r>
          </w:p>
        </w:tc>
      </w:tr>
      <w:tr>
        <w:tc>
          <w:tcPr>
            <w:tcW w:w="1200" w:type="dxa"/>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w:t>
            </w:r>
          </w:p>
        </w:tc>
        <w:tc>
          <w:tcPr>
            <w:tcW w:w="1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I-D</w:t>
            </w:r>
          </w:p>
        </w:tc>
        <w:tc>
          <w:tcPr>
            <w:tcW w:w="2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Sanctions-Sequencing Facilitator</w:t>
            </w:r>
          </w:p>
        </w:tc>
        <w:tc>
          <w:tcPr>
            <w:tcW w:w="19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D (Economic)</w:t>
            </w:r>
          </w:p>
        </w:tc>
        <w:tc>
          <w:tcPr>
            <w:tcW w:w="18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Medium  -  Banking expertise</w:t>
            </w:r>
          </w:p>
        </w:tc>
      </w:tr>
      <w:tr>
        <w:tc>
          <w:tcPr>
            <w:tcW w:w="1200" w:type="dxa"/>
            <w:shd w:val="clear" w:color="auto" w:fill="EEF2F7"/>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II</w:t>
            </w:r>
          </w:p>
        </w:tc>
        <w:tc>
          <w:tcPr>
            <w:tcW w:w="1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II-A</w:t>
            </w:r>
          </w:p>
        </w:tc>
        <w:tc>
          <w:tcPr>
            <w:tcW w:w="2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Mine Countermeasures Contributor</w:t>
            </w:r>
          </w:p>
        </w:tc>
        <w:tc>
          <w:tcPr>
            <w:tcW w:w="19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A (Maritime)</w:t>
            </w:r>
          </w:p>
        </w:tc>
        <w:tc>
          <w:tcPr>
            <w:tcW w:w="1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High  -  Sustained deployment</w:t>
            </w:r>
          </w:p>
        </w:tc>
      </w:tr>
      <w:tr>
        <w:tc>
          <w:tcPr>
            <w:tcW w:w="1200" w:type="dxa"/>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II</w:t>
            </w:r>
          </w:p>
        </w:tc>
        <w:tc>
          <w:tcPr>
            <w:tcW w:w="1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II-B</w:t>
            </w:r>
          </w:p>
        </w:tc>
        <w:tc>
          <w:tcPr>
            <w:tcW w:w="2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Maritime Domain Awareness Contributor</w:t>
            </w:r>
          </w:p>
        </w:tc>
        <w:tc>
          <w:tcPr>
            <w:tcW w:w="19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A (Maritime)</w:t>
            </w:r>
          </w:p>
        </w:tc>
        <w:tc>
          <w:tcPr>
            <w:tcW w:w="18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Medium  -  Data feed</w:t>
            </w:r>
          </w:p>
        </w:tc>
      </w:tr>
      <w:tr>
        <w:tc>
          <w:tcPr>
            <w:tcW w:w="1200" w:type="dxa"/>
            <w:shd w:val="clear" w:color="auto" w:fill="EEF2F7"/>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II</w:t>
            </w:r>
          </w:p>
        </w:tc>
        <w:tc>
          <w:tcPr>
            <w:tcW w:w="1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II-C</w:t>
            </w:r>
          </w:p>
        </w:tc>
        <w:tc>
          <w:tcPr>
            <w:tcW w:w="2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Monitoring Technology Contributor</w:t>
            </w:r>
          </w:p>
        </w:tc>
        <w:tc>
          <w:tcPr>
            <w:tcW w:w="19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B (Verification)</w:t>
            </w:r>
          </w:p>
        </w:tc>
        <w:tc>
          <w:tcPr>
            <w:tcW w:w="1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Medium  -  Technology transfer</w:t>
            </w:r>
          </w:p>
        </w:tc>
      </w:tr>
      <w:tr>
        <w:tc>
          <w:tcPr>
            <w:tcW w:w="1200" w:type="dxa"/>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II</w:t>
            </w:r>
          </w:p>
        </w:tc>
        <w:tc>
          <w:tcPr>
            <w:tcW w:w="1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II-D</w:t>
            </w:r>
          </w:p>
        </w:tc>
        <w:tc>
          <w:tcPr>
            <w:tcW w:w="2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Naval Presence Contributor</w:t>
            </w:r>
          </w:p>
        </w:tc>
        <w:tc>
          <w:tcPr>
            <w:tcW w:w="19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A (Maritime)</w:t>
            </w:r>
          </w:p>
        </w:tc>
        <w:tc>
          <w:tcPr>
            <w:tcW w:w="18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Medium  -  Vessel deployment</w:t>
            </w:r>
          </w:p>
        </w:tc>
      </w:tr>
      <w:tr>
        <w:tc>
          <w:tcPr>
            <w:tcW w:w="1200" w:type="dxa"/>
            <w:shd w:val="clear" w:color="auto" w:fill="EEF2F7"/>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III</w:t>
            </w:r>
          </w:p>
        </w:tc>
        <w:tc>
          <w:tcPr>
            <w:tcW w:w="1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III-A</w:t>
            </w:r>
          </w:p>
        </w:tc>
        <w:tc>
          <w:tcPr>
            <w:tcW w:w="2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Humanitarian Corridor Partner</w:t>
            </w:r>
          </w:p>
        </w:tc>
        <w:tc>
          <w:tcPr>
            <w:tcW w:w="19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C (Humanitarian)</w:t>
            </w:r>
          </w:p>
        </w:tc>
        <w:tc>
          <w:tcPr>
            <w:tcW w:w="1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Medium  -  Logistical support</w:t>
            </w:r>
          </w:p>
        </w:tc>
      </w:tr>
      <w:tr>
        <w:tc>
          <w:tcPr>
            <w:tcW w:w="1200" w:type="dxa"/>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III</w:t>
            </w:r>
          </w:p>
        </w:tc>
        <w:tc>
          <w:tcPr>
            <w:tcW w:w="1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III-B</w:t>
            </w:r>
          </w:p>
        </w:tc>
        <w:tc>
          <w:tcPr>
            <w:tcW w:w="2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Medical-Isotope Supply Facilitator</w:t>
            </w:r>
          </w:p>
        </w:tc>
        <w:tc>
          <w:tcPr>
            <w:tcW w:w="19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C (Humanitarian)</w:t>
            </w:r>
          </w:p>
        </w:tc>
        <w:tc>
          <w:tcPr>
            <w:tcW w:w="18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Low  -  Specialized supply</w:t>
            </w:r>
          </w:p>
        </w:tc>
      </w:tr>
      <w:tr>
        <w:tc>
          <w:tcPr>
            <w:tcW w:w="1200" w:type="dxa"/>
            <w:shd w:val="clear" w:color="auto" w:fill="EEF2F7"/>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III</w:t>
            </w:r>
          </w:p>
        </w:tc>
        <w:tc>
          <w:tcPr>
            <w:tcW w:w="1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III-C</w:t>
            </w:r>
          </w:p>
        </w:tc>
        <w:tc>
          <w:tcPr>
            <w:tcW w:w="2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Civilian Nuclear Safety Supporter</w:t>
            </w:r>
          </w:p>
        </w:tc>
        <w:tc>
          <w:tcPr>
            <w:tcW w:w="19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C (Humanitarian)</w:t>
            </w:r>
          </w:p>
        </w:tc>
        <w:tc>
          <w:tcPr>
            <w:tcW w:w="1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Low  -  Technical assistance</w:t>
            </w:r>
          </w:p>
        </w:tc>
      </w:tr>
      <w:tr>
        <w:tc>
          <w:tcPr>
            <w:tcW w:w="1200" w:type="dxa"/>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III</w:t>
            </w:r>
          </w:p>
        </w:tc>
        <w:tc>
          <w:tcPr>
            <w:tcW w:w="1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III-D</w:t>
            </w:r>
          </w:p>
        </w:tc>
        <w:tc>
          <w:tcPr>
            <w:tcW w:w="2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Essential Goods Access Partner</w:t>
            </w:r>
          </w:p>
        </w:tc>
        <w:tc>
          <w:tcPr>
            <w:tcW w:w="19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C, Track D</w:t>
            </w:r>
          </w:p>
        </w:tc>
        <w:tc>
          <w:tcPr>
            <w:tcW w:w="18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Low  -  Trade facilitation</w:t>
            </w:r>
          </w:p>
        </w:tc>
      </w:tr>
      <w:tr>
        <w:tc>
          <w:tcPr>
            <w:tcW w:w="1200" w:type="dxa"/>
            <w:shd w:val="clear" w:color="auto" w:fill="EEF2F7"/>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III</w:t>
            </w:r>
          </w:p>
        </w:tc>
        <w:tc>
          <w:tcPr>
            <w:tcW w:w="1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III-E</w:t>
            </w:r>
          </w:p>
        </w:tc>
        <w:tc>
          <w:tcPr>
            <w:tcW w:w="2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Economic Normalization Partner</w:t>
            </w:r>
          </w:p>
        </w:tc>
        <w:tc>
          <w:tcPr>
            <w:tcW w:w="19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D (Economic)</w:t>
            </w:r>
          </w:p>
        </w:tc>
        <w:tc>
          <w:tcPr>
            <w:tcW w:w="1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Low  -  Long-term engagement</w:t>
            </w:r>
          </w:p>
        </w:tc>
      </w:tr>
      <w:tr>
        <w:tc>
          <w:tcPr>
            <w:tcW w:w="1200" w:type="dxa"/>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IV</w:t>
            </w:r>
          </w:p>
        </w:tc>
        <w:tc>
          <w:tcPr>
            <w:tcW w:w="1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IV-A</w:t>
            </w:r>
          </w:p>
        </w:tc>
        <w:tc>
          <w:tcPr>
            <w:tcW w:w="2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Transparency Observer</w:t>
            </w:r>
          </w:p>
        </w:tc>
        <w:tc>
          <w:tcPr>
            <w:tcW w:w="19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B, Track F</w:t>
            </w:r>
          </w:p>
        </w:tc>
        <w:tc>
          <w:tcPr>
            <w:tcW w:w="18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None  -  Observation only</w:t>
            </w:r>
          </w:p>
        </w:tc>
      </w:tr>
      <w:tr>
        <w:tc>
          <w:tcPr>
            <w:tcW w:w="1200" w:type="dxa"/>
            <w:shd w:val="clear" w:color="auto" w:fill="EEF2F7"/>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IV</w:t>
            </w:r>
          </w:p>
        </w:tc>
        <w:tc>
          <w:tcPr>
            <w:tcW w:w="1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IV-B</w:t>
            </w:r>
          </w:p>
        </w:tc>
        <w:tc>
          <w:tcPr>
            <w:tcW w:w="2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Dialogue Partner</w:t>
            </w:r>
          </w:p>
        </w:tc>
        <w:tc>
          <w:tcPr>
            <w:tcW w:w="19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E, Track F</w:t>
            </w:r>
          </w:p>
        </w:tc>
        <w:tc>
          <w:tcPr>
            <w:tcW w:w="1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None  -  Consultation only</w:t>
            </w:r>
          </w:p>
        </w:tc>
      </w:tr>
      <w:tr>
        <w:tc>
          <w:tcPr>
            <w:tcW w:w="1200" w:type="dxa"/>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IV</w:t>
            </w:r>
          </w:p>
        </w:tc>
        <w:tc>
          <w:tcPr>
            <w:tcW w:w="1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IV-C</w:t>
            </w:r>
          </w:p>
        </w:tc>
        <w:tc>
          <w:tcPr>
            <w:tcW w:w="2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Regional Stability Liaison</w:t>
            </w:r>
          </w:p>
        </w:tc>
        <w:tc>
          <w:tcPr>
            <w:tcW w:w="19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F (Dialogue)</w:t>
            </w:r>
          </w:p>
        </w:tc>
        <w:tc>
          <w:tcPr>
            <w:tcW w:w="18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None  -  Facilitation only</w:t>
            </w:r>
          </w:p>
        </w:tc>
      </w:tr>
      <w:tr>
        <w:tc>
          <w:tcPr>
            <w:tcW w:w="1200" w:type="dxa"/>
            <w:shd w:val="clear" w:color="auto" w:fill="EEF2F7"/>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IV</w:t>
            </w:r>
          </w:p>
        </w:tc>
        <w:tc>
          <w:tcPr>
            <w:tcW w:w="1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IV-D</w:t>
            </w:r>
          </w:p>
        </w:tc>
        <w:tc>
          <w:tcPr>
            <w:tcW w:w="2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Information-Sharing Partner</w:t>
            </w:r>
          </w:p>
        </w:tc>
        <w:tc>
          <w:tcPr>
            <w:tcW w:w="19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B, Track F</w:t>
            </w:r>
          </w:p>
        </w:tc>
        <w:tc>
          <w:tcPr>
            <w:tcW w:w="1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None  -  Analysis only</w:t>
            </w:r>
          </w:p>
        </w:tc>
      </w:tr>
      <w:tr>
        <w:tc>
          <w:tcPr>
            <w:tcW w:w="1200" w:type="dxa"/>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V</w:t>
            </w:r>
          </w:p>
        </w:tc>
        <w:tc>
          <w:tcPr>
            <w:tcW w:w="1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V-A</w:t>
            </w:r>
          </w:p>
        </w:tc>
        <w:tc>
          <w:tcPr>
            <w:tcW w:w="2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Prospective Participant</w:t>
            </w:r>
          </w:p>
        </w:tc>
        <w:tc>
          <w:tcPr>
            <w:tcW w:w="19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F (Dialogue)</w:t>
            </w:r>
          </w:p>
        </w:tc>
        <w:tc>
          <w:tcPr>
            <w:tcW w:w="18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None  -  Pre-participation</w:t>
            </w:r>
          </w:p>
        </w:tc>
      </w:tr>
      <w:tr>
        <w:tc>
          <w:tcPr>
            <w:tcW w:w="1200" w:type="dxa"/>
            <w:shd w:val="clear" w:color="auto" w:fill="EEF2F7"/>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V</w:t>
            </w:r>
          </w:p>
        </w:tc>
        <w:tc>
          <w:tcPr>
            <w:tcW w:w="1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V-B</w:t>
            </w:r>
          </w:p>
        </w:tc>
        <w:tc>
          <w:tcPr>
            <w:tcW w:w="2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General Observer</w:t>
            </w:r>
          </w:p>
        </w:tc>
        <w:tc>
          <w:tcPr>
            <w:tcW w:w="19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F (Dialogue)</w:t>
            </w:r>
          </w:p>
        </w:tc>
        <w:tc>
          <w:tcPr>
            <w:tcW w:w="1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None  -  Observation</w:t>
            </w:r>
          </w:p>
        </w:tc>
      </w:tr>
      <w:tr>
        <w:tc>
          <w:tcPr>
            <w:tcW w:w="1200" w:type="dxa"/>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V</w:t>
            </w:r>
          </w:p>
        </w:tc>
        <w:tc>
          <w:tcPr>
            <w:tcW w:w="13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V-C</w:t>
            </w:r>
          </w:p>
        </w:tc>
        <w:tc>
          <w:tcPr>
            <w:tcW w:w="28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Consultation-Only Member</w:t>
            </w:r>
          </w:p>
        </w:tc>
        <w:tc>
          <w:tcPr>
            <w:tcW w:w="1900"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F (Dialogue)</w:t>
            </w:r>
          </w:p>
        </w:tc>
        <w:tc>
          <w:tcPr>
            <w:tcW w:w="1826" w:type="dxa"/>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None  -  Ad hoc input</w:t>
            </w:r>
          </w:p>
        </w:tc>
      </w:tr>
      <w:tr>
        <w:tc>
          <w:tcPr>
            <w:tcW w:w="1200" w:type="dxa"/>
            <w:shd w:val="clear" w:color="auto" w:fill="EEF2F7"/>
            <w:tcBorders>
              <w:top w:val="single" w:space="0"/>
              <w:left w:val="single" w:space="0"/>
              <w:bottom w:val="single" w:space="0"/>
              <w:right w:val="single" w:space="0"/>
            </w:tcBorders>
          </w:tcPr>
          <w:p>
            <w:pPr>
              <w:pStyle w:val="Normal"/>
              <w:spacing w:after="2000"/>
              <w:jc w:val="center"/>
            </w:pPr>
            <w:r>
              <w:rPr>
                <w:rFonts w:ascii="Cambria" w:hAnsi="Cambria" w:eastAsia="Cambria" w:cs="Cambria"/>
                <w:color w:val="1D2D3F"/>
                <w:sz w:val="22"/>
                <w:b/>
                <w:szCs w:val="22"/>
              </w:rPr>
              <w:t>Tier V</w:t>
            </w:r>
          </w:p>
        </w:tc>
        <w:tc>
          <w:tcPr>
            <w:tcW w:w="13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V-D</w:t>
            </w:r>
          </w:p>
        </w:tc>
        <w:tc>
          <w:tcPr>
            <w:tcW w:w="28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Future Accession Candidate</w:t>
            </w:r>
          </w:p>
        </w:tc>
        <w:tc>
          <w:tcPr>
            <w:tcW w:w="1900"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Track F (Dialogue)</w:t>
            </w:r>
          </w:p>
        </w:tc>
        <w:tc>
          <w:tcPr>
            <w:tcW w:w="1826" w:type="dxa"/>
            <w:shd w:val="clear" w:color="auto" w:fill="EEF2F7"/>
            <w:tcBorders>
              <w:top w:val="single" w:space="0"/>
              <w:left w:val="single" w:space="0"/>
              <w:bottom w:val="single" w:space="0"/>
              <w:right w:val="single" w:space="0"/>
            </w:tcBorders>
          </w:tcPr>
          <w:p>
            <w:pPr>
              <w:pStyle w:val="Normal"/>
              <w:spacing w:before="60" w:after="60"/>
            </w:pPr>
            <w:r>
              <w:rPr>
                <w:rFonts w:ascii="Cambria" w:hAnsi="Cambria" w:eastAsia="Cambria" w:cs="Cambria"/>
                <w:b/>
                <w:color w:val="1D2D3F"/>
                <w:sz w:val="22"/>
                <w:i/>
                <w:szCs w:val="22"/>
              </w:rPr>
              <w:t xml:space="preserve">None  -  Pathway only</w:t>
            </w:r>
          </w:p>
        </w:tc>
      </w:tr>
    </w:tbl>
    <w:p>
      <w:pPr>
        <w:pStyle w:val="Heading1"/>
      </w:pPr>
      <w:r>
        <w:rPr>
          <w:rFonts w:ascii="Cambria" w:hAnsi="Cambria" w:eastAsia="Cambria" w:cs="Cambria"/>
          <w:b/>
          <w:color w:val="1D2D3F"/>
          <w:sz w:val="22"/>
          <w:szCs w:val="40"/>
          <w:i/>
        </w:rPr>
        <w:t>ANNEX O: WARTIME COMPACT PROTOCOL</w:t>
      </w:r>
    </w:p>
    <w:p>
      <w:pPr>
        <w:pStyle w:val="Normal"/>
        <w:spacing w:before="60" w:after="60"/>
      </w:pPr>
    </w:p>
    <w:p>
      <w:pPr>
        <w:pStyle w:val="Normal"/>
        <w:spacing w:before="60" w:after="60"/>
      </w:pPr>
      <w:r>
        <w:rPr>
          <w:rFonts w:ascii="Cambria" w:hAnsi="Cambria" w:eastAsia="Cambria" w:cs="Cambria"/>
          <w:color w:val="1D2D3F"/>
          <w:sz w:val="20"/>
          <w:b/>
          <w:szCs w:val="20"/>
        </w:rPr>
        <w:t>A Modular Operational Framework for Accelerated Negotiation and Verification Cycles</w:t>
      </w:r>
    </w:p>
    <w:p>
      <w:pPr>
        <w:pStyle w:val="Normal"/>
        <w:spacing w:before="60" w:after="60"/>
      </w:pPr>
    </w:p>
    <w:p>
      <w:pPr>
        <w:pStyle w:val="Heading2"/>
      </w:pPr>
      <w:r>
        <w:rPr>
          <w:rFonts w:ascii="Cambria" w:hAnsi="Cambria" w:eastAsia="Cambria" w:cs="Cambria"/>
          <w:b/>
          <w:color w:val="1D2D3F"/>
          <w:sz w:val="20"/>
          <w:szCs w:val="30"/>
        </w:rPr>
        <w:t>PURPOSE</w:t>
      </w:r>
    </w:p>
    <w:p>
      <w:pPr>
        <w:pStyle w:val="Normal"/>
        <w:spacing w:before="60" w:after="60"/>
      </w:pPr>
    </w:p>
    <w:p>
      <w:pPr>
        <w:pStyle w:val="Normal"/>
        <w:spacing w:before="60" w:after="60"/>
      </w:pPr>
      <w:r>
        <w:rPr>
          <w:rFonts w:ascii="Cambria" w:hAnsi="Cambria" w:eastAsia="Cambria" w:cs="Cambria"/>
          <w:color w:val="1D2D3F"/>
          <w:sz w:val="20"/>
          <w:b/>
          <w:szCs w:val="20"/>
        </w:rPr>
        <w:t>This Annex establishes a temporary operational overlay that activates during periods of active military conflict or compressed negotiation timelines. The Wartime Compact modifies timelines, verification thresholds, and incident budgets. It does not replace or alter the core Compact's fundamental commitments, architecture, or obligations.</w:t>
      </w:r>
    </w:p>
    <w:p>
      <w:pPr>
        <w:pStyle w:val="Normal"/>
        <w:spacing w:before="60" w:after="60"/>
      </w:pPr>
    </w:p>
    <w:p>
      <w:pPr>
        <w:pStyle w:val="Normal"/>
        <w:spacing w:before="60" w:after="60"/>
      </w:pPr>
      <w:r>
        <w:rPr>
          <w:rFonts w:ascii="Cambria" w:hAnsi="Cambria" w:eastAsia="Cambria" w:cs="Cambria"/>
          <w:color w:val="1D2D3F"/>
          <w:sz w:val="20"/>
          <w:b/>
          <w:szCs w:val="20"/>
        </w:rPr>
        <w:t>All core principles remain: Synchronized Reciprocal Motion, Firewall provisions, Forward Drift Archive, Reciprocity Ledger, and Step-Back and Earn-Back mechanisms. Wartime mode only modifies operational tempo and procedural thresholds.</w:t>
      </w:r>
    </w:p>
    <w:p>
      <w:pPr>
        <w:pStyle w:val="Normal"/>
        <w:spacing w:before="60" w:after="60"/>
      </w:pPr>
    </w:p>
    <w:p>
      <w:pPr>
        <w:pStyle w:val="Normal"/>
        <w:spacing w:before="60" w:after="60"/>
      </w:pPr>
      <w:r>
        <w:rPr>
          <w:rFonts w:ascii="Cambria" w:hAnsi="Cambria" w:eastAsia="Cambria" w:cs="Cambria"/>
          <w:color w:val="1D2D3F"/>
          <w:sz w:val="20"/>
          <w:b/>
          <w:szCs w:val="20"/>
        </w:rPr>
        <w:t>Entries that lock into the Forward Drift Archive during Wartime mode have the same permanence as normal-tempo entries. Wartime Compliance Credits are real credits that carry forward after exit from Wartime mode. If Wartime mode ends early, incomplete Structural Steps carry forward to the next normal round.</w:t>
      </w:r>
    </w:p>
    <w:p>
      <w:pPr>
        <w:pStyle w:val="Normal"/>
        <w:spacing w:before="60" w:after="60"/>
      </w:pPr>
    </w:p>
    <w:p>
      <w:pPr>
        <w:pStyle w:val="Heading2"/>
      </w:pPr>
      <w:r>
        <w:rPr>
          <w:rFonts w:ascii="Cambria" w:hAnsi="Cambria" w:eastAsia="Cambria" w:cs="Cambria"/>
          <w:b/>
          <w:color w:val="1D2D3F"/>
          <w:sz w:val="20"/>
          <w:szCs w:val="30"/>
        </w:rPr>
        <w:t>SECTION 1: WARTIME COMPACT ACTIVATION</w:t>
      </w:r>
    </w:p>
    <w:p>
      <w:pPr>
        <w:pStyle w:val="Normal"/>
        <w:spacing w:before="60" w:after="60"/>
      </w:pPr>
    </w:p>
    <w:p>
      <w:pPr>
        <w:pStyle w:val="Heading2"/>
      </w:pPr>
      <w:r>
        <w:rPr>
          <w:rFonts w:ascii="Cambria" w:hAnsi="Cambria" w:eastAsia="Cambria" w:cs="Cambria"/>
          <w:b/>
          <w:color w:val="1D2D3F"/>
          <w:sz w:val="22"/>
          <w:szCs w:val="30"/>
        </w:rPr>
        <w:t>1.1 Activation Triggers</w:t>
      </w:r>
    </w:p>
    <w:p>
      <w:pPr>
        <w:pStyle w:val="Normal"/>
        <w:spacing w:before="60" w:after="60"/>
      </w:pPr>
    </w:p>
    <w:p>
      <w:pPr>
        <w:pStyle w:val="Normal"/>
        <w:spacing w:before="60" w:after="60"/>
      </w:pPr>
      <w:r>
        <w:rPr>
          <w:rFonts w:ascii="Cambria" w:hAnsi="Cambria" w:eastAsia="Cambria" w:cs="Cambria"/>
          <w:color w:val="1D2D3F"/>
          <w:sz w:val="20"/>
          <w:b/>
          <w:szCs w:val="20"/>
        </w:rPr>
        <w:t>The Wartime Compact activates automatically upon verification of any of the following conditions:</w:t>
      </w:r>
    </w:p>
    <w:p>
      <w:pPr>
        <w:pStyle w:val="Normal"/>
        <w:spacing w:before="60" w:after="60"/>
      </w:pPr>
    </w:p>
    <w:p>
      <w:pPr>
        <w:pStyle w:val="Normal"/>
        <w:spacing w:before="60" w:after="60"/>
      </w:pPr>
      <w:r>
        <w:rPr>
          <w:rFonts w:ascii="Cambria" w:hAnsi="Cambria" w:eastAsia="Cambria" w:cs="Cambria"/>
          <w:color w:val="1D2D3F"/>
          <w:sz w:val="20"/>
          <w:b/>
          <w:szCs w:val="20"/>
        </w:rPr>
        <w:t>(a) Active military operations in Lebanon with more than 3 verified incidents per week.</w:t>
      </w:r>
    </w:p>
    <w:p>
      <w:pPr>
        <w:pStyle w:val="Normal"/>
        <w:spacing w:before="60" w:after="60"/>
      </w:pPr>
    </w:p>
    <w:p>
      <w:pPr>
        <w:pStyle w:val="Normal"/>
        <w:spacing w:before="60" w:after="60"/>
      </w:pPr>
      <w:r>
        <w:rPr>
          <w:rFonts w:ascii="Cambria" w:hAnsi="Cambria" w:eastAsia="Cambria" w:cs="Cambria"/>
          <w:color w:val="1D2D3F"/>
          <w:sz w:val="20"/>
          <w:b/>
          <w:szCs w:val="20"/>
        </w:rPr>
        <w:t>(b) Technical drafters are unable to establish fixed verification coordinates due to territorial flux.</w:t>
      </w:r>
    </w:p>
    <w:p>
      <w:pPr>
        <w:pStyle w:val="Normal"/>
        <w:spacing w:before="60" w:after="60"/>
      </w:pPr>
    </w:p>
    <w:p>
      <w:pPr>
        <w:pStyle w:val="Normal"/>
        <w:spacing w:before="60" w:after="60"/>
      </w:pPr>
      <w:r>
        <w:rPr>
          <w:rFonts w:ascii="Cambria" w:hAnsi="Cambria" w:eastAsia="Cambria" w:cs="Cambria"/>
          <w:color w:val="1D2D3F"/>
          <w:sz w:val="20"/>
          <w:b/>
          <w:szCs w:val="20"/>
        </w:rPr>
        <w:t>(c) Negotiation timeline compresses to fewer than 60 days for a major reciprocity unit.</w:t>
      </w:r>
    </w:p>
    <w:p>
      <w:pPr>
        <w:pStyle w:val="Normal"/>
        <w:spacing w:before="60" w:after="60"/>
      </w:pPr>
    </w:p>
    <w:p>
      <w:pPr>
        <w:pStyle w:val="Normal"/>
        <w:spacing w:before="60" w:after="60"/>
      </w:pPr>
      <w:r>
        <w:rPr>
          <w:rFonts w:ascii="Cambria" w:hAnsi="Cambria" w:eastAsia="Cambria" w:cs="Cambria"/>
          <w:color w:val="1D2D3F"/>
          <w:sz w:val="20"/>
          <w:b/>
          <w:szCs w:val="20"/>
        </w:rPr>
        <w:t>(d) The Neutral Guarantor certifies "operating under uncertainty" on more than one front.</w:t>
      </w:r>
    </w:p>
    <w:p>
      <w:pPr>
        <w:pStyle w:val="Normal"/>
        <w:spacing w:before="60" w:after="60"/>
      </w:pPr>
    </w:p>
    <w:p>
      <w:pPr>
        <w:pStyle w:val="Normal"/>
        <w:spacing w:before="60" w:after="60"/>
      </w:pPr>
      <w:r>
        <w:rPr>
          <w:rFonts w:ascii="Cambria" w:hAnsi="Cambria" w:eastAsia="Cambria" w:cs="Cambria"/>
          <w:color w:val="1D2D3F"/>
          <w:sz w:val="20"/>
          <w:b/>
          <w:szCs w:val="20"/>
        </w:rPr>
        <w:t>(e) Either Party formally requests Wartime mode. Neither Party blocks this request.</w:t>
      </w:r>
    </w:p>
    <w:p>
      <w:pPr>
        <w:pStyle w:val="Normal"/>
        <w:spacing w:before="60" w:after="60"/>
      </w:pPr>
    </w:p>
    <w:p>
      <w:pPr>
        <w:pStyle w:val="Heading2"/>
      </w:pPr>
      <w:r>
        <w:rPr>
          <w:rFonts w:ascii="Cambria" w:hAnsi="Cambria" w:eastAsia="Cambria" w:cs="Cambria"/>
          <w:b/>
          <w:color w:val="1D2D3F"/>
          <w:sz w:val="22"/>
          <w:szCs w:val="30"/>
        </w:rPr>
        <w:t>1.2 Duration and Exit</w:t>
      </w:r>
    </w:p>
    <w:p>
      <w:pPr>
        <w:pStyle w:val="Normal"/>
        <w:spacing w:before="60" w:after="60"/>
      </w:pPr>
    </w:p>
    <w:p>
      <w:pPr>
        <w:pStyle w:val="Normal"/>
        <w:spacing w:before="60" w:after="60"/>
      </w:pPr>
      <w:r>
        <w:rPr>
          <w:rFonts w:ascii="Cambria" w:hAnsi="Cambria" w:eastAsia="Cambria" w:cs="Cambria"/>
          <w:color w:val="1D2D3F"/>
          <w:sz w:val="20"/>
          <w:b/>
          <w:szCs w:val="20"/>
        </w:rPr>
        <w:t>Duration: Wartime mode operates for 90 days maximum, renewable once for a total of 180 days.</w:t>
      </w:r>
    </w:p>
    <w:p>
      <w:pPr>
        <w:pStyle w:val="Normal"/>
        <w:spacing w:before="60" w:after="60"/>
      </w:pPr>
    </w:p>
    <w:p>
      <w:pPr>
        <w:pStyle w:val="Normal"/>
        <w:spacing w:before="60" w:after="60"/>
      </w:pPr>
      <w:r>
        <w:rPr>
          <w:rFonts w:ascii="Cambria" w:hAnsi="Cambria" w:eastAsia="Cambria" w:cs="Cambria"/>
          <w:color w:val="1D2D3F"/>
          <w:sz w:val="20"/>
          <w:b/>
          <w:szCs w:val="20"/>
        </w:rPr>
        <w:t>Exit Conditions (any one triggers return to normal tempo):</w:t>
      </w:r>
    </w:p>
    <w:p>
      <w:pPr>
        <w:pStyle w:val="Normal"/>
        <w:spacing w:before="60" w:after="60"/>
      </w:pPr>
    </w:p>
    <w:p>
      <w:pPr>
        <w:pStyle w:val="Normal"/>
        <w:spacing w:before="60" w:after="60"/>
      </w:pPr>
      <w:r>
        <w:rPr>
          <w:rFonts w:ascii="Cambria" w:hAnsi="Cambria" w:eastAsia="Cambria" w:cs="Cambria"/>
          <w:color w:val="1D2D3F"/>
          <w:sz w:val="20"/>
          <w:b/>
          <w:szCs w:val="20"/>
        </w:rPr>
        <w:t>(a) The Lebanon front achieves 30 consecutive days of zero major incidents.</w:t>
      </w:r>
    </w:p>
    <w:p>
      <w:pPr>
        <w:pStyle w:val="Normal"/>
        <w:spacing w:before="60" w:after="60"/>
      </w:pPr>
    </w:p>
    <w:p>
      <w:pPr>
        <w:pStyle w:val="Normal"/>
        <w:spacing w:before="60" w:after="60"/>
      </w:pPr>
      <w:r>
        <w:rPr>
          <w:rFonts w:ascii="Cambria" w:hAnsi="Cambria" w:eastAsia="Cambria" w:cs="Cambria"/>
          <w:color w:val="1D2D3F"/>
          <w:sz w:val="20"/>
          <w:b/>
          <w:szCs w:val="20"/>
        </w:rPr>
        <w:t>(b) All Pilot Zone maps are finalized and locked into the Forward Drift Archive.</w:t>
      </w:r>
    </w:p>
    <w:p>
      <w:pPr>
        <w:pStyle w:val="Normal"/>
        <w:spacing w:before="60" w:after="60"/>
      </w:pPr>
    </w:p>
    <w:p>
      <w:pPr>
        <w:pStyle w:val="Normal"/>
        <w:spacing w:before="60" w:after="60"/>
      </w:pPr>
      <w:r>
        <w:rPr>
          <w:rFonts w:ascii="Cambria" w:hAnsi="Cambria" w:eastAsia="Cambria" w:cs="Cambria"/>
          <w:color w:val="1D2D3F"/>
          <w:sz w:val="20"/>
          <w:b/>
          <w:szCs w:val="20"/>
        </w:rPr>
        <w:t>(c) Phase Three activation protocol completes.</w:t>
      </w:r>
    </w:p>
    <w:p>
      <w:pPr>
        <w:pStyle w:val="Normal"/>
        <w:spacing w:before="60" w:after="60"/>
      </w:pPr>
    </w:p>
    <w:p>
      <w:pPr>
        <w:pStyle w:val="Normal"/>
        <w:spacing w:before="60" w:after="60"/>
      </w:pPr>
      <w:r>
        <w:rPr>
          <w:rFonts w:ascii="Cambria" w:hAnsi="Cambria" w:eastAsia="Cambria" w:cs="Cambria"/>
          <w:color w:val="1D2D3F"/>
          <w:sz w:val="20"/>
          <w:b/>
          <w:szCs w:val="20"/>
        </w:rPr>
        <w:t>(d) Either Party files written notice of exit, triggering a 14-day wind-down period.</w:t>
      </w:r>
    </w:p>
    <w:p>
      <w:pPr>
        <w:pStyle w:val="Normal"/>
        <w:spacing w:before="60" w:after="60"/>
      </w:pPr>
    </w:p>
    <w:p>
      <w:pPr>
        <w:pStyle w:val="Normal"/>
        <w:spacing w:before="60" w:after="60"/>
      </w:pPr>
      <w:r>
        <w:rPr>
          <w:rFonts w:ascii="Cambria" w:hAnsi="Cambria" w:eastAsia="Cambria" w:cs="Cambria"/>
          <w:color w:val="1D2D3F"/>
          <w:sz w:val="20"/>
          <w:b/>
          <w:szCs w:val="20"/>
        </w:rPr>
        <w:t>Exit Effect: All compressed timelines immediately extend to normal Compact tempos. Ratchet points are grandfathered and do not reset. Forward Drift Archive entries remain locked. The Synchronization Clock extends timelines but does not reset cycle count. Operations continue from the point of exit.</w:t>
      </w:r>
    </w:p>
    <w:p>
      <w:pPr>
        <w:pStyle w:val="Normal"/>
        <w:spacing w:before="60" w:after="60"/>
      </w:pPr>
    </w:p>
    <w:p>
      <w:pPr>
        <w:pStyle w:val="Normal"/>
        <w:spacing w:before="60" w:after="60"/>
      </w:pPr>
    </w:p>
    <w:p>
      <w:pPr>
        <w:pStyle w:val="Heading2"/>
      </w:pPr>
      <w:r>
        <w:rPr>
          <w:rFonts w:ascii="Cambria" w:hAnsi="Cambria" w:eastAsia="Cambria" w:cs="Cambria"/>
          <w:b/>
          <w:color w:val="1D2D3F"/>
          <w:sz w:val="20"/>
          <w:szCs w:val="30"/>
        </w:rPr>
        <w:t>SECTION 2: THE STABILIZATION MINIMUM</w:t>
      </w:r>
    </w:p>
    <w:p>
      <w:pPr>
        <w:pStyle w:val="Normal"/>
        <w:spacing w:before="60" w:after="60"/>
      </w:pPr>
    </w:p>
    <w:p>
      <w:pPr>
        <w:pStyle w:val="Normal"/>
        <w:spacing w:before="60" w:after="60"/>
      </w:pPr>
      <w:r>
        <w:rPr>
          <w:rFonts w:ascii="Cambria" w:hAnsi="Cambria" w:eastAsia="Cambria" w:cs="Cambria"/>
          <w:color w:val="1D2D3F"/>
          <w:sz w:val="20"/>
          <w:b/>
          <w:szCs w:val="20"/>
        </w:rPr>
        <w:t>2.1 Graduated Stability Thresholds</w:t>
      </w:r>
    </w:p>
    <w:p>
      <w:pPr>
        <w:pStyle w:val="Normal"/>
        <w:spacing w:before="60" w:after="60"/>
      </w:pPr>
    </w:p>
    <w:p>
      <w:pPr>
        <w:pStyle w:val="Normal"/>
        <w:spacing w:before="60" w:after="60"/>
      </w:pPr>
      <w:r>
        <w:rPr>
          <w:rFonts w:ascii="Cambria" w:hAnsi="Cambria" w:eastAsia="Cambria" w:cs="Cambria"/>
          <w:color w:val="1D2D3F"/>
          <w:sz w:val="20"/>
          <w:b/>
          <w:szCs w:val="20"/>
        </w:rPr>
        <w:t>The following thresholds define what actually needs to happen for work to proceed. The Parties do not wait for Level 3 to begin operations. Each level unlocks a different workstream:</w:t>
      </w:r>
    </w:p>
    <w:p>
      <w:pPr>
        <w:pStyle w:val="Normal"/>
        <w:spacing w:before="60" w:after="60"/>
      </w:pPr>
    </w:p>
    <w:p>
      <w:pPr>
        <w:pStyle w:val="Normal"/>
        <w:spacing w:before="60" w:after="60"/>
      </w:pPr>
      <w:r>
        <w:rPr>
          <w:rFonts w:ascii="Cambria" w:hAnsi="Cambria" w:eastAsia="Cambria" w:cs="Cambria"/>
          <w:color w:val="1D2D3F"/>
          <w:sz w:val="20"/>
          <w:b/>
          <w:szCs w:val="20"/>
        </w:rPr>
        <w:t>Level 1: Predictable Flux. No new territorial acquisitions by either side. Routine fire remains at 2 or fewer incidents per day. Verification: satellite imagery plus Neutral Guarantor daily report. Time requirement: 7 consecutive days. Unlocks: technical drafting begins.</w:t>
      </w:r>
    </w:p>
    <w:p>
      <w:pPr>
        <w:pStyle w:val="Normal"/>
        <w:spacing w:before="60" w:after="60"/>
      </w:pPr>
    </w:p>
    <w:p>
      <w:pPr>
        <w:pStyle w:val="Normal"/>
        <w:spacing w:before="60" w:after="60"/>
      </w:pPr>
      <w:r>
        <w:rPr>
          <w:rFonts w:ascii="Cambria" w:hAnsi="Cambria" w:eastAsia="Cambria" w:cs="Cambria"/>
          <w:color w:val="1D2D3F"/>
          <w:sz w:val="20"/>
          <w:b/>
          <w:szCs w:val="20"/>
        </w:rPr>
        <w:t>Level 2: Structured Baseline. Incidents remain at 2 or fewer per day. No multi-unit operations. Hezbollah stays north of the Litani River. Verification: incident attribution protocol plus human intelligence. Time requirement: 14 consecutive days. Unlocks: Pilot Zone mapping begins.</w:t>
      </w:r>
    </w:p>
    <w:p>
      <w:pPr>
        <w:pStyle w:val="Normal"/>
        <w:spacing w:before="60" w:after="60"/>
      </w:pPr>
    </w:p>
    <w:p>
      <w:pPr>
        <w:pStyle w:val="Normal"/>
        <w:spacing w:before="60" w:after="60"/>
      </w:pPr>
      <w:r>
        <w:rPr>
          <w:rFonts w:ascii="Cambria" w:hAnsi="Cambria" w:eastAsia="Cambria" w:cs="Cambria"/>
          <w:color w:val="1D2D3F"/>
          <w:sz w:val="20"/>
          <w:b/>
          <w:szCs w:val="20"/>
        </w:rPr>
        <w:t>Level 3: Verified Calm. Zero major incidents. All military movements pre-notified 24 hours in advance. Verification: Joint Coordination Center verification plus three-source confirmation. Time requirement: 30 consecutive days. Unlocks: transition to normal Compact tempo.</w:t>
      </w:r>
    </w:p>
    <w:p>
      <w:pPr>
        <w:pStyle w:val="Normal"/>
        <w:spacing w:before="60" w:after="60"/>
      </w:pPr>
    </w:p>
    <w:p>
      <w:pPr>
        <w:pStyle w:val="Normal"/>
        <w:spacing w:before="60" w:after="60"/>
      </w:pPr>
      <w:r>
        <w:rPr>
          <w:rFonts w:ascii="Cambria" w:hAnsi="Cambria" w:eastAsia="Cambria" w:cs="Cambria"/>
          <w:color w:val="1D2D3F"/>
          <w:sz w:val="20"/>
          <w:b/>
          <w:szCs w:val="20"/>
        </w:rPr>
        <w:t>2.2 Wartime Incident Budget</w:t>
      </w:r>
    </w:p>
    <w:p>
      <w:pPr>
        <w:pStyle w:val="Normal"/>
        <w:spacing w:before="60" w:after="60"/>
      </w:pPr>
    </w:p>
    <w:p>
      <w:pPr>
        <w:pStyle w:val="Normal"/>
        <w:spacing w:before="60" w:after="60"/>
      </w:pPr>
      <w:r>
        <w:rPr>
          <w:rFonts w:ascii="Cambria" w:hAnsi="Cambria" w:eastAsia="Cambria" w:cs="Cambria"/>
          <w:color w:val="1D2D3F"/>
          <w:sz w:val="20"/>
          <w:b/>
          <w:szCs w:val="20"/>
        </w:rPr>
        <w:t>Neither side receives penalties for incidents occurring within the following baseline:</w:t>
      </w:r>
    </w:p>
    <w:p>
      <w:pPr>
        <w:pStyle w:val="Normal"/>
        <w:spacing w:before="60" w:after="60"/>
      </w:pPr>
    </w:p>
    <w:p>
      <w:pPr>
        <w:pStyle w:val="Normal"/>
        <w:spacing w:before="60" w:after="60"/>
      </w:pPr>
      <w:r>
        <w:rPr>
          <w:rFonts w:ascii="Cambria" w:hAnsi="Cambria" w:eastAsia="Cambria" w:cs="Cambria"/>
          <w:color w:val="1D2D3F"/>
          <w:sz w:val="20"/>
          <w:b/>
          <w:szCs w:val="20"/>
        </w:rPr>
        <w:t>Daily Budget:</w:t>
      </w:r>
    </w:p>
    <w:p>
      <w:pPr>
        <w:pStyle w:val="Normal"/>
        <w:spacing w:before="60" w:after="60"/>
      </w:pPr>
    </w:p>
    <w:p>
      <w:pPr>
        <w:pStyle w:val="Normal"/>
        <w:spacing w:before="60" w:after="60"/>
      </w:pPr>
      <w:r>
        <w:rPr>
          <w:rFonts w:ascii="Cambria" w:hAnsi="Cambria" w:eastAsia="Cambria" w:cs="Cambria"/>
          <w:color w:val="1D2D3F"/>
          <w:sz w:val="20"/>
          <w:b/>
          <w:szCs w:val="20"/>
        </w:rPr>
        <w:t>(a) Up to 2 cross-border fire incidents per day: logged, not escalated.</w:t>
      </w:r>
    </w:p>
    <w:p>
      <w:pPr>
        <w:pStyle w:val="Normal"/>
        <w:spacing w:before="60" w:after="60"/>
      </w:pPr>
    </w:p>
    <w:p>
      <w:pPr>
        <w:pStyle w:val="Normal"/>
        <w:spacing w:before="60" w:after="60"/>
      </w:pPr>
      <w:r>
        <w:rPr>
          <w:rFonts w:ascii="Cambria" w:hAnsi="Cambria" w:eastAsia="Cambria" w:cs="Cambria"/>
          <w:color w:val="1D2D3F"/>
          <w:sz w:val="20"/>
          <w:b/>
          <w:szCs w:val="20"/>
        </w:rPr>
        <w:t>(b) One incident causing fewer than 5 casualties: Band One processing only.</w:t>
      </w:r>
    </w:p>
    <w:p>
      <w:pPr>
        <w:pStyle w:val="Normal"/>
        <w:spacing w:before="60" w:after="60"/>
      </w:pPr>
    </w:p>
    <w:p>
      <w:pPr>
        <w:pStyle w:val="Normal"/>
        <w:spacing w:before="60" w:after="60"/>
      </w:pPr>
      <w:r>
        <w:rPr>
          <w:rFonts w:ascii="Cambria" w:hAnsi="Cambria" w:eastAsia="Cambria" w:cs="Cambria"/>
          <w:color w:val="1D2D3F"/>
          <w:sz w:val="20"/>
          <w:b/>
          <w:szCs w:val="20"/>
        </w:rPr>
        <w:t>(c) One incident causing 5 to 15 casualties: Band Two processing (compressed to 14 days from 45-day normal tempo).</w:t>
      </w:r>
    </w:p>
    <w:p>
      <w:pPr>
        <w:pStyle w:val="Normal"/>
        <w:spacing w:before="60" w:after="60"/>
      </w:pPr>
    </w:p>
    <w:p>
      <w:pPr>
        <w:pStyle w:val="Normal"/>
        <w:spacing w:before="60" w:after="60"/>
      </w:pPr>
      <w:r>
        <w:rPr>
          <w:rFonts w:ascii="Cambria" w:hAnsi="Cambria" w:eastAsia="Cambria" w:cs="Cambria"/>
          <w:color w:val="1D2D3F"/>
          <w:sz w:val="20"/>
          <w:b/>
          <w:szCs w:val="20"/>
        </w:rPr>
        <w:t>(d) One incident causing more than 15 casualties: Band Three processing (compressed to 30 days from 120-day normal tempo).</w:t>
      </w:r>
    </w:p>
    <w:p>
      <w:pPr>
        <w:pStyle w:val="Normal"/>
        <w:spacing w:before="60" w:after="60"/>
      </w:pPr>
    </w:p>
    <w:p>
      <w:pPr>
        <w:pStyle w:val="Normal"/>
        <w:spacing w:before="60" w:after="60"/>
      </w:pPr>
      <w:r>
        <w:rPr>
          <w:rFonts w:ascii="Cambria" w:hAnsi="Cambria" w:eastAsia="Cambria" w:cs="Cambria"/>
          <w:color w:val="1D2D3F"/>
          <w:sz w:val="20"/>
          <w:b/>
          <w:szCs w:val="20"/>
        </w:rPr>
        <w:t>Monthly Ceiling: 40 incidents per month. Exceeding 40 triggers Band Three review (compressed to 14 days).</w:t>
      </w:r>
    </w:p>
    <w:p>
      <w:pPr>
        <w:pStyle w:val="Normal"/>
        <w:spacing w:before="60" w:after="60"/>
      </w:pPr>
    </w:p>
    <w:p>
      <w:pPr>
        <w:pStyle w:val="Normal"/>
        <w:spacing w:before="60" w:after="60"/>
      </w:pPr>
      <w:r>
        <w:rPr>
          <w:rFonts w:ascii="Cambria" w:hAnsi="Cambria" w:eastAsia="Cambria" w:cs="Cambria"/>
          <w:color w:val="1D2D3F"/>
          <w:sz w:val="20"/>
          <w:b/>
          <w:szCs w:val="20"/>
        </w:rPr>
        <w:t>Effect: Ground-level clashes do not break the negotiation framework. Tactical incidents are de-coupled from strategic escalation.</w:t>
      </w:r>
    </w:p>
    <w:p>
      <w:pPr>
        <w:pStyle w:val="Normal"/>
        <w:spacing w:before="60" w:after="60"/>
      </w:pPr>
    </w:p>
    <w:p>
      <w:pPr>
        <w:pStyle w:val="Normal"/>
        <w:spacing w:before="60" w:after="60"/>
      </w:pPr>
    </w:p>
    <w:p>
      <w:pPr>
        <w:pStyle w:val="Heading2"/>
      </w:pPr>
      <w:r>
        <w:rPr>
          <w:rFonts w:ascii="Cambria" w:hAnsi="Cambria" w:eastAsia="Cambria" w:cs="Cambria"/>
          <w:b/>
          <w:color w:val="1D2D3F"/>
          <w:sz w:val="20"/>
          <w:szCs w:val="30"/>
        </w:rPr>
        <w:t>SECTION 3: BRIDGING SEQUENCE</w:t>
      </w:r>
    </w:p>
    <w:p>
      <w:pPr>
        <w:pStyle w:val="Normal"/>
        <w:spacing w:before="60" w:after="60"/>
      </w:pPr>
    </w:p>
    <w:p>
      <w:pPr>
        <w:pStyle w:val="Normal"/>
        <w:spacing w:before="60" w:after="60"/>
      </w:pPr>
      <w:r>
        <w:rPr>
          <w:rFonts w:ascii="Cambria" w:hAnsi="Cambria" w:eastAsia="Cambria" w:cs="Cambria"/>
          <w:color w:val="1D2D3F"/>
          <w:sz w:val="20"/>
          <w:b/>
          <w:szCs w:val="20"/>
        </w:rPr>
        <w:t>3.1 Single-Round Hybrid Step Structure</w:t>
      </w:r>
    </w:p>
    <w:p>
      <w:pPr>
        <w:pStyle w:val="Normal"/>
        <w:spacing w:before="60" w:after="60"/>
      </w:pPr>
    </w:p>
    <w:p>
      <w:pPr>
        <w:pStyle w:val="Normal"/>
        <w:spacing w:before="60" w:after="60"/>
      </w:pPr>
      <w:r>
        <w:rPr>
          <w:rFonts w:ascii="Cambria" w:hAnsi="Cambria" w:eastAsia="Cambria" w:cs="Cambria"/>
          <w:color w:val="1D2D3F"/>
          <w:sz w:val="20"/>
          <w:b/>
          <w:szCs w:val="20"/>
        </w:rPr>
        <w:t>Wartime mode consolidates three traditional step types into a single 21-day round:</w:t>
      </w:r>
    </w:p>
    <w:p>
      <w:pPr>
        <w:pStyle w:val="Normal"/>
        <w:spacing w:before="60" w:after="60"/>
      </w:pPr>
    </w:p>
    <w:p>
      <w:pPr>
        <w:pStyle w:val="Normal"/>
        <w:spacing w:before="60" w:after="60"/>
      </w:pPr>
      <w:r>
        <w:rPr>
          <w:rFonts w:ascii="Cambria" w:hAnsi="Cambria" w:eastAsia="Cambria" w:cs="Cambria"/>
          <w:color w:val="1D2D3F"/>
          <w:sz w:val="20"/>
          <w:b/>
          <w:szCs w:val="20"/>
        </w:rPr>
        <w:t>Days 1 to 7: Micro-Convergence (C-Type).</w:t>
      </w:r>
    </w:p>
    <w:p>
      <w:pPr>
        <w:pStyle w:val="Normal"/>
        <w:spacing w:before="60" w:after="60"/>
      </w:pPr>
    </w:p>
    <w:p>
      <w:pPr>
        <w:pStyle w:val="Normal"/>
        <w:spacing w:before="60" w:after="60"/>
      </w:pPr>
      <w:r>
        <w:rPr>
          <w:rFonts w:ascii="Cambria" w:hAnsi="Cambria" w:eastAsia="Cambria" w:cs="Cambria"/>
          <w:color w:val="1D2D3F"/>
          <w:sz w:val="20"/>
          <w:b/>
          <w:szCs w:val="20"/>
        </w:rPr>
        <w:t>Each side executes one visible, low-stakes action.</w:t>
      </w:r>
    </w:p>
    <w:p>
      <w:pPr>
        <w:pStyle w:val="Normal"/>
        <w:spacing w:before="60" w:after="60"/>
      </w:pPr>
    </w:p>
    <w:p>
      <w:pPr>
        <w:pStyle w:val="Normal"/>
        <w:spacing w:before="60" w:after="60"/>
      </w:pPr>
      <w:r>
        <w:rPr>
          <w:rFonts w:ascii="Cambria" w:hAnsi="Cambria" w:eastAsia="Cambria" w:cs="Cambria"/>
          <w:color w:val="1D2D3F"/>
          <w:sz w:val="20"/>
          <w:b/>
          <w:szCs w:val="20"/>
        </w:rPr>
        <w:t>Examples: prisoner mini-exchange (10 to 15 people), transit corridor verification, humanitarian access adjustment.</w:t>
      </w:r>
    </w:p>
    <w:p>
      <w:pPr>
        <w:pStyle w:val="Normal"/>
        <w:spacing w:before="60" w:after="60"/>
      </w:pPr>
    </w:p>
    <w:p>
      <w:pPr>
        <w:pStyle w:val="Normal"/>
        <w:spacing w:before="60" w:after="60"/>
      </w:pPr>
      <w:r>
        <w:rPr>
          <w:rFonts w:ascii="Cambria" w:hAnsi="Cambria" w:eastAsia="Cambria" w:cs="Cambria"/>
          <w:color w:val="1D2D3F"/>
          <w:sz w:val="20"/>
          <w:b/>
          <w:szCs w:val="20"/>
        </w:rPr>
        <w:t>Verification: immediate, with 24-hour confirmation required.</w:t>
      </w:r>
    </w:p>
    <w:p>
      <w:pPr>
        <w:pStyle w:val="Normal"/>
        <w:spacing w:before="60" w:after="60"/>
      </w:pPr>
    </w:p>
    <w:p>
      <w:pPr>
        <w:pStyle w:val="Normal"/>
        <w:spacing w:before="60" w:after="60"/>
      </w:pPr>
      <w:r>
        <w:rPr>
          <w:rFonts w:ascii="Cambria" w:hAnsi="Cambria" w:eastAsia="Cambria" w:cs="Cambria"/>
          <w:color w:val="1D2D3F"/>
          <w:sz w:val="20"/>
          <w:b/>
          <w:szCs w:val="20"/>
        </w:rPr>
        <w:t>Fail condition: if not completed by Day 7, the round escalates to the next phase anyway. The framework does not stall.</w:t>
      </w:r>
    </w:p>
    <w:p>
      <w:pPr>
        <w:pStyle w:val="Normal"/>
        <w:spacing w:before="60" w:after="60"/>
      </w:pPr>
    </w:p>
    <w:p>
      <w:pPr>
        <w:pStyle w:val="Normal"/>
        <w:spacing w:before="60" w:after="60"/>
      </w:pPr>
      <w:r>
        <w:rPr>
          <w:rFonts w:ascii="Cambria" w:hAnsi="Cambria" w:eastAsia="Cambria" w:cs="Cambria"/>
          <w:color w:val="1D2D3F"/>
          <w:sz w:val="20"/>
          <w:b/>
          <w:szCs w:val="20"/>
        </w:rPr>
        <w:t>Days 8 to 14: Structural Micro-Step (S-Type).</w:t>
      </w:r>
    </w:p>
    <w:p>
      <w:pPr>
        <w:pStyle w:val="Normal"/>
        <w:spacing w:before="60" w:after="60"/>
      </w:pPr>
    </w:p>
    <w:p>
      <w:pPr>
        <w:pStyle w:val="Normal"/>
        <w:spacing w:before="60" w:after="60"/>
      </w:pPr>
      <w:r>
        <w:rPr>
          <w:rFonts w:ascii="Cambria" w:hAnsi="Cambria" w:eastAsia="Cambria" w:cs="Cambria"/>
          <w:color w:val="1D2D3F"/>
          <w:sz w:val="20"/>
          <w:b/>
          <w:szCs w:val="20"/>
        </w:rPr>
        <w:t>Each side executes one small structural commitment with hard verification.</w:t>
      </w:r>
    </w:p>
    <w:p>
      <w:pPr>
        <w:pStyle w:val="Normal"/>
        <w:spacing w:before="60" w:after="60"/>
      </w:pPr>
    </w:p>
    <w:p>
      <w:pPr>
        <w:pStyle w:val="Normal"/>
        <w:spacing w:before="60" w:after="60"/>
      </w:pPr>
      <w:r>
        <w:rPr>
          <w:rFonts w:ascii="Cambria" w:hAnsi="Cambria" w:eastAsia="Cambria" w:cs="Cambria"/>
          <w:color w:val="1D2D3F"/>
          <w:sz w:val="20"/>
          <w:b/>
          <w:szCs w:val="20"/>
        </w:rPr>
        <w:t>Examples: a single Pilot Zone boundary is finalized, one uranium batch is down-blended, one IAEA access protocol is signed.</w:t>
      </w:r>
    </w:p>
    <w:p>
      <w:pPr>
        <w:pStyle w:val="Normal"/>
        <w:spacing w:before="60" w:after="60"/>
      </w:pPr>
    </w:p>
    <w:p>
      <w:pPr>
        <w:pStyle w:val="Normal"/>
        <w:spacing w:before="60" w:after="60"/>
      </w:pPr>
      <w:r>
        <w:rPr>
          <w:rFonts w:ascii="Cambria" w:hAnsi="Cambria" w:eastAsia="Cambria" w:cs="Cambria"/>
          <w:color w:val="1D2D3F"/>
          <w:sz w:val="20"/>
          <w:b/>
          <w:szCs w:val="20"/>
        </w:rPr>
        <w:t>Verification: three-source standard (compressed from five-source in normal mode).</w:t>
      </w:r>
    </w:p>
    <w:p>
      <w:pPr>
        <w:pStyle w:val="Normal"/>
        <w:spacing w:before="60" w:after="60"/>
      </w:pPr>
    </w:p>
    <w:p>
      <w:pPr>
        <w:pStyle w:val="Normal"/>
        <w:spacing w:before="60" w:after="60"/>
      </w:pPr>
      <w:r>
        <w:rPr>
          <w:rFonts w:ascii="Cambria" w:hAnsi="Cambria" w:eastAsia="Cambria" w:cs="Cambria"/>
          <w:color w:val="1D2D3F"/>
          <w:sz w:val="20"/>
          <w:b/>
          <w:szCs w:val="20"/>
        </w:rPr>
        <w:t>Lock: the step immediately enters the Forward Drift Archive upon completion.</w:t>
      </w:r>
    </w:p>
    <w:p>
      <w:pPr>
        <w:pStyle w:val="Normal"/>
        <w:spacing w:before="60" w:after="60"/>
      </w:pPr>
    </w:p>
    <w:p>
      <w:pPr>
        <w:pStyle w:val="Normal"/>
        <w:spacing w:before="60" w:after="60"/>
      </w:pPr>
      <w:r>
        <w:rPr>
          <w:rFonts w:ascii="Cambria" w:hAnsi="Cambria" w:eastAsia="Cambria" w:cs="Cambria"/>
          <w:color w:val="1D2D3F"/>
          <w:sz w:val="20"/>
          <w:b/>
          <w:szCs w:val="20"/>
        </w:rPr>
        <w:t>Fail condition: if incomplete, the step carries forward to the next round with modified scope (smaller commitment).</w:t>
      </w:r>
    </w:p>
    <w:p>
      <w:pPr>
        <w:pStyle w:val="Normal"/>
        <w:spacing w:before="60" w:after="60"/>
      </w:pPr>
    </w:p>
    <w:p>
      <w:pPr>
        <w:pStyle w:val="Normal"/>
        <w:spacing w:before="60" w:after="60"/>
      </w:pPr>
      <w:r>
        <w:rPr>
          <w:rFonts w:ascii="Cambria" w:hAnsi="Cambria" w:eastAsia="Cambria" w:cs="Cambria"/>
          <w:color w:val="1D2D3F"/>
          <w:sz w:val="20"/>
          <w:b/>
          <w:szCs w:val="20"/>
        </w:rPr>
        <w:t>Days 15 to 21: Sounding Exchange Plus Reset (Confidence Plus Reset).</w:t>
      </w:r>
    </w:p>
    <w:p>
      <w:pPr>
        <w:pStyle w:val="Normal"/>
        <w:spacing w:before="60" w:after="60"/>
      </w:pPr>
    </w:p>
    <w:p>
      <w:pPr>
        <w:pStyle w:val="Normal"/>
        <w:spacing w:before="60" w:after="60"/>
      </w:pPr>
      <w:r>
        <w:rPr>
          <w:rFonts w:ascii="Cambria" w:hAnsi="Cambria" w:eastAsia="Cambria" w:cs="Cambria"/>
          <w:color w:val="1D2D3F"/>
          <w:sz w:val="20"/>
          <w:b/>
          <w:szCs w:val="20"/>
        </w:rPr>
        <w:t>Each side sends: one positive surprise, one concern, and one next-round proposal. This constitutes a compressed Sounding Exchange.</w:t>
      </w:r>
    </w:p>
    <w:p>
      <w:pPr>
        <w:pStyle w:val="Normal"/>
        <w:spacing w:before="60" w:after="60"/>
      </w:pPr>
    </w:p>
    <w:p>
      <w:pPr>
        <w:pStyle w:val="Normal"/>
        <w:spacing w:before="60" w:after="60"/>
      </w:pPr>
      <w:r>
        <w:rPr>
          <w:rFonts w:ascii="Cambria" w:hAnsi="Cambria" w:eastAsia="Cambria" w:cs="Cambria"/>
          <w:color w:val="1D2D3F"/>
          <w:sz w:val="20"/>
          <w:b/>
          <w:szCs w:val="20"/>
        </w:rPr>
        <w:t>Purpose: recalibrate expectations, signal commitment, and adjust for the next 21-day round.</w:t>
      </w:r>
    </w:p>
    <w:p>
      <w:pPr>
        <w:pStyle w:val="Normal"/>
        <w:spacing w:before="60" w:after="60"/>
      </w:pPr>
    </w:p>
    <w:p>
      <w:pPr>
        <w:pStyle w:val="Normal"/>
        <w:spacing w:before="60" w:after="60"/>
      </w:pPr>
      <w:r>
        <w:rPr>
          <w:rFonts w:ascii="Cambria" w:hAnsi="Cambria" w:eastAsia="Cambria" w:cs="Cambria"/>
          <w:color w:val="1D2D3F"/>
          <w:sz w:val="20"/>
          <w:b/>
          <w:szCs w:val="20"/>
        </w:rPr>
        <w:t>No negotiation occurs during this phase. Information exchange only. This prevents back-and-forth haggling.</w:t>
      </w:r>
    </w:p>
    <w:p>
      <w:pPr>
        <w:pStyle w:val="Normal"/>
        <w:spacing w:before="60" w:after="60"/>
      </w:pPr>
    </w:p>
    <w:p>
      <w:pPr>
        <w:pStyle w:val="Normal"/>
        <w:spacing w:before="60" w:after="60"/>
      </w:pPr>
      <w:r>
        <w:rPr>
          <w:rFonts w:ascii="Cambria" w:hAnsi="Cambria" w:eastAsia="Cambria" w:cs="Cambria"/>
          <w:color w:val="1D2D3F"/>
          <w:sz w:val="20"/>
          <w:b/>
          <w:szCs w:val="20"/>
        </w:rPr>
        <w:t>Lock: all surprises and concerns are logged in the Shared Awareness Network.</w:t>
      </w:r>
    </w:p>
    <w:p>
      <w:pPr>
        <w:pStyle w:val="Normal"/>
        <w:spacing w:before="60" w:after="60"/>
      </w:pPr>
    </w:p>
    <w:p>
      <w:pPr>
        <w:pStyle w:val="Normal"/>
        <w:spacing w:before="60" w:after="60"/>
      </w:pPr>
      <w:r>
        <w:rPr>
          <w:rFonts w:ascii="Cambria" w:hAnsi="Cambria" w:eastAsia="Cambria" w:cs="Cambria"/>
          <w:color w:val="1D2D3F"/>
          <w:sz w:val="20"/>
          <w:b/>
          <w:szCs w:val="20"/>
        </w:rPr>
        <w:t>After Day 21: the round repeats. Rounds stack. After three rounds (63 days), the Parties either transition to normal tempo or extend Wartime mode once.</w:t>
      </w:r>
    </w:p>
    <w:p>
      <w:pPr>
        <w:pStyle w:val="Normal"/>
        <w:spacing w:before="60" w:after="60"/>
      </w:pPr>
    </w:p>
    <w:p>
      <w:pPr>
        <w:pStyle w:val="Normal"/>
        <w:spacing w:before="60" w:after="60"/>
      </w:pPr>
      <w:r>
        <w:rPr>
          <w:rFonts w:ascii="Cambria" w:hAnsi="Cambria" w:eastAsia="Cambria" w:cs="Cambria"/>
          <w:color w:val="1D2D3F"/>
          <w:sz w:val="20"/>
          <w:b/>
          <w:szCs w:val="20"/>
        </w:rPr>
        <w:t>3.2 Failure Tolerance</w:t>
      </w:r>
    </w:p>
    <w:p>
      <w:pPr>
        <w:pStyle w:val="Normal"/>
        <w:spacing w:before="60" w:after="60"/>
      </w:pPr>
    </w:p>
    <w:p>
      <w:pPr>
        <w:pStyle w:val="Normal"/>
        <w:spacing w:before="60" w:after="60"/>
      </w:pPr>
      <w:r>
        <w:rPr>
          <w:rFonts w:ascii="Cambria" w:hAnsi="Cambria" w:eastAsia="Cambria" w:cs="Cambria"/>
          <w:color w:val="1D2D3F"/>
          <w:sz w:val="20"/>
          <w:b/>
          <w:szCs w:val="20"/>
        </w:rPr>
        <w:t>Failed Convergence step: no penalty. The step carries forward to the next round.</w:t>
      </w:r>
    </w:p>
    <w:p>
      <w:pPr>
        <w:pStyle w:val="Normal"/>
        <w:spacing w:before="60" w:after="60"/>
      </w:pPr>
    </w:p>
    <w:p>
      <w:pPr>
        <w:pStyle w:val="Normal"/>
        <w:spacing w:before="60" w:after="60"/>
      </w:pPr>
      <w:r>
        <w:rPr>
          <w:rFonts w:ascii="Cambria" w:hAnsi="Cambria" w:eastAsia="Cambria" w:cs="Cambria"/>
          <w:color w:val="1D2D3F"/>
          <w:sz w:val="20"/>
          <w:b/>
          <w:szCs w:val="20"/>
        </w:rPr>
        <w:t>Failed Structural step: no penalty. The step re-attempts in the next round with modified scope.</w:t>
      </w:r>
    </w:p>
    <w:p>
      <w:pPr>
        <w:pStyle w:val="Normal"/>
        <w:spacing w:before="60" w:after="60"/>
      </w:pPr>
    </w:p>
    <w:p>
      <w:pPr>
        <w:pStyle w:val="Normal"/>
        <w:spacing w:before="60" w:after="60"/>
      </w:pPr>
      <w:r>
        <w:rPr>
          <w:rFonts w:ascii="Cambria" w:hAnsi="Cambria" w:eastAsia="Cambria" w:cs="Cambria"/>
          <w:color w:val="1D2D3F"/>
          <w:sz w:val="20"/>
          <w:b/>
          <w:szCs w:val="20"/>
        </w:rPr>
        <w:t>Failed Sounding: converts to Band Two dispute resolution (compressed to 14 days) before the next round begins.</w:t>
      </w:r>
    </w:p>
    <w:p>
      <w:pPr>
        <w:pStyle w:val="Normal"/>
        <w:spacing w:before="60" w:after="60"/>
      </w:pPr>
    </w:p>
    <w:p>
      <w:pPr>
        <w:pStyle w:val="Normal"/>
        <w:spacing w:before="60" w:after="60"/>
      </w:pPr>
      <w:r>
        <w:rPr>
          <w:rFonts w:ascii="Cambria" w:hAnsi="Cambria" w:eastAsia="Cambria" w:cs="Cambria"/>
          <w:color w:val="1D2D3F"/>
          <w:sz w:val="20"/>
          <w:b/>
          <w:szCs w:val="20"/>
        </w:rPr>
        <w:t>Result: the framework keeps moving forward even when individual steps do not complete. The architecture builds momentum, not perfection.</w:t>
      </w:r>
    </w:p>
    <w:p>
      <w:pPr>
        <w:pStyle w:val="Normal"/>
        <w:spacing w:before="60" w:after="60"/>
      </w:pPr>
    </w:p>
    <w:p>
      <w:pPr>
        <w:pStyle w:val="Normal"/>
        <w:spacing w:before="60" w:after="60"/>
      </w:pPr>
    </w:p>
    <w:p>
      <w:pPr>
        <w:pStyle w:val="Heading2"/>
      </w:pPr>
      <w:r>
        <w:rPr>
          <w:rFonts w:ascii="Cambria" w:hAnsi="Cambria" w:eastAsia="Cambria" w:cs="Cambria"/>
          <w:b/>
          <w:color w:val="1D2D3F"/>
          <w:sz w:val="20"/>
          <w:szCs w:val="30"/>
        </w:rPr>
        <w:t>SECTION 4: PILOT FIRST APPROACH</w:t>
      </w:r>
    </w:p>
    <w:p>
      <w:pPr>
        <w:pStyle w:val="Normal"/>
        <w:spacing w:before="60" w:after="60"/>
      </w:pPr>
    </w:p>
    <w:p>
      <w:pPr>
        <w:pStyle w:val="Heading2"/>
      </w:pPr>
      <w:r>
        <w:rPr>
          <w:rFonts w:ascii="Cambria" w:hAnsi="Cambria" w:eastAsia="Cambria" w:cs="Cambria"/>
          <w:b/>
          <w:color w:val="1D2D3F"/>
          <w:sz w:val="22"/>
          <w:szCs w:val="30"/>
        </w:rPr>
        <w:t>4.1 Phase 1: One Pilot Zone Only</w:t>
      </w:r>
    </w:p>
    <w:p>
      <w:pPr>
        <w:pStyle w:val="Normal"/>
        <w:spacing w:before="60" w:after="60"/>
      </w:pPr>
    </w:p>
    <w:p>
      <w:pPr>
        <w:pStyle w:val="Normal"/>
        <w:spacing w:before="60" w:after="60"/>
      </w:pPr>
      <w:r>
        <w:rPr>
          <w:rFonts w:ascii="Cambria" w:hAnsi="Cambria" w:eastAsia="Cambria" w:cs="Cambria"/>
          <w:color w:val="1D2D3F"/>
          <w:sz w:val="20"/>
          <w:b/>
          <w:szCs w:val="20"/>
        </w:rPr>
        <w:t>The Parties commit to proving the security zone model works on one zone first, rather than mapping all Lebanon security zones simultaneously.</w:t>
      </w:r>
    </w:p>
    <w:p>
      <w:pPr>
        <w:pStyle w:val="Normal"/>
        <w:spacing w:before="60" w:after="60"/>
      </w:pPr>
    </w:p>
    <w:p>
      <w:pPr>
        <w:pStyle w:val="Normal"/>
        <w:spacing w:before="60" w:after="60"/>
      </w:pPr>
      <w:r>
        <w:rPr>
          <w:rFonts w:ascii="Cambria" w:hAnsi="Cambria" w:eastAsia="Cambria" w:cs="Cambria"/>
          <w:color w:val="1D2D3F"/>
          <w:sz w:val="20"/>
          <w:b/>
          <w:szCs w:val="20"/>
        </w:rPr>
        <w:t>Pilot Zone Selection Criteria:</w:t>
      </w:r>
    </w:p>
    <w:p>
      <w:pPr>
        <w:pStyle w:val="Normal"/>
        <w:spacing w:before="60" w:after="60"/>
      </w:pPr>
    </w:p>
    <w:p>
      <w:pPr>
        <w:pStyle w:val="Normal"/>
        <w:spacing w:before="60" w:after="60"/>
      </w:pPr>
      <w:r>
        <w:rPr>
          <w:rFonts w:ascii="Cambria" w:hAnsi="Cambria" w:eastAsia="Cambria" w:cs="Cambria"/>
          <w:color w:val="1D2D3F"/>
          <w:sz w:val="20"/>
          <w:b/>
          <w:szCs w:val="20"/>
        </w:rPr>
        <w:t>(a) Strategic importance to both Israeli security and Hezbollah presence.</w:t>
      </w:r>
    </w:p>
    <w:p>
      <w:pPr>
        <w:pStyle w:val="Normal"/>
        <w:spacing w:before="60" w:after="60"/>
      </w:pPr>
    </w:p>
    <w:p>
      <w:pPr>
        <w:pStyle w:val="Normal"/>
        <w:spacing w:before="60" w:after="60"/>
      </w:pPr>
      <w:r>
        <w:rPr>
          <w:rFonts w:ascii="Cambria" w:hAnsi="Cambria" w:eastAsia="Cambria" w:cs="Cambria"/>
          <w:color w:val="1D2D3F"/>
          <w:sz w:val="20"/>
          <w:b/>
          <w:szCs w:val="20"/>
        </w:rPr>
        <w:t>(b) Geographically bounded by clear natural boundaries: river, ridge, or town limits.</w:t>
      </w:r>
    </w:p>
    <w:p>
      <w:pPr>
        <w:pStyle w:val="Normal"/>
        <w:spacing w:before="60" w:after="60"/>
      </w:pPr>
    </w:p>
    <w:p>
      <w:pPr>
        <w:pStyle w:val="Normal"/>
        <w:spacing w:before="60" w:after="60"/>
      </w:pPr>
      <w:r>
        <w:rPr>
          <w:rFonts w:ascii="Cambria" w:hAnsi="Cambria" w:eastAsia="Cambria" w:cs="Cambria"/>
          <w:color w:val="1D2D3F"/>
          <w:sz w:val="20"/>
          <w:b/>
          <w:szCs w:val="20"/>
        </w:rPr>
        <w:t>(c) Verifiable: satellite coverage available and Neutral Guarantor access feasible.</w:t>
      </w:r>
    </w:p>
    <w:p>
      <w:pPr>
        <w:pStyle w:val="Normal"/>
        <w:spacing w:before="60" w:after="60"/>
      </w:pPr>
    </w:p>
    <w:p>
      <w:pPr>
        <w:pStyle w:val="Normal"/>
        <w:spacing w:before="60" w:after="60"/>
      </w:pPr>
      <w:r>
        <w:rPr>
          <w:rFonts w:ascii="Cambria" w:hAnsi="Cambria" w:eastAsia="Cambria" w:cs="Cambria"/>
          <w:color w:val="1D2D3F"/>
          <w:sz w:val="20"/>
          <w:b/>
          <w:szCs w:val="20"/>
        </w:rPr>
        <w:t>(d) Sized for rapid success: not more than 500 square kilometers.</w:t>
      </w:r>
    </w:p>
    <w:p>
      <w:pPr>
        <w:pStyle w:val="Normal"/>
        <w:spacing w:before="60" w:after="60"/>
      </w:pPr>
    </w:p>
    <w:p>
      <w:pPr>
        <w:pStyle w:val="Normal"/>
        <w:spacing w:before="60" w:after="60"/>
      </w:pPr>
      <w:r>
        <w:rPr>
          <w:rFonts w:ascii="Cambria" w:hAnsi="Cambria" w:eastAsia="Cambria" w:cs="Cambria"/>
          <w:color w:val="1D2D3F"/>
          <w:sz w:val="20"/>
          <w:b/>
          <w:szCs w:val="20"/>
        </w:rPr>
        <w:t>Recommended: Southern Tyre district. Rationale: Hezbollah stronghold, Israeli security concern, natural Litani River boundary, port access for verification team.</w:t>
      </w:r>
    </w:p>
    <w:p>
      <w:pPr>
        <w:pStyle w:val="Normal"/>
        <w:spacing w:before="60" w:after="60"/>
      </w:pPr>
    </w:p>
    <w:p>
      <w:pPr>
        <w:pStyle w:val="Normal"/>
        <w:spacing w:before="60" w:after="60"/>
      </w:pPr>
      <w:r>
        <w:rPr>
          <w:rFonts w:ascii="Cambria" w:hAnsi="Cambria" w:eastAsia="Cambria" w:cs="Cambria"/>
          <w:color w:val="1D2D3F"/>
          <w:sz w:val="20"/>
          <w:b/>
          <w:szCs w:val="20"/>
        </w:rPr>
        <w:t>4.2 Three-Phase Pilot Execution</w:t>
      </w:r>
    </w:p>
    <w:p>
      <w:pPr>
        <w:pStyle w:val="Normal"/>
        <w:spacing w:before="60" w:after="60"/>
      </w:pPr>
    </w:p>
    <w:p>
      <w:pPr>
        <w:pStyle w:val="Normal"/>
        <w:spacing w:before="60" w:after="60"/>
      </w:pPr>
      <w:r>
        <w:rPr>
          <w:rFonts w:ascii="Cambria" w:hAnsi="Cambria" w:eastAsia="Cambria" w:cs="Cambria"/>
          <w:color w:val="1D2D3F"/>
          <w:sz w:val="20"/>
          <w:b/>
          <w:szCs w:val="20"/>
        </w:rPr>
        <w:t>Phase 1A: Freeze (Days 1 to 7).</w:t>
      </w:r>
    </w:p>
    <w:p>
      <w:pPr>
        <w:pStyle w:val="Normal"/>
        <w:spacing w:before="60" w:after="60"/>
      </w:pPr>
    </w:p>
    <w:p>
      <w:pPr>
        <w:pStyle w:val="Normal"/>
        <w:spacing w:before="60" w:after="60"/>
      </w:pPr>
      <w:r>
        <w:rPr>
          <w:rFonts w:ascii="Cambria" w:hAnsi="Cambria" w:eastAsia="Cambria" w:cs="Cambria"/>
          <w:color w:val="1D2D3F"/>
          <w:sz w:val="20"/>
          <w:b/>
          <w:szCs w:val="20"/>
        </w:rPr>
        <w:t>Israeli action: halt strikes on the pilot zone.</w:t>
      </w:r>
    </w:p>
    <w:p>
      <w:pPr>
        <w:pStyle w:val="Normal"/>
        <w:spacing w:before="60" w:after="60"/>
      </w:pPr>
    </w:p>
    <w:p>
      <w:pPr>
        <w:pStyle w:val="Normal"/>
        <w:spacing w:before="60" w:after="60"/>
      </w:pPr>
      <w:r>
        <w:rPr>
          <w:rFonts w:ascii="Cambria" w:hAnsi="Cambria" w:eastAsia="Cambria" w:cs="Cambria"/>
          <w:color w:val="1D2D3F"/>
          <w:sz w:val="20"/>
          <w:b/>
          <w:szCs w:val="20"/>
        </w:rPr>
        <w:t>Hezbollah action: halt fire from the pilot zone.</w:t>
      </w:r>
    </w:p>
    <w:p>
      <w:pPr>
        <w:pStyle w:val="Normal"/>
        <w:spacing w:before="60" w:after="60"/>
      </w:pPr>
    </w:p>
    <w:p>
      <w:pPr>
        <w:pStyle w:val="Normal"/>
        <w:spacing w:before="60" w:after="60"/>
      </w:pPr>
      <w:r>
        <w:rPr>
          <w:rFonts w:ascii="Cambria" w:hAnsi="Cambria" w:eastAsia="Cambria" w:cs="Cambria"/>
          <w:color w:val="1D2D3F"/>
          <w:sz w:val="20"/>
          <w:b/>
          <w:szCs w:val="20"/>
        </w:rPr>
        <w:t>LAF action: deploy vetted units to zone edges.</w:t>
      </w:r>
    </w:p>
    <w:p>
      <w:pPr>
        <w:pStyle w:val="Normal"/>
        <w:spacing w:before="60" w:after="60"/>
      </w:pPr>
    </w:p>
    <w:p>
      <w:pPr>
        <w:pStyle w:val="Normal"/>
        <w:spacing w:before="60" w:after="60"/>
      </w:pPr>
      <w:r>
        <w:rPr>
          <w:rFonts w:ascii="Cambria" w:hAnsi="Cambria" w:eastAsia="Cambria" w:cs="Cambria"/>
          <w:color w:val="1D2D3F"/>
          <w:sz w:val="20"/>
          <w:b/>
          <w:szCs w:val="20"/>
        </w:rPr>
        <w:t>Verification: Neutral Guarantor plus satellite imagery.</w:t>
      </w:r>
    </w:p>
    <w:p>
      <w:pPr>
        <w:pStyle w:val="Normal"/>
        <w:spacing w:before="60" w:after="60"/>
      </w:pPr>
    </w:p>
    <w:p>
      <w:pPr>
        <w:pStyle w:val="Normal"/>
        <w:spacing w:before="60" w:after="60"/>
      </w:pPr>
      <w:r>
        <w:rPr>
          <w:rFonts w:ascii="Cambria" w:hAnsi="Cambria" w:eastAsia="Cambria" w:cs="Cambria"/>
          <w:color w:val="1D2D3F"/>
          <w:sz w:val="20"/>
          <w:b/>
          <w:szCs w:val="20"/>
        </w:rPr>
        <w:t>Phase 1B: Handover (Days 8 to 21).</w:t>
      </w:r>
    </w:p>
    <w:p>
      <w:pPr>
        <w:pStyle w:val="Normal"/>
        <w:spacing w:before="60" w:after="60"/>
      </w:pPr>
    </w:p>
    <w:p>
      <w:pPr>
        <w:pStyle w:val="Normal"/>
        <w:spacing w:before="60" w:after="60"/>
      </w:pPr>
      <w:r>
        <w:rPr>
          <w:rFonts w:ascii="Cambria" w:hAnsi="Cambria" w:eastAsia="Cambria" w:cs="Cambria"/>
          <w:color w:val="1D2D3F"/>
          <w:sz w:val="20"/>
          <w:b/>
          <w:szCs w:val="20"/>
        </w:rPr>
        <w:t>Israeli action: IDF withdraws to outer perimeter, maintains overwatch only.</w:t>
      </w:r>
    </w:p>
    <w:p>
      <w:pPr>
        <w:pStyle w:val="Normal"/>
        <w:spacing w:before="60" w:after="60"/>
      </w:pPr>
    </w:p>
    <w:p>
      <w:pPr>
        <w:pStyle w:val="Normal"/>
        <w:spacing w:before="60" w:after="60"/>
      </w:pPr>
      <w:r>
        <w:rPr>
          <w:rFonts w:ascii="Cambria" w:hAnsi="Cambria" w:eastAsia="Cambria" w:cs="Cambria"/>
          <w:color w:val="1D2D3F"/>
          <w:sz w:val="20"/>
          <w:b/>
          <w:szCs w:val="20"/>
        </w:rPr>
        <w:t>Hezbollah action: operatives relocate north of the Litani River.</w:t>
      </w:r>
    </w:p>
    <w:p>
      <w:pPr>
        <w:pStyle w:val="Normal"/>
        <w:spacing w:before="60" w:after="60"/>
      </w:pPr>
    </w:p>
    <w:p>
      <w:pPr>
        <w:pStyle w:val="Normal"/>
        <w:spacing w:before="60" w:after="60"/>
      </w:pPr>
      <w:r>
        <w:rPr>
          <w:rFonts w:ascii="Cambria" w:hAnsi="Cambria" w:eastAsia="Cambria" w:cs="Cambria"/>
          <w:color w:val="1D2D3F"/>
          <w:sz w:val="20"/>
          <w:b/>
          <w:szCs w:val="20"/>
        </w:rPr>
        <w:t>LAF action: assumes operational control.</w:t>
      </w:r>
    </w:p>
    <w:p>
      <w:pPr>
        <w:pStyle w:val="Normal"/>
        <w:spacing w:before="60" w:after="60"/>
      </w:pPr>
    </w:p>
    <w:p>
      <w:pPr>
        <w:pStyle w:val="Normal"/>
        <w:spacing w:before="60" w:after="60"/>
      </w:pPr>
      <w:r>
        <w:rPr>
          <w:rFonts w:ascii="Cambria" w:hAnsi="Cambria" w:eastAsia="Cambria" w:cs="Cambria"/>
          <w:color w:val="1D2D3F"/>
          <w:sz w:val="20"/>
          <w:b/>
          <w:szCs w:val="20"/>
        </w:rPr>
        <w:t>Verification: Joint Coordination Center verification of each withdrawn position with GPS confirmation.</w:t>
      </w:r>
    </w:p>
    <w:p>
      <w:pPr>
        <w:pStyle w:val="Normal"/>
        <w:spacing w:before="60" w:after="60"/>
      </w:pPr>
    </w:p>
    <w:p>
      <w:pPr>
        <w:pStyle w:val="Normal"/>
        <w:spacing w:before="60" w:after="60"/>
      </w:pPr>
      <w:r>
        <w:rPr>
          <w:rFonts w:ascii="Cambria" w:hAnsi="Cambria" w:eastAsia="Cambria" w:cs="Cambria"/>
          <w:color w:val="1D2D3F"/>
          <w:sz w:val="20"/>
          <w:b/>
          <w:szCs w:val="20"/>
        </w:rPr>
        <w:t>Phase 1C: Validation (Days 22 to 30).</w:t>
      </w:r>
    </w:p>
    <w:p>
      <w:pPr>
        <w:pStyle w:val="Normal"/>
        <w:spacing w:before="60" w:after="60"/>
      </w:pPr>
    </w:p>
    <w:p>
      <w:pPr>
        <w:pStyle w:val="Normal"/>
        <w:spacing w:before="60" w:after="60"/>
      </w:pPr>
      <w:r>
        <w:rPr>
          <w:rFonts w:ascii="Cambria" w:hAnsi="Cambria" w:eastAsia="Cambria" w:cs="Cambria"/>
          <w:color w:val="1D2D3F"/>
          <w:sz w:val="20"/>
          <w:b/>
          <w:szCs w:val="20"/>
        </w:rPr>
        <w:t>Israeli action: zero strikes into the zone, maintain outer cordon.</w:t>
      </w:r>
    </w:p>
    <w:p>
      <w:pPr>
        <w:pStyle w:val="Normal"/>
        <w:spacing w:before="60" w:after="60"/>
      </w:pPr>
    </w:p>
    <w:p>
      <w:pPr>
        <w:pStyle w:val="Normal"/>
        <w:spacing w:before="60" w:after="60"/>
      </w:pPr>
      <w:r>
        <w:rPr>
          <w:rFonts w:ascii="Cambria" w:hAnsi="Cambria" w:eastAsia="Cambria" w:cs="Cambria"/>
          <w:color w:val="1D2D3F"/>
          <w:sz w:val="20"/>
          <w:b/>
          <w:szCs w:val="20"/>
        </w:rPr>
        <w:t>Hezbollah action: zero fire from the zone, verify compliance.</w:t>
      </w:r>
    </w:p>
    <w:p>
      <w:pPr>
        <w:pStyle w:val="Normal"/>
        <w:spacing w:before="60" w:after="60"/>
      </w:pPr>
    </w:p>
    <w:p>
      <w:pPr>
        <w:pStyle w:val="Normal"/>
        <w:spacing w:before="60" w:after="60"/>
      </w:pPr>
      <w:r>
        <w:rPr>
          <w:rFonts w:ascii="Cambria" w:hAnsi="Cambria" w:eastAsia="Cambria" w:cs="Cambria"/>
          <w:color w:val="1D2D3F"/>
          <w:sz w:val="20"/>
          <w:b/>
          <w:szCs w:val="20"/>
        </w:rPr>
        <w:t>LAF action: dismantle tunnels and caches, run checkpoints.</w:t>
      </w:r>
    </w:p>
    <w:p>
      <w:pPr>
        <w:pStyle w:val="Normal"/>
        <w:spacing w:before="60" w:after="60"/>
      </w:pPr>
    </w:p>
    <w:p>
      <w:pPr>
        <w:pStyle w:val="Normal"/>
        <w:spacing w:before="60" w:after="60"/>
      </w:pPr>
      <w:r>
        <w:rPr>
          <w:rFonts w:ascii="Cambria" w:hAnsi="Cambria" w:eastAsia="Cambria" w:cs="Cambria"/>
          <w:color w:val="1D2D3F"/>
          <w:sz w:val="20"/>
          <w:b/>
          <w:szCs w:val="20"/>
        </w:rPr>
        <w:t>Verification: three-source incident verification plus weekly Joint Coordination Center report.</w:t>
      </w:r>
    </w:p>
    <w:p>
      <w:pPr>
        <w:pStyle w:val="Normal"/>
        <w:spacing w:before="60" w:after="60"/>
      </w:pPr>
    </w:p>
    <w:p>
      <w:pPr>
        <w:pStyle w:val="Normal"/>
        <w:spacing w:before="60" w:after="60"/>
      </w:pPr>
      <w:r>
        <w:rPr>
          <w:rFonts w:ascii="Cambria" w:hAnsi="Cambria" w:eastAsia="Cambria" w:cs="Cambria"/>
          <w:color w:val="1D2D3F"/>
          <w:sz w:val="20"/>
          <w:b/>
          <w:szCs w:val="20"/>
        </w:rPr>
        <w:t>4.3 Success Metrics for Phase 1 Pilot</w:t>
      </w:r>
    </w:p>
    <w:p>
      <w:pPr>
        <w:pStyle w:val="Normal"/>
        <w:spacing w:before="60" w:after="60"/>
      </w:pPr>
    </w:p>
    <w:p>
      <w:pPr>
        <w:pStyle w:val="Normal"/>
        <w:spacing w:before="60" w:after="60"/>
      </w:pPr>
      <w:r>
        <w:rPr>
          <w:rFonts w:ascii="Cambria" w:hAnsi="Cambria" w:eastAsia="Cambria" w:cs="Cambria"/>
          <w:color w:val="1D2D3F"/>
          <w:sz w:val="20"/>
          <w:b/>
          <w:szCs w:val="20"/>
        </w:rPr>
        <w:t>Success triggers Phase 2 expansion:</w:t>
      </w:r>
    </w:p>
    <w:p>
      <w:pPr>
        <w:pStyle w:val="Normal"/>
        <w:spacing w:before="60" w:after="60"/>
      </w:pPr>
    </w:p>
    <w:p>
      <w:pPr>
        <w:pStyle w:val="Normal"/>
        <w:spacing w:before="60" w:after="60"/>
      </w:pPr>
      <w:r>
        <w:rPr>
          <w:rFonts w:ascii="Cambria" w:hAnsi="Cambria" w:eastAsia="Cambria" w:cs="Cambria"/>
          <w:color w:val="1D2D3F"/>
          <w:sz w:val="20"/>
          <w:b/>
          <w:szCs w:val="20"/>
        </w:rPr>
        <w:t>(a) Zero major incidents in the zone during Phase 1C (tolerance: 1 or fewer minor incidents).</w:t>
      </w:r>
    </w:p>
    <w:p>
      <w:pPr>
        <w:pStyle w:val="Normal"/>
        <w:spacing w:before="60" w:after="60"/>
      </w:pPr>
    </w:p>
    <w:p>
      <w:pPr>
        <w:pStyle w:val="Normal"/>
        <w:spacing w:before="60" w:after="60"/>
      </w:pPr>
      <w:r>
        <w:rPr>
          <w:rFonts w:ascii="Cambria" w:hAnsi="Cambria" w:eastAsia="Cambria" w:cs="Cambria"/>
          <w:color w:val="1D2D3F"/>
          <w:sz w:val="20"/>
          <w:b/>
          <w:szCs w:val="20"/>
        </w:rPr>
        <w:t>(b) LAF maintains control without IDF re-entry.</w:t>
      </w:r>
    </w:p>
    <w:p>
      <w:pPr>
        <w:pStyle w:val="Normal"/>
        <w:spacing w:before="60" w:after="60"/>
      </w:pPr>
    </w:p>
    <w:p>
      <w:pPr>
        <w:pStyle w:val="Normal"/>
        <w:spacing w:before="60" w:after="60"/>
      </w:pPr>
      <w:r>
        <w:rPr>
          <w:rFonts w:ascii="Cambria" w:hAnsi="Cambria" w:eastAsia="Cambria" w:cs="Cambria"/>
          <w:color w:val="1D2D3F"/>
          <w:sz w:val="20"/>
          <w:b/>
          <w:szCs w:val="20"/>
        </w:rPr>
        <w:t>(c) Hezbollah stays north of the Litani River, verified by satellite.</w:t>
      </w:r>
    </w:p>
    <w:p>
      <w:pPr>
        <w:pStyle w:val="Normal"/>
        <w:spacing w:before="60" w:after="60"/>
      </w:pPr>
    </w:p>
    <w:p>
      <w:pPr>
        <w:pStyle w:val="Normal"/>
        <w:spacing w:before="60" w:after="60"/>
      </w:pPr>
      <w:r>
        <w:rPr>
          <w:rFonts w:ascii="Cambria" w:hAnsi="Cambria" w:eastAsia="Cambria" w:cs="Cambria"/>
          <w:color w:val="1D2D3F"/>
          <w:sz w:val="20"/>
          <w:b/>
          <w:szCs w:val="20"/>
        </w:rPr>
        <w:t>(d) Neutral Guarantor certifies feasibility.</w:t>
      </w:r>
    </w:p>
    <w:p>
      <w:pPr>
        <w:pStyle w:val="Normal"/>
        <w:spacing w:before="60" w:after="60"/>
      </w:pPr>
    </w:p>
    <w:p>
      <w:pPr>
        <w:pStyle w:val="Normal"/>
        <w:spacing w:before="60" w:after="60"/>
      </w:pPr>
      <w:r>
        <w:rPr>
          <w:rFonts w:ascii="Cambria" w:hAnsi="Cambria" w:eastAsia="Cambria" w:cs="Cambria"/>
          <w:color w:val="1D2D3F"/>
          <w:sz w:val="20"/>
          <w:b/>
          <w:szCs w:val="20"/>
        </w:rPr>
        <w:t>Failure terminates the pilot:</w:t>
      </w:r>
    </w:p>
    <w:p>
      <w:pPr>
        <w:pStyle w:val="Normal"/>
        <w:spacing w:before="60" w:after="60"/>
      </w:pPr>
    </w:p>
    <w:p>
      <w:pPr>
        <w:pStyle w:val="Normal"/>
        <w:spacing w:before="60" w:after="60"/>
      </w:pPr>
      <w:r>
        <w:rPr>
          <w:rFonts w:ascii="Cambria" w:hAnsi="Cambria" w:eastAsia="Cambria" w:cs="Cambria"/>
          <w:color w:val="1D2D3F"/>
          <w:sz w:val="20"/>
          <w:b/>
          <w:szCs w:val="20"/>
        </w:rPr>
        <w:t>(a) 2 major incidents during Phase 1C.</w:t>
      </w:r>
    </w:p>
    <w:p>
      <w:pPr>
        <w:pStyle w:val="Normal"/>
        <w:spacing w:before="60" w:after="60"/>
      </w:pPr>
    </w:p>
    <w:p>
      <w:pPr>
        <w:pStyle w:val="Normal"/>
        <w:spacing w:before="60" w:after="60"/>
      </w:pPr>
      <w:r>
        <w:rPr>
          <w:rFonts w:ascii="Cambria" w:hAnsi="Cambria" w:eastAsia="Cambria" w:cs="Cambria"/>
          <w:color w:val="1D2D3F"/>
          <w:sz w:val="20"/>
          <w:b/>
          <w:szCs w:val="20"/>
        </w:rPr>
        <w:t>(b) LAF loses control and IDF re-enters.</w:t>
      </w:r>
    </w:p>
    <w:p>
      <w:pPr>
        <w:pStyle w:val="Normal"/>
        <w:spacing w:before="60" w:after="60"/>
      </w:pPr>
    </w:p>
    <w:p>
      <w:pPr>
        <w:pStyle w:val="Normal"/>
        <w:spacing w:before="60" w:after="60"/>
      </w:pPr>
      <w:r>
        <w:rPr>
          <w:rFonts w:ascii="Cambria" w:hAnsi="Cambria" w:eastAsia="Cambria" w:cs="Cambria"/>
          <w:color w:val="1D2D3F"/>
          <w:sz w:val="20"/>
          <w:b/>
          <w:szCs w:val="20"/>
        </w:rPr>
        <w:t>(c) Hezbollah crosses back into the zone with weapons.</w:t>
      </w:r>
    </w:p>
    <w:p>
      <w:pPr>
        <w:pStyle w:val="Normal"/>
        <w:spacing w:before="60" w:after="60"/>
      </w:pPr>
    </w:p>
    <w:p>
      <w:pPr>
        <w:pStyle w:val="Normal"/>
        <w:spacing w:before="60" w:after="60"/>
      </w:pPr>
      <w:r>
        <w:rPr>
          <w:rFonts w:ascii="Cambria" w:hAnsi="Cambria" w:eastAsia="Cambria" w:cs="Cambria"/>
          <w:color w:val="1D2D3F"/>
          <w:sz w:val="20"/>
          <w:b/>
          <w:szCs w:val="20"/>
        </w:rPr>
        <w:t>Post-Success: Lock Phase 1 Pilot into the Forward Drift Archive permanently. Begin mapping Phase 2 Zones (second and third zones, rolled out sequentially over 60 days).</w:t>
      </w:r>
    </w:p>
    <w:p>
      <w:pPr>
        <w:pStyle w:val="Normal"/>
        <w:spacing w:before="60" w:after="60"/>
      </w:pPr>
    </w:p>
    <w:p>
      <w:pPr>
        <w:pStyle w:val="Normal"/>
        <w:spacing w:before="60" w:after="60"/>
      </w:pPr>
      <w:r>
        <w:rPr>
          <w:rFonts w:ascii="Cambria" w:hAnsi="Cambria" w:eastAsia="Cambria" w:cs="Cambria"/>
          <w:color w:val="1D2D3F"/>
          <w:sz w:val="20"/>
          <w:b/>
          <w:szCs w:val="20"/>
        </w:rPr>
        <w:t>Post-Failure: Do not attribute blame to either Party. File incident report. Wait 30 days. Attempt again with modified zone or adjusted parameters.</w:t>
      </w:r>
    </w:p>
    <w:p>
      <w:pPr>
        <w:pStyle w:val="Normal"/>
        <w:spacing w:before="60" w:after="60"/>
      </w:pPr>
    </w:p>
    <w:p>
      <w:pPr>
        <w:pStyle w:val="Heading2"/>
      </w:pPr>
      <w:r>
        <w:rPr>
          <w:rFonts w:ascii="Cambria" w:hAnsi="Cambria" w:eastAsia="Cambria" w:cs="Cambria"/>
          <w:b/>
          <w:color w:val="1D2D3F"/>
          <w:sz w:val="22"/>
          <w:szCs w:val="30"/>
        </w:rPr>
        <w:t>4.4 Forward Drift Lock on Pilot Zones</w:t>
      </w:r>
    </w:p>
    <w:p>
      <w:pPr>
        <w:pStyle w:val="Normal"/>
        <w:spacing w:before="60" w:after="60"/>
      </w:pPr>
    </w:p>
    <w:p>
      <w:pPr>
        <w:pStyle w:val="Normal"/>
        <w:spacing w:before="60" w:after="60"/>
      </w:pPr>
      <w:r>
        <w:rPr>
          <w:rFonts w:ascii="Cambria" w:hAnsi="Cambria" w:eastAsia="Cambria" w:cs="Cambria"/>
          <w:color w:val="1D2D3F"/>
          <w:sz w:val="20"/>
          <w:b/>
          <w:szCs w:val="20"/>
        </w:rPr>
        <w:t>Each Phase 1 zone that completes successfully receives an irrevocable lock:</w:t>
      </w:r>
    </w:p>
    <w:p>
      <w:pPr>
        <w:pStyle w:val="Normal"/>
        <w:spacing w:before="60" w:after="60"/>
      </w:pPr>
    </w:p>
    <w:p>
      <w:pPr>
        <w:pStyle w:val="Normal"/>
        <w:spacing w:before="60" w:after="60"/>
      </w:pPr>
      <w:r>
        <w:rPr>
          <w:rFonts w:ascii="Cambria" w:hAnsi="Cambria" w:eastAsia="Cambria" w:cs="Cambria"/>
          <w:color w:val="1D2D3F"/>
          <w:sz w:val="20"/>
          <w:b/>
          <w:szCs w:val="20"/>
        </w:rPr>
        <w:t>(a) IDF cannot re-occupy the zone, even if Hezbollah violates the boundary later.</w:t>
      </w:r>
    </w:p>
    <w:p>
      <w:pPr>
        <w:pStyle w:val="Normal"/>
        <w:spacing w:before="60" w:after="60"/>
      </w:pPr>
    </w:p>
    <w:p>
      <w:pPr>
        <w:pStyle w:val="Normal"/>
        <w:spacing w:before="60" w:after="60"/>
      </w:pPr>
      <w:r>
        <w:rPr>
          <w:rFonts w:ascii="Cambria" w:hAnsi="Cambria" w:eastAsia="Cambria" w:cs="Cambria"/>
          <w:color w:val="1D2D3F"/>
          <w:sz w:val="20"/>
          <w:b/>
          <w:szCs w:val="20"/>
        </w:rPr>
        <w:t>(b) If a violation occurs, the remedy is LAF adjustment plus Joint Coordination Center mediation, not military re-entry.</w:t>
      </w:r>
    </w:p>
    <w:p>
      <w:pPr>
        <w:pStyle w:val="Normal"/>
        <w:spacing w:before="60" w:after="60"/>
      </w:pPr>
    </w:p>
    <w:p>
      <w:pPr>
        <w:pStyle w:val="Normal"/>
        <w:spacing w:before="60" w:after="60"/>
      </w:pPr>
      <w:r>
        <w:rPr>
          <w:rFonts w:ascii="Cambria" w:hAnsi="Cambria" w:eastAsia="Cambria" w:cs="Cambria"/>
          <w:color w:val="1D2D3F"/>
          <w:sz w:val="20"/>
          <w:b/>
          <w:szCs w:val="20"/>
        </w:rPr>
        <w:t>(c) A locked zone counts as a Structural Step credit toward Phase Three.</w:t>
      </w:r>
    </w:p>
    <w:p>
      <w:pPr>
        <w:pStyle w:val="Normal"/>
        <w:spacing w:before="60" w:after="60"/>
      </w:pPr>
    </w:p>
    <w:p>
      <w:pPr>
        <w:pStyle w:val="Normal"/>
        <w:spacing w:before="60" w:after="60"/>
      </w:pPr>
      <w:r>
        <w:rPr>
          <w:rFonts w:ascii="Cambria" w:hAnsi="Cambria" w:eastAsia="Cambria" w:cs="Cambria"/>
          <w:color w:val="1D2D3F"/>
          <w:sz w:val="20"/>
          <w:b/>
          <w:szCs w:val="20"/>
        </w:rPr>
        <w:t>(d) If a pilot fails, the zone attempt does not count against either Party's compliance record. It is classified as a learning failure, not a breach.</w:t>
      </w:r>
    </w:p>
    <w:p>
      <w:pPr>
        <w:pStyle w:val="Normal"/>
        <w:spacing w:before="60" w:after="60"/>
      </w:pPr>
    </w:p>
    <w:p>
      <w:pPr>
        <w:pStyle w:val="Normal"/>
        <w:spacing w:before="60" w:after="60"/>
      </w:pPr>
    </w:p>
    <w:p>
      <w:pPr>
        <w:pStyle w:val="Heading2"/>
      </w:pPr>
      <w:r>
        <w:rPr>
          <w:rFonts w:ascii="Cambria" w:hAnsi="Cambria" w:eastAsia="Cambria" w:cs="Cambria"/>
          <w:b/>
          <w:color w:val="1D2D3F"/>
          <w:sz w:val="20"/>
          <w:szCs w:val="30"/>
        </w:rPr>
        <w:t>SECTION 5: FORCE SEQUENCING AND RATCHET LOCK</w:t>
      </w:r>
    </w:p>
    <w:p>
      <w:pPr>
        <w:pStyle w:val="Normal"/>
        <w:spacing w:before="60" w:after="60"/>
      </w:pPr>
    </w:p>
    <w:p>
      <w:pPr>
        <w:pStyle w:val="Heading2"/>
      </w:pPr>
      <w:r>
        <w:rPr>
          <w:rFonts w:ascii="Cambria" w:hAnsi="Cambria" w:eastAsia="Cambria" w:cs="Cambria"/>
          <w:b/>
          <w:color w:val="1D2D3F"/>
          <w:sz w:val="22"/>
          <w:szCs w:val="30"/>
        </w:rPr>
        <w:t>5.1 Ratchet Lock for Territorial Gains</w:t>
      </w:r>
    </w:p>
    <w:p>
      <w:pPr>
        <w:pStyle w:val="Normal"/>
        <w:spacing w:before="60" w:after="60"/>
      </w:pPr>
    </w:p>
    <w:p>
      <w:pPr>
        <w:pStyle w:val="Normal"/>
        <w:spacing w:before="60" w:after="60"/>
      </w:pPr>
      <w:r>
        <w:rPr>
          <w:rFonts w:ascii="Cambria" w:hAnsi="Cambria" w:eastAsia="Cambria" w:cs="Cambria"/>
          <w:color w:val="1D2D3F"/>
          <w:sz w:val="20"/>
          <w:b/>
          <w:szCs w:val="20"/>
        </w:rPr>
        <w:t>Each IDF withdrawal from a defined Pilot Zone enters the Forward Drift Archive as an Irreversible Territorial Lock. Re-occupation of a locked zone constitutes a material breach of the Compact.</w:t>
      </w:r>
    </w:p>
    <w:p>
      <w:pPr>
        <w:pStyle w:val="Normal"/>
        <w:spacing w:before="60" w:after="60"/>
      </w:pPr>
    </w:p>
    <w:p>
      <w:pPr>
        <w:pStyle w:val="Normal"/>
        <w:spacing w:before="60" w:after="60"/>
      </w:pPr>
      <w:r>
        <w:rPr>
          <w:rFonts w:ascii="Cambria" w:hAnsi="Cambria" w:eastAsia="Cambria" w:cs="Cambria"/>
          <w:color w:val="1D2D3F"/>
          <w:sz w:val="20"/>
          <w:b/>
          <w:szCs w:val="20"/>
        </w:rPr>
        <w:t>The only remedy for a Hezbollah violation in a locked zone is: (1) LAF enforcement plus Joint Coordination Center mediation within 72 hours, followed by (2) Band Two escalation if mediation fails.</w:t>
      </w:r>
    </w:p>
    <w:p>
      <w:pPr>
        <w:pStyle w:val="Normal"/>
        <w:spacing w:before="60" w:after="60"/>
      </w:pPr>
    </w:p>
    <w:p>
      <w:pPr>
        <w:pStyle w:val="Normal"/>
        <w:spacing w:before="60" w:after="60"/>
      </w:pPr>
      <w:r>
        <w:rPr>
          <w:rFonts w:ascii="Cambria" w:hAnsi="Cambria" w:eastAsia="Cambria" w:cs="Cambria"/>
          <w:color w:val="1D2D3F"/>
          <w:sz w:val="20"/>
          <w:b/>
          <w:szCs w:val="20"/>
        </w:rPr>
        <w:t>IDF re-entry is authorized only if: (a) the LAF ceases to exist as a governing entity, or (b) a Red Signal indicates imminent attack on Israeli territory proper. Routine Hezbollah fire does not qualify.</w:t>
      </w:r>
    </w:p>
    <w:p>
      <w:pPr>
        <w:pStyle w:val="Normal"/>
        <w:spacing w:before="60" w:after="60"/>
      </w:pPr>
    </w:p>
    <w:p>
      <w:pPr>
        <w:pStyle w:val="Normal"/>
        <w:spacing w:before="60" w:after="60"/>
      </w:pPr>
      <w:r>
        <w:rPr>
          <w:rFonts w:ascii="Cambria" w:hAnsi="Cambria" w:eastAsia="Cambria" w:cs="Cambria"/>
          <w:color w:val="1D2D3F"/>
          <w:sz w:val="20"/>
          <w:b/>
          <w:szCs w:val="20"/>
        </w:rPr>
        <w:t>5.2 Irreversible Compliance Credits</w:t>
      </w:r>
    </w:p>
    <w:p>
      <w:pPr>
        <w:pStyle w:val="Normal"/>
        <w:spacing w:before="60" w:after="60"/>
      </w:pPr>
    </w:p>
    <w:p>
      <w:pPr>
        <w:pStyle w:val="Normal"/>
        <w:spacing w:before="60" w:after="60"/>
      </w:pPr>
      <w:r>
        <w:rPr>
          <w:rFonts w:ascii="Cambria" w:hAnsi="Cambria" w:eastAsia="Cambria" w:cs="Cambria"/>
          <w:color w:val="1D2D3F"/>
          <w:sz w:val="20"/>
          <w:b/>
          <w:szCs w:val="20"/>
        </w:rPr>
        <w:t>Each 30-day period in which a Pilot Zone remains compliant (zero major incidents) generates an Irreversible Compliance Credit. This credit applies automatically to other Benefit Corridors: extending nuclear verification windows by 5 days, accelerating asset releases, or reducing embargo timelines.</w:t>
      </w:r>
    </w:p>
    <w:p>
      <w:pPr>
        <w:pStyle w:val="Normal"/>
        <w:spacing w:before="60" w:after="60"/>
      </w:pPr>
    </w:p>
    <w:p>
      <w:pPr>
        <w:pStyle w:val="Normal"/>
        <w:spacing w:before="60" w:after="60"/>
      </w:pPr>
      <w:r>
        <w:rPr>
          <w:rFonts w:ascii="Cambria" w:hAnsi="Cambria" w:eastAsia="Cambria" w:cs="Cambria"/>
          <w:color w:val="1D2D3F"/>
          <w:sz w:val="20"/>
          <w:b/>
          <w:szCs w:val="20"/>
        </w:rPr>
        <w:t>Credits cannot be revoked even if a future Hezbollah violation occurs in a different zone.</w:t>
      </w:r>
    </w:p>
    <w:p>
      <w:pPr>
        <w:pStyle w:val="Normal"/>
        <w:spacing w:before="60" w:after="60"/>
      </w:pPr>
    </w:p>
    <w:p>
      <w:pPr>
        <w:pStyle w:val="Normal"/>
        <w:spacing w:before="60" w:after="60"/>
      </w:pPr>
      <w:r>
        <w:rPr>
          <w:rFonts w:ascii="Cambria" w:hAnsi="Cambria" w:eastAsia="Cambria" w:cs="Cambria"/>
          <w:color w:val="1D2D3F"/>
          <w:sz w:val="20"/>
          <w:b/>
          <w:szCs w:val="20"/>
        </w:rPr>
        <w:t>Effect: Israel receives political cover through the creation of irreversible Lebanese state infrastructure. Iran receives concrete proof of sanctions relief acceleration. Both sides invest in the success of the model.</w:t>
      </w:r>
    </w:p>
    <w:p>
      <w:pPr>
        <w:pStyle w:val="Normal"/>
        <w:spacing w:before="60" w:after="60"/>
      </w:pPr>
    </w:p>
    <w:p>
      <w:pPr>
        <w:pStyle w:val="Normal"/>
        <w:spacing w:before="60" w:after="60"/>
      </w:pPr>
      <w:r>
        <w:rPr>
          <w:rFonts w:ascii="Cambria" w:hAnsi="Cambria" w:eastAsia="Cambria" w:cs="Cambria"/>
          <w:color w:val="1D2D3F"/>
          <w:sz w:val="20"/>
          <w:b/>
          <w:szCs w:val="20"/>
        </w:rPr>
        <w:t>5.3 Operational Language for Technical Drafters</w:t>
      </w:r>
    </w:p>
    <w:p>
      <w:pPr>
        <w:pStyle w:val="Normal"/>
        <w:spacing w:before="60" w:after="60"/>
      </w:pPr>
    </w:p>
    <w:p>
      <w:pPr>
        <w:pStyle w:val="Normal"/>
        <w:spacing w:before="60" w:after="60"/>
      </w:pPr>
      <w:r>
        <w:rPr>
          <w:rFonts w:ascii="Cambria" w:hAnsi="Cambria" w:eastAsia="Cambria" w:cs="Cambria"/>
          <w:color w:val="1D2D3F"/>
          <w:sz w:val="20"/>
          <w:b/>
          <w:szCs w:val="20"/>
        </w:rPr>
        <w:t>The following coordinates define the IDF withdrawal perimeter for a Pilot Zone: [GPS coordinates].</w:t>
      </w:r>
    </w:p>
    <w:p>
      <w:pPr>
        <w:pStyle w:val="Normal"/>
        <w:spacing w:before="60" w:after="60"/>
      </w:pPr>
    </w:p>
    <w:p>
      <w:pPr>
        <w:pStyle w:val="Normal"/>
        <w:spacing w:before="60" w:after="60"/>
      </w:pPr>
      <w:r>
        <w:rPr>
          <w:rFonts w:ascii="Cambria" w:hAnsi="Cambria" w:eastAsia="Cambria" w:cs="Cambria"/>
          <w:color w:val="1D2D3F"/>
          <w:sz w:val="20"/>
          <w:b/>
          <w:szCs w:val="20"/>
        </w:rPr>
        <w:t>Upon verification by the Joint Coordination Center that all Israeli personnel and equipment have withdrawn from this zone, a Withdrawal Lock Entry is recorded in the Forward Drift Archive with the date and verification evidence.</w:t>
      </w:r>
    </w:p>
    <w:p>
      <w:pPr>
        <w:pStyle w:val="Normal"/>
        <w:spacing w:before="60" w:after="60"/>
      </w:pPr>
    </w:p>
    <w:p>
      <w:pPr>
        <w:pStyle w:val="Normal"/>
        <w:spacing w:before="60" w:after="60"/>
      </w:pPr>
      <w:r>
        <w:rPr>
          <w:rFonts w:ascii="Cambria" w:hAnsi="Cambria" w:eastAsia="Cambria" w:cs="Cambria"/>
          <w:color w:val="1D2D3F"/>
          <w:sz w:val="20"/>
          <w:b/>
          <w:szCs w:val="20"/>
        </w:rPr>
        <w:t>This entry is permanent and irrevocable. Any future re-occupation requires written agreement from both Parties and triggers an automatic 90-day review panel before any military action is authorized.</w:t>
      </w:r>
    </w:p>
    <w:p>
      <w:pPr>
        <w:pStyle w:val="Normal"/>
        <w:spacing w:before="60" w:after="60"/>
      </w:pPr>
    </w:p>
    <w:p>
      <w:pPr>
        <w:pStyle w:val="Normal"/>
        <w:spacing w:before="60" w:after="60"/>
      </w:pPr>
      <w:r>
        <w:rPr>
          <w:rFonts w:ascii="Cambria" w:hAnsi="Cambria" w:eastAsia="Cambria" w:cs="Cambria"/>
          <w:color w:val="1D2D3F"/>
          <w:sz w:val="20"/>
          <w:b/>
          <w:szCs w:val="20"/>
        </w:rPr>
        <w:t>This language removes the ambiguity about whether withdrawal is temporary or permanent.</w:t>
      </w:r>
    </w:p>
    <w:p>
      <w:pPr>
        <w:pStyle w:val="Normal"/>
        <w:spacing w:before="60" w:after="60"/>
      </w:pPr>
    </w:p>
    <w:p>
      <w:pPr>
        <w:pStyle w:val="Normal"/>
        <w:spacing w:before="60" w:after="60"/>
      </w:pPr>
    </w:p>
    <w:p>
      <w:pPr>
        <w:pStyle w:val="Heading2"/>
      </w:pPr>
      <w:r>
        <w:rPr>
          <w:rFonts w:ascii="Cambria" w:hAnsi="Cambria" w:eastAsia="Cambria" w:cs="Cambria"/>
          <w:b/>
          <w:color w:val="1D2D3F"/>
          <w:sz w:val="20"/>
          <w:szCs w:val="30"/>
        </w:rPr>
        <w:t>SECTION 6: HEZBOLLAH NON-SIGNATORY PROTOCOL</w:t>
      </w:r>
    </w:p>
    <w:p>
      <w:pPr>
        <w:pStyle w:val="Normal"/>
        <w:spacing w:before="60" w:after="60"/>
      </w:pPr>
    </w:p>
    <w:p>
      <w:pPr>
        <w:pStyle w:val="Normal"/>
        <w:spacing w:before="60" w:after="60"/>
      </w:pPr>
      <w:r>
        <w:rPr>
          <w:rFonts w:ascii="Cambria" w:hAnsi="Cambria" w:eastAsia="Cambria" w:cs="Cambria"/>
          <w:color w:val="1D2D3F"/>
          <w:sz w:val="20"/>
          <w:b/>
          <w:szCs w:val="20"/>
        </w:rPr>
        <w:t>6.1 Outcome-Based Compliance</w:t>
      </w:r>
    </w:p>
    <w:p>
      <w:pPr>
        <w:pStyle w:val="Normal"/>
        <w:spacing w:before="60" w:after="60"/>
      </w:pPr>
    </w:p>
    <w:p>
      <w:pPr>
        <w:pStyle w:val="Normal"/>
        <w:spacing w:before="60" w:after="60"/>
      </w:pPr>
      <w:r>
        <w:rPr>
          <w:rFonts w:ascii="Cambria" w:hAnsi="Cambria" w:eastAsia="Cambria" w:cs="Cambria"/>
          <w:color w:val="1D2D3F"/>
          <w:sz w:val="20"/>
          <w:b/>
          <w:szCs w:val="20"/>
        </w:rPr>
        <w:t>Hezbollah is not a signatory to this Compact. Hezbollah compliance is measured by observable, verifiable outcomes, not by Hezbollah's internal decisions, commands, or organizational structure.</w:t>
      </w:r>
    </w:p>
    <w:p>
      <w:pPr>
        <w:pStyle w:val="Normal"/>
        <w:spacing w:before="60" w:after="60"/>
      </w:pPr>
    </w:p>
    <w:p>
      <w:pPr>
        <w:pStyle w:val="Normal"/>
        <w:spacing w:before="60" w:after="60"/>
      </w:pPr>
      <w:r>
        <w:rPr>
          <w:rFonts w:ascii="Cambria" w:hAnsi="Cambria" w:eastAsia="Cambria" w:cs="Cambria"/>
          <w:color w:val="1D2D3F"/>
          <w:sz w:val="20"/>
          <w:b/>
          <w:szCs w:val="20"/>
        </w:rPr>
        <w:t>If a Hezbollah operative fires from a locked Pilot Zone: Iran is presumed to have authorized the action or failed to prevent it. Either constitutes a breach.</w:t>
      </w:r>
    </w:p>
    <w:p>
      <w:pPr>
        <w:pStyle w:val="Normal"/>
        <w:spacing w:before="60" w:after="60"/>
      </w:pPr>
    </w:p>
    <w:p>
      <w:pPr>
        <w:pStyle w:val="Normal"/>
        <w:spacing w:before="60" w:after="60"/>
      </w:pPr>
      <w:r>
        <w:rPr>
          <w:rFonts w:ascii="Cambria" w:hAnsi="Cambria" w:eastAsia="Cambria" w:cs="Cambria"/>
          <w:color w:val="1D2D3F"/>
          <w:sz w:val="20"/>
          <w:b/>
          <w:szCs w:val="20"/>
        </w:rPr>
        <w:t>If a Hezbollah operative fires from north of the Litani River: the Joint Coordination Center logs this as non-attributed spoiler activity. It does not count against Iran.</w:t>
      </w:r>
    </w:p>
    <w:p>
      <w:pPr>
        <w:pStyle w:val="Normal"/>
        <w:spacing w:before="60" w:after="60"/>
      </w:pPr>
    </w:p>
    <w:p>
      <w:pPr>
        <w:pStyle w:val="Normal"/>
        <w:spacing w:before="60" w:after="60"/>
      </w:pPr>
      <w:r>
        <w:rPr>
          <w:rFonts w:ascii="Cambria" w:hAnsi="Cambria" w:eastAsia="Cambria" w:cs="Cambria"/>
          <w:color w:val="1D2D3F"/>
          <w:sz w:val="20"/>
          <w:b/>
          <w:szCs w:val="20"/>
        </w:rPr>
        <w:t>If a Hezbollah unit crosses south of the Litani into a locked Pilot Zone: Iran has 72 hours to publicly order the unit back. Failure to do so constitutes a breach.</w:t>
      </w:r>
    </w:p>
    <w:p>
      <w:pPr>
        <w:pStyle w:val="Normal"/>
        <w:spacing w:before="60" w:after="60"/>
      </w:pPr>
    </w:p>
    <w:p>
      <w:pPr>
        <w:pStyle w:val="Normal"/>
        <w:spacing w:before="60" w:after="60"/>
      </w:pPr>
      <w:r>
        <w:rPr>
          <w:rFonts w:ascii="Cambria" w:hAnsi="Cambria" w:eastAsia="Cambria" w:cs="Cambria"/>
          <w:color w:val="1D2D3F"/>
          <w:sz w:val="20"/>
          <w:b/>
          <w:szCs w:val="20"/>
        </w:rPr>
        <w:t>6.2 Iran's Authority Demonstration</w:t>
      </w:r>
    </w:p>
    <w:p>
      <w:pPr>
        <w:pStyle w:val="Normal"/>
        <w:spacing w:before="60" w:after="60"/>
      </w:pPr>
    </w:p>
    <w:p>
      <w:pPr>
        <w:pStyle w:val="Normal"/>
        <w:spacing w:before="60" w:after="60"/>
      </w:pPr>
      <w:r>
        <w:rPr>
          <w:rFonts w:ascii="Cambria" w:hAnsi="Cambria" w:eastAsia="Cambria" w:cs="Cambria"/>
          <w:color w:val="1D2D3F"/>
          <w:sz w:val="20"/>
          <w:b/>
          <w:szCs w:val="20"/>
        </w:rPr>
        <w:t>Iran demonstrates operational authority to enforce compliance through: public statements ordering Hezbollah compliance with zone boundaries; observable redeployment of Hezbollah forces away from locked zones; and evidence that Iran-directed funding and weapons support continues only north of the Litani River.</w:t>
      </w:r>
    </w:p>
    <w:p>
      <w:pPr>
        <w:pStyle w:val="Normal"/>
        <w:spacing w:before="60" w:after="60"/>
      </w:pPr>
    </w:p>
    <w:p>
      <w:pPr>
        <w:pStyle w:val="Normal"/>
        <w:spacing w:before="60" w:after="60"/>
      </w:pPr>
      <w:r>
        <w:rPr>
          <w:rFonts w:ascii="Cambria" w:hAnsi="Cambria" w:eastAsia="Cambria" w:cs="Cambria"/>
          <w:color w:val="1D2D3F"/>
          <w:sz w:val="20"/>
          <w:b/>
          <w:szCs w:val="20"/>
        </w:rPr>
        <w:t>A single demonstration of opposition does not permanently rebut the presumption of influence for future actions.</w:t>
      </w:r>
    </w:p>
    <w:p>
      <w:pPr>
        <w:pStyle w:val="Normal"/>
        <w:spacing w:before="60" w:after="60"/>
      </w:pPr>
    </w:p>
    <w:p>
      <w:pPr>
        <w:pStyle w:val="Heading2"/>
      </w:pPr>
      <w:r>
        <w:rPr>
          <w:rFonts w:ascii="Cambria" w:hAnsi="Cambria" w:eastAsia="Cambria" w:cs="Cambria"/>
          <w:b/>
          <w:color w:val="1D2D3F"/>
          <w:sz w:val="22"/>
          <w:szCs w:val="30"/>
        </w:rPr>
        <w:t>6.3 Hezbollah Defiance Protocol</w:t>
      </w:r>
    </w:p>
    <w:p>
      <w:pPr>
        <w:pStyle w:val="Normal"/>
        <w:spacing w:before="60" w:after="60"/>
      </w:pPr>
    </w:p>
    <w:p>
      <w:pPr>
        <w:pStyle w:val="Normal"/>
        <w:spacing w:before="60" w:after="60"/>
      </w:pPr>
      <w:r>
        <w:rPr>
          <w:rFonts w:ascii="Cambria" w:hAnsi="Cambria" w:eastAsia="Cambria" w:cs="Cambria"/>
          <w:color w:val="1D2D3F"/>
          <w:sz w:val="20"/>
          <w:b/>
          <w:szCs w:val="20"/>
        </w:rPr>
        <w:t>Iran is not automatically in breach if Hezbollah acts contrary to Iran's stated position. However, Iran's credibility suffers. The Reciprocity Ledger records this as reduced operational authority.</w:t>
      </w:r>
    </w:p>
    <w:p>
      <w:pPr>
        <w:pStyle w:val="Normal"/>
        <w:spacing w:before="60" w:after="60"/>
      </w:pPr>
    </w:p>
    <w:p>
      <w:pPr>
        <w:pStyle w:val="Normal"/>
        <w:spacing w:before="60" w:after="60"/>
      </w:pPr>
      <w:r>
        <w:rPr>
          <w:rFonts w:ascii="Cambria" w:hAnsi="Cambria" w:eastAsia="Cambria" w:cs="Cambria"/>
          <w:color w:val="1D2D3F"/>
          <w:sz w:val="20"/>
          <w:b/>
          <w:szCs w:val="20"/>
        </w:rPr>
        <w:t>If this pattern repeats 3 or more times in one synchronization cycle, Iran moves to Band Three status and triggers a Human-in-the-Loop Review.</w:t>
      </w:r>
    </w:p>
    <w:p>
      <w:pPr>
        <w:pStyle w:val="Normal"/>
        <w:spacing w:before="60" w:after="60"/>
      </w:pPr>
    </w:p>
    <w:p>
      <w:pPr>
        <w:pStyle w:val="Heading2"/>
      </w:pPr>
      <w:r>
        <w:rPr>
          <w:rFonts w:ascii="Cambria" w:hAnsi="Cambria" w:eastAsia="Cambria" w:cs="Cambria"/>
          <w:b/>
          <w:color w:val="1D2D3F"/>
          <w:sz w:val="22"/>
          <w:szCs w:val="30"/>
        </w:rPr>
        <w:t>6.4 Operational Verification Standard</w:t>
      </w:r>
    </w:p>
    <w:p>
      <w:pPr>
        <w:pStyle w:val="Normal"/>
        <w:spacing w:before="60" w:after="60"/>
      </w:pPr>
    </w:p>
    <w:p>
      <w:pPr>
        <w:pStyle w:val="Normal"/>
        <w:spacing w:before="60" w:after="60"/>
      </w:pPr>
      <w:r>
        <w:rPr>
          <w:rFonts w:ascii="Cambria" w:hAnsi="Cambria" w:eastAsia="Cambria" w:cs="Cambria"/>
          <w:color w:val="1D2D3F"/>
          <w:sz w:val="20"/>
          <w:b/>
          <w:szCs w:val="20"/>
        </w:rPr>
        <w:t>Compliance verification for a Pilot Zone uses the following three-source standard: satellite imagery showing no Hezbollah personnel or equipment in the zone; LAF checkpoint logs showing no Hezbollah transit attempts; and either Party's intelligence report of Hezbollah positioning, provided the other two sources corroborate.</w:t>
      </w:r>
    </w:p>
    <w:p>
      <w:pPr>
        <w:pStyle w:val="Normal"/>
        <w:spacing w:before="60" w:after="60"/>
      </w:pPr>
    </w:p>
    <w:p>
      <w:pPr>
        <w:pStyle w:val="Normal"/>
        <w:spacing w:before="60" w:after="60"/>
      </w:pPr>
      <w:r>
        <w:rPr>
          <w:rFonts w:ascii="Cambria" w:hAnsi="Cambria" w:eastAsia="Cambria" w:cs="Cambria"/>
          <w:color w:val="1D2D3F"/>
          <w:sz w:val="20"/>
          <w:b/>
          <w:szCs w:val="20"/>
        </w:rPr>
        <w:t>If satellite imagery shows personnel in the zone but neither LAF nor Party intelligence confirms Hezbollah presence, the Joint Coordination Center logs the incident as ambiguous and routes it to Band Two mediation (compressed to 14 days). It does not automatically trigger breach.</w:t>
      </w:r>
    </w:p>
    <w:p>
      <w:pPr>
        <w:pStyle w:val="Normal"/>
        <w:spacing w:before="60" w:after="60"/>
      </w:pPr>
    </w:p>
    <w:p>
      <w:pPr>
        <w:pStyle w:val="Normal"/>
        <w:spacing w:before="60" w:after="60"/>
      </w:pPr>
      <w:r>
        <w:rPr>
          <w:rFonts w:ascii="Cambria" w:hAnsi="Cambria" w:eastAsia="Cambria" w:cs="Cambria"/>
          <w:color w:val="1D2D3F"/>
          <w:sz w:val="20"/>
          <w:b/>
          <w:szCs w:val="20"/>
        </w:rPr>
        <w:t>This standard prevents false positives from stalling the process.</w:t>
      </w:r>
    </w:p>
    <w:p>
      <w:pPr>
        <w:pStyle w:val="Normal"/>
        <w:spacing w:before="60" w:after="60"/>
      </w:pPr>
    </w:p>
    <w:p>
      <w:pPr>
        <w:pStyle w:val="Normal"/>
        <w:spacing w:before="60" w:after="60"/>
      </w:pPr>
    </w:p>
    <w:p>
      <w:pPr>
        <w:pStyle w:val="Heading2"/>
      </w:pPr>
      <w:r>
        <w:rPr>
          <w:rFonts w:ascii="Cambria" w:hAnsi="Cambria" w:eastAsia="Cambria" w:cs="Cambria"/>
          <w:b/>
          <w:color w:val="1D2D3F"/>
          <w:sz w:val="20"/>
          <w:szCs w:val="30"/>
        </w:rPr>
        <w:t>SECTION 7: INTEGRATION WITH THE COMPACT</w:t>
      </w:r>
    </w:p>
    <w:p>
      <w:pPr>
        <w:pStyle w:val="Normal"/>
        <w:spacing w:before="60" w:after="60"/>
      </w:pPr>
    </w:p>
    <w:p>
      <w:pPr>
        <w:pStyle w:val="Heading2"/>
      </w:pPr>
      <w:r>
        <w:rPr>
          <w:rFonts w:ascii="Cambria" w:hAnsi="Cambria" w:eastAsia="Cambria" w:cs="Cambria"/>
          <w:b/>
          <w:color w:val="1D2D3F"/>
          <w:sz w:val="22"/>
          <w:szCs w:val="30"/>
        </w:rPr>
        <w:t>7.1 Structural Location</w:t>
      </w:r>
    </w:p>
    <w:p>
      <w:pPr>
        <w:pStyle w:val="Normal"/>
        <w:spacing w:before="60" w:after="60"/>
      </w:pPr>
    </w:p>
    <w:p>
      <w:pPr>
        <w:pStyle w:val="Normal"/>
        <w:spacing w:before="60" w:after="60"/>
      </w:pPr>
      <w:r>
        <w:rPr>
          <w:rFonts w:ascii="Cambria" w:hAnsi="Cambria" w:eastAsia="Cambria" w:cs="Cambria"/>
          <w:color w:val="1D2D3F"/>
          <w:sz w:val="20"/>
          <w:b/>
          <w:szCs w:val="20"/>
        </w:rPr>
        <w:t>This Annex sits as a modular addition to the Compact. It activates only under the trigger conditions defined in Section 1.1.</w:t>
      </w:r>
    </w:p>
    <w:p>
      <w:pPr>
        <w:pStyle w:val="Normal"/>
        <w:spacing w:before="60" w:after="60"/>
      </w:pPr>
    </w:p>
    <w:p>
      <w:pPr>
        <w:pStyle w:val="Normal"/>
        <w:spacing w:before="60" w:after="60"/>
      </w:pPr>
      <w:r>
        <w:rPr>
          <w:rFonts w:ascii="Cambria" w:hAnsi="Cambria" w:eastAsia="Cambria" w:cs="Cambria"/>
          <w:color w:val="1D2D3F"/>
          <w:sz w:val="20"/>
          <w:b/>
          <w:szCs w:val="20"/>
        </w:rPr>
        <w:t>Wartime mode is a temporary operational overlay, not a replacement. All core principles remain: Synchronized Reciprocal Motion, Firewall provisions, Forward Drift Archive, Reciprocity Ledger, and Step-Back and Earn-Back.</w:t>
      </w:r>
    </w:p>
    <w:p>
      <w:pPr>
        <w:pStyle w:val="Normal"/>
        <w:spacing w:before="60" w:after="60"/>
      </w:pPr>
    </w:p>
    <w:p>
      <w:pPr>
        <w:pStyle w:val="Normal"/>
        <w:spacing w:before="60" w:after="60"/>
      </w:pPr>
      <w:r>
        <w:rPr>
          <w:rFonts w:ascii="Cambria" w:hAnsi="Cambria" w:eastAsia="Cambria" w:cs="Cambria"/>
          <w:color w:val="1D2D3F"/>
          <w:sz w:val="20"/>
          <w:b/>
          <w:szCs w:val="20"/>
        </w:rPr>
        <w:t>Wartime mode modifies timelines, verification thresholds, and incident budgets. It does not change fundamental commitments or core architecture.</w:t>
      </w:r>
    </w:p>
    <w:p>
      <w:pPr>
        <w:pStyle w:val="Normal"/>
        <w:spacing w:before="60" w:after="60"/>
      </w:pPr>
    </w:p>
    <w:p>
      <w:pPr>
        <w:pStyle w:val="Heading2"/>
      </w:pPr>
      <w:r>
        <w:rPr>
          <w:rFonts w:ascii="Cambria" w:hAnsi="Cambria" w:eastAsia="Cambria" w:cs="Cambria"/>
          <w:b/>
          <w:color w:val="1D2D3F"/>
          <w:sz w:val="22"/>
          <w:szCs w:val="30"/>
        </w:rPr>
        <w:t>7.2 Synchronization Clock Behavior in Wartime Mode</w:t>
      </w:r>
    </w:p>
    <w:p>
      <w:pPr>
        <w:pStyle w:val="Normal"/>
        <w:spacing w:before="60" w:after="60"/>
      </w:pPr>
    </w:p>
    <w:p>
      <w:pPr>
        <w:pStyle w:val="Normal"/>
        <w:spacing w:before="60" w:after="60"/>
      </w:pPr>
      <w:r>
        <w:rPr>
          <w:rFonts w:ascii="Cambria" w:hAnsi="Cambria" w:eastAsia="Cambria" w:cs="Cambria"/>
          <w:color w:val="1D2D3F"/>
          <w:sz w:val="20"/>
          <w:b/>
          <w:szCs w:val="20"/>
        </w:rPr>
        <w:t>The Synchronization Clock operates at compressed tempo during Wartime mode:</w:t>
      </w:r>
    </w:p>
    <w:p>
      <w:pPr>
        <w:pStyle w:val="Normal"/>
        <w:spacing w:before="60" w:after="60"/>
      </w:pPr>
    </w:p>
    <w:p>
      <w:pPr>
        <w:pStyle w:val="Normal"/>
        <w:spacing w:before="60" w:after="60"/>
      </w:pPr>
      <w:r>
        <w:rPr>
          <w:rFonts w:ascii="Cambria" w:hAnsi="Cambria" w:eastAsia="Cambria" w:cs="Cambria"/>
          <w:color w:val="1D2D3F"/>
          <w:sz w:val="20"/>
          <w:b/>
          <w:szCs w:val="20"/>
        </w:rPr>
        <w:t>Synchronization Cycle: 21 days (3 cycles per 63 days), compared to 60 days in normal tempo.</w:t>
      </w:r>
    </w:p>
    <w:p>
      <w:pPr>
        <w:pStyle w:val="Normal"/>
        <w:spacing w:before="60" w:after="60"/>
      </w:pPr>
    </w:p>
    <w:p>
      <w:pPr>
        <w:pStyle w:val="Normal"/>
        <w:spacing w:before="60" w:after="60"/>
      </w:pPr>
      <w:r>
        <w:rPr>
          <w:rFonts w:ascii="Cambria" w:hAnsi="Cambria" w:eastAsia="Cambria" w:cs="Cambria"/>
          <w:color w:val="1D2D3F"/>
          <w:sz w:val="20"/>
          <w:b/>
          <w:szCs w:val="20"/>
        </w:rPr>
        <w:t>Band One rotation: 7 days, compared to 14 days in normal tempo.</w:t>
      </w:r>
    </w:p>
    <w:p>
      <w:pPr>
        <w:pStyle w:val="Normal"/>
        <w:spacing w:before="60" w:after="60"/>
      </w:pPr>
    </w:p>
    <w:p>
      <w:pPr>
        <w:pStyle w:val="Normal"/>
        <w:spacing w:before="60" w:after="60"/>
      </w:pPr>
      <w:r>
        <w:rPr>
          <w:rFonts w:ascii="Cambria" w:hAnsi="Cambria" w:eastAsia="Cambria" w:cs="Cambria"/>
          <w:color w:val="1D2D3F"/>
          <w:sz w:val="20"/>
          <w:b/>
          <w:szCs w:val="20"/>
        </w:rPr>
        <w:t>Band Two rotation: 14 days, compared to 45 days in normal tempo.</w:t>
      </w:r>
    </w:p>
    <w:p>
      <w:pPr>
        <w:pStyle w:val="Normal"/>
        <w:spacing w:before="60" w:after="60"/>
      </w:pPr>
    </w:p>
    <w:p>
      <w:pPr>
        <w:pStyle w:val="Normal"/>
        <w:spacing w:before="60" w:after="60"/>
      </w:pPr>
      <w:r>
        <w:rPr>
          <w:rFonts w:ascii="Cambria" w:hAnsi="Cambria" w:eastAsia="Cambria" w:cs="Cambria"/>
          <w:color w:val="1D2D3F"/>
          <w:sz w:val="20"/>
          <w:b/>
          <w:szCs w:val="20"/>
        </w:rPr>
        <w:t>Band Three rotation: 30 days, compared to 120 days in normal tempo.</w:t>
      </w:r>
    </w:p>
    <w:p>
      <w:pPr>
        <w:pStyle w:val="Normal"/>
        <w:spacing w:before="60" w:after="60"/>
      </w:pPr>
    </w:p>
    <w:p>
      <w:pPr>
        <w:pStyle w:val="Normal"/>
        <w:spacing w:before="60" w:after="60"/>
      </w:pPr>
      <w:r>
        <w:rPr>
          <w:rFonts w:ascii="Cambria" w:hAnsi="Cambria" w:eastAsia="Cambria" w:cs="Cambria"/>
          <w:color w:val="1D2D3F"/>
          <w:sz w:val="20"/>
          <w:b/>
          <w:szCs w:val="20"/>
        </w:rPr>
        <w:t>Ratchet points: awarded on each Structural Step completion, compared to each 3 Structural Steps in normal tempo.</w:t>
      </w:r>
    </w:p>
    <w:p>
      <w:pPr>
        <w:pStyle w:val="Normal"/>
        <w:spacing w:before="60" w:after="60"/>
      </w:pPr>
    </w:p>
    <w:p>
      <w:pPr>
        <w:pStyle w:val="Normal"/>
        <w:spacing w:before="60" w:after="60"/>
      </w:pPr>
      <w:r>
        <w:rPr>
          <w:rFonts w:ascii="Cambria" w:hAnsi="Cambria" w:eastAsia="Cambria" w:cs="Cambria"/>
          <w:color w:val="1D2D3F"/>
          <w:sz w:val="20"/>
          <w:b/>
          <w:szCs w:val="20"/>
        </w:rPr>
        <w:t>Forward Drift locks: occur upon verification with no time delay, identical to normal tempo.</w:t>
      </w:r>
    </w:p>
    <w:p>
      <w:pPr>
        <w:pStyle w:val="Normal"/>
        <w:spacing w:before="60" w:after="60"/>
      </w:pPr>
    </w:p>
    <w:p>
      <w:pPr>
        <w:pStyle w:val="Normal"/>
        <w:spacing w:before="60" w:after="60"/>
      </w:pPr>
      <w:r>
        <w:rPr>
          <w:rFonts w:ascii="Cambria" w:hAnsi="Cambria" w:eastAsia="Cambria" w:cs="Cambria"/>
          <w:color w:val="1D2D3F"/>
          <w:sz w:val="20"/>
          <w:b/>
          <w:szCs w:val="20"/>
        </w:rPr>
        <w:t>Clock Reset: when Wartime mode exits, the Clock extends timelines to normal tempo but does not reset the cycle count. Operations continue from the exit point.</w:t>
      </w:r>
    </w:p>
    <w:p>
      <w:pPr>
        <w:pStyle w:val="Normal"/>
        <w:spacing w:before="60" w:after="60"/>
      </w:pPr>
    </w:p>
    <w:p>
      <w:pPr>
        <w:pStyle w:val="Normal"/>
        <w:spacing w:before="60" w:after="60"/>
      </w:pPr>
      <w:r>
        <w:rPr>
          <w:rFonts w:ascii="Cambria" w:hAnsi="Cambria" w:eastAsia="Cambria" w:cs="Cambria"/>
          <w:color w:val="1D2D3F"/>
          <w:sz w:val="20"/>
          <w:b/>
          <w:szCs w:val="20"/>
        </w:rPr>
        <w:t>7.3 Cross-Reference to Annex K</w:t>
      </w:r>
    </w:p>
    <w:p>
      <w:pPr>
        <w:pStyle w:val="Normal"/>
        <w:spacing w:before="60" w:after="60"/>
      </w:pPr>
    </w:p>
    <w:p>
      <w:pPr>
        <w:pStyle w:val="Normal"/>
        <w:spacing w:before="60" w:after="60"/>
      </w:pPr>
      <w:r>
        <w:rPr>
          <w:rFonts w:ascii="Cambria" w:hAnsi="Cambria" w:eastAsia="Cambria" w:cs="Cambria"/>
          <w:color w:val="1D2D3F"/>
          <w:sz w:val="20"/>
          <w:b/>
          <w:szCs w:val="20"/>
        </w:rPr>
        <w:t>The following Annex K provisions apply during Wartime mode without modification: Firewall Activation Triggers (Section 1.1), Band Classification (Section 2), Escalation Ladder (Section 4), Cascade Barrier (Section 5.5), and Non-State Actor Protocol (Section 8).</w:t>
      </w:r>
    </w:p>
    <w:p>
      <w:pPr>
        <w:pStyle w:val="Normal"/>
        <w:spacing w:before="60" w:after="60"/>
      </w:pPr>
    </w:p>
    <w:p>
      <w:pPr>
        <w:pStyle w:val="Normal"/>
        <w:spacing w:before="60" w:after="60"/>
      </w:pPr>
      <w:r>
        <w:rPr>
          <w:rFonts w:ascii="Cambria" w:hAnsi="Cambria" w:eastAsia="Cambria" w:cs="Cambria"/>
          <w:color w:val="1D2D3F"/>
          <w:sz w:val="20"/>
          <w:b/>
          <w:szCs w:val="20"/>
        </w:rPr>
        <w:t>The following Annex K provisions operate at Wartime tempo: De-Escalation Channel (Section 11), Early Warning Network (Section 12.4), and Strain Gauge (Section 6.6).</w:t>
      </w:r>
    </w:p>
    <w:p>
      <w:pPr>
        <w:pStyle w:val="Normal"/>
        <w:spacing w:before="60" w:after="60"/>
      </w:pPr>
    </w:p>
    <w:p>
      <w:pPr>
        <w:pStyle w:val="Normal"/>
        <w:spacing w:before="60" w:after="60"/>
      </w:pPr>
      <w:r>
        <w:rPr>
          <w:rFonts w:ascii="Cambria" w:hAnsi="Cambria" w:eastAsia="Cambria" w:cs="Cambria"/>
          <w:color w:val="1D2D3F"/>
          <w:sz w:val="20"/>
          <w:b/>
          <w:szCs w:val="20"/>
        </w:rPr>
        <w:t>The following Annex K provisions are supplemented by this Annex: Incident Baseline (Section 1.2, supplemented by Section 2.2 of this Annex), Pilot Security Zones (Section 11.4, supplemented by Section 4 of this Annex), and Technical Drafters Access (Section 12.7, supplemented by Section 5.3 of this Annex).</w:t>
      </w:r>
    </w:p>
    <w:p>
      <w:pPr>
        <w:pStyle w:val="Normal"/>
        <w:spacing w:before="60" w:after="60"/>
      </w:pPr>
    </w:p>
    <w:p>
      <w:pPr>
        <w:pStyle w:val="Normal"/>
        <w:spacing w:before="60" w:after="60"/>
      </w:pPr>
    </w:p>
    <w:p>
      <w:pPr>
        <w:pStyle w:val="Normal"/>
        <w:spacing w:before="60" w:after="60"/>
      </w:pPr>
    </w:p>
    <w:p>
      <w:pPr>
        <w:pStyle w:val="Heading1"/>
      </w:pPr>
      <w:r>
        <w:rPr>
          <w:rFonts w:ascii="Cambria" w:hAnsi="Cambria" w:eastAsia="Cambria" w:cs="Cambria"/>
          <w:b/>
          <w:color w:val="3D5A80"/>
          <w:sz w:val="40"/>
          <w:szCs w:val="40"/>
        </w:rPr>
        <w:t>Signature Blocks</w:t>
      </w:r>
    </w:p>
    <w:p>
      <w:pPr>
        <w:pStyle w:val="Normal"/>
        <w:spacing w:after="160" w:line="288" w:lineRule="auto"/>
      </w:pPr>
      <w:r>
        <w:rPr>
          <w:rFonts w:ascii="Cambria" w:hAnsi="Cambria" w:eastAsia="Cambria" w:cs="Cambria"/>
          <w:color w:val="1D2D3F"/>
          <w:sz w:val="22"/>
          <w:szCs w:val="22"/>
        </w:rPr>
        <w:t>For the United States of America:</w:t>
      </w:r>
    </w:p>
    <w:p>
      <w:pPr>
        <w:pStyle w:val="Normal"/>
        <w:spacing w:before="600"/>
      </w:pPr>
    </w:p>
    <w:p>
      <w:pPr>
        <w:pStyle w:val="Normal"/>
        <w:spacing w:after="160" w:line="288" w:lineRule="auto"/>
      </w:pPr>
      <w:r>
        <w:rPr>
          <w:rFonts w:ascii="Cambria" w:hAnsi="Cambria" w:eastAsia="Cambria" w:cs="Cambria"/>
          <w:color w:val="1D2D3F"/>
          <w:sz w:val="22"/>
          <w:szCs w:val="22"/>
        </w:rPr>
        <w:t>_____________________________</w:t>
      </w:r>
    </w:p>
    <w:p>
      <w:pPr>
        <w:pStyle w:val="Normal"/>
        <w:spacing w:after="160" w:line="288" w:lineRule="auto"/>
      </w:pPr>
      <w:r>
        <w:rPr>
          <w:rFonts w:ascii="Cambria" w:hAnsi="Cambria" w:eastAsia="Cambria" w:cs="Cambria"/>
          <w:color w:val="1D2D3F"/>
          <w:sz w:val="22"/>
          <w:szCs w:val="22"/>
        </w:rPr>
        <w:t>Name: _________________________</w:t>
      </w:r>
    </w:p>
    <w:p>
      <w:pPr>
        <w:pStyle w:val="Normal"/>
        <w:spacing w:after="160" w:line="288" w:lineRule="auto"/>
      </w:pPr>
      <w:r>
        <w:rPr>
          <w:rFonts w:ascii="Cambria" w:hAnsi="Cambria" w:eastAsia="Cambria" w:cs="Cambria"/>
          <w:color w:val="1D2D3F"/>
          <w:sz w:val="22"/>
          <w:szCs w:val="22"/>
        </w:rPr>
        <w:t>Title: ________________________</w:t>
      </w:r>
    </w:p>
    <w:p>
      <w:pPr>
        <w:pStyle w:val="Normal"/>
        <w:spacing w:after="160" w:line="288" w:lineRule="auto"/>
      </w:pPr>
      <w:r>
        <w:rPr>
          <w:rFonts w:ascii="Cambria" w:hAnsi="Cambria" w:eastAsia="Cambria" w:cs="Cambria"/>
          <w:color w:val="1D2D3F"/>
          <w:sz w:val="22"/>
          <w:szCs w:val="22"/>
        </w:rPr>
        <w:t>Date: _________________________</w:t>
      </w:r>
    </w:p>
    <w:p>
      <w:pPr>
        <w:pStyle w:val="Normal"/>
        <w:spacing w:before="600"/>
      </w:pPr>
    </w:p>
    <w:p>
      <w:pPr>
        <w:pStyle w:val="Normal"/>
        <w:spacing w:after="160" w:line="288" w:lineRule="auto"/>
      </w:pPr>
      <w:r>
        <w:rPr>
          <w:rFonts w:ascii="Cambria" w:hAnsi="Cambria" w:eastAsia="Cambria" w:cs="Cambria"/>
          <w:color w:val="1D2D3F"/>
          <w:sz w:val="22"/>
          <w:szCs w:val="22"/>
        </w:rPr>
        <w:t>For the Islamic Republic of Iran:</w:t>
      </w:r>
    </w:p>
    <w:p>
      <w:pPr>
        <w:pStyle w:val="Normal"/>
        <w:spacing w:before="600"/>
      </w:pPr>
    </w:p>
    <w:p>
      <w:pPr>
        <w:pStyle w:val="Normal"/>
        <w:spacing w:after="160" w:line="288" w:lineRule="auto"/>
      </w:pPr>
      <w:r>
        <w:rPr>
          <w:rFonts w:ascii="Cambria" w:hAnsi="Cambria" w:eastAsia="Cambria" w:cs="Cambria"/>
          <w:color w:val="1D2D3F"/>
          <w:sz w:val="22"/>
          <w:szCs w:val="22"/>
        </w:rPr>
        <w:t>_____________________________</w:t>
      </w:r>
    </w:p>
    <w:p>
      <w:pPr>
        <w:pStyle w:val="Normal"/>
        <w:spacing w:after="160" w:line="288" w:lineRule="auto"/>
      </w:pPr>
      <w:r>
        <w:rPr>
          <w:rFonts w:ascii="Cambria" w:hAnsi="Cambria" w:eastAsia="Cambria" w:cs="Cambria"/>
          <w:color w:val="1D2D3F"/>
          <w:sz w:val="22"/>
          <w:szCs w:val="22"/>
        </w:rPr>
        <w:t>Name: _________________________</w:t>
      </w:r>
    </w:p>
    <w:p>
      <w:pPr>
        <w:pStyle w:val="Normal"/>
        <w:spacing w:after="160" w:line="288" w:lineRule="auto"/>
      </w:pPr>
      <w:r>
        <w:rPr>
          <w:rFonts w:ascii="Cambria" w:hAnsi="Cambria" w:eastAsia="Cambria" w:cs="Cambria"/>
          <w:color w:val="1D2D3F"/>
          <w:sz w:val="22"/>
          <w:szCs w:val="22"/>
        </w:rPr>
        <w:t>Title: ________________________</w:t>
      </w:r>
    </w:p>
    <w:p>
      <w:pPr>
        <w:pStyle w:val="Normal"/>
        <w:spacing w:after="160" w:line="288" w:lineRule="auto"/>
      </w:pPr>
      <w:r>
        <w:rPr>
          <w:rFonts w:ascii="Cambria" w:hAnsi="Cambria" w:eastAsia="Cambria" w:cs="Cambria"/>
          <w:color w:val="1D2D3F"/>
          <w:sz w:val="22"/>
          <w:szCs w:val="22"/>
        </w:rPr>
        <w:t>Date: _________________________</w:t>
      </w:r>
    </w:p>
    <w:sectPr>
      <w:pgSz w:w="11906" w:h="16838"/>
      <w:pgMar w:top="1440" w:right="1440" w:bottom="1440" w:left="1440" w:header="720" w:footer="72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mbria" w:hAnsi="Cambria"/>
      <w:color w:val="1D2D3F"/>
      <w:sz w:val="22"/>
    </w:rPr>
  </w:style>
  <w:style w:type="paragraph" w:styleId="Heading1">
    <w:name w:val="heading 1"/>
    <w:basedOn w:val="Normal"/>
    <w:pPr>
      <w:keepNext/>
      <w:keepLines/>
      <w:spacing w:before="480" w:after="200"/>
      <w:outlineLvl w:val="0"/>
    </w:pPr>
    <w:rPr>
      <w:rFonts w:ascii="Cambria" w:hAnsi="Cambria"/>
      <w:b/>
      <w:color w:val="3D5A80"/>
      <w:sz w:val="40"/>
    </w:rPr>
  </w:style>
  <w:style w:type="paragraph" w:styleId="Heading2">
    <w:name w:val="heading 2"/>
    <w:basedOn w:val="Normal"/>
    <w:pPr>
      <w:keepNext/>
      <w:keepLines/>
      <w:spacing w:before="360" w:after="140"/>
      <w:outlineLvl w:val="1"/>
    </w:pPr>
    <w:rPr>
      <w:rFonts w:ascii="Cambria" w:hAnsi="Cambria"/>
      <w:b/>
      <w:color w:val="5C7A96"/>
      <w:sz w:val="30"/>
    </w:rPr>
  </w:style>
  <w:style w:type="paragraph" w:styleId="Heading3">
    <w:name w:val="heading 3"/>
    <w:basedOn w:val="Normal"/>
    <w:pPr>
      <w:keepNext/>
      <w:keepLines/>
      <w:spacing w:before="280" w:after="100"/>
      <w:outlineLvl w:val="2"/>
    </w:pPr>
    <w:rPr>
      <w:rFonts w:ascii="Cambria" w:hAnsi="Cambria"/>
      <w:b/>
      <w:color w:val="4A5D6E"/>
      <w:sz w:val="26"/>
    </w:rPr>
  </w:style>
  <w:style w:type="paragraph" w:styleId="Heading4">
    <w:name w:val="heading 4"/>
    <w:basedOn w:val="Normal"/>
    <w:pPr>
      <w:keepNext/>
      <w:keepLines/>
      <w:spacing w:before="200" w:after="80"/>
      <w:outlineLvl w:val="3"/>
    </w:pPr>
    <w:rPr>
      <w:rFonts w:ascii="Cambria" w:hAnsi="Cambria"/>
      <w:b/>
      <w:color w:val="4A5D6E"/>
      <w:sz w:val="24"/>
    </w:rPr>
  </w:style>
  <w:style w:type="paragraph" w:styleId="TOC1">
    <w:name w:val="TOC1"/>
    <w:basedOn w:val="Normal"/>
    <w:pPr>
      <w:tabs>
        <w:tab w:val="right" w:leader="dot" w:pos="9350"/>
      </w:tabs>
      <w:spacing w:before="120" w:after="40"/>
    </w:pPr>
    <w:rPr>
      <w:b/>
      <w:color w:val="1D2D3F"/>
    </w:rPr>
  </w:style>
  <w:style w:type="paragraph" w:styleId="TOC2">
    <w:name w:val="TOC2"/>
    <w:basedOn w:val="Normal"/>
    <w:pPr>
      <w:tabs>
        <w:tab w:val="right" w:leader="dot" w:pos="9350"/>
      </w:tabs>
      <w:spacing w:before="60" w:after="40"/>
      <w:ind w:left="360"/>
    </w:pPr>
    <w:rPr>
      <w:color w:val="4A5D6E"/>
    </w:rPr>
  </w:style>
  <w:style w:type="paragraph" w:styleId="TOC3">
    <w:name w:val="TOC3"/>
    <w:basedOn w:val="Normal"/>
    <w:pPr>
      <w:tabs>
        <w:tab w:val="right" w:leader="dot" w:pos="9350"/>
      </w:tabs>
      <w:spacing w:before="40" w:after="20"/>
      <w:ind w:left="720"/>
    </w:pPr>
    <w:rPr>
      <w:i/>
      <w:color w:val="8A9DAA"/>
    </w:rPr>
  </w:style>
</w:styles>
</file>

<file path=word/_rels/document.xml.rels><?xml version='1.0' encoding='UTF-8'?>
<Relationships xmlns="http://schemas.openxmlformats.org/package/2006/relationships"><Relationship Id="R3d999e794fd34a79" Type="http://schemas.openxmlformats.org/officeDocument/2006/relationships/styles" Target="styles.xml" /><Relationship Id="Rb72d14ff1ff741e5" Type="http://schemas.openxmlformats.org/officeDocument/2006/relationships/settings" Target="settings.xml" /></Relationships>
</file>