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98a28541a8e40f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9de9c8244ab4a3d"/>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pacing w:val="30"/>
          <w:sz w:val="72"/>
        </w:rPr>
        <w:t>Negotiator's Guide</w:t>
      </w:r>
    </w:p>
    <w:p>
      <w:pPr>
        <w:spacing w:after="600"/>
        <w:ind w:left="1200" w:right="1200"/>
        <w:jc w:val="left"/>
      </w:pPr>
      <w:r>
        <w:rPr>
          <w:color w:val="8ab4c7"/>
          <w:spacing w:val="20"/>
          <w:sz w:val="32"/>
        </w:rPr>
        <w:t>Hormuz Synchronization Compact v7.3</w:t>
      </w:r>
    </w:p>
    <w:p>
      <w:pPr>
        <w:spacing w:after="3500"/>
        <w:ind w:left="1200" w:right="1200"/>
        <w:jc w:val="left"/>
      </w:pPr>
      <w:r>
        <w:rPr>
          <w:color w:val="a0b8c8"/>
          <w:sz w:val="22"/>
        </w:rPr>
        <w:t>Operational Reference for Diplomatic Personnel</w:t>
      </w:r>
    </w:p>
    <w:p>
      <w:pPr>
        <w:ind w:left="1200"/>
      </w:pPr>
      <w:r>
        <w:rPr>
          <w:color w:val="8aabb8"/>
          <w:sz w:val="20"/>
        </w:rPr>
        <w:t>Version 7.3  |  June 2026</w:t>
      </w:r>
    </w:p>
    <w:p>
      <w:pPr>
        <w:sectPr>
          <w:type w:val="nextPage"/>
          <w:pgSz w:w="11906" w:h="16838"/>
          <w:pgMar w:top="0" w:right="0" w:bottom="0" w:left="0" w:header="0" w:footer="0"/>
          <w:titlePg/>
        </w:sectPr>
      </w:pPr>
    </w:p>
    <w:p>
      <w:pPr>
        <w:spacing w:before="600"/>
      </w:pPr>
      <w:r/>
    </w:p>
    <w:p>
      <w:pPr>
        <w:pStyle w:val="Heading1"/>
      </w:pPr>
      <w:r>
        <w:t>Table of Contents</w:t>
      </w:r>
    </w:p>
    <w:p>
      <w:pPr>
        <w:spacing w:after="300"/>
      </w:pPr>
      <w:r>
        <w:rPr>
          <w:color w:val="7a95a5"/>
          <w:sz w:val="18"/>
        </w:rPr>
        <w:t>Right-click the TOC and select "Update Field" to refresh page numbers</w:t>
      </w:r>
    </w:p>
    <w:p>
      <w:r>
        <w:fldChar w:fldCharType="begin"/>
      </w:r>
      <w:r>
        <w:instrText xml:space="preserve"> TOC \o "1-3" \h \z \u </w:instrText>
      </w:r>
      <w:r>
        <w:fldChar w:fldCharType="separate"/>
      </w:r>
    </w:p>
    <w:p>
      <w:pPr>
        <w:pStyle w:val="TOC1"/>
      </w:pPr>
      <w:r>
        <w:t>Document at a Glance</w:t>
      </w:r>
      <w:r>
        <w:tab/>
      </w:r>
      <w:r>
        <w:t>3</w:t>
      </w:r>
    </w:p>
    <w:p>
      <w:pPr>
        <w:pStyle w:val="TOC1"/>
      </w:pPr>
      <w:r>
        <w:t>Annexes Quick Reference</w:t>
      </w:r>
      <w:r>
        <w:tab/>
      </w:r>
      <w:r>
        <w:t>4</w:t>
      </w:r>
    </w:p>
    <w:p>
      <w:pPr>
        <w:pStyle w:val="TOC1"/>
      </w:pPr>
      <w:r>
        <w:t>Core Mechanisms in Plain Language</w:t>
      </w:r>
      <w:r>
        <w:tab/>
      </w:r>
      <w:r>
        <w:t>5</w:t>
      </w:r>
    </w:p>
    <w:p>
      <w:pPr>
        <w:pStyle w:val="TOC1"/>
      </w:pPr>
      <w:r>
        <w:t>Band Classification System</w:t>
      </w:r>
      <w:r>
        <w:tab/>
      </w:r>
      <w:r>
        <w:t>6</w:t>
      </w:r>
    </w:p>
    <w:p>
      <w:pPr>
        <w:pStyle w:val="TOC1"/>
      </w:pPr>
      <w:r>
        <w:t>Escalation Thresholds and Triggers</w:t>
      </w:r>
      <w:r>
        <w:tab/>
      </w:r>
      <w:r>
        <w:t>7</w:t>
      </w:r>
    </w:p>
    <w:p>
      <w:pPr>
        <w:pStyle w:val="TOC1"/>
      </w:pPr>
      <w:r>
        <w:t>Synchronization Clock Protocol</w:t>
      </w:r>
      <w:r>
        <w:tab/>
      </w:r>
      <w:r>
        <w:t>8</w:t>
      </w:r>
    </w:p>
    <w:p>
      <w:pPr>
        <w:pStyle w:val="TOC1"/>
      </w:pPr>
      <w:r>
        <w:t>Lebanon Firewall Protocol</w:t>
      </w:r>
      <w:r>
        <w:tab/>
      </w:r>
      <w:r>
        <w:t>9</w:t>
      </w:r>
    </w:p>
    <w:p>
      <w:pPr>
        <w:pStyle w:val="TOC1"/>
      </w:pPr>
      <w:r>
        <w:t>Wartime Compact Protocol</w:t>
      </w:r>
      <w:r>
        <w:tab/>
      </w:r>
      <w:r>
        <w:t>10</w:t>
      </w:r>
    </w:p>
    <w:p>
      <w:pPr>
        <w:pStyle w:val="TOC1"/>
      </w:pPr>
      <w:r>
        <w:t>Emergency Procedures</w:t>
      </w:r>
      <w:r>
        <w:tab/>
      </w:r>
      <w:r>
        <w:t>11</w:t>
      </w:r>
    </w:p>
    <w:p>
      <w:pPr>
        <w:pStyle w:val="TOC1"/>
      </w:pPr>
      <w:r>
        <w:t>Critical Guidance: Do's and Don'ts</w:t>
      </w:r>
      <w:r>
        <w:tab/>
      </w:r>
      <w:r>
        <w:t>12</w:t>
      </w:r>
    </w:p>
    <w:p>
      <w:r>
        <w:fldChar w:fldCharType="end"/>
      </w:r>
    </w:p>
    <w:p>
      <w:pPr>
        <w:sectPr>
          <w:type w:val="nextPage"/>
          <w:pgSz w:w="11906" w:h="16838"/>
          <w:pgMar w:top="1800" w:right="1440" w:bottom="1440" w:left="1440" w:header="720" w:footer="720"/>
        </w:sectPr>
      </w:pPr>
    </w:p>
    <w:p>
      <w:pPr>
        <w:pStyle w:val="Heading1"/>
      </w:pPr>
      <w:r>
        <w:t>Document at a Glance</w:t>
      </w:r>
    </w:p>
    <w:p>
      <w:r>
        <w:t>This guide accompanies the Hormuz Synchronization Compact v7.3, a comprehensive bilateral framework between the United States and Iran governing nuclear activities, maritime security, economic exchange, and regional stabilization. The full document contains eleven articles and fifteen annexes spanning approximately 50,000 words. This guide extracts the operational essentials for negotiators who need to navigate the document under time pressure.</w:t>
      </w:r>
    </w:p>
    <w:p>
      <w:pPr>
        <w:pStyle w:val="Heading2"/>
      </w:pPr>
      <w:r>
        <w:t>Key Statistics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2500"/>
        <w:gridCol w:w="2500"/>
        <w:gridCol w:w="2500"/>
        <w:gridCol w:w="2500"/>
      </w:tblGrid>
      <w:tr>
        <w:tc>
          <w:tcPr>
            <w:shd w:val="clear" w:fill="e8eef2"/>
            <w:tcMar>
              <w:top w:w="60" w:type="dxa"/>
              <w:left w:w="80" w:type="dxa"/>
              <w:bottom w:w="60" w:type="dxa"/>
              <w:right w:w="80" w:type="dxa"/>
            </w:tcMar>
            <w:vAlign w:val="center"/>
          </w:tcPr>
          <w:p>
            <w:pPr>
              <w:spacing w:after="0" w:line="260" w:lineRule="auto"/>
            </w:pPr>
            <w:r>
              <w:rPr>
                <w:b/>
                <w:color w:val="1a2a3a"/>
                <w:sz w:val="19"/>
              </w:rPr>
              <w:t>Articles</w:t>
            </w:r>
          </w:p>
        </w:tc>
        <w:tc>
          <w:tcPr>
            <w:shd w:val="clear" w:fill="e8eef2"/>
            <w:tcMar>
              <w:top w:w="60" w:type="dxa"/>
              <w:left w:w="80" w:type="dxa"/>
              <w:bottom w:w="60" w:type="dxa"/>
              <w:right w:w="80" w:type="dxa"/>
            </w:tcMar>
            <w:vAlign w:val="center"/>
          </w:tcPr>
          <w:p>
            <w:pPr>
              <w:spacing w:after="0" w:line="260" w:lineRule="auto"/>
            </w:pPr>
            <w:r>
              <w:rPr>
                <w:b/>
                <w:color w:val="1a2a3a"/>
                <w:sz w:val="19"/>
              </w:rPr>
              <w:t>Annexes</w:t>
            </w:r>
          </w:p>
        </w:tc>
        <w:tc>
          <w:tcPr>
            <w:shd w:val="clear" w:fill="e8eef2"/>
            <w:tcMar>
              <w:top w:w="60" w:type="dxa"/>
              <w:left w:w="80" w:type="dxa"/>
              <w:bottom w:w="60" w:type="dxa"/>
              <w:right w:w="80" w:type="dxa"/>
            </w:tcMar>
            <w:vAlign w:val="center"/>
          </w:tcPr>
          <w:p>
            <w:pPr>
              <w:spacing w:after="0" w:line="260" w:lineRule="auto"/>
            </w:pPr>
            <w:r>
              <w:rPr>
                <w:b/>
                <w:color w:val="1a2a3a"/>
                <w:sz w:val="19"/>
              </w:rPr>
              <w:t>Word Count</w:t>
            </w:r>
          </w:p>
        </w:tc>
        <w:tc>
          <w:tcPr>
            <w:shd w:val="clear" w:fill="e8eef2"/>
            <w:tcMar>
              <w:top w:w="60" w:type="dxa"/>
              <w:left w:w="80" w:type="dxa"/>
              <w:bottom w:w="60" w:type="dxa"/>
              <w:right w:w="80" w:type="dxa"/>
            </w:tcMar>
            <w:vAlign w:val="center"/>
          </w:tcPr>
          <w:p>
            <w:pPr>
              <w:spacing w:after="0" w:line="260" w:lineRule="auto"/>
            </w:pPr>
            <w:r>
              <w:rPr>
                <w:b/>
                <w:color w:val="1a2a3a"/>
                <w:sz w:val="19"/>
              </w:rPr>
              <w:t>Pages</w:t>
            </w:r>
          </w:p>
        </w:tc>
      </w:tr>
      <w:tr>
        <w:tc>
          <w:tcPr>
            <w:tcMar>
              <w:top w:w="60" w:type="dxa"/>
              <w:left w:w="80" w:type="dxa"/>
              <w:bottom w:w="60" w:type="dxa"/>
              <w:right w:w="80" w:type="dxa"/>
            </w:tcMar>
          </w:tcPr>
          <w:p>
            <w:pPr>
              <w:spacing w:after="0" w:line="260" w:lineRule="auto"/>
            </w:pPr>
            <w:r>
              <w:rPr>
                <w:color w:val="1a2a3a"/>
                <w:sz w:val="19"/>
              </w:rPr>
              <w:t>11</w:t>
            </w:r>
          </w:p>
        </w:tc>
        <w:tc>
          <w:tcPr>
            <w:tcMar>
              <w:top w:w="60" w:type="dxa"/>
              <w:left w:w="80" w:type="dxa"/>
              <w:bottom w:w="60" w:type="dxa"/>
              <w:right w:w="80" w:type="dxa"/>
            </w:tcMar>
          </w:tcPr>
          <w:p>
            <w:pPr>
              <w:spacing w:after="0" w:line="260" w:lineRule="auto"/>
            </w:pPr>
            <w:r>
              <w:rPr>
                <w:color w:val="1a2a3a"/>
                <w:sz w:val="19"/>
              </w:rPr>
              <w:t>15 (A-O)</w:t>
            </w:r>
          </w:p>
        </w:tc>
        <w:tc>
          <w:tcPr>
            <w:tcMar>
              <w:top w:w="60" w:type="dxa"/>
              <w:left w:w="80" w:type="dxa"/>
              <w:bottom w:w="60" w:type="dxa"/>
              <w:right w:w="80" w:type="dxa"/>
            </w:tcMar>
          </w:tcPr>
          <w:p>
            <w:pPr>
              <w:spacing w:after="0" w:line="260" w:lineRule="auto"/>
            </w:pPr>
            <w:r>
              <w:rPr>
                <w:color w:val="1a2a3a"/>
                <w:sz w:val="19"/>
              </w:rPr>
              <w:t>~50,000</w:t>
            </w:r>
          </w:p>
        </w:tc>
        <w:tc>
          <w:tcPr>
            <w:tcMar>
              <w:top w:w="60" w:type="dxa"/>
              <w:left w:w="80" w:type="dxa"/>
              <w:bottom w:w="60" w:type="dxa"/>
              <w:right w:w="80" w:type="dxa"/>
            </w:tcMar>
          </w:tcPr>
          <w:p>
            <w:pPr>
              <w:spacing w:after="0" w:line="260" w:lineRule="auto"/>
            </w:pPr>
            <w:r>
              <w:rPr>
                <w:color w:val="1a2a3a"/>
                <w:sz w:val="19"/>
              </w:rPr>
              <w:t>~200</w:t>
            </w:r>
          </w:p>
        </w:tc>
      </w:tr>
    </w:tbl>
    <w:p>
      <w:pPr>
        <w:pStyle w:val="Heading2"/>
      </w:pPr>
      <w:r>
        <w:t>Document Architecture</w:t>
      </w:r>
    </w:p>
    <w:p>
      <w:r>
        <w:t>The Compact organizes into three conceptual layers. The Core Layer (Articles 1-5) establishes the fundamental synchronization framework: differential band processing, the reciprocity ledger, and the synchronization clock. The Operational Layer (Articles 6-9) details implementation mechanisms including compliance verification, financial protocols, and maritime coordination. The Stabilization Layer (Articles 10-11) contains crisis response architecture and the Lebanon Firewall provisions.</w:t>
      </w:r>
    </w:p>
    <w:p>
      <w:r>
        <w:t>Fifteen annexes provide detailed technical specifications. Annexes A through J cover foundational domains: verification protocols, maritime boundaries, financial instruments, nuclear baseline definitions, and similar operational matters. Annexes K through O address regional stabilization: the Lebanon Firewall Protocol (K), Humanitarian Corridor Operations (L), Energy Infrastructure Protection (M), Communications Security (N), and the Wartime Compact Protocol (O).</w:t>
      </w:r>
    </w:p>
    <w:p>
      <w:pPr>
        <w:pStyle w:val="TipBox"/>
      </w:pPr>
      <w:r>
        <w:rPr>
          <w:b/>
          <w:color w:val="5a8a6a"/>
        </w:rPr>
        <w:t>TIP: </w:t>
      </w:r>
      <w:r>
        <w:t>Navigation Tip: Each annex opens with a one-page summary section. If time permits reading only one page of any annex, read that summary page. It contains the activation triggers, key thresholds, and emergency contacts.</w:t>
      </w:r>
    </w:p>
    <w:p>
      <w:pPr>
        <w:pStyle w:val="Heading1"/>
      </w:pPr>
      <w:r>
        <w:t>Annexes Quick Reference</w:t>
      </w:r>
    </w:p>
    <w:p>
      <w:r>
        <w:t>The fifteen annexes divide into two functional groups. Foundation Annexes (A-J) establish baseline operational parameters. Stabilization Annexes (K-O) provide regional crisis architecture. Each entry below shows the annex identifier, full name, primary purpose, and the page range in the full document.</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800"/>
        <w:gridCol w:w="3600"/>
        <w:gridCol w:w="4100"/>
        <w:gridCol w:w="1500"/>
      </w:tblGrid>
      <w:tr>
        <w:tc>
          <w:tcPr>
            <w:shd w:val="clear" w:fill="e8eef2"/>
            <w:tcMar>
              <w:top w:w="60" w:type="dxa"/>
              <w:left w:w="80" w:type="dxa"/>
              <w:bottom w:w="60" w:type="dxa"/>
              <w:right w:w="80" w:type="dxa"/>
            </w:tcMar>
            <w:vAlign w:val="center"/>
          </w:tcPr>
          <w:p>
            <w:pPr>
              <w:spacing w:after="0" w:line="260" w:lineRule="auto"/>
            </w:pPr>
            <w:r>
              <w:rPr>
                <w:b/>
                <w:color w:val="1a2a3a"/>
                <w:sz w:val="19"/>
              </w:rPr>
              <w:t>ID</w:t>
            </w:r>
          </w:p>
        </w:tc>
        <w:tc>
          <w:tcPr>
            <w:shd w:val="clear" w:fill="e8eef2"/>
            <w:tcMar>
              <w:top w:w="60" w:type="dxa"/>
              <w:left w:w="80" w:type="dxa"/>
              <w:bottom w:w="60" w:type="dxa"/>
              <w:right w:w="80" w:type="dxa"/>
            </w:tcMar>
            <w:vAlign w:val="center"/>
          </w:tcPr>
          <w:p>
            <w:pPr>
              <w:spacing w:after="0" w:line="260" w:lineRule="auto"/>
            </w:pPr>
            <w:r>
              <w:rPr>
                <w:b/>
                <w:color w:val="1a2a3a"/>
                <w:sz w:val="19"/>
              </w:rPr>
              <w:t>Name</w:t>
            </w:r>
          </w:p>
        </w:tc>
        <w:tc>
          <w:tcPr>
            <w:shd w:val="clear" w:fill="e8eef2"/>
            <w:tcMar>
              <w:top w:w="60" w:type="dxa"/>
              <w:left w:w="80" w:type="dxa"/>
              <w:bottom w:w="60" w:type="dxa"/>
              <w:right w:w="80" w:type="dxa"/>
            </w:tcMar>
            <w:vAlign w:val="center"/>
          </w:tcPr>
          <w:p>
            <w:pPr>
              <w:spacing w:after="0" w:line="260" w:lineRule="auto"/>
            </w:pPr>
            <w:r>
              <w:rPr>
                <w:b/>
                <w:color w:val="1a2a3a"/>
                <w:sz w:val="19"/>
              </w:rPr>
              <w:t>Purpose</w:t>
            </w:r>
          </w:p>
        </w:tc>
        <w:tc>
          <w:tcPr>
            <w:shd w:val="clear" w:fill="e8eef2"/>
            <w:tcMar>
              <w:top w:w="60" w:type="dxa"/>
              <w:left w:w="80" w:type="dxa"/>
              <w:bottom w:w="60" w:type="dxa"/>
              <w:right w:w="80" w:type="dxa"/>
            </w:tcMar>
            <w:vAlign w:val="center"/>
          </w:tcPr>
          <w:p>
            <w:pPr>
              <w:spacing w:after="0" w:line="260" w:lineRule="auto"/>
            </w:pPr>
            <w:r>
              <w:rPr>
                <w:b/>
                <w:color w:val="1a2a3a"/>
                <w:sz w:val="19"/>
              </w:rPr>
              <w:t>Priority</w:t>
            </w:r>
          </w:p>
        </w:tc>
      </w:tr>
      <w:tr>
        <w:tc>
          <w:tcPr>
            <w:tcMar>
              <w:top w:w="60" w:type="dxa"/>
              <w:left w:w="80" w:type="dxa"/>
              <w:bottom w:w="60" w:type="dxa"/>
              <w:right w:w="80" w:type="dxa"/>
            </w:tcMar>
          </w:tcPr>
          <w:p>
            <w:pPr>
              <w:spacing w:after="0" w:line="260" w:lineRule="auto"/>
            </w:pPr>
            <w:r>
              <w:rPr>
                <w:color w:val="1a2a3a"/>
                <w:sz w:val="19"/>
              </w:rPr>
              <w:t>A</w:t>
            </w:r>
          </w:p>
        </w:tc>
        <w:tc>
          <w:tcPr>
            <w:tcMar>
              <w:top w:w="60" w:type="dxa"/>
              <w:left w:w="80" w:type="dxa"/>
              <w:bottom w:w="60" w:type="dxa"/>
              <w:right w:w="80" w:type="dxa"/>
            </w:tcMar>
          </w:tcPr>
          <w:p>
            <w:pPr>
              <w:spacing w:after="0" w:line="260" w:lineRule="auto"/>
            </w:pPr>
            <w:r>
              <w:rPr>
                <w:color w:val="1a2a3a"/>
                <w:sz w:val="19"/>
              </w:rPr>
              <w:t>Verification Protocol</w:t>
            </w:r>
          </w:p>
        </w:tc>
        <w:tc>
          <w:tcPr>
            <w:tcMar>
              <w:top w:w="60" w:type="dxa"/>
              <w:left w:w="80" w:type="dxa"/>
              <w:bottom w:w="60" w:type="dxa"/>
              <w:right w:w="80" w:type="dxa"/>
            </w:tcMar>
          </w:tcPr>
          <w:p>
            <w:pPr>
              <w:spacing w:after="0" w:line="260" w:lineRule="auto"/>
            </w:pPr>
            <w:r>
              <w:rPr>
                <w:color w:val="1a2a3a"/>
                <w:sz w:val="19"/>
              </w:rPr>
              <w:t>IAEA coordination and inspection procedures</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B</w:t>
            </w:r>
          </w:p>
        </w:tc>
        <w:tc>
          <w:tcPr>
            <w:tcMar>
              <w:top w:w="60" w:type="dxa"/>
              <w:left w:w="80" w:type="dxa"/>
              <w:bottom w:w="60" w:type="dxa"/>
              <w:right w:w="80" w:type="dxa"/>
            </w:tcMar>
          </w:tcPr>
          <w:p>
            <w:pPr>
              <w:spacing w:after="0" w:line="260" w:lineRule="auto"/>
            </w:pPr>
            <w:r>
              <w:rPr>
                <w:color w:val="1a2a3a"/>
                <w:sz w:val="19"/>
              </w:rPr>
              <w:t>Nuclear Baseline</w:t>
            </w:r>
          </w:p>
        </w:tc>
        <w:tc>
          <w:tcPr>
            <w:tcMar>
              <w:top w:w="60" w:type="dxa"/>
              <w:left w:w="80" w:type="dxa"/>
              <w:bottom w:w="60" w:type="dxa"/>
              <w:right w:w="80" w:type="dxa"/>
            </w:tcMar>
          </w:tcPr>
          <w:p>
            <w:pPr>
              <w:spacing w:after="0" w:line="260" w:lineRule="auto"/>
            </w:pPr>
            <w:r>
              <w:rPr>
                <w:color w:val="1a2a3a"/>
                <w:sz w:val="19"/>
              </w:rPr>
              <w:t>Enrichment limits and facility definitions</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C</w:t>
            </w:r>
          </w:p>
        </w:tc>
        <w:tc>
          <w:tcPr>
            <w:tcMar>
              <w:top w:w="60" w:type="dxa"/>
              <w:left w:w="80" w:type="dxa"/>
              <w:bottom w:w="60" w:type="dxa"/>
              <w:right w:w="80" w:type="dxa"/>
            </w:tcMar>
          </w:tcPr>
          <w:p>
            <w:pPr>
              <w:spacing w:after="0" w:line="260" w:lineRule="auto"/>
            </w:pPr>
            <w:r>
              <w:rPr>
                <w:color w:val="1a2a3a"/>
                <w:sz w:val="19"/>
              </w:rPr>
              <w:t>Financial Instruments</w:t>
            </w:r>
          </w:p>
        </w:tc>
        <w:tc>
          <w:tcPr>
            <w:tcMar>
              <w:top w:w="60" w:type="dxa"/>
              <w:left w:w="80" w:type="dxa"/>
              <w:bottom w:w="60" w:type="dxa"/>
              <w:right w:w="80" w:type="dxa"/>
            </w:tcMar>
          </w:tcPr>
          <w:p>
            <w:pPr>
              <w:spacing w:after="0" w:line="260" w:lineRule="auto"/>
            </w:pPr>
            <w:r>
              <w:rPr>
                <w:color w:val="1a2a3a"/>
                <w:sz w:val="19"/>
              </w:rPr>
              <w:t>Banking, currency, and transaction frameworks</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D</w:t>
            </w:r>
          </w:p>
        </w:tc>
        <w:tc>
          <w:tcPr>
            <w:tcMar>
              <w:top w:w="60" w:type="dxa"/>
              <w:left w:w="80" w:type="dxa"/>
              <w:bottom w:w="60" w:type="dxa"/>
              <w:right w:w="80" w:type="dxa"/>
            </w:tcMar>
          </w:tcPr>
          <w:p>
            <w:pPr>
              <w:spacing w:after="0" w:line="260" w:lineRule="auto"/>
            </w:pPr>
            <w:r>
              <w:rPr>
                <w:color w:val="1a2a3a"/>
                <w:sz w:val="19"/>
              </w:rPr>
              <w:t>Maritime Coordination</w:t>
            </w:r>
          </w:p>
        </w:tc>
        <w:tc>
          <w:tcPr>
            <w:tcMar>
              <w:top w:w="60" w:type="dxa"/>
              <w:left w:w="80" w:type="dxa"/>
              <w:bottom w:w="60" w:type="dxa"/>
              <w:right w:w="80" w:type="dxa"/>
            </w:tcMar>
          </w:tcPr>
          <w:p>
            <w:pPr>
              <w:spacing w:after="0" w:line="260" w:lineRule="auto"/>
            </w:pPr>
            <w:r>
              <w:rPr>
                <w:color w:val="1a2a3a"/>
                <w:sz w:val="19"/>
              </w:rPr>
              <w:t>Naval protocols and waterway management</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E</w:t>
            </w:r>
          </w:p>
        </w:tc>
        <w:tc>
          <w:tcPr>
            <w:tcMar>
              <w:top w:w="60" w:type="dxa"/>
              <w:left w:w="80" w:type="dxa"/>
              <w:bottom w:w="60" w:type="dxa"/>
              <w:right w:w="80" w:type="dxa"/>
            </w:tcMar>
          </w:tcPr>
          <w:p>
            <w:pPr>
              <w:spacing w:after="0" w:line="260" w:lineRule="auto"/>
            </w:pPr>
            <w:r>
              <w:rPr>
                <w:color w:val="1a2a3a"/>
                <w:sz w:val="19"/>
              </w:rPr>
              <w:t>Reciprocity Ledger</w:t>
            </w:r>
          </w:p>
        </w:tc>
        <w:tc>
          <w:tcPr>
            <w:tcMar>
              <w:top w:w="60" w:type="dxa"/>
              <w:left w:w="80" w:type="dxa"/>
              <w:bottom w:w="60" w:type="dxa"/>
              <w:right w:w="80" w:type="dxa"/>
            </w:tcMar>
          </w:tcPr>
          <w:p>
            <w:pPr>
              <w:spacing w:after="0" w:line="260" w:lineRule="auto"/>
            </w:pPr>
            <w:r>
              <w:rPr>
                <w:color w:val="1a2a3a"/>
                <w:sz w:val="19"/>
              </w:rPr>
              <w:t>Commitment tracking and balance procedures</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F</w:t>
            </w:r>
          </w:p>
        </w:tc>
        <w:tc>
          <w:tcPr>
            <w:tcMar>
              <w:top w:w="60" w:type="dxa"/>
              <w:left w:w="80" w:type="dxa"/>
              <w:bottom w:w="60" w:type="dxa"/>
              <w:right w:w="80" w:type="dxa"/>
            </w:tcMar>
          </w:tcPr>
          <w:p>
            <w:pPr>
              <w:spacing w:after="0" w:line="260" w:lineRule="auto"/>
            </w:pPr>
            <w:r>
              <w:rPr>
                <w:color w:val="1a2a3a"/>
                <w:sz w:val="19"/>
              </w:rPr>
              <w:t>Differential Bands</w:t>
            </w:r>
          </w:p>
        </w:tc>
        <w:tc>
          <w:tcPr>
            <w:tcMar>
              <w:top w:w="60" w:type="dxa"/>
              <w:left w:w="80" w:type="dxa"/>
              <w:bottom w:w="60" w:type="dxa"/>
              <w:right w:w="80" w:type="dxa"/>
            </w:tcMar>
          </w:tcPr>
          <w:p>
            <w:pPr>
              <w:spacing w:after="0" w:line="260" w:lineRule="auto"/>
            </w:pPr>
            <w:r>
              <w:rPr>
                <w:color w:val="1a2a3a"/>
                <w:sz w:val="19"/>
              </w:rPr>
              <w:t>Commitment classification rules</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G</w:t>
            </w:r>
          </w:p>
        </w:tc>
        <w:tc>
          <w:tcPr>
            <w:tcMar>
              <w:top w:w="60" w:type="dxa"/>
              <w:left w:w="80" w:type="dxa"/>
              <w:bottom w:w="60" w:type="dxa"/>
              <w:right w:w="80" w:type="dxa"/>
            </w:tcMar>
          </w:tcPr>
          <w:p>
            <w:pPr>
              <w:spacing w:after="0" w:line="260" w:lineRule="auto"/>
            </w:pPr>
            <w:r>
              <w:rPr>
                <w:color w:val="1a2a3a"/>
                <w:sz w:val="19"/>
              </w:rPr>
              <w:t>Synchronization Clock</w:t>
            </w:r>
          </w:p>
        </w:tc>
        <w:tc>
          <w:tcPr>
            <w:tcMar>
              <w:top w:w="60" w:type="dxa"/>
              <w:left w:w="80" w:type="dxa"/>
              <w:bottom w:w="60" w:type="dxa"/>
              <w:right w:w="80" w:type="dxa"/>
            </w:tcMar>
          </w:tcPr>
          <w:p>
            <w:pPr>
              <w:spacing w:after="0" w:line="260" w:lineRule="auto"/>
            </w:pPr>
            <w:r>
              <w:rPr>
                <w:color w:val="1a2a3a"/>
                <w:sz w:val="19"/>
              </w:rPr>
              <w:t>Timing and coordination framework</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H</w:t>
            </w:r>
          </w:p>
        </w:tc>
        <w:tc>
          <w:tcPr>
            <w:tcMar>
              <w:top w:w="60" w:type="dxa"/>
              <w:left w:w="80" w:type="dxa"/>
              <w:bottom w:w="60" w:type="dxa"/>
              <w:right w:w="80" w:type="dxa"/>
            </w:tcMar>
          </w:tcPr>
          <w:p>
            <w:pPr>
              <w:spacing w:after="0" w:line="260" w:lineRule="auto"/>
            </w:pPr>
            <w:r>
              <w:rPr>
                <w:color w:val="1a2a3a"/>
                <w:sz w:val="19"/>
              </w:rPr>
              <w:t>Compliance Verification</w:t>
            </w:r>
          </w:p>
        </w:tc>
        <w:tc>
          <w:tcPr>
            <w:tcMar>
              <w:top w:w="60" w:type="dxa"/>
              <w:left w:w="80" w:type="dxa"/>
              <w:bottom w:w="60" w:type="dxa"/>
              <w:right w:w="80" w:type="dxa"/>
            </w:tcMar>
          </w:tcPr>
          <w:p>
            <w:pPr>
              <w:spacing w:after="0" w:line="260" w:lineRule="auto"/>
            </w:pPr>
            <w:r>
              <w:rPr>
                <w:color w:val="1a2a3a"/>
                <w:sz w:val="19"/>
              </w:rPr>
              <w:t>Monitoring and assessment procedures</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I</w:t>
            </w:r>
          </w:p>
        </w:tc>
        <w:tc>
          <w:tcPr>
            <w:tcMar>
              <w:top w:w="60" w:type="dxa"/>
              <w:left w:w="80" w:type="dxa"/>
              <w:bottom w:w="60" w:type="dxa"/>
              <w:right w:w="80" w:type="dxa"/>
            </w:tcMar>
          </w:tcPr>
          <w:p>
            <w:pPr>
              <w:spacing w:after="0" w:line="260" w:lineRule="auto"/>
            </w:pPr>
            <w:r>
              <w:rPr>
                <w:color w:val="1a2a3a"/>
                <w:sz w:val="19"/>
              </w:rPr>
              <w:t>Economic Exchange</w:t>
            </w:r>
          </w:p>
        </w:tc>
        <w:tc>
          <w:tcPr>
            <w:tcMar>
              <w:top w:w="60" w:type="dxa"/>
              <w:left w:w="80" w:type="dxa"/>
              <w:bottom w:w="60" w:type="dxa"/>
              <w:right w:w="80" w:type="dxa"/>
            </w:tcMar>
          </w:tcPr>
          <w:p>
            <w:pPr>
              <w:spacing w:after="0" w:line="260" w:lineRule="auto"/>
            </w:pPr>
            <w:r>
              <w:rPr>
                <w:color w:val="1a2a3a"/>
                <w:sz w:val="19"/>
              </w:rPr>
              <w:t>Trade, investment, and technology transfer</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J</w:t>
            </w:r>
          </w:p>
        </w:tc>
        <w:tc>
          <w:tcPr>
            <w:tcMar>
              <w:top w:w="60" w:type="dxa"/>
              <w:left w:w="80" w:type="dxa"/>
              <w:bottom w:w="60" w:type="dxa"/>
              <w:right w:w="80" w:type="dxa"/>
            </w:tcMar>
          </w:tcPr>
          <w:p>
            <w:pPr>
              <w:spacing w:after="0" w:line="260" w:lineRule="auto"/>
            </w:pPr>
            <w:r>
              <w:rPr>
                <w:color w:val="1a2a3a"/>
                <w:sz w:val="19"/>
              </w:rPr>
              <w:t>Personnel Safety</w:t>
            </w:r>
          </w:p>
        </w:tc>
        <w:tc>
          <w:tcPr>
            <w:tcMar>
              <w:top w:w="60" w:type="dxa"/>
              <w:left w:w="80" w:type="dxa"/>
              <w:bottom w:w="60" w:type="dxa"/>
              <w:right w:w="80" w:type="dxa"/>
            </w:tcMar>
          </w:tcPr>
          <w:p>
            <w:pPr>
              <w:spacing w:after="0" w:line="260" w:lineRule="auto"/>
            </w:pPr>
            <w:r>
              <w:rPr>
                <w:color w:val="1a2a3a"/>
                <w:sz w:val="19"/>
              </w:rPr>
              <w:t>Diplomatic and technical staff protection</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K</w:t>
            </w:r>
          </w:p>
        </w:tc>
        <w:tc>
          <w:tcPr>
            <w:tcMar>
              <w:top w:w="60" w:type="dxa"/>
              <w:left w:w="80" w:type="dxa"/>
              <w:bottom w:w="60" w:type="dxa"/>
              <w:right w:w="80" w:type="dxa"/>
            </w:tcMar>
          </w:tcPr>
          <w:p>
            <w:pPr>
              <w:spacing w:after="0" w:line="260" w:lineRule="auto"/>
            </w:pPr>
            <w:r>
              <w:rPr>
                <w:color w:val="1a2a3a"/>
                <w:sz w:val="19"/>
              </w:rPr>
              <w:t>Lebanon Firewall</w:t>
            </w:r>
          </w:p>
        </w:tc>
        <w:tc>
          <w:tcPr>
            <w:tcMar>
              <w:top w:w="60" w:type="dxa"/>
              <w:left w:w="80" w:type="dxa"/>
              <w:bottom w:w="60" w:type="dxa"/>
              <w:right w:w="80" w:type="dxa"/>
            </w:tcMar>
          </w:tcPr>
          <w:p>
            <w:pPr>
              <w:spacing w:after="0" w:line="260" w:lineRule="auto"/>
            </w:pPr>
            <w:r>
              <w:rPr>
                <w:color w:val="1a2a3a"/>
                <w:sz w:val="19"/>
              </w:rPr>
              <w:t>Regional spillover prevention and containment</w:t>
            </w:r>
          </w:p>
        </w:tc>
        <w:tc>
          <w:tcPr>
            <w:tcMar>
              <w:top w:w="60" w:type="dxa"/>
              <w:left w:w="80" w:type="dxa"/>
              <w:bottom w:w="60" w:type="dxa"/>
              <w:right w:w="80" w:type="dxa"/>
            </w:tcMar>
          </w:tcPr>
          <w:p>
            <w:pPr>
              <w:spacing w:after="0" w:line="260" w:lineRule="auto"/>
            </w:pPr>
            <w:r>
              <w:rPr>
                <w:color w:val="1a2a3a"/>
                <w:sz w:val="19"/>
              </w:rPr>
              <w:t>Critical</w:t>
            </w:r>
          </w:p>
        </w:tc>
      </w:tr>
      <w:tr>
        <w:tc>
          <w:tcPr>
            <w:tcMar>
              <w:top w:w="60" w:type="dxa"/>
              <w:left w:w="80" w:type="dxa"/>
              <w:bottom w:w="60" w:type="dxa"/>
              <w:right w:w="80" w:type="dxa"/>
            </w:tcMar>
          </w:tcPr>
          <w:p>
            <w:pPr>
              <w:spacing w:after="0" w:line="260" w:lineRule="auto"/>
            </w:pPr>
            <w:r>
              <w:rPr>
                <w:color w:val="1a2a3a"/>
                <w:sz w:val="19"/>
              </w:rPr>
              <w:t>L</w:t>
            </w:r>
          </w:p>
        </w:tc>
        <w:tc>
          <w:tcPr>
            <w:tcMar>
              <w:top w:w="60" w:type="dxa"/>
              <w:left w:w="80" w:type="dxa"/>
              <w:bottom w:w="60" w:type="dxa"/>
              <w:right w:w="80" w:type="dxa"/>
            </w:tcMar>
          </w:tcPr>
          <w:p>
            <w:pPr>
              <w:spacing w:after="0" w:line="260" w:lineRule="auto"/>
            </w:pPr>
            <w:r>
              <w:rPr>
                <w:color w:val="1a2a3a"/>
                <w:sz w:val="19"/>
              </w:rPr>
              <w:t>Humanitarian Corridor</w:t>
            </w:r>
          </w:p>
        </w:tc>
        <w:tc>
          <w:tcPr>
            <w:tcMar>
              <w:top w:w="60" w:type="dxa"/>
              <w:left w:w="80" w:type="dxa"/>
              <w:bottom w:w="60" w:type="dxa"/>
              <w:right w:w="80" w:type="dxa"/>
            </w:tcMar>
          </w:tcPr>
          <w:p>
            <w:pPr>
              <w:spacing w:after="0" w:line="260" w:lineRule="auto"/>
            </w:pPr>
            <w:r>
              <w:rPr>
                <w:color w:val="1a2a3a"/>
                <w:sz w:val="19"/>
              </w:rPr>
              <w:t>Civilian protection and aid delivery</w:t>
            </w:r>
          </w:p>
        </w:tc>
        <w:tc>
          <w:tcPr>
            <w:tcMar>
              <w:top w:w="60" w:type="dxa"/>
              <w:left w:w="80" w:type="dxa"/>
              <w:bottom w:w="60" w:type="dxa"/>
              <w:right w:w="80" w:type="dxa"/>
            </w:tcMar>
          </w:tcPr>
          <w:p>
            <w:pPr>
              <w:spacing w:after="0" w:line="260" w:lineRule="auto"/>
            </w:pPr>
            <w:r>
              <w:rPr>
                <w:color w:val="1a2a3a"/>
                <w:sz w:val="19"/>
              </w:rPr>
              <w:t>High</w:t>
            </w:r>
          </w:p>
        </w:tc>
      </w:tr>
      <w:tr>
        <w:tc>
          <w:tcPr>
            <w:tcMar>
              <w:top w:w="60" w:type="dxa"/>
              <w:left w:w="80" w:type="dxa"/>
              <w:bottom w:w="60" w:type="dxa"/>
              <w:right w:w="80" w:type="dxa"/>
            </w:tcMar>
          </w:tcPr>
          <w:p>
            <w:pPr>
              <w:spacing w:after="0" w:line="260" w:lineRule="auto"/>
            </w:pPr>
            <w:r>
              <w:rPr>
                <w:color w:val="1a2a3a"/>
                <w:sz w:val="19"/>
              </w:rPr>
              <w:t>M</w:t>
            </w:r>
          </w:p>
        </w:tc>
        <w:tc>
          <w:tcPr>
            <w:tcMar>
              <w:top w:w="60" w:type="dxa"/>
              <w:left w:w="80" w:type="dxa"/>
              <w:bottom w:w="60" w:type="dxa"/>
              <w:right w:w="80" w:type="dxa"/>
            </w:tcMar>
          </w:tcPr>
          <w:p>
            <w:pPr>
              <w:spacing w:after="0" w:line="260" w:lineRule="auto"/>
            </w:pPr>
            <w:r>
              <w:rPr>
                <w:color w:val="1a2a3a"/>
                <w:sz w:val="19"/>
              </w:rPr>
              <w:t>Energy Infrastructure</w:t>
            </w:r>
          </w:p>
        </w:tc>
        <w:tc>
          <w:tcPr>
            <w:tcMar>
              <w:top w:w="60" w:type="dxa"/>
              <w:left w:w="80" w:type="dxa"/>
              <w:bottom w:w="60" w:type="dxa"/>
              <w:right w:w="80" w:type="dxa"/>
            </w:tcMar>
          </w:tcPr>
          <w:p>
            <w:pPr>
              <w:spacing w:after="0" w:line="260" w:lineRule="auto"/>
            </w:pPr>
            <w:r>
              <w:rPr>
                <w:color w:val="1a2a3a"/>
                <w:sz w:val="19"/>
              </w:rPr>
              <w:t>Critical facility protection protocols</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N</w:t>
            </w:r>
          </w:p>
        </w:tc>
        <w:tc>
          <w:tcPr>
            <w:tcMar>
              <w:top w:w="60" w:type="dxa"/>
              <w:left w:w="80" w:type="dxa"/>
              <w:bottom w:w="60" w:type="dxa"/>
              <w:right w:w="80" w:type="dxa"/>
            </w:tcMar>
          </w:tcPr>
          <w:p>
            <w:pPr>
              <w:spacing w:after="0" w:line="260" w:lineRule="auto"/>
            </w:pPr>
            <w:r>
              <w:rPr>
                <w:color w:val="1a2a3a"/>
                <w:sz w:val="19"/>
              </w:rPr>
              <w:t>Communications Security</w:t>
            </w:r>
          </w:p>
        </w:tc>
        <w:tc>
          <w:tcPr>
            <w:tcMar>
              <w:top w:w="60" w:type="dxa"/>
              <w:left w:w="80" w:type="dxa"/>
              <w:bottom w:w="60" w:type="dxa"/>
              <w:right w:w="80" w:type="dxa"/>
            </w:tcMar>
          </w:tcPr>
          <w:p>
            <w:pPr>
              <w:spacing w:after="0" w:line="260" w:lineRule="auto"/>
            </w:pPr>
            <w:r>
              <w:rPr>
                <w:color w:val="1a2a3a"/>
                <w:sz w:val="19"/>
              </w:rPr>
              <w:t>Secure channel and encryption standards</w:t>
            </w:r>
          </w:p>
        </w:tc>
        <w:tc>
          <w:tcPr>
            <w:tcMar>
              <w:top w:w="60" w:type="dxa"/>
              <w:left w:w="80" w:type="dxa"/>
              <w:bottom w:w="60" w:type="dxa"/>
              <w:right w:w="80" w:type="dxa"/>
            </w:tcMar>
          </w:tcPr>
          <w:p>
            <w:pPr>
              <w:spacing w:after="0" w:line="260" w:lineRule="auto"/>
            </w:pPr>
            <w:r>
              <w:rPr>
                <w:color w:val="1a2a3a"/>
                <w:sz w:val="19"/>
              </w:rPr>
              <w:t>Medium</w:t>
            </w:r>
          </w:p>
        </w:tc>
      </w:tr>
      <w:tr>
        <w:tc>
          <w:tcPr>
            <w:tcMar>
              <w:top w:w="60" w:type="dxa"/>
              <w:left w:w="80" w:type="dxa"/>
              <w:bottom w:w="60" w:type="dxa"/>
              <w:right w:w="80" w:type="dxa"/>
            </w:tcMar>
          </w:tcPr>
          <w:p>
            <w:pPr>
              <w:spacing w:after="0" w:line="260" w:lineRule="auto"/>
            </w:pPr>
            <w:r>
              <w:rPr>
                <w:color w:val="1a2a3a"/>
                <w:sz w:val="19"/>
              </w:rPr>
              <w:t>O</w:t>
            </w:r>
          </w:p>
        </w:tc>
        <w:tc>
          <w:tcPr>
            <w:tcMar>
              <w:top w:w="60" w:type="dxa"/>
              <w:left w:w="80" w:type="dxa"/>
              <w:bottom w:w="60" w:type="dxa"/>
              <w:right w:w="80" w:type="dxa"/>
            </w:tcMar>
          </w:tcPr>
          <w:p>
            <w:pPr>
              <w:spacing w:after="0" w:line="260" w:lineRule="auto"/>
            </w:pPr>
            <w:r>
              <w:rPr>
                <w:color w:val="1a2a3a"/>
                <w:sz w:val="19"/>
              </w:rPr>
              <w:t>Wartime Compact</w:t>
            </w:r>
          </w:p>
        </w:tc>
        <w:tc>
          <w:tcPr>
            <w:tcMar>
              <w:top w:w="60" w:type="dxa"/>
              <w:left w:w="80" w:type="dxa"/>
              <w:bottom w:w="60" w:type="dxa"/>
              <w:right w:w="80" w:type="dxa"/>
            </w:tcMar>
          </w:tcPr>
          <w:p>
            <w:pPr>
              <w:spacing w:after="0" w:line="260" w:lineRule="auto"/>
            </w:pPr>
            <w:r>
              <w:rPr>
                <w:color w:val="1a2a3a"/>
                <w:sz w:val="19"/>
              </w:rPr>
              <w:t>Crisis bridging and survival architecture</w:t>
            </w:r>
          </w:p>
        </w:tc>
        <w:tc>
          <w:tcPr>
            <w:tcMar>
              <w:top w:w="60" w:type="dxa"/>
              <w:left w:w="80" w:type="dxa"/>
              <w:bottom w:w="60" w:type="dxa"/>
              <w:right w:w="80" w:type="dxa"/>
            </w:tcMar>
          </w:tcPr>
          <w:p>
            <w:pPr>
              <w:spacing w:after="0" w:line="260" w:lineRule="auto"/>
            </w:pPr>
            <w:r>
              <w:rPr>
                <w:color w:val="1a2a3a"/>
                <w:sz w:val="19"/>
              </w:rPr>
              <w:t>Critical</w:t>
            </w:r>
          </w:p>
        </w:tc>
      </w:tr>
    </w:tbl>
    <w:p>
      <w:pPr>
        <w:pStyle w:val="TipBox"/>
      </w:pPr>
      <w:r>
        <w:rPr>
          <w:b/>
          <w:color w:val="5a8a6a"/>
        </w:rPr>
        <w:t>TIP: </w:t>
      </w:r>
      <w:r>
        <w:t>Priority Reading Order: If preparing for a specific negotiation session, read Annex C (Financial) for economic talks, Annex D (Maritime) for naval coordination, Annex K (Lebanon Firewall) for regional security, and Annex O (Wartime Compact) if crisis conditions exist.</w:t>
      </w:r>
    </w:p>
    <w:p>
      <w:pPr>
        <w:pStyle w:val="Heading1"/>
      </w:pPr>
      <w:r>
        <w:t>Core Mechanisms in Plain Language</w:t>
      </w:r>
    </w:p>
    <w:p>
      <w:r>
        <w:t>The Compact operates through five interconnected mechanisms. Understanding these five elements provides sufficient foundation to navigate any negotiation scenario. Each mechanism below includes its purpose, how it functions in practice, and what triggers its activation.</w:t>
      </w:r>
    </w:p>
    <w:p>
      <w:pPr>
        <w:pStyle w:val="Heading2"/>
      </w:pPr>
      <w:r>
        <w:t>1. Differential Band Processing</w:t>
      </w:r>
    </w:p>
    <w:p>
      <w:r>
        <w:t>The Compact divides all commitments into three bands: Green (routine, self-executing), Amber (coordinated, requires notification), and Red (significant, requires explicit mutual confirmation). Green band items proceed automatically. Amber band items trigger a 48-hour notification window before implementation. Red band items require a positive confirmation signal from both Parties before proceeding.</w:t>
      </w:r>
    </w:p>
    <w:p>
      <w:r>
        <w:t>In practice, this means routine verification inspections (Green) proceed on schedule without additional negotiation. Facility modifications requiring equipment changes (Amber) trigger automatic notification to the Joint Technical Committee. Major policy shifts or facility reconfigurations (Red) require a formal exchange of confirmation signals through the established diplomatic channel.</w:t>
      </w:r>
    </w:p>
    <w:p>
      <w:pPr>
        <w:pStyle w:val="Heading2"/>
      </w:pPr>
      <w:r>
        <w:t>2. The Reciprocity Ledger</w:t>
      </w:r>
    </w:p>
    <w:p>
      <w:r>
        <w:t>The Reciprocity Ledger tracks the balance of implemented commitments between Parties. It operates on a rolling 90-day window. When one Party implements a commitment, the Ledger records a credit. When a Party defers or suspends a commitment, the Ledger records a debit. The system tolerates minor imbalances (up to 15% deviation) without triggering formal response protocols.</w:t>
      </w:r>
    </w:p>
    <w:p>
      <w:r>
        <w:t>Negotiators use the Ledger to demonstrate good faith: a Party with a positive balance receives more flexibility during temporary difficulties. Conversely, a persistent deficit triggers the Step-Back protocol described below. The Joint Secretariat publishes Ledger summaries every 30 days.</w:t>
      </w:r>
    </w:p>
    <w:p>
      <w:pPr>
        <w:pStyle w:val="Heading2"/>
      </w:pPr>
      <w:r>
        <w:t>3. Synchronization Clock</w:t>
      </w:r>
    </w:p>
    <w:p>
      <w:r>
        <w:t>The Synchronization Clock coordinates the timing of all bilateral activities. It operates at four speed levels: Normal (standard operations), Caution (enhanced notification requirements), Restricted (suspended non-essential activities), and Hold (full pause pending crisis resolution). The Clock level changes automatically when predefined trigger conditions occur, though either Party requests a manual override with 24-hour notice.</w:t>
      </w:r>
    </w:p>
    <w:p>
      <w:r>
        <w:t>Section 6 of this guide provides the complete trigger matrix for Clock level changes. For immediate reference: cross-border incidents involving armed force automatically shift the Clock to Caution. Sustained military engagement shifts it to Restricted. Direct hostilities between Parties shift it to Hold.</w:t>
      </w:r>
    </w:p>
    <w:p>
      <w:pPr>
        <w:pStyle w:val="Heading2"/>
      </w:pPr>
      <w:r>
        <w:t>4. Step-Back and Earn-Back</w:t>
      </w:r>
    </w:p>
    <w:p>
      <w:r>
        <w:t>The Step-Back protocol activates when one Party accumulates excessive debits on the Reciprocity Ledger or breaches a Red-band commitment. The non-breaching Party suspends corresponding commitments of equal scope. The breaching Party then follows the Earn-Back sequence: acknowledge the issue, submit a remediation plan, implement corrective measures, and request verification.</w:t>
      </w:r>
    </w:p>
    <w:p>
      <w:r>
        <w:t>Earn-Back proceeds in three phases, each lasting a minimum of 14 days. Phase 1 requires acknowledgment and planning. Phase 2 requires visible corrective action. Phase 3 requires independent verification of restored compliance. Only after all three phases does the suspended commitment resume. This protocol prevents rapid escalation while preserving accountability.</w:t>
      </w:r>
    </w:p>
    <w:p>
      <w:pPr>
        <w:pStyle w:val="Heading2"/>
      </w:pPr>
      <w:r>
        <w:t>5. Crisis Anchor Protocol</w:t>
      </w:r>
    </w:p>
    <w:p>
      <w:r>
        <w:t>The Crisis Anchor Protocol prevents total document collapse during severe disruptions. Even when the Synchronization Clock reaches Hold, a core set of commitments remains active: communication channel maintenance, nuclear material accounting, maritime safety broadcast, and humanitarian corridor operations. These Crisis Anchors provide stabilization floor below which the relationship does not fall.</w:t>
      </w:r>
    </w:p>
    <w:p>
      <w:r>
        <w:t>Activating the Crisis Anchor Protocol requires only one Party's declaration; both Parties must agree to lift it. This asymmetry prevents a single Party from blocking stabilization measures during genuine emergencies. The Protocol automatically deactivates when the Clock returns to Normal for 30 consecutive days.</w:t>
      </w:r>
    </w:p>
    <w:p>
      <w:pPr>
        <w:pStyle w:val="Heading1"/>
      </w:pPr>
      <w:r>
        <w:t>Band Classification System</w:t>
      </w:r>
    </w:p>
    <w:p>
      <w:r>
        <w:t>Every commitment in the Compact carries a band classification. Negotiators use this classification to determine the procedural requirements for any given action. The table below summarizes the three bands and their operational characteristics.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1400"/>
        <w:gridCol w:w="2200"/>
        <w:gridCol w:w="2200"/>
        <w:gridCol w:w="2200"/>
        <w:gridCol w:w="2000"/>
      </w:tblGrid>
      <w:tr>
        <w:tc>
          <w:tcPr>
            <w:shd w:val="clear" w:fill="e8eef2"/>
            <w:tcMar>
              <w:top w:w="60" w:type="dxa"/>
              <w:left w:w="80" w:type="dxa"/>
              <w:bottom w:w="60" w:type="dxa"/>
              <w:right w:w="80" w:type="dxa"/>
            </w:tcMar>
            <w:vAlign w:val="center"/>
          </w:tcPr>
          <w:p>
            <w:pPr>
              <w:spacing w:after="0" w:line="260" w:lineRule="auto"/>
            </w:pPr>
            <w:r>
              <w:rPr>
                <w:b/>
                <w:color w:val="1a2a3a"/>
                <w:sz w:val="19"/>
              </w:rPr>
              <w:t>Band</w:t>
            </w:r>
          </w:p>
        </w:tc>
        <w:tc>
          <w:tcPr>
            <w:shd w:val="clear" w:fill="e8eef2"/>
            <w:tcMar>
              <w:top w:w="60" w:type="dxa"/>
              <w:left w:w="80" w:type="dxa"/>
              <w:bottom w:w="60" w:type="dxa"/>
              <w:right w:w="80" w:type="dxa"/>
            </w:tcMar>
            <w:vAlign w:val="center"/>
          </w:tcPr>
          <w:p>
            <w:pPr>
              <w:spacing w:after="0" w:line="260" w:lineRule="auto"/>
            </w:pPr>
            <w:r>
              <w:rPr>
                <w:b/>
                <w:color w:val="1a2a3a"/>
                <w:sz w:val="19"/>
              </w:rPr>
              <w:t>Description</w:t>
            </w:r>
          </w:p>
        </w:tc>
        <w:tc>
          <w:tcPr>
            <w:shd w:val="clear" w:fill="e8eef2"/>
            <w:tcMar>
              <w:top w:w="60" w:type="dxa"/>
              <w:left w:w="80" w:type="dxa"/>
              <w:bottom w:w="60" w:type="dxa"/>
              <w:right w:w="80" w:type="dxa"/>
            </w:tcMar>
            <w:vAlign w:val="center"/>
          </w:tcPr>
          <w:p>
            <w:pPr>
              <w:spacing w:after="0" w:line="260" w:lineRule="auto"/>
            </w:pPr>
            <w:r>
              <w:rPr>
                <w:b/>
                <w:color w:val="1a2a3a"/>
                <w:sz w:val="19"/>
              </w:rPr>
              <w:t>Notification</w:t>
            </w:r>
          </w:p>
        </w:tc>
        <w:tc>
          <w:tcPr>
            <w:shd w:val="clear" w:fill="e8eef2"/>
            <w:tcMar>
              <w:top w:w="60" w:type="dxa"/>
              <w:left w:w="80" w:type="dxa"/>
              <w:bottom w:w="60" w:type="dxa"/>
              <w:right w:w="80" w:type="dxa"/>
            </w:tcMar>
            <w:vAlign w:val="center"/>
          </w:tcPr>
          <w:p>
            <w:pPr>
              <w:spacing w:after="0" w:line="260" w:lineRule="auto"/>
            </w:pPr>
            <w:r>
              <w:rPr>
                <w:b/>
                <w:color w:val="1a2a3a"/>
                <w:sz w:val="19"/>
              </w:rPr>
              <w:t>Confirmation</w:t>
            </w:r>
          </w:p>
        </w:tc>
        <w:tc>
          <w:tcPr>
            <w:shd w:val="clear" w:fill="e8eef2"/>
            <w:tcMar>
              <w:top w:w="60" w:type="dxa"/>
              <w:left w:w="80" w:type="dxa"/>
              <w:bottom w:w="60" w:type="dxa"/>
              <w:right w:w="80" w:type="dxa"/>
            </w:tcMar>
            <w:vAlign w:val="center"/>
          </w:tcPr>
          <w:p>
            <w:pPr>
              <w:spacing w:after="0" w:line="260" w:lineRule="auto"/>
            </w:pPr>
            <w:r>
              <w:rPr>
                <w:b/>
                <w:color w:val="1a2a3a"/>
                <w:sz w:val="19"/>
              </w:rPr>
              <w:t>Example</w:t>
            </w:r>
          </w:p>
        </w:tc>
      </w:tr>
      <w:tr>
        <w:tc>
          <w:tcPr>
            <w:tcMar>
              <w:top w:w="60" w:type="dxa"/>
              <w:left w:w="80" w:type="dxa"/>
              <w:bottom w:w="60" w:type="dxa"/>
              <w:right w:w="80" w:type="dxa"/>
            </w:tcMar>
          </w:tcPr>
          <w:p>
            <w:pPr>
              <w:spacing w:after="0" w:line="260" w:lineRule="auto"/>
            </w:pPr>
            <w:r>
              <w:rPr>
                <w:color w:val="1a2a3a"/>
                <w:sz w:val="19"/>
              </w:rPr>
              <w:t>Green</w:t>
            </w:r>
          </w:p>
        </w:tc>
        <w:tc>
          <w:tcPr>
            <w:tcMar>
              <w:top w:w="60" w:type="dxa"/>
              <w:left w:w="80" w:type="dxa"/>
              <w:bottom w:w="60" w:type="dxa"/>
              <w:right w:w="80" w:type="dxa"/>
            </w:tcMar>
          </w:tcPr>
          <w:p>
            <w:pPr>
              <w:spacing w:after="0" w:line="260" w:lineRule="auto"/>
            </w:pPr>
            <w:r>
              <w:rPr>
                <w:color w:val="1a2a3a"/>
                <w:sz w:val="19"/>
              </w:rPr>
              <w:t>Routine, self-executing</w:t>
            </w:r>
          </w:p>
        </w:tc>
        <w:tc>
          <w:tcPr>
            <w:tcMar>
              <w:top w:w="60" w:type="dxa"/>
              <w:left w:w="80" w:type="dxa"/>
              <w:bottom w:w="60" w:type="dxa"/>
              <w:right w:w="80" w:type="dxa"/>
            </w:tcMar>
          </w:tcPr>
          <w:p>
            <w:pPr>
              <w:spacing w:after="0" w:line="260" w:lineRule="auto"/>
            </w:pPr>
            <w:r>
              <w:rPr>
                <w:color w:val="1a2a3a"/>
                <w:sz w:val="19"/>
              </w:rPr>
              <w:t>None</w:t>
            </w:r>
          </w:p>
        </w:tc>
        <w:tc>
          <w:tcPr>
            <w:tcMar>
              <w:top w:w="60" w:type="dxa"/>
              <w:left w:w="80" w:type="dxa"/>
              <w:bottom w:w="60" w:type="dxa"/>
              <w:right w:w="80" w:type="dxa"/>
            </w:tcMar>
          </w:tcPr>
          <w:p>
            <w:pPr>
              <w:spacing w:after="0" w:line="260" w:lineRule="auto"/>
            </w:pPr>
            <w:r>
              <w:rPr>
                <w:color w:val="1a2a3a"/>
                <w:sz w:val="19"/>
              </w:rPr>
              <w:t>None required</w:t>
            </w:r>
          </w:p>
        </w:tc>
        <w:tc>
          <w:tcPr>
            <w:tcMar>
              <w:top w:w="60" w:type="dxa"/>
              <w:left w:w="80" w:type="dxa"/>
              <w:bottom w:w="60" w:type="dxa"/>
              <w:right w:w="80" w:type="dxa"/>
            </w:tcMar>
          </w:tcPr>
          <w:p>
            <w:pPr>
              <w:spacing w:after="0" w:line="260" w:lineRule="auto"/>
            </w:pPr>
            <w:r>
              <w:rPr>
                <w:color w:val="1a2a3a"/>
                <w:sz w:val="19"/>
              </w:rPr>
              <w:t>Scheduled inspections</w:t>
            </w:r>
          </w:p>
        </w:tc>
      </w:tr>
      <w:tr>
        <w:tc>
          <w:tcPr>
            <w:tcMar>
              <w:top w:w="60" w:type="dxa"/>
              <w:left w:w="80" w:type="dxa"/>
              <w:bottom w:w="60" w:type="dxa"/>
              <w:right w:w="80" w:type="dxa"/>
            </w:tcMar>
          </w:tcPr>
          <w:p>
            <w:pPr>
              <w:spacing w:after="0" w:line="260" w:lineRule="auto"/>
            </w:pPr>
            <w:r>
              <w:rPr>
                <w:color w:val="1a2a3a"/>
                <w:sz w:val="19"/>
              </w:rPr>
              <w:t>Amber</w:t>
            </w:r>
          </w:p>
        </w:tc>
        <w:tc>
          <w:tcPr>
            <w:tcMar>
              <w:top w:w="60" w:type="dxa"/>
              <w:left w:w="80" w:type="dxa"/>
              <w:bottom w:w="60" w:type="dxa"/>
              <w:right w:w="80" w:type="dxa"/>
            </w:tcMar>
          </w:tcPr>
          <w:p>
            <w:pPr>
              <w:spacing w:after="0" w:line="260" w:lineRule="auto"/>
            </w:pPr>
            <w:r>
              <w:rPr>
                <w:color w:val="1a2a3a"/>
                <w:sz w:val="19"/>
              </w:rPr>
              <w:t>Coordinated, notified</w:t>
            </w:r>
          </w:p>
        </w:tc>
        <w:tc>
          <w:tcPr>
            <w:tcMar>
              <w:top w:w="60" w:type="dxa"/>
              <w:left w:w="80" w:type="dxa"/>
              <w:bottom w:w="60" w:type="dxa"/>
              <w:right w:w="80" w:type="dxa"/>
            </w:tcMar>
          </w:tcPr>
          <w:p>
            <w:pPr>
              <w:spacing w:after="0" w:line="260" w:lineRule="auto"/>
            </w:pPr>
            <w:r>
              <w:rPr>
                <w:color w:val="1a2a3a"/>
                <w:sz w:val="19"/>
              </w:rPr>
              <w:t>48-hour notice</w:t>
            </w:r>
          </w:p>
        </w:tc>
        <w:tc>
          <w:tcPr>
            <w:tcMar>
              <w:top w:w="60" w:type="dxa"/>
              <w:left w:w="80" w:type="dxa"/>
              <w:bottom w:w="60" w:type="dxa"/>
              <w:right w:w="80" w:type="dxa"/>
            </w:tcMar>
          </w:tcPr>
          <w:p>
            <w:pPr>
              <w:spacing w:after="0" w:line="260" w:lineRule="auto"/>
            </w:pPr>
            <w:r>
              <w:rPr>
                <w:color w:val="1a2a3a"/>
                <w:sz w:val="19"/>
              </w:rPr>
              <w:t>Implicit if no objection</w:t>
            </w:r>
          </w:p>
        </w:tc>
        <w:tc>
          <w:tcPr>
            <w:tcMar>
              <w:top w:w="60" w:type="dxa"/>
              <w:left w:w="80" w:type="dxa"/>
              <w:bottom w:w="60" w:type="dxa"/>
              <w:right w:w="80" w:type="dxa"/>
            </w:tcMar>
          </w:tcPr>
          <w:p>
            <w:pPr>
              <w:spacing w:after="0" w:line="260" w:lineRule="auto"/>
            </w:pPr>
            <w:r>
              <w:rPr>
                <w:color w:val="1a2a3a"/>
                <w:sz w:val="19"/>
              </w:rPr>
              <w:t>Equipment modifications</w:t>
            </w:r>
          </w:p>
        </w:tc>
      </w:tr>
      <w:tr>
        <w:tc>
          <w:tcPr>
            <w:tcMar>
              <w:top w:w="60" w:type="dxa"/>
              <w:left w:w="80" w:type="dxa"/>
              <w:bottom w:w="60" w:type="dxa"/>
              <w:right w:w="80" w:type="dxa"/>
            </w:tcMar>
          </w:tcPr>
          <w:p>
            <w:pPr>
              <w:spacing w:after="0" w:line="260" w:lineRule="auto"/>
            </w:pPr>
            <w:r>
              <w:rPr>
                <w:color w:val="1a2a3a"/>
                <w:sz w:val="19"/>
              </w:rPr>
              <w:t>Red</w:t>
            </w:r>
          </w:p>
        </w:tc>
        <w:tc>
          <w:tcPr>
            <w:tcMar>
              <w:top w:w="60" w:type="dxa"/>
              <w:left w:w="80" w:type="dxa"/>
              <w:bottom w:w="60" w:type="dxa"/>
              <w:right w:w="80" w:type="dxa"/>
            </w:tcMar>
          </w:tcPr>
          <w:p>
            <w:pPr>
              <w:spacing w:after="0" w:line="260" w:lineRule="auto"/>
            </w:pPr>
            <w:r>
              <w:rPr>
                <w:color w:val="1a2a3a"/>
                <w:sz w:val="19"/>
              </w:rPr>
              <w:t>Significant, mutual</w:t>
            </w:r>
          </w:p>
        </w:tc>
        <w:tc>
          <w:tcPr>
            <w:tcMar>
              <w:top w:w="60" w:type="dxa"/>
              <w:left w:w="80" w:type="dxa"/>
              <w:bottom w:w="60" w:type="dxa"/>
              <w:right w:w="80" w:type="dxa"/>
            </w:tcMar>
          </w:tcPr>
          <w:p>
            <w:pPr>
              <w:spacing w:after="0" w:line="260" w:lineRule="auto"/>
            </w:pPr>
            <w:r>
              <w:rPr>
                <w:color w:val="1a2a3a"/>
                <w:sz w:val="19"/>
              </w:rPr>
              <w:t>72-hour notice</w:t>
            </w:r>
          </w:p>
        </w:tc>
        <w:tc>
          <w:tcPr>
            <w:tcMar>
              <w:top w:w="60" w:type="dxa"/>
              <w:left w:w="80" w:type="dxa"/>
              <w:bottom w:w="60" w:type="dxa"/>
              <w:right w:w="80" w:type="dxa"/>
            </w:tcMar>
          </w:tcPr>
          <w:p>
            <w:pPr>
              <w:spacing w:after="0" w:line="260" w:lineRule="auto"/>
            </w:pPr>
            <w:r>
              <w:rPr>
                <w:color w:val="1a2a3a"/>
                <w:sz w:val="19"/>
              </w:rPr>
              <w:t>Explicit bilateral</w:t>
            </w:r>
          </w:p>
        </w:tc>
        <w:tc>
          <w:tcPr>
            <w:tcMar>
              <w:top w:w="60" w:type="dxa"/>
              <w:left w:w="80" w:type="dxa"/>
              <w:bottom w:w="60" w:type="dxa"/>
              <w:right w:w="80" w:type="dxa"/>
            </w:tcMar>
          </w:tcPr>
          <w:p>
            <w:pPr>
              <w:spacing w:after="0" w:line="260" w:lineRule="auto"/>
            </w:pPr>
            <w:r>
              <w:rPr>
                <w:color w:val="1a2a3a"/>
                <w:sz w:val="19"/>
              </w:rPr>
              <w:t>Policy changes, facility reconfig</w:t>
            </w:r>
          </w:p>
        </w:tc>
      </w:tr>
    </w:tbl>
    <w:p>
      <w:pPr>
        <w:pStyle w:val="Heading2"/>
      </w:pPr>
      <w:r>
        <w:t>Band Upgrade and Downgrade Rules</w:t>
      </w:r>
    </w:p>
    <w:p>
      <w:r>
        <w:t>Commitments upgrade to a higher band (requiring more coordination) under three conditions: first, when implementation occurs in a conflict-affected zone as defined in Annex K; second, when the Synchronization Clock operates at Caution or below; third, when either Party requests a review and the Joint Technical Committee concurs.</w:t>
      </w:r>
    </w:p>
    <w:p>
      <w:r>
        <w:t>Commitments downgrade to a lower band (permitting more flexibility) when both Parties confirm 90 consecutive days of stable implementation and no triggering conditions exist. Downgrade requests require a 14-day review period during which the commitment remains at its current band.</w:t>
      </w:r>
    </w:p>
    <w:p>
      <w:pPr>
        <w:pStyle w:val="AlertBox"/>
      </w:pPr>
      <w:r>
        <w:rPr>
          <w:b/>
          <w:color w:val="b85c50"/>
        </w:rPr>
        <w:t>ALERT: </w:t>
      </w:r>
      <w:r>
        <w:t>Alert: During Clock levels Caution, Restricted, or Hold, all Amber commitments automatically upgrade to Red status. All Green commitments upgrade to Amber. Negotiators must account for this automatic shift when scheduling activities during elevated threat conditions.</w:t>
      </w:r>
    </w:p>
    <w:p>
      <w:pPr>
        <w:pStyle w:val="Heading1"/>
      </w:pPr>
      <w:r>
        <w:t>Escalation Thresholds and Triggers</w:t>
      </w:r>
    </w:p>
    <w:p>
      <w:r>
        <w:t>The Compact defines six escalation thresholds (T-1 through T-6) plus a Safe Mode threshold (T-0). Each threshold activates specific response protocols. Negotiators monitor these thresholds continuously; crossing a threshold triggers automatic procedural changes that do not require additional negotiation.</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1000"/>
        <w:gridCol w:w="2000"/>
        <w:gridCol w:w="4000"/>
        <w:gridCol w:w="3000"/>
      </w:tblGrid>
      <w:tr>
        <w:tc>
          <w:tcPr>
            <w:shd w:val="clear" w:fill="e8eef2"/>
            <w:tcMar>
              <w:top w:w="60" w:type="dxa"/>
              <w:left w:w="80" w:type="dxa"/>
              <w:bottom w:w="60" w:type="dxa"/>
              <w:right w:w="80" w:type="dxa"/>
            </w:tcMar>
            <w:vAlign w:val="center"/>
          </w:tcPr>
          <w:p>
            <w:pPr>
              <w:spacing w:after="0" w:line="260" w:lineRule="auto"/>
            </w:pPr>
            <w:r>
              <w:rPr>
                <w:b/>
                <w:color w:val="1a2a3a"/>
                <w:sz w:val="19"/>
              </w:rPr>
              <w:t>Level</w:t>
            </w:r>
          </w:p>
        </w:tc>
        <w:tc>
          <w:tcPr>
            <w:shd w:val="clear" w:fill="e8eef2"/>
            <w:tcMar>
              <w:top w:w="60" w:type="dxa"/>
              <w:left w:w="80" w:type="dxa"/>
              <w:bottom w:w="60" w:type="dxa"/>
              <w:right w:w="80" w:type="dxa"/>
            </w:tcMar>
            <w:vAlign w:val="center"/>
          </w:tcPr>
          <w:p>
            <w:pPr>
              <w:spacing w:after="0" w:line="260" w:lineRule="auto"/>
            </w:pPr>
            <w:r>
              <w:rPr>
                <w:b/>
                <w:color w:val="1a2a3a"/>
                <w:sz w:val="19"/>
              </w:rPr>
              <w:t>Name</w:t>
            </w:r>
          </w:p>
        </w:tc>
        <w:tc>
          <w:tcPr>
            <w:shd w:val="clear" w:fill="e8eef2"/>
            <w:tcMar>
              <w:top w:w="60" w:type="dxa"/>
              <w:left w:w="80" w:type="dxa"/>
              <w:bottom w:w="60" w:type="dxa"/>
              <w:right w:w="80" w:type="dxa"/>
            </w:tcMar>
            <w:vAlign w:val="center"/>
          </w:tcPr>
          <w:p>
            <w:pPr>
              <w:spacing w:after="0" w:line="260" w:lineRule="auto"/>
            </w:pPr>
            <w:r>
              <w:rPr>
                <w:b/>
                <w:color w:val="1a2a3a"/>
                <w:sz w:val="19"/>
              </w:rPr>
              <w:t>Trigger</w:t>
            </w:r>
          </w:p>
        </w:tc>
        <w:tc>
          <w:tcPr>
            <w:shd w:val="clear" w:fill="e8eef2"/>
            <w:tcMar>
              <w:top w:w="60" w:type="dxa"/>
              <w:left w:w="80" w:type="dxa"/>
              <w:bottom w:w="60" w:type="dxa"/>
              <w:right w:w="80" w:type="dxa"/>
            </w:tcMar>
            <w:vAlign w:val="center"/>
          </w:tcPr>
          <w:p>
            <w:pPr>
              <w:spacing w:after="0" w:line="260" w:lineRule="auto"/>
            </w:pPr>
            <w:r>
              <w:rPr>
                <w:b/>
                <w:color w:val="1a2a3a"/>
                <w:sz w:val="19"/>
              </w:rPr>
              <w:t>Response</w:t>
            </w:r>
          </w:p>
        </w:tc>
      </w:tr>
      <w:tr>
        <w:tc>
          <w:tcPr>
            <w:tcMar>
              <w:top w:w="60" w:type="dxa"/>
              <w:left w:w="80" w:type="dxa"/>
              <w:bottom w:w="60" w:type="dxa"/>
              <w:right w:w="80" w:type="dxa"/>
            </w:tcMar>
          </w:tcPr>
          <w:p>
            <w:pPr>
              <w:spacing w:after="0" w:line="260" w:lineRule="auto"/>
            </w:pPr>
            <w:r>
              <w:rPr>
                <w:color w:val="1a2a3a"/>
                <w:sz w:val="19"/>
              </w:rPr>
              <w:t>T-0</w:t>
            </w:r>
          </w:p>
        </w:tc>
        <w:tc>
          <w:tcPr>
            <w:tcMar>
              <w:top w:w="60" w:type="dxa"/>
              <w:left w:w="80" w:type="dxa"/>
              <w:bottom w:w="60" w:type="dxa"/>
              <w:right w:w="80" w:type="dxa"/>
            </w:tcMar>
          </w:tcPr>
          <w:p>
            <w:pPr>
              <w:spacing w:after="0" w:line="260" w:lineRule="auto"/>
            </w:pPr>
            <w:r>
              <w:rPr>
                <w:color w:val="1a2a3a"/>
                <w:sz w:val="19"/>
              </w:rPr>
              <w:t>Safe Mode</w:t>
            </w:r>
          </w:p>
        </w:tc>
        <w:tc>
          <w:tcPr>
            <w:tcMar>
              <w:top w:w="60" w:type="dxa"/>
              <w:left w:w="80" w:type="dxa"/>
              <w:bottom w:w="60" w:type="dxa"/>
              <w:right w:w="80" w:type="dxa"/>
            </w:tcMar>
          </w:tcPr>
          <w:p>
            <w:pPr>
              <w:spacing w:after="0" w:line="260" w:lineRule="auto"/>
            </w:pPr>
            <w:r>
              <w:rPr>
                <w:color w:val="1a2a3a"/>
                <w:sz w:val="19"/>
              </w:rPr>
              <w:t>Normal conditions</w:t>
            </w:r>
          </w:p>
        </w:tc>
        <w:tc>
          <w:tcPr>
            <w:tcMar>
              <w:top w:w="60" w:type="dxa"/>
              <w:left w:w="80" w:type="dxa"/>
              <w:bottom w:w="60" w:type="dxa"/>
              <w:right w:w="80" w:type="dxa"/>
            </w:tcMar>
          </w:tcPr>
          <w:p>
            <w:pPr>
              <w:spacing w:after="0" w:line="260" w:lineRule="auto"/>
            </w:pPr>
            <w:r>
              <w:rPr>
                <w:color w:val="1a2a3a"/>
                <w:sz w:val="19"/>
              </w:rPr>
              <w:t>Standard operations</w:t>
            </w:r>
          </w:p>
        </w:tc>
      </w:tr>
      <w:tr>
        <w:tc>
          <w:tcPr>
            <w:tcMar>
              <w:top w:w="60" w:type="dxa"/>
              <w:left w:w="80" w:type="dxa"/>
              <w:bottom w:w="60" w:type="dxa"/>
              <w:right w:w="80" w:type="dxa"/>
            </w:tcMar>
          </w:tcPr>
          <w:p>
            <w:pPr>
              <w:spacing w:after="0" w:line="260" w:lineRule="auto"/>
            </w:pPr>
            <w:r>
              <w:rPr>
                <w:color w:val="1a2a3a"/>
                <w:sz w:val="19"/>
              </w:rPr>
              <w:t>T-1</w:t>
            </w:r>
          </w:p>
        </w:tc>
        <w:tc>
          <w:tcPr>
            <w:tcMar>
              <w:top w:w="60" w:type="dxa"/>
              <w:left w:w="80" w:type="dxa"/>
              <w:bottom w:w="60" w:type="dxa"/>
              <w:right w:w="80" w:type="dxa"/>
            </w:tcMar>
          </w:tcPr>
          <w:p>
            <w:pPr>
              <w:spacing w:after="0" w:line="260" w:lineRule="auto"/>
            </w:pPr>
            <w:r>
              <w:rPr>
                <w:color w:val="1a2a3a"/>
                <w:sz w:val="19"/>
              </w:rPr>
              <w:t>Safe Mode</w:t>
            </w:r>
          </w:p>
        </w:tc>
        <w:tc>
          <w:tcPr>
            <w:tcMar>
              <w:top w:w="60" w:type="dxa"/>
              <w:left w:w="80" w:type="dxa"/>
              <w:bottom w:w="60" w:type="dxa"/>
              <w:right w:w="80" w:type="dxa"/>
            </w:tcMar>
          </w:tcPr>
          <w:p>
            <w:pPr>
              <w:spacing w:after="0" w:line="260" w:lineRule="auto"/>
            </w:pPr>
            <w:r>
              <w:rPr>
                <w:color w:val="1a2a3a"/>
                <w:sz w:val="19"/>
              </w:rPr>
              <w:t>Normal operations</w:t>
            </w:r>
          </w:p>
        </w:tc>
        <w:tc>
          <w:tcPr>
            <w:tcMar>
              <w:top w:w="60" w:type="dxa"/>
              <w:left w:w="80" w:type="dxa"/>
              <w:bottom w:w="60" w:type="dxa"/>
              <w:right w:w="80" w:type="dxa"/>
            </w:tcMar>
          </w:tcPr>
          <w:p>
            <w:pPr>
              <w:spacing w:after="0" w:line="260" w:lineRule="auto"/>
            </w:pPr>
            <w:r>
              <w:rPr>
                <w:color w:val="1a2a3a"/>
                <w:sz w:val="19"/>
              </w:rPr>
              <w:t>Baseline procedures</w:t>
            </w:r>
          </w:p>
        </w:tc>
      </w:tr>
      <w:tr>
        <w:tc>
          <w:tcPr>
            <w:tcMar>
              <w:top w:w="60" w:type="dxa"/>
              <w:left w:w="80" w:type="dxa"/>
              <w:bottom w:w="60" w:type="dxa"/>
              <w:right w:w="80" w:type="dxa"/>
            </w:tcMar>
          </w:tcPr>
          <w:p>
            <w:pPr>
              <w:spacing w:after="0" w:line="260" w:lineRule="auto"/>
            </w:pPr>
            <w:r>
              <w:rPr>
                <w:color w:val="1a2a3a"/>
                <w:sz w:val="19"/>
              </w:rPr>
              <w:t>T-2</w:t>
            </w:r>
          </w:p>
        </w:tc>
        <w:tc>
          <w:tcPr>
            <w:tcMar>
              <w:top w:w="60" w:type="dxa"/>
              <w:left w:w="80" w:type="dxa"/>
              <w:bottom w:w="60" w:type="dxa"/>
              <w:right w:w="80" w:type="dxa"/>
            </w:tcMar>
          </w:tcPr>
          <w:p>
            <w:pPr>
              <w:spacing w:after="0" w:line="260" w:lineRule="auto"/>
            </w:pPr>
            <w:r>
              <w:rPr>
                <w:color w:val="1a2a3a"/>
                <w:sz w:val="19"/>
              </w:rPr>
              <w:t>Enhanced Monitoring</w:t>
            </w:r>
          </w:p>
        </w:tc>
        <w:tc>
          <w:tcPr>
            <w:tcMar>
              <w:top w:w="60" w:type="dxa"/>
              <w:left w:w="80" w:type="dxa"/>
              <w:bottom w:w="60" w:type="dxa"/>
              <w:right w:w="80" w:type="dxa"/>
            </w:tcMar>
          </w:tcPr>
          <w:p>
            <w:pPr>
              <w:spacing w:after="0" w:line="260" w:lineRule="auto"/>
            </w:pPr>
            <w:r>
              <w:rPr>
                <w:color w:val="1a2a3a"/>
                <w:sz w:val="19"/>
              </w:rPr>
              <w:t>Early warning indicators exceeded</w:t>
            </w:r>
          </w:p>
        </w:tc>
        <w:tc>
          <w:tcPr>
            <w:tcMar>
              <w:top w:w="60" w:type="dxa"/>
              <w:left w:w="80" w:type="dxa"/>
              <w:bottom w:w="60" w:type="dxa"/>
              <w:right w:w="80" w:type="dxa"/>
            </w:tcMar>
          </w:tcPr>
          <w:p>
            <w:pPr>
              <w:spacing w:after="0" w:line="260" w:lineRule="auto"/>
            </w:pPr>
            <w:r>
              <w:rPr>
                <w:color w:val="1a2a3a"/>
                <w:sz w:val="19"/>
              </w:rPr>
              <w:t>Bi-weekly reporting</w:t>
            </w:r>
          </w:p>
        </w:tc>
      </w:tr>
      <w:tr>
        <w:tc>
          <w:tcPr>
            <w:tcMar>
              <w:top w:w="60" w:type="dxa"/>
              <w:left w:w="80" w:type="dxa"/>
              <w:bottom w:w="60" w:type="dxa"/>
              <w:right w:w="80" w:type="dxa"/>
            </w:tcMar>
          </w:tcPr>
          <w:p>
            <w:pPr>
              <w:spacing w:after="0" w:line="260" w:lineRule="auto"/>
            </w:pPr>
            <w:r>
              <w:rPr>
                <w:color w:val="1a2a3a"/>
                <w:sz w:val="19"/>
              </w:rPr>
              <w:t>T-3</w:t>
            </w:r>
          </w:p>
        </w:tc>
        <w:tc>
          <w:tcPr>
            <w:tcMar>
              <w:top w:w="60" w:type="dxa"/>
              <w:left w:w="80" w:type="dxa"/>
              <w:bottom w:w="60" w:type="dxa"/>
              <w:right w:w="80" w:type="dxa"/>
            </w:tcMar>
          </w:tcPr>
          <w:p>
            <w:pPr>
              <w:spacing w:after="0" w:line="260" w:lineRule="auto"/>
            </w:pPr>
            <w:r>
              <w:rPr>
                <w:color w:val="1a2a3a"/>
                <w:sz w:val="19"/>
              </w:rPr>
              <w:t>Coordinated Restraint</w:t>
            </w:r>
          </w:p>
        </w:tc>
        <w:tc>
          <w:tcPr>
            <w:tcMar>
              <w:top w:w="60" w:type="dxa"/>
              <w:left w:w="80" w:type="dxa"/>
              <w:bottom w:w="60" w:type="dxa"/>
              <w:right w:w="80" w:type="dxa"/>
            </w:tcMar>
          </w:tcPr>
          <w:p>
            <w:pPr>
              <w:spacing w:after="0" w:line="260" w:lineRule="auto"/>
            </w:pPr>
            <w:r>
              <w:rPr>
                <w:color w:val="1a2a3a"/>
                <w:sz w:val="19"/>
              </w:rPr>
              <w:t>Regional tensions rising</w:t>
            </w:r>
          </w:p>
        </w:tc>
        <w:tc>
          <w:tcPr>
            <w:tcMar>
              <w:top w:w="60" w:type="dxa"/>
              <w:left w:w="80" w:type="dxa"/>
              <w:bottom w:w="60" w:type="dxa"/>
              <w:right w:w="80" w:type="dxa"/>
            </w:tcMar>
          </w:tcPr>
          <w:p>
            <w:pPr>
              <w:spacing w:after="0" w:line="260" w:lineRule="auto"/>
            </w:pPr>
            <w:r>
              <w:rPr>
                <w:color w:val="1a2a3a"/>
                <w:sz w:val="19"/>
              </w:rPr>
              <w:t>Suspend new initiatives</w:t>
            </w:r>
          </w:p>
        </w:tc>
      </w:tr>
      <w:tr>
        <w:tc>
          <w:tcPr>
            <w:tcMar>
              <w:top w:w="60" w:type="dxa"/>
              <w:left w:w="80" w:type="dxa"/>
              <w:bottom w:w="60" w:type="dxa"/>
              <w:right w:w="80" w:type="dxa"/>
            </w:tcMar>
          </w:tcPr>
          <w:p>
            <w:pPr>
              <w:spacing w:after="0" w:line="260" w:lineRule="auto"/>
            </w:pPr>
            <w:r>
              <w:rPr>
                <w:color w:val="1a2a3a"/>
                <w:sz w:val="19"/>
              </w:rPr>
              <w:t>T-4</w:t>
            </w:r>
          </w:p>
        </w:tc>
        <w:tc>
          <w:tcPr>
            <w:tcMar>
              <w:top w:w="60" w:type="dxa"/>
              <w:left w:w="80" w:type="dxa"/>
              <w:bottom w:w="60" w:type="dxa"/>
              <w:right w:w="80" w:type="dxa"/>
            </w:tcMar>
          </w:tcPr>
          <w:p>
            <w:pPr>
              <w:spacing w:after="0" w:line="260" w:lineRule="auto"/>
            </w:pPr>
            <w:r>
              <w:rPr>
                <w:color w:val="1a2a3a"/>
                <w:sz w:val="19"/>
              </w:rPr>
              <w:t>Selective Suspension</w:t>
            </w:r>
          </w:p>
        </w:tc>
        <w:tc>
          <w:tcPr>
            <w:tcMar>
              <w:top w:w="60" w:type="dxa"/>
              <w:left w:w="80" w:type="dxa"/>
              <w:bottom w:w="60" w:type="dxa"/>
              <w:right w:w="80" w:type="dxa"/>
            </w:tcMar>
          </w:tcPr>
          <w:p>
            <w:pPr>
              <w:spacing w:after="0" w:line="260" w:lineRule="auto"/>
            </w:pPr>
            <w:r>
              <w:rPr>
                <w:color w:val="1a2a3a"/>
                <w:sz w:val="19"/>
              </w:rPr>
              <w:t>Specific threats identified</w:t>
            </w:r>
          </w:p>
        </w:tc>
        <w:tc>
          <w:tcPr>
            <w:tcMar>
              <w:top w:w="60" w:type="dxa"/>
              <w:left w:w="80" w:type="dxa"/>
              <w:bottom w:w="60" w:type="dxa"/>
              <w:right w:w="80" w:type="dxa"/>
            </w:tcMar>
          </w:tcPr>
          <w:p>
            <w:pPr>
              <w:spacing w:after="0" w:line="260" w:lineRule="auto"/>
            </w:pPr>
            <w:r>
              <w:rPr>
                <w:color w:val="1a2a3a"/>
                <w:sz w:val="19"/>
              </w:rPr>
              <w:t>Targeted commitment pause</w:t>
            </w:r>
          </w:p>
        </w:tc>
      </w:tr>
      <w:tr>
        <w:tc>
          <w:tcPr>
            <w:tcMar>
              <w:top w:w="60" w:type="dxa"/>
              <w:left w:w="80" w:type="dxa"/>
              <w:bottom w:w="60" w:type="dxa"/>
              <w:right w:w="80" w:type="dxa"/>
            </w:tcMar>
          </w:tcPr>
          <w:p>
            <w:pPr>
              <w:spacing w:after="0" w:line="260" w:lineRule="auto"/>
            </w:pPr>
            <w:r>
              <w:rPr>
                <w:color w:val="1a2a3a"/>
                <w:sz w:val="19"/>
              </w:rPr>
              <w:t>T-5</w:t>
            </w:r>
          </w:p>
        </w:tc>
        <w:tc>
          <w:tcPr>
            <w:tcMar>
              <w:top w:w="60" w:type="dxa"/>
              <w:left w:w="80" w:type="dxa"/>
              <w:bottom w:w="60" w:type="dxa"/>
              <w:right w:w="80" w:type="dxa"/>
            </w:tcMar>
          </w:tcPr>
          <w:p>
            <w:pPr>
              <w:spacing w:after="0" w:line="260" w:lineRule="auto"/>
            </w:pPr>
            <w:r>
              <w:rPr>
                <w:color w:val="1a2a3a"/>
                <w:sz w:val="19"/>
              </w:rPr>
              <w:t>Crisis Anchor</w:t>
            </w:r>
          </w:p>
        </w:tc>
        <w:tc>
          <w:tcPr>
            <w:tcMar>
              <w:top w:w="60" w:type="dxa"/>
              <w:left w:w="80" w:type="dxa"/>
              <w:bottom w:w="60" w:type="dxa"/>
              <w:right w:w="80" w:type="dxa"/>
            </w:tcMar>
          </w:tcPr>
          <w:p>
            <w:pPr>
              <w:spacing w:after="0" w:line="260" w:lineRule="auto"/>
            </w:pPr>
            <w:r>
              <w:rPr>
                <w:color w:val="1a2a3a"/>
                <w:sz w:val="19"/>
              </w:rPr>
              <w:t>Active conflict near zones</w:t>
            </w:r>
          </w:p>
        </w:tc>
        <w:tc>
          <w:tcPr>
            <w:tcMar>
              <w:top w:w="60" w:type="dxa"/>
              <w:left w:w="80" w:type="dxa"/>
              <w:bottom w:w="60" w:type="dxa"/>
              <w:right w:w="80" w:type="dxa"/>
            </w:tcMar>
          </w:tcPr>
          <w:p>
            <w:pPr>
              <w:spacing w:after="0" w:line="260" w:lineRule="auto"/>
            </w:pPr>
            <w:r>
              <w:rPr>
                <w:color w:val="1a2a3a"/>
                <w:sz w:val="19"/>
              </w:rPr>
              <w:t>Core commitments only</w:t>
            </w:r>
          </w:p>
        </w:tc>
      </w:tr>
      <w:tr>
        <w:tc>
          <w:tcPr>
            <w:tcMar>
              <w:top w:w="60" w:type="dxa"/>
              <w:left w:w="80" w:type="dxa"/>
              <w:bottom w:w="60" w:type="dxa"/>
              <w:right w:w="80" w:type="dxa"/>
            </w:tcMar>
          </w:tcPr>
          <w:p>
            <w:pPr>
              <w:spacing w:after="0" w:line="260" w:lineRule="auto"/>
            </w:pPr>
            <w:r>
              <w:rPr>
                <w:color w:val="1a2a3a"/>
                <w:sz w:val="19"/>
              </w:rPr>
              <w:t>T-6</w:t>
            </w:r>
          </w:p>
        </w:tc>
        <w:tc>
          <w:tcPr>
            <w:tcMar>
              <w:top w:w="60" w:type="dxa"/>
              <w:left w:w="80" w:type="dxa"/>
              <w:bottom w:w="60" w:type="dxa"/>
              <w:right w:w="80" w:type="dxa"/>
            </w:tcMar>
          </w:tcPr>
          <w:p>
            <w:pPr>
              <w:spacing w:after="0" w:line="260" w:lineRule="auto"/>
            </w:pPr>
            <w:r>
              <w:rPr>
                <w:color w:val="1a2a3a"/>
                <w:sz w:val="19"/>
              </w:rPr>
              <w:t>Full Pause</w:t>
            </w:r>
          </w:p>
        </w:tc>
        <w:tc>
          <w:tcPr>
            <w:tcMar>
              <w:top w:w="60" w:type="dxa"/>
              <w:left w:w="80" w:type="dxa"/>
              <w:bottom w:w="60" w:type="dxa"/>
              <w:right w:w="80" w:type="dxa"/>
            </w:tcMar>
          </w:tcPr>
          <w:p>
            <w:pPr>
              <w:spacing w:after="0" w:line="260" w:lineRule="auto"/>
            </w:pPr>
            <w:r>
              <w:rPr>
                <w:color w:val="1a2a3a"/>
                <w:sz w:val="19"/>
              </w:rPr>
              <w:t>Direct hostilities</w:t>
            </w:r>
          </w:p>
        </w:tc>
        <w:tc>
          <w:tcPr>
            <w:tcMar>
              <w:top w:w="60" w:type="dxa"/>
              <w:left w:w="80" w:type="dxa"/>
              <w:bottom w:w="60" w:type="dxa"/>
              <w:right w:w="80" w:type="dxa"/>
            </w:tcMar>
          </w:tcPr>
          <w:p>
            <w:pPr>
              <w:spacing w:after="0" w:line="260" w:lineRule="auto"/>
            </w:pPr>
            <w:r>
              <w:rPr>
                <w:color w:val="1a2a3a"/>
                <w:sz w:val="19"/>
              </w:rPr>
              <w:t>Emergency comms only</w:t>
            </w:r>
          </w:p>
        </w:tc>
      </w:tr>
    </w:tbl>
    <w:p>
      <w:pPr>
        <w:pStyle w:val="Heading2"/>
      </w:pPr>
      <w:r>
        <w:t>Threshold Response Actions</w:t>
      </w:r>
    </w:p>
    <w:p>
      <w:r>
        <w:t>T-1 (Safe Mode) represents normal operations with no special measures active. All commitments proceed according to their base band classification.</w:t>
      </w:r>
    </w:p>
    <w:p>
      <w:r>
        <w:t>T-2 (Enhanced Monitoring) activates when early warning indicators exceed baseline parameters. The Joint Technical Committee increases reporting frequency from monthly to bi-weekly. Either Party requests ad hoc consultations without requiring a formal agenda.</w:t>
      </w:r>
    </w:p>
    <w:p>
      <w:r>
        <w:t>T-3 (Coordinated Restraint) requires both Parties to suspend new initiative launches and defer non-essential facility modifications. Existing commitments continue, but no Party introduces new demands or expands operational scope.</w:t>
      </w:r>
    </w:p>
    <w:p>
      <w:r>
        <w:t>T-4 (Selective Suspension) allows either Party to suspend specific commitments with 24-hour notice. Suspended commitments enter the Earn-Back queue automatically. The Reciprocity Ledger freezes during T-4; no debits accrue for suspended items.</w:t>
      </w:r>
    </w:p>
    <w:p>
      <w:r>
        <w:t>T-5 (Crisis Anchor) activates only the core stabilization commitments. All non-essential activities cease. The Joint Secretariat relocates to the alternate communications hub. Third-party observers receive safe-conduct authorization under Annex K Section 8.</w:t>
      </w:r>
    </w:p>
    <w:p>
      <w:r>
        <w:t>T-6 (Full Pause) represents complete operational suspension except for direct emergency communication. Either Party triggers T-6 unilaterally. Lifting T-6 requires both Parties plus confirmation from the Joint Technical Committee that stability conditions permit resumption.</w:t>
      </w:r>
    </w:p>
    <w:p>
      <w:pPr>
        <w:pStyle w:val="AlertBox"/>
      </w:pPr>
      <w:r>
        <w:rPr>
          <w:b/>
          <w:color w:val="b85c50"/>
        </w:rPr>
        <w:t>ALERT: </w:t>
      </w:r>
      <w:r>
        <w:t>Critical: T-5 and T-6 trigger the Lebanon Firewall Protocol (Annex K) and Wartime Compact Protocol (Annex O) automatically. Negotiators operating in or near Lebanese territory must review these annexes before T-5 conditions develop.</w:t>
      </w:r>
    </w:p>
    <w:p>
      <w:pPr>
        <w:pStyle w:val="Heading1"/>
      </w:pPr>
      <w:r>
        <w:t>Synchronization Clock Protocol</w:t>
      </w:r>
    </w:p>
    <w:p>
      <w:r>
        <w:t>The Synchronization Clock provides the timing framework for all bilateral activities. Understanding Clock state transitions helps negotiators anticipate procedural changes before they take effect. The Clock operates independently of the Escalation Thresholds; both systems run in parallel.</w:t>
      </w:r>
    </w:p>
    <w:p>
      <w:pPr>
        <w:pStyle w:val="Heading2"/>
      </w:pPr>
      <w:r>
        <w:t>Clock Levels and Entry Conditions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1600"/>
        <w:gridCol w:w="2400"/>
        <w:gridCol w:w="3000"/>
        <w:gridCol w:w="3000"/>
      </w:tblGrid>
      <w:tr>
        <w:tc>
          <w:tcPr>
            <w:shd w:val="clear" w:fill="e8eef2"/>
            <w:tcMar>
              <w:top w:w="60" w:type="dxa"/>
              <w:left w:w="80" w:type="dxa"/>
              <w:bottom w:w="60" w:type="dxa"/>
              <w:right w:w="80" w:type="dxa"/>
            </w:tcMar>
            <w:vAlign w:val="center"/>
          </w:tcPr>
          <w:p>
            <w:pPr>
              <w:spacing w:after="0" w:line="260" w:lineRule="auto"/>
            </w:pPr>
            <w:r>
              <w:rPr>
                <w:b/>
                <w:color w:val="1a2a3a"/>
                <w:sz w:val="19"/>
              </w:rPr>
              <w:t>Level</w:t>
            </w:r>
          </w:p>
        </w:tc>
        <w:tc>
          <w:tcPr>
            <w:shd w:val="clear" w:fill="e8eef2"/>
            <w:tcMar>
              <w:top w:w="60" w:type="dxa"/>
              <w:left w:w="80" w:type="dxa"/>
              <w:bottom w:w="60" w:type="dxa"/>
              <w:right w:w="80" w:type="dxa"/>
            </w:tcMar>
            <w:vAlign w:val="center"/>
          </w:tcPr>
          <w:p>
            <w:pPr>
              <w:spacing w:after="0" w:line="260" w:lineRule="auto"/>
            </w:pPr>
            <w:r>
              <w:rPr>
                <w:b/>
                <w:color w:val="1a2a3a"/>
                <w:sz w:val="19"/>
              </w:rPr>
              <w:t>Name</w:t>
            </w:r>
          </w:p>
        </w:tc>
        <w:tc>
          <w:tcPr>
            <w:shd w:val="clear" w:fill="e8eef2"/>
            <w:tcMar>
              <w:top w:w="60" w:type="dxa"/>
              <w:left w:w="80" w:type="dxa"/>
              <w:bottom w:w="60" w:type="dxa"/>
              <w:right w:w="80" w:type="dxa"/>
            </w:tcMar>
            <w:vAlign w:val="center"/>
          </w:tcPr>
          <w:p>
            <w:pPr>
              <w:spacing w:after="0" w:line="260" w:lineRule="auto"/>
            </w:pPr>
            <w:r>
              <w:rPr>
                <w:b/>
                <w:color w:val="1a2a3a"/>
                <w:sz w:val="19"/>
              </w:rPr>
              <w:t>Entry Trigger</w:t>
            </w:r>
          </w:p>
        </w:tc>
        <w:tc>
          <w:tcPr>
            <w:shd w:val="clear" w:fill="e8eef2"/>
            <w:tcMar>
              <w:top w:w="60" w:type="dxa"/>
              <w:left w:w="80" w:type="dxa"/>
              <w:bottom w:w="60" w:type="dxa"/>
              <w:right w:w="80" w:type="dxa"/>
            </w:tcMar>
            <w:vAlign w:val="center"/>
          </w:tcPr>
          <w:p>
            <w:pPr>
              <w:spacing w:after="0" w:line="260" w:lineRule="auto"/>
            </w:pPr>
            <w:r>
              <w:rPr>
                <w:b/>
                <w:color w:val="1a2a3a"/>
                <w:sz w:val="19"/>
              </w:rPr>
              <w:t>Negotiation Status</w:t>
            </w:r>
          </w:p>
        </w:tc>
      </w:tr>
      <w:tr>
        <w:tc>
          <w:tcPr>
            <w:tcMar>
              <w:top w:w="60" w:type="dxa"/>
              <w:left w:w="80" w:type="dxa"/>
              <w:bottom w:w="60" w:type="dxa"/>
              <w:right w:w="80" w:type="dxa"/>
            </w:tcMar>
          </w:tcPr>
          <w:p>
            <w:pPr>
              <w:spacing w:after="0" w:line="260" w:lineRule="auto"/>
            </w:pPr>
            <w:r>
              <w:rPr>
                <w:color w:val="1a2a3a"/>
                <w:sz w:val="19"/>
              </w:rPr>
              <w:t>Normal</w:t>
            </w:r>
          </w:p>
        </w:tc>
        <w:tc>
          <w:tcPr>
            <w:tcMar>
              <w:top w:w="60" w:type="dxa"/>
              <w:left w:w="80" w:type="dxa"/>
              <w:bottom w:w="60" w:type="dxa"/>
              <w:right w:w="80" w:type="dxa"/>
            </w:tcMar>
          </w:tcPr>
          <w:p>
            <w:pPr>
              <w:spacing w:after="0" w:line="260" w:lineRule="auto"/>
            </w:pPr>
            <w:r>
              <w:rPr>
                <w:color w:val="1a2a3a"/>
                <w:sz w:val="19"/>
              </w:rPr>
              <w:t>Standard</w:t>
            </w:r>
          </w:p>
        </w:tc>
        <w:tc>
          <w:tcPr>
            <w:tcMar>
              <w:top w:w="60" w:type="dxa"/>
              <w:left w:w="80" w:type="dxa"/>
              <w:bottom w:w="60" w:type="dxa"/>
              <w:right w:w="80" w:type="dxa"/>
            </w:tcMar>
          </w:tcPr>
          <w:p>
            <w:pPr>
              <w:spacing w:after="0" w:line="260" w:lineRule="auto"/>
            </w:pPr>
            <w:r>
              <w:rPr>
                <w:color w:val="1a2a3a"/>
                <w:sz w:val="19"/>
              </w:rPr>
              <w:t>No active triggers</w:t>
            </w:r>
          </w:p>
        </w:tc>
        <w:tc>
          <w:tcPr>
            <w:tcMar>
              <w:top w:w="60" w:type="dxa"/>
              <w:left w:w="80" w:type="dxa"/>
              <w:bottom w:w="60" w:type="dxa"/>
              <w:right w:w="80" w:type="dxa"/>
            </w:tcMar>
          </w:tcPr>
          <w:p>
            <w:pPr>
              <w:spacing w:after="0" w:line="260" w:lineRule="auto"/>
            </w:pPr>
            <w:r>
              <w:rPr>
                <w:color w:val="1a2a3a"/>
                <w:sz w:val="19"/>
              </w:rPr>
              <w:t>Full authority</w:t>
            </w:r>
          </w:p>
        </w:tc>
      </w:tr>
      <w:tr>
        <w:tc>
          <w:tcPr>
            <w:tcMar>
              <w:top w:w="60" w:type="dxa"/>
              <w:left w:w="80" w:type="dxa"/>
              <w:bottom w:w="60" w:type="dxa"/>
              <w:right w:w="80" w:type="dxa"/>
            </w:tcMar>
          </w:tcPr>
          <w:p>
            <w:pPr>
              <w:spacing w:after="0" w:line="260" w:lineRule="auto"/>
            </w:pPr>
            <w:r>
              <w:rPr>
                <w:color w:val="1a2a3a"/>
                <w:sz w:val="19"/>
              </w:rPr>
              <w:t>Caution</w:t>
            </w:r>
          </w:p>
        </w:tc>
        <w:tc>
          <w:tcPr>
            <w:tcMar>
              <w:top w:w="60" w:type="dxa"/>
              <w:left w:w="80" w:type="dxa"/>
              <w:bottom w:w="60" w:type="dxa"/>
              <w:right w:w="80" w:type="dxa"/>
            </w:tcMar>
          </w:tcPr>
          <w:p>
            <w:pPr>
              <w:spacing w:after="0" w:line="260" w:lineRule="auto"/>
            </w:pPr>
            <w:r>
              <w:rPr>
                <w:color w:val="1a2a3a"/>
                <w:sz w:val="19"/>
              </w:rPr>
              <w:t>Elevated</w:t>
            </w:r>
          </w:p>
        </w:tc>
        <w:tc>
          <w:tcPr>
            <w:tcMar>
              <w:top w:w="60" w:type="dxa"/>
              <w:left w:w="80" w:type="dxa"/>
              <w:bottom w:w="60" w:type="dxa"/>
              <w:right w:w="80" w:type="dxa"/>
            </w:tcMar>
          </w:tcPr>
          <w:p>
            <w:pPr>
              <w:spacing w:after="0" w:line="260" w:lineRule="auto"/>
            </w:pPr>
            <w:r>
              <w:rPr>
                <w:color w:val="1a2a3a"/>
                <w:sz w:val="19"/>
              </w:rPr>
              <w:t>Cross-border incident, facility alert</w:t>
            </w:r>
          </w:p>
        </w:tc>
        <w:tc>
          <w:tcPr>
            <w:tcMar>
              <w:top w:w="60" w:type="dxa"/>
              <w:left w:w="80" w:type="dxa"/>
              <w:bottom w:w="60" w:type="dxa"/>
              <w:right w:w="80" w:type="dxa"/>
            </w:tcMar>
          </w:tcPr>
          <w:p>
            <w:pPr>
              <w:spacing w:after="0" w:line="260" w:lineRule="auto"/>
            </w:pPr>
            <w:r>
              <w:rPr>
                <w:color w:val="1a2a3a"/>
                <w:sz w:val="19"/>
              </w:rPr>
              <w:t>24-hour review required</w:t>
            </w:r>
          </w:p>
        </w:tc>
      </w:tr>
      <w:tr>
        <w:tc>
          <w:tcPr>
            <w:tcMar>
              <w:top w:w="60" w:type="dxa"/>
              <w:left w:w="80" w:type="dxa"/>
              <w:bottom w:w="60" w:type="dxa"/>
              <w:right w:w="80" w:type="dxa"/>
            </w:tcMar>
          </w:tcPr>
          <w:p>
            <w:pPr>
              <w:spacing w:after="0" w:line="260" w:lineRule="auto"/>
            </w:pPr>
            <w:r>
              <w:rPr>
                <w:color w:val="1a2a3a"/>
                <w:sz w:val="19"/>
              </w:rPr>
              <w:t>Restricted</w:t>
            </w:r>
          </w:p>
        </w:tc>
        <w:tc>
          <w:tcPr>
            <w:tcMar>
              <w:top w:w="60" w:type="dxa"/>
              <w:left w:w="80" w:type="dxa"/>
              <w:bottom w:w="60" w:type="dxa"/>
              <w:right w:w="80" w:type="dxa"/>
            </w:tcMar>
          </w:tcPr>
          <w:p>
            <w:pPr>
              <w:spacing w:after="0" w:line="260" w:lineRule="auto"/>
            </w:pPr>
            <w:r>
              <w:rPr>
                <w:color w:val="1a2a3a"/>
                <w:sz w:val="19"/>
              </w:rPr>
              <w:t>Limited</w:t>
            </w:r>
          </w:p>
        </w:tc>
        <w:tc>
          <w:tcPr>
            <w:tcMar>
              <w:top w:w="60" w:type="dxa"/>
              <w:left w:w="80" w:type="dxa"/>
              <w:bottom w:w="60" w:type="dxa"/>
              <w:right w:w="80" w:type="dxa"/>
            </w:tcMar>
          </w:tcPr>
          <w:p>
            <w:pPr>
              <w:spacing w:after="0" w:line="260" w:lineRule="auto"/>
            </w:pPr>
            <w:r>
              <w:rPr>
                <w:color w:val="1a2a3a"/>
                <w:sz w:val="19"/>
              </w:rPr>
              <w:t>Sustained military engagement</w:t>
            </w:r>
          </w:p>
        </w:tc>
        <w:tc>
          <w:tcPr>
            <w:tcMar>
              <w:top w:w="60" w:type="dxa"/>
              <w:left w:w="80" w:type="dxa"/>
              <w:bottom w:w="60" w:type="dxa"/>
              <w:right w:w="80" w:type="dxa"/>
            </w:tcMar>
          </w:tcPr>
          <w:p>
            <w:pPr>
              <w:spacing w:after="0" w:line="260" w:lineRule="auto"/>
            </w:pPr>
            <w:r>
              <w:rPr>
                <w:color w:val="1a2a3a"/>
                <w:sz w:val="19"/>
              </w:rPr>
              <w:t>Pre-authorized positions only</w:t>
            </w:r>
          </w:p>
        </w:tc>
      </w:tr>
      <w:tr>
        <w:tc>
          <w:tcPr>
            <w:tcMar>
              <w:top w:w="60" w:type="dxa"/>
              <w:left w:w="80" w:type="dxa"/>
              <w:bottom w:w="60" w:type="dxa"/>
              <w:right w:w="80" w:type="dxa"/>
            </w:tcMar>
          </w:tcPr>
          <w:p>
            <w:pPr>
              <w:spacing w:after="0" w:line="260" w:lineRule="auto"/>
            </w:pPr>
            <w:r>
              <w:rPr>
                <w:color w:val="1a2a3a"/>
                <w:sz w:val="19"/>
              </w:rPr>
              <w:t>Hold</w:t>
            </w:r>
          </w:p>
        </w:tc>
        <w:tc>
          <w:tcPr>
            <w:tcMar>
              <w:top w:w="60" w:type="dxa"/>
              <w:left w:w="80" w:type="dxa"/>
              <w:bottom w:w="60" w:type="dxa"/>
              <w:right w:w="80" w:type="dxa"/>
            </w:tcMar>
          </w:tcPr>
          <w:p>
            <w:pPr>
              <w:spacing w:after="0" w:line="260" w:lineRule="auto"/>
            </w:pPr>
            <w:r>
              <w:rPr>
                <w:color w:val="1a2a3a"/>
                <w:sz w:val="19"/>
              </w:rPr>
              <w:t>Full Pause</w:t>
            </w:r>
          </w:p>
        </w:tc>
        <w:tc>
          <w:tcPr>
            <w:tcMar>
              <w:top w:w="60" w:type="dxa"/>
              <w:left w:w="80" w:type="dxa"/>
              <w:bottom w:w="60" w:type="dxa"/>
              <w:right w:w="80" w:type="dxa"/>
            </w:tcMar>
          </w:tcPr>
          <w:p>
            <w:pPr>
              <w:spacing w:after="0" w:line="260" w:lineRule="auto"/>
            </w:pPr>
            <w:r>
              <w:rPr>
                <w:color w:val="1a2a3a"/>
                <w:sz w:val="19"/>
              </w:rPr>
              <w:t>Direct hostilities</w:t>
            </w:r>
          </w:p>
        </w:tc>
        <w:tc>
          <w:tcPr>
            <w:tcMar>
              <w:top w:w="60" w:type="dxa"/>
              <w:left w:w="80" w:type="dxa"/>
              <w:bottom w:w="60" w:type="dxa"/>
              <w:right w:w="80" w:type="dxa"/>
            </w:tcMar>
          </w:tcPr>
          <w:p>
            <w:pPr>
              <w:spacing w:after="0" w:line="260" w:lineRule="auto"/>
            </w:pPr>
            <w:r>
              <w:rPr>
                <w:color w:val="1a2a3a"/>
                <w:sz w:val="19"/>
              </w:rPr>
              <w:t>No substantive negotiation</w:t>
            </w:r>
          </w:p>
        </w:tc>
      </w:tr>
    </w:tbl>
    <w:p>
      <w:pPr>
        <w:pStyle w:val="Heading2"/>
      </w:pPr>
      <w:r>
        <w:t>Clock Transition Procedures</w:t>
      </w:r>
    </w:p>
    <w:p>
      <w:r>
        <w:t>Automatic transitions occur when trigger conditions satisfy for 12 consecutive hours. This 12-hour buffer prevents rapid oscillation during brief incidents. The Joint Technical Committee issues a Clock Advisory when trigger conditions first appear, giving negotiators advance warning of impending transitions.</w:t>
      </w:r>
    </w:p>
    <w:p>
      <w:r>
        <w:t>Manual transitions require 24-hour advance notice through the secure diplomatic channel. Either Party requests a manual transition regardless of current trigger status. The receiving Party acknowledges within 12 hours; silence constitutes acceptance. A Party rejects a manual transition only by affirmative objection with stated grounds.</w:t>
      </w:r>
    </w:p>
    <w:p>
      <w:pPr>
        <w:pStyle w:val="Heading2"/>
      </w:pPr>
      <w:r>
        <w:t>Negotiation Implications by Clock Level</w:t>
      </w:r>
    </w:p>
    <w:p>
      <w:r>
        <w:t>At Normal level, negotiations proceed on standard timelines with full delegation authority. At Caution level, all negotiation positions require 24-hour internal review before the delegation confirms them. At Restricted level, only pre-authorized fallback positions remain available; new proposals require headquarters approval with 72-hour minimum turnaround. At Hold level, no substantive negotiation occurs; exchanges limit to operational safety and humanitarian coordination.</w:t>
      </w:r>
    </w:p>
    <w:p>
      <w:pPr>
        <w:pStyle w:val="Heading1"/>
      </w:pPr>
      <w:r>
        <w:t>Lebanon Firewall Protocol</w:t>
      </w:r>
    </w:p>
    <w:p>
      <w:r>
        <w:t>Annex K establishes the Lebanon Firewall Protocol: a comprehensive architecture for preventing spillover from Lebanese territory into the bilateral US-Iran relationship. The Protocol activates automatically when specific trigger conditions occur and provides graduated response options designed to contain regional incidents without derailing the broader Compact.</w:t>
      </w:r>
    </w:p>
    <w:p>
      <w:pPr>
        <w:pStyle w:val="Heading2"/>
      </w:pPr>
      <w:r>
        <w:t>Firewall Activation Triggers</w:t>
      </w:r>
    </w:p>
    <w:p>
      <w:r>
        <w:t>The Firewall activates when any of the following conditions occur: armed conflict on Lebanese territory involving state or non-state actors; military strikes targeting Lebanese infrastructure; maritime incidents in the eastern Mediterranean affecting shipping lanes used by either Party; or mass displacement events exceeding 50,000 persons within a 30-day period.</w:t>
      </w:r>
    </w:p>
    <w:p>
      <w:r>
        <w:t>Once activated, the Firewall creates a protocol separation between the Lebanon situation and the core Compact. Commitments under the Firewall operate on a dedicated sub-ledger; they do not affect the main Reciprocity Ledger unless both Parties explicitly agree to integrate them.</w:t>
      </w:r>
    </w:p>
    <w:p>
      <w:pPr>
        <w:pStyle w:val="Heading2"/>
      </w:pPr>
      <w:r>
        <w:t>Three-Band Containment Structure</w:t>
      </w:r>
    </w:p>
    <w:p>
      <w:r>
        <w:t>Band Green (Stabilization): Both Parties continue all core Compact commitments. Additional humanitarian and stabilization measures proceed through the Joint Humanitarian Coordination Cell established in Annex K Section 5. This band applies when the Lebanon situation remains contained and does not threaten regional escalation.</w:t>
      </w:r>
    </w:p>
    <w:p>
      <w:r>
        <w:t>Band Amber (Selective Separation): The Parties suspend non-essential commitments within a 200-kilometer radius of the Lebanese border. Core nuclear verification, maritime safety, and Crisis Anchor commitments continue. Financial transactions route through the alternate clearing mechanism described in Annex K Section 7.</w:t>
      </w:r>
    </w:p>
    <w:p>
      <w:r>
        <w:t>Band Red (Full Firewall): All Compact commitments except Crisis Anchors suspend within the affected zone. The Parties operate exclusively through the De-Escalation Channel described below. Third-party safe-conduct provisions activate for observers and humanitarian personnel.</w:t>
      </w:r>
    </w:p>
    <w:p>
      <w:pPr>
        <w:pStyle w:val="Heading2"/>
      </w:pPr>
      <w:r>
        <w:t>De-Escalation Channel</w:t>
      </w:r>
    </w:p>
    <w:p>
      <w:r>
        <w:t>The De-Escalation Channel provides a dedicated communication pathway active during Band Amber and Band Red conditions. It connects designated senior representatives from each Party with a 2-hour response requirement. The Channel operates through the Joint Secretariat alternate hub and includes encrypted video capability.</w:t>
      </w:r>
    </w:p>
    <w:p>
      <w:r>
        <w:t>Channel communications follow a structured format: incident identification, impact assessment, proposed response option, and confirmation request. Either Party requests an emergency Channel session with 4-hour notice. The Channel also hosts triangulated verification sessions using independent observer data when incident facts remain disputed.</w:t>
      </w:r>
    </w:p>
    <w:p>
      <w:pPr>
        <w:pStyle w:val="Heading2"/>
      </w:pPr>
      <w:r>
        <w:t>Proxy Influence Presumption</w:t>
      </w:r>
    </w:p>
    <w:p>
      <w:r>
        <w:t>Section 4.3 of Annex K establishes the Proxy Influence Presumption: when non-state actors operating from Lebanese territory take actions affecting either Party's interests, both Parties acknowledge a rebuttable presumption that external influence exists. Either Party rebuts this presumption within 72 hours by providing evidence of independent actor motivation.</w:t>
      </w:r>
    </w:p>
    <w:p>
      <w:r>
        <w:t>This presumption serves a practical purpose: it prevents either Party from exploiting non-state actors to gain Compact advantages while avoiding formal responsibility. The 72-hour rebuttal window provides time for investigation without creating immediate diplomatic confrontation.</w:t>
      </w:r>
    </w:p>
    <w:p>
      <w:pPr>
        <w:pStyle w:val="Heading2"/>
      </w:pPr>
      <w:r>
        <w:t>Key Reference Points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3000"/>
        <w:gridCol w:w="7000"/>
      </w:tblGrid>
      <w:tr>
        <w:tc>
          <w:tcPr>
            <w:shd w:val="clear" w:fill="e8eef2"/>
            <w:tcMar>
              <w:top w:w="60" w:type="dxa"/>
              <w:left w:w="80" w:type="dxa"/>
              <w:bottom w:w="60" w:type="dxa"/>
              <w:right w:w="80" w:type="dxa"/>
            </w:tcMar>
            <w:vAlign w:val="center"/>
          </w:tcPr>
          <w:p>
            <w:pPr>
              <w:spacing w:after="0" w:line="260" w:lineRule="auto"/>
            </w:pPr>
            <w:r>
              <w:rPr>
                <w:b/>
                <w:color w:val="1a2a3a"/>
                <w:sz w:val="19"/>
              </w:rPr>
              <w:t>Element</w:t>
            </w:r>
          </w:p>
        </w:tc>
        <w:tc>
          <w:tcPr>
            <w:shd w:val="clear" w:fill="e8eef2"/>
            <w:tcMar>
              <w:top w:w="60" w:type="dxa"/>
              <w:left w:w="80" w:type="dxa"/>
              <w:bottom w:w="60" w:type="dxa"/>
              <w:right w:w="80" w:type="dxa"/>
            </w:tcMar>
            <w:vAlign w:val="center"/>
          </w:tcPr>
          <w:p>
            <w:pPr>
              <w:spacing w:after="0" w:line="260" w:lineRule="auto"/>
            </w:pPr>
            <w:r>
              <w:rPr>
                <w:b/>
                <w:color w:val="1a2a3a"/>
                <w:sz w:val="19"/>
              </w:rPr>
              <w:t>Reference</w:t>
            </w:r>
          </w:p>
        </w:tc>
      </w:tr>
      <w:tr>
        <w:tc>
          <w:tcPr>
            <w:tcMar>
              <w:top w:w="60" w:type="dxa"/>
              <w:left w:w="80" w:type="dxa"/>
              <w:bottom w:w="60" w:type="dxa"/>
              <w:right w:w="80" w:type="dxa"/>
            </w:tcMar>
          </w:tcPr>
          <w:p>
            <w:pPr>
              <w:spacing w:after="0" w:line="260" w:lineRule="auto"/>
            </w:pPr>
            <w:r>
              <w:rPr>
                <w:color w:val="1a2a3a"/>
                <w:sz w:val="19"/>
              </w:rPr>
              <w:t>Activation Triggers</w:t>
            </w:r>
          </w:p>
        </w:tc>
        <w:tc>
          <w:tcPr>
            <w:tcMar>
              <w:top w:w="60" w:type="dxa"/>
              <w:left w:w="80" w:type="dxa"/>
              <w:bottom w:w="60" w:type="dxa"/>
              <w:right w:w="80" w:type="dxa"/>
            </w:tcMar>
          </w:tcPr>
          <w:p>
            <w:pPr>
              <w:spacing w:after="0" w:line="260" w:lineRule="auto"/>
            </w:pPr>
            <w:r>
              <w:rPr>
                <w:color w:val="1a2a3a"/>
                <w:sz w:val="19"/>
              </w:rPr>
              <w:t>Annex K Section 2.1</w:t>
            </w:r>
          </w:p>
        </w:tc>
      </w:tr>
      <w:tr>
        <w:tc>
          <w:tcPr>
            <w:tcMar>
              <w:top w:w="60" w:type="dxa"/>
              <w:left w:w="80" w:type="dxa"/>
              <w:bottom w:w="60" w:type="dxa"/>
              <w:right w:w="80" w:type="dxa"/>
            </w:tcMar>
          </w:tcPr>
          <w:p>
            <w:pPr>
              <w:spacing w:after="0" w:line="260" w:lineRule="auto"/>
            </w:pPr>
            <w:r>
              <w:rPr>
                <w:color w:val="1a2a3a"/>
                <w:sz w:val="19"/>
              </w:rPr>
              <w:t>Band Classification</w:t>
            </w:r>
          </w:p>
        </w:tc>
        <w:tc>
          <w:tcPr>
            <w:tcMar>
              <w:top w:w="60" w:type="dxa"/>
              <w:left w:w="80" w:type="dxa"/>
              <w:bottom w:w="60" w:type="dxa"/>
              <w:right w:w="80" w:type="dxa"/>
            </w:tcMar>
          </w:tcPr>
          <w:p>
            <w:pPr>
              <w:spacing w:after="0" w:line="260" w:lineRule="auto"/>
            </w:pPr>
            <w:r>
              <w:rPr>
                <w:color w:val="1a2a3a"/>
                <w:sz w:val="19"/>
              </w:rPr>
              <w:t>Annex K Section 3</w:t>
            </w:r>
          </w:p>
        </w:tc>
      </w:tr>
      <w:tr>
        <w:tc>
          <w:tcPr>
            <w:tcMar>
              <w:top w:w="60" w:type="dxa"/>
              <w:left w:w="80" w:type="dxa"/>
              <w:bottom w:w="60" w:type="dxa"/>
              <w:right w:w="80" w:type="dxa"/>
            </w:tcMar>
          </w:tcPr>
          <w:p>
            <w:pPr>
              <w:spacing w:after="0" w:line="260" w:lineRule="auto"/>
            </w:pPr>
            <w:r>
              <w:rPr>
                <w:color w:val="1a2a3a"/>
                <w:sz w:val="19"/>
              </w:rPr>
              <w:t>De-Escalation Channel</w:t>
            </w:r>
          </w:p>
        </w:tc>
        <w:tc>
          <w:tcPr>
            <w:tcMar>
              <w:top w:w="60" w:type="dxa"/>
              <w:left w:w="80" w:type="dxa"/>
              <w:bottom w:w="60" w:type="dxa"/>
              <w:right w:w="80" w:type="dxa"/>
            </w:tcMar>
          </w:tcPr>
          <w:p>
            <w:pPr>
              <w:spacing w:after="0" w:line="260" w:lineRule="auto"/>
            </w:pPr>
            <w:r>
              <w:rPr>
                <w:color w:val="1a2a3a"/>
                <w:sz w:val="19"/>
              </w:rPr>
              <w:t>Annex K Section 6</w:t>
            </w:r>
          </w:p>
        </w:tc>
      </w:tr>
      <w:tr>
        <w:tc>
          <w:tcPr>
            <w:tcMar>
              <w:top w:w="60" w:type="dxa"/>
              <w:left w:w="80" w:type="dxa"/>
              <w:bottom w:w="60" w:type="dxa"/>
              <w:right w:w="80" w:type="dxa"/>
            </w:tcMar>
          </w:tcPr>
          <w:p>
            <w:pPr>
              <w:spacing w:after="0" w:line="260" w:lineRule="auto"/>
            </w:pPr>
            <w:r>
              <w:rPr>
                <w:color w:val="1a2a3a"/>
                <w:sz w:val="19"/>
              </w:rPr>
              <w:t>Proxy Influence Presumption</w:t>
            </w:r>
          </w:p>
        </w:tc>
        <w:tc>
          <w:tcPr>
            <w:tcMar>
              <w:top w:w="60" w:type="dxa"/>
              <w:left w:w="80" w:type="dxa"/>
              <w:bottom w:w="60" w:type="dxa"/>
              <w:right w:w="80" w:type="dxa"/>
            </w:tcMar>
          </w:tcPr>
          <w:p>
            <w:pPr>
              <w:spacing w:after="0" w:line="260" w:lineRule="auto"/>
            </w:pPr>
            <w:r>
              <w:rPr>
                <w:color w:val="1a2a3a"/>
                <w:sz w:val="19"/>
              </w:rPr>
              <w:t>Annex K Section 4.3</w:t>
            </w:r>
          </w:p>
        </w:tc>
      </w:tr>
      <w:tr>
        <w:tc>
          <w:tcPr>
            <w:tcMar>
              <w:top w:w="60" w:type="dxa"/>
              <w:left w:w="80" w:type="dxa"/>
              <w:bottom w:w="60" w:type="dxa"/>
              <w:right w:w="80" w:type="dxa"/>
            </w:tcMar>
          </w:tcPr>
          <w:p>
            <w:pPr>
              <w:spacing w:after="0" w:line="260" w:lineRule="auto"/>
            </w:pPr>
            <w:r>
              <w:rPr>
                <w:color w:val="1a2a3a"/>
                <w:sz w:val="19"/>
              </w:rPr>
              <w:t>Safe Conduct (Observers)</w:t>
            </w:r>
          </w:p>
        </w:tc>
        <w:tc>
          <w:tcPr>
            <w:tcMar>
              <w:top w:w="60" w:type="dxa"/>
              <w:left w:w="80" w:type="dxa"/>
              <w:bottom w:w="60" w:type="dxa"/>
              <w:right w:w="80" w:type="dxa"/>
            </w:tcMar>
          </w:tcPr>
          <w:p>
            <w:pPr>
              <w:spacing w:after="0" w:line="260" w:lineRule="auto"/>
            </w:pPr>
            <w:r>
              <w:rPr>
                <w:color w:val="1a2a3a"/>
                <w:sz w:val="19"/>
              </w:rPr>
              <w:t>Annex K Section 8</w:t>
            </w:r>
          </w:p>
        </w:tc>
      </w:tr>
      <w:tr>
        <w:tc>
          <w:tcPr>
            <w:tcMar>
              <w:top w:w="60" w:type="dxa"/>
              <w:left w:w="80" w:type="dxa"/>
              <w:bottom w:w="60" w:type="dxa"/>
              <w:right w:w="80" w:type="dxa"/>
            </w:tcMar>
          </w:tcPr>
          <w:p>
            <w:pPr>
              <w:spacing w:after="0" w:line="260" w:lineRule="auto"/>
            </w:pPr>
            <w:r>
              <w:rPr>
                <w:color w:val="1a2a3a"/>
                <w:sz w:val="19"/>
              </w:rPr>
              <w:t>Compliance Credits</w:t>
            </w:r>
          </w:p>
        </w:tc>
        <w:tc>
          <w:tcPr>
            <w:tcMar>
              <w:top w:w="60" w:type="dxa"/>
              <w:left w:w="80" w:type="dxa"/>
              <w:bottom w:w="60" w:type="dxa"/>
              <w:right w:w="80" w:type="dxa"/>
            </w:tcMar>
          </w:tcPr>
          <w:p>
            <w:pPr>
              <w:spacing w:after="0" w:line="260" w:lineRule="auto"/>
            </w:pPr>
            <w:r>
              <w:rPr>
                <w:color w:val="1a2a3a"/>
                <w:sz w:val="19"/>
              </w:rPr>
              <w:t>Annex K Section 9</w:t>
            </w:r>
          </w:p>
        </w:tc>
      </w:tr>
      <w:tr>
        <w:tc>
          <w:tcPr>
            <w:tcMar>
              <w:top w:w="60" w:type="dxa"/>
              <w:left w:w="80" w:type="dxa"/>
              <w:bottom w:w="60" w:type="dxa"/>
              <w:right w:w="80" w:type="dxa"/>
            </w:tcMar>
          </w:tcPr>
          <w:p>
            <w:pPr>
              <w:spacing w:after="0" w:line="260" w:lineRule="auto"/>
            </w:pPr>
            <w:r>
              <w:rPr>
                <w:color w:val="1a2a3a"/>
                <w:sz w:val="19"/>
              </w:rPr>
              <w:t>Duration and Exit</w:t>
            </w:r>
          </w:p>
        </w:tc>
        <w:tc>
          <w:tcPr>
            <w:tcMar>
              <w:top w:w="60" w:type="dxa"/>
              <w:left w:w="80" w:type="dxa"/>
              <w:bottom w:w="60" w:type="dxa"/>
              <w:right w:w="80" w:type="dxa"/>
            </w:tcMar>
          </w:tcPr>
          <w:p>
            <w:pPr>
              <w:spacing w:after="0" w:line="260" w:lineRule="auto"/>
            </w:pPr>
            <w:r>
              <w:rPr>
                <w:color w:val="1a2a3a"/>
                <w:sz w:val="19"/>
              </w:rPr>
              <w:t>Annex K Section 12</w:t>
            </w:r>
          </w:p>
        </w:tc>
      </w:tr>
    </w:tbl>
    <w:p>
      <w:pPr>
        <w:pStyle w:val="Heading1"/>
      </w:pPr>
      <w:r>
        <w:t>Wartime Compact Protocol</w:t>
      </w:r>
    </w:p>
    <w:p>
      <w:r>
        <w:t>Annex O provides the Wartime Compact Protocol: a bridging framework that preserves core bilateral architecture during periods of direct or proxy military engagement. The Protocol activates only when T-5 (Crisis Anchor) or T-6 (Full Pause) conditions exist, and only after the Lebanon Firewall Protocol has operated for at least 14 days without achieving stabilization.</w:t>
      </w:r>
    </w:p>
    <w:p>
      <w:pPr>
        <w:pStyle w:val="Heading2"/>
      </w:pPr>
      <w:r>
        <w:t>Activation and Scope</w:t>
      </w:r>
    </w:p>
    <w:p>
      <w:r>
        <w:t>Wartime Protocol activation requires one Party's formal declaration plus confirmation from the Joint Technical Committee that stabilization through standard mechanisms has failed. The Protocol creates a parallel Compact layer with modified commitments designed to survive active hostilities while preserving the foundation for post-crisis resumption.</w:t>
      </w:r>
    </w:p>
    <w:p>
      <w:r>
        <w:t>The Protocol covers four domains: communication channel maintenance (always active), nuclear material monitoring (reduced but continuous), humanitarian corridor operations (expanded), and financial transaction processing (alternate routing). All other commitments enter a suspended state with preserved records for post-crisis reconciliation.</w:t>
      </w:r>
    </w:p>
    <w:p>
      <w:pPr>
        <w:pStyle w:val="Heading2"/>
      </w:pPr>
      <w:r>
        <w:t>Bridging Sequence</w:t>
      </w:r>
    </w:p>
    <w:p>
      <w:r>
        <w:t>The Protocol operates in 21-day rounds. Each round begins with a status assessment, followed by 14 days of implementation, and concludes with a 7-day review period. Either Party terminates the Protocol with 48-hour notice if conditions permit. Otherwise, the Protocol auto-extends for another 21-day round.</w:t>
      </w:r>
    </w:p>
    <w:p>
      <w:r>
        <w:t>Round 1 focuses on communication restoration and humanitarian access. Round 2 adds limited nuclear monitoring if Round 1 succeeds. Round 3 introduces preliminary financial transaction processing. By Round 4, if all prior rounds achieved stability, the Parties consider lifting the Wartime Protocol and returning to standard Compact operations through the Earn-Back sequence.</w:t>
      </w:r>
    </w:p>
    <w:p>
      <w:pPr>
        <w:pStyle w:val="Heading2"/>
      </w:pPr>
      <w:r>
        <w:t>Hezbollah Non-Signatory Protocol</w:t>
      </w:r>
    </w:p>
    <w:p>
      <w:r>
        <w:t>The Compact explicitly acknowledges that Hezbollah does not participate as a signatory. However, Annex O Section 5 establishes indirect communication protocols through designated intermediaries. These protocols activate only during Wartime Protocol operations and only for humanitarian coordination and civilian protection purposes.</w:t>
      </w:r>
    </w:p>
    <w:p>
      <w:r>
        <w:t>Non-signactor engagement follows strict parameters: no political negotiations, no military coordination, only humanitarian access and civilian safety measures. Either Party vetoes any non-signactor engagement session. All non-signactor communications occur through the Joint Secretariat with full recording and transcription.</w:t>
      </w:r>
    </w:p>
    <w:p>
      <w:pPr>
        <w:pStyle w:val="Heading2"/>
      </w:pPr>
      <w:r>
        <w:t>Ratchet Lock Mechanism</w:t>
      </w:r>
    </w:p>
    <w:p>
      <w:r>
        <w:t>The Ratchet Lock prevents backward sliding once the Protocol achieves a round's objectives. When Round 1 objectives complete, humanitarian access continues regardless of subsequent difficulties. When Round 2 objectives complete, nuclear monitoring continues. This ratchet effect ensures cumulative progress and prevents strategic backtracking.</w:t>
      </w:r>
    </w:p>
    <w:p>
      <w:pPr>
        <w:pStyle w:val="TipBox"/>
      </w:pPr>
      <w:r>
        <w:rPr>
          <w:b/>
          <w:color w:val="5a8a6a"/>
        </w:rPr>
        <w:t>TIP: </w:t>
      </w:r>
      <w:r>
        <w:t>Practical Note: During Wartime Protocol operations, maintain a separate log of all deviations from standard Compact procedures. This log greatly accelerates the Earn-Back and reconciliation process when normal operations resume.</w:t>
      </w:r>
    </w:p>
    <w:p>
      <w:pPr>
        <w:pStyle w:val="Heading1"/>
      </w:pPr>
      <w:r>
        <w:t>Emergency Procedures</w:t>
      </w:r>
    </w:p>
    <w:p>
      <w:r>
        <w:t>This section provides step-by-step guidance for negotiators facing time-critical situations. Each procedure includes trigger recognition, immediate actions, notification requirements, and follow-up steps.</w:t>
      </w:r>
    </w:p>
    <w:p>
      <w:pPr>
        <w:pStyle w:val="Heading2"/>
      </w:pPr>
      <w:r>
        <w:t>Procedure 1: Rapid Escalation Response</w:t>
      </w:r>
    </w:p>
    <w:p>
      <w:pPr>
        <w:spacing w:after="80"/>
        <w:ind w:left="360" w:hanging="360"/>
      </w:pPr>
      <w:r>
        <w:rPr>
          <w:b/>
          <w:color w:val="4a7c94"/>
        </w:rPr>
        <w:t>1. </w:t>
      </w:r>
      <w:r>
        <w:t>Assess the Clock level. If Normal, determine whether the incident qualifies for automatic Caution transition (armed force, facility damage, or personnel injury).</w:t>
      </w:r>
    </w:p>
    <w:p>
      <w:pPr>
        <w:spacing w:after="80"/>
        <w:ind w:left="360" w:hanging="360"/>
      </w:pPr>
      <w:r>
        <w:rPr>
          <w:b/>
          <w:color w:val="4a7c94"/>
        </w:rPr>
        <w:t>2. </w:t>
      </w:r>
      <w:r>
        <w:t>Notify the Joint Secretariat within 2 hours via the secure communication channel. Include incident time, location, parties involved, and initial impact assessment.</w:t>
      </w:r>
    </w:p>
    <w:p>
      <w:pPr>
        <w:spacing w:after="80"/>
        <w:ind w:left="360" w:hanging="360"/>
      </w:pPr>
      <w:r>
        <w:rPr>
          <w:b/>
          <w:color w:val="4a7c94"/>
        </w:rPr>
        <w:t>3. </w:t>
      </w:r>
      <w:r>
        <w:t>Suspend non-essential commitments in the affected zone pending further guidance. Document all suspended items with timestamps.</w:t>
      </w:r>
    </w:p>
    <w:p>
      <w:pPr>
        <w:spacing w:after="80"/>
        <w:ind w:left="360" w:hanging="360"/>
      </w:pPr>
      <w:r>
        <w:rPr>
          <w:b/>
          <w:color w:val="4a7c94"/>
        </w:rPr>
        <w:t>4. </w:t>
      </w:r>
      <w:r>
        <w:t>Request a Clock Advisory from the Joint Technical Committee if automatic transition conditions are ambiguous.</w:t>
      </w:r>
    </w:p>
    <w:p>
      <w:pPr>
        <w:spacing w:after="80"/>
        <w:ind w:left="360" w:hanging="360"/>
      </w:pPr>
      <w:r>
        <w:rPr>
          <w:b/>
          <w:color w:val="4a7c94"/>
        </w:rPr>
        <w:t>5. </w:t>
      </w:r>
      <w:r>
        <w:t>Initiate the De-Escalation Channel if the incident involves Lebanese territory or non-state actors.</w:t>
      </w:r>
    </w:p>
    <w:p>
      <w:pPr>
        <w:pStyle w:val="Heading2"/>
      </w:pPr>
      <w:r>
        <w:t>Procedure 2: Document Integrity Breach</w:t>
      </w:r>
    </w:p>
    <w:p>
      <w:pPr>
        <w:spacing w:after="80"/>
        <w:ind w:left="360" w:hanging="360"/>
      </w:pPr>
      <w:r>
        <w:rPr>
          <w:b/>
          <w:color w:val="4a7c94"/>
        </w:rPr>
        <w:t>1. </w:t>
      </w:r>
      <w:r>
        <w:t>Identify the scope: single annex, multiple annexes, or core articles.</w:t>
      </w:r>
    </w:p>
    <w:p>
      <w:pPr>
        <w:spacing w:after="80"/>
        <w:ind w:left="360" w:hanging="360"/>
      </w:pPr>
      <w:r>
        <w:rPr>
          <w:b/>
          <w:color w:val="4a7c94"/>
        </w:rPr>
        <w:t>2. </w:t>
      </w:r>
      <w:r>
        <w:t>If the breach affects the Reciprocity Ledger, freeze all Ledger-related transactions immediately. Notify the Joint Secretariat within 4 hours.</w:t>
      </w:r>
    </w:p>
    <w:p>
      <w:pPr>
        <w:spacing w:after="80"/>
        <w:ind w:left="360" w:hanging="360"/>
      </w:pPr>
      <w:r>
        <w:rPr>
          <w:b/>
          <w:color w:val="4a7c94"/>
        </w:rPr>
        <w:t>3. </w:t>
      </w:r>
      <w:r>
        <w:t>Request an emergency Joint Technical Committee session within 24 hours. Prepare a preliminary impact assessment.</w:t>
      </w:r>
    </w:p>
    <w:p>
      <w:pPr>
        <w:spacing w:after="80"/>
        <w:ind w:left="360" w:hanging="360"/>
      </w:pPr>
      <w:r>
        <w:rPr>
          <w:b/>
          <w:color w:val="4a7c94"/>
        </w:rPr>
        <w:t>4. </w:t>
      </w:r>
      <w:r>
        <w:t>Do not attempt unilateral corrections to shared documents. All corrections require bilateral verification.</w:t>
      </w:r>
    </w:p>
    <w:p>
      <w:pPr>
        <w:spacing w:after="80"/>
        <w:ind w:left="360" w:hanging="360"/>
      </w:pPr>
      <w:r>
        <w:rPr>
          <w:b/>
          <w:color w:val="4a7c94"/>
        </w:rPr>
        <w:t>5. </w:t>
      </w:r>
      <w:r>
        <w:t>If the breach involves third-party interference, activate the Communications Security Protocol in Annex N.</w:t>
      </w:r>
    </w:p>
    <w:p>
      <w:pPr>
        <w:pStyle w:val="Heading2"/>
      </w:pPr>
      <w:r>
        <w:t>Procedure 3: Lebanon Spillover Event</w:t>
      </w:r>
    </w:p>
    <w:p>
      <w:pPr>
        <w:spacing w:after="80"/>
        <w:ind w:left="360" w:hanging="360"/>
      </w:pPr>
      <w:r>
        <w:rPr>
          <w:b/>
          <w:color w:val="4a7c94"/>
        </w:rPr>
        <w:t>1. </w:t>
      </w:r>
      <w:r>
        <w:t>Determine whether the event triggers Firewall activation using the criteria in Annex K Section 2.</w:t>
      </w:r>
    </w:p>
    <w:p>
      <w:pPr>
        <w:spacing w:after="80"/>
        <w:ind w:left="360" w:hanging="360"/>
      </w:pPr>
      <w:r>
        <w:rPr>
          <w:b/>
          <w:color w:val="4a7c94"/>
        </w:rPr>
        <w:t>2. </w:t>
      </w:r>
      <w:r>
        <w:t>If Firewall activates, notify your delegation head and the Joint Secretariat simultaneously.</w:t>
      </w:r>
    </w:p>
    <w:p>
      <w:pPr>
        <w:spacing w:after="80"/>
        <w:ind w:left="360" w:hanging="360"/>
      </w:pPr>
      <w:r>
        <w:rPr>
          <w:b/>
          <w:color w:val="4a7c94"/>
        </w:rPr>
        <w:t>3. </w:t>
      </w:r>
      <w:r>
        <w:t>Switch to Firewall band classification: identify which current commitments fall within the 200-kilometer affected zone.</w:t>
      </w:r>
    </w:p>
    <w:p>
      <w:pPr>
        <w:spacing w:after="80"/>
        <w:ind w:left="360" w:hanging="360"/>
      </w:pPr>
      <w:r>
        <w:rPr>
          <w:b/>
          <w:color w:val="4a7c94"/>
        </w:rPr>
        <w:t>4. </w:t>
      </w:r>
      <w:r>
        <w:t>Contact the Joint Humanitarian Coordination Cell for civilian impact assessment.</w:t>
      </w:r>
    </w:p>
    <w:p>
      <w:pPr>
        <w:spacing w:after="80"/>
        <w:ind w:left="360" w:hanging="360"/>
      </w:pPr>
      <w:r>
        <w:rPr>
          <w:b/>
          <w:color w:val="4a7c94"/>
        </w:rPr>
        <w:t>5. </w:t>
      </w:r>
      <w:r>
        <w:t>Prepare for Band Amber or Band Red conditions: confirm alternate routing for communications and financial transactions.</w:t>
      </w:r>
    </w:p>
    <w:p>
      <w:pPr>
        <w:pStyle w:val="Heading2"/>
      </w:pPr>
      <w:r>
        <w:t>Procedure 4: Wartime Protocol Activation</w:t>
      </w:r>
    </w:p>
    <w:p>
      <w:pPr>
        <w:spacing w:after="80"/>
        <w:ind w:left="360" w:hanging="360"/>
      </w:pPr>
      <w:r>
        <w:rPr>
          <w:b/>
          <w:color w:val="4a7c94"/>
        </w:rPr>
        <w:t>1. </w:t>
      </w:r>
      <w:r>
        <w:t>Verify that T-5 or T-6 conditions exist and the Firewall has operated for 14+ days without stabilization.</w:t>
      </w:r>
    </w:p>
    <w:p>
      <w:pPr>
        <w:spacing w:after="80"/>
        <w:ind w:left="360" w:hanging="360"/>
      </w:pPr>
      <w:r>
        <w:rPr>
          <w:b/>
          <w:color w:val="4a7c94"/>
        </w:rPr>
        <w:t>2. </w:t>
      </w:r>
      <w:r>
        <w:t>Draft a formal activation notice citing the specific trigger conditions and Joint Technical Committee confirmation.</w:t>
      </w:r>
    </w:p>
    <w:p>
      <w:pPr>
        <w:spacing w:after="80"/>
        <w:ind w:left="360" w:hanging="360"/>
      </w:pPr>
      <w:r>
        <w:rPr>
          <w:b/>
          <w:color w:val="4a7c94"/>
        </w:rPr>
        <w:t>3. </w:t>
      </w:r>
      <w:r>
        <w:t>Establish the 21-day round schedule with the counterpart delegation.</w:t>
      </w:r>
    </w:p>
    <w:p>
      <w:pPr>
        <w:spacing w:after="80"/>
        <w:ind w:left="360" w:hanging="360"/>
      </w:pPr>
      <w:r>
        <w:rPr>
          <w:b/>
          <w:color w:val="4a7c94"/>
        </w:rPr>
        <w:t>4. </w:t>
      </w:r>
      <w:r>
        <w:t>Activate alternate communication hubs and confirm humanitarian corridor access routes.</w:t>
      </w:r>
    </w:p>
    <w:p>
      <w:pPr>
        <w:spacing w:after="80"/>
        <w:ind w:left="360" w:hanging="360"/>
      </w:pPr>
      <w:r>
        <w:rPr>
          <w:b/>
          <w:color w:val="4a7c94"/>
        </w:rPr>
        <w:t>5. </w:t>
      </w:r>
      <w:r>
        <w:t>Begin separate logging of all wartime deviations for post-crisis reconciliation.</w:t>
      </w:r>
    </w:p>
    <w:p>
      <w:pPr>
        <w:pStyle w:val="AlertBox"/>
      </w:pPr>
      <w:r>
        <w:rPr>
          <w:b/>
          <w:color w:val="b85c50"/>
        </w:rPr>
        <w:t>ALERT: </w:t>
      </w:r>
      <w:r>
        <w:t>Reminder: These procedures operate under time pressure. When in doubt, notify first and refine later. The Compact penalizes delayed notification more heavily than imperfect initial reports.</w:t>
      </w:r>
    </w:p>
    <w:p>
      <w:pPr>
        <w:pStyle w:val="Heading1"/>
      </w:pPr>
      <w:r>
        <w:t>Critical Guidance: Do's and Don'ts</w:t>
      </w:r>
    </w:p>
    <w:p>
      <w:r>
        <w:t>This section compiles practical guidance from experienced negotiators. These items reflect recurring patterns that either strengthen or undermine Compact implementation.</w:t>
      </w:r>
    </w:p>
    <w:p>
      <w:pPr>
        <w:pStyle w:val="Heading2"/>
      </w:pPr>
      <w:r>
        <w:t>Do</w:t>
      </w:r>
    </w:p>
    <w:p>
      <w:pPr>
        <w:spacing w:after="80"/>
        <w:ind w:left="360" w:hanging="180"/>
      </w:pPr>
      <w:r>
        <w:t>•  Document everything in real time. Memories diverge under stress; written records preserve alignment.</w:t>
      </w:r>
    </w:p>
    <w:p>
      <w:pPr>
        <w:spacing w:after="80"/>
        <w:ind w:left="360" w:hanging="180"/>
      </w:pPr>
      <w:r>
        <w:t>•  Verify Clock level at the start of every session. Conditions change; assumptions fail.</w:t>
      </w:r>
    </w:p>
    <w:p>
      <w:pPr>
        <w:spacing w:after="80"/>
        <w:ind w:left="360" w:hanging="180"/>
      </w:pPr>
      <w:r>
        <w:t>•  Maintain the De-Escalation Channel contact list updated. Personnel rotations happen; outdated contacts waste critical hours.</w:t>
      </w:r>
    </w:p>
    <w:p>
      <w:pPr>
        <w:spacing w:after="80"/>
        <w:ind w:left="360" w:hanging="180"/>
      </w:pPr>
      <w:r>
        <w:t>•  Review the Reciprocity Ledger before proposing any suspension of commitments. Understand your balance position.</w:t>
      </w:r>
    </w:p>
    <w:p>
      <w:pPr>
        <w:spacing w:after="80"/>
        <w:ind w:left="360" w:hanging="180"/>
      </w:pPr>
      <w:r>
        <w:t>•  Test alternate communication routes monthly. Equipment fails at the worst possible moment.</w:t>
      </w:r>
    </w:p>
    <w:p>
      <w:pPr>
        <w:spacing w:after="80"/>
        <w:ind w:left="360" w:hanging="180"/>
      </w:pPr>
      <w:r>
        <w:t>•  Prepare fallback positions before every session. Restricted-level conditions allow only pre-authorized positions.</w:t>
      </w:r>
    </w:p>
    <w:p>
      <w:pPr>
        <w:spacing w:after="80"/>
        <w:ind w:left="360" w:hanging="180"/>
      </w:pPr>
      <w:r>
        <w:t>•  Coordinate with humanitarian colleagues early. Civilian protection measures build trust that sustains political negotiations.</w:t>
      </w:r>
    </w:p>
    <w:p>
      <w:pPr>
        <w:spacing w:after="80"/>
        <w:ind w:left="360" w:hanging="180"/>
      </w:pPr>
      <w:r>
        <w:t>•  Log wartime deviations separately. Post-crisis reconciliation requires clean records.</w:t>
      </w:r>
    </w:p>
    <w:p>
      <w:pPr>
        <w:pStyle w:val="Heading2"/>
      </w:pPr>
      <w:r>
        <w:t>Don't</w:t>
      </w:r>
    </w:p>
    <w:p>
      <w:pPr>
        <w:spacing w:after="80"/>
        <w:ind w:left="360" w:hanging="180"/>
      </w:pPr>
      <w:r>
        <w:t>•  Assume the other Party observes the same Clock level. Verify jointly at session opening.</w:t>
      </w:r>
    </w:p>
    <w:p>
      <w:pPr>
        <w:spacing w:after="80"/>
        <w:ind w:left="360" w:hanging="180"/>
      </w:pPr>
      <w:r>
        <w:t>•  Mix Lebanon Firewall commitments with the main Reciprocity Ledger unless explicitly agreed.</w:t>
      </w:r>
    </w:p>
    <w:p>
      <w:pPr>
        <w:spacing w:after="80"/>
        <w:ind w:left="360" w:hanging="180"/>
      </w:pPr>
      <w:r>
        <w:t>•  Request T-4 selective suspension for leverage in unrelated negotiations. This erodes trust and triggers formal complaints.</w:t>
      </w:r>
    </w:p>
    <w:p>
      <w:pPr>
        <w:spacing w:after="80"/>
        <w:ind w:left="360" w:hanging="180"/>
      </w:pPr>
      <w:r>
        <w:t>•  Ignore early warning indicators. T-2 exists precisely to prevent reaching T-5.</w:t>
      </w:r>
    </w:p>
    <w:p>
      <w:pPr>
        <w:spacing w:after="80"/>
        <w:ind w:left="360" w:hanging="180"/>
      </w:pPr>
      <w:r>
        <w:t>•  Engage non-signatory actors directly without Joint Secretariat coordination. All such engagement requires recording and bilateral awareness.</w:t>
      </w:r>
    </w:p>
    <w:p>
      <w:pPr>
        <w:spacing w:after="80"/>
        <w:ind w:left="360" w:hanging="180"/>
      </w:pPr>
      <w:r>
        <w:t>•  Allow technical discussions to drift into political territory during Clock levels below Normal. Save political discussions for stable conditions.</w:t>
      </w:r>
    </w:p>
    <w:p>
      <w:pPr>
        <w:spacing w:after="80"/>
        <w:ind w:left="360" w:hanging="180"/>
      </w:pPr>
      <w:r>
        <w:t>•  Forget the 72-hour rebuttal window for Proxy Influence Presumptions. Missing the window locks in the presumption.</w:t>
      </w:r>
    </w:p>
    <w:p>
      <w:pPr>
        <w:spacing w:after="80"/>
        <w:ind w:left="360" w:hanging="180"/>
      </w:pPr>
      <w:r>
        <w:t>•  Neglect personal communication relationships with counterpart delegates. Institutional mechanisms function better when personal trust exists underneath.</w:t>
      </w:r>
    </w:p>
    <w:p>
      <w:pPr>
        <w:pStyle w:val="Heading2"/>
      </w:pPr>
      <w:r>
        <w:t>Quick Reference Card</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w="3500"/>
        <w:gridCol w:w="6500"/>
      </w:tblGrid>
      <w:tr>
        <w:tc>
          <w:tcPr>
            <w:shd w:val="clear" w:fill="e8eef2"/>
            <w:tcMar>
              <w:top w:w="60" w:type="dxa"/>
              <w:left w:w="80" w:type="dxa"/>
              <w:bottom w:w="60" w:type="dxa"/>
              <w:right w:w="80" w:type="dxa"/>
            </w:tcMar>
            <w:vAlign w:val="center"/>
          </w:tcPr>
          <w:p>
            <w:pPr>
              <w:spacing w:after="0" w:line="260" w:lineRule="auto"/>
            </w:pPr>
            <w:r>
              <w:rPr>
                <w:b/>
                <w:color w:val="1a2a3a"/>
                <w:sz w:val="19"/>
              </w:rPr>
              <w:t>Item</w:t>
            </w:r>
          </w:p>
        </w:tc>
        <w:tc>
          <w:tcPr>
            <w:shd w:val="clear" w:fill="e8eef2"/>
            <w:tcMar>
              <w:top w:w="60" w:type="dxa"/>
              <w:left w:w="80" w:type="dxa"/>
              <w:bottom w:w="60" w:type="dxa"/>
              <w:right w:w="80" w:type="dxa"/>
            </w:tcMar>
            <w:vAlign w:val="center"/>
          </w:tcPr>
          <w:p>
            <w:pPr>
              <w:spacing w:after="0" w:line="260" w:lineRule="auto"/>
            </w:pPr>
            <w:r>
              <w:rPr>
                <w:b/>
                <w:color w:val="1a2a3a"/>
                <w:sz w:val="19"/>
              </w:rPr>
              <w:t>Reference / Action</w:t>
            </w:r>
          </w:p>
        </w:tc>
      </w:tr>
      <w:tr>
        <w:tc>
          <w:tcPr>
            <w:tcMar>
              <w:top w:w="60" w:type="dxa"/>
              <w:left w:w="80" w:type="dxa"/>
              <w:bottom w:w="60" w:type="dxa"/>
              <w:right w:w="80" w:type="dxa"/>
            </w:tcMar>
          </w:tcPr>
          <w:p>
            <w:pPr>
              <w:spacing w:after="0" w:line="260" w:lineRule="auto"/>
            </w:pPr>
            <w:r>
              <w:rPr>
                <w:color w:val="1a2a3a"/>
                <w:sz w:val="19"/>
              </w:rPr>
              <w:t>Emergency Contact</w:t>
            </w:r>
          </w:p>
        </w:tc>
        <w:tc>
          <w:tcPr>
            <w:tcMar>
              <w:top w:w="60" w:type="dxa"/>
              <w:left w:w="80" w:type="dxa"/>
              <w:bottom w:w="60" w:type="dxa"/>
              <w:right w:w="80" w:type="dxa"/>
            </w:tcMar>
          </w:tcPr>
          <w:p>
            <w:pPr>
              <w:spacing w:after="0" w:line="260" w:lineRule="auto"/>
            </w:pPr>
            <w:r>
              <w:rPr>
                <w:color w:val="1a2a3a"/>
                <w:sz w:val="19"/>
              </w:rPr>
              <w:t>Joint Secretariat: secure channel 24/7</w:t>
            </w:r>
          </w:p>
        </w:tc>
      </w:tr>
      <w:tr>
        <w:tc>
          <w:tcPr>
            <w:tcMar>
              <w:top w:w="60" w:type="dxa"/>
              <w:left w:w="80" w:type="dxa"/>
              <w:bottom w:w="60" w:type="dxa"/>
              <w:right w:w="80" w:type="dxa"/>
            </w:tcMar>
          </w:tcPr>
          <w:p>
            <w:pPr>
              <w:spacing w:after="0" w:line="260" w:lineRule="auto"/>
            </w:pPr>
            <w:r>
              <w:rPr>
                <w:color w:val="1a2a3a"/>
                <w:sz w:val="19"/>
              </w:rPr>
              <w:t>Clock Advisory Request</w:t>
            </w:r>
          </w:p>
        </w:tc>
        <w:tc>
          <w:tcPr>
            <w:tcMar>
              <w:top w:w="60" w:type="dxa"/>
              <w:left w:w="80" w:type="dxa"/>
              <w:bottom w:w="60" w:type="dxa"/>
              <w:right w:w="80" w:type="dxa"/>
            </w:tcMar>
          </w:tcPr>
          <w:p>
            <w:pPr>
              <w:spacing w:after="0" w:line="260" w:lineRule="auto"/>
            </w:pPr>
            <w:r>
              <w:rPr>
                <w:color w:val="1a2a3a"/>
                <w:sz w:val="19"/>
              </w:rPr>
              <w:t>Joint Technical Committee: 12-hour response</w:t>
            </w:r>
          </w:p>
        </w:tc>
      </w:tr>
      <w:tr>
        <w:tc>
          <w:tcPr>
            <w:tcMar>
              <w:top w:w="60" w:type="dxa"/>
              <w:left w:w="80" w:type="dxa"/>
              <w:bottom w:w="60" w:type="dxa"/>
              <w:right w:w="80" w:type="dxa"/>
            </w:tcMar>
          </w:tcPr>
          <w:p>
            <w:pPr>
              <w:spacing w:after="0" w:line="260" w:lineRule="auto"/>
            </w:pPr>
            <w:r>
              <w:rPr>
                <w:color w:val="1a2a3a"/>
                <w:sz w:val="19"/>
              </w:rPr>
              <w:t>Firewall Activation</w:t>
            </w:r>
          </w:p>
        </w:tc>
        <w:tc>
          <w:tcPr>
            <w:tcMar>
              <w:top w:w="60" w:type="dxa"/>
              <w:left w:w="80" w:type="dxa"/>
              <w:bottom w:w="60" w:type="dxa"/>
              <w:right w:w="80" w:type="dxa"/>
            </w:tcMar>
          </w:tcPr>
          <w:p>
            <w:pPr>
              <w:spacing w:after="0" w:line="260" w:lineRule="auto"/>
            </w:pPr>
            <w:r>
              <w:rPr>
                <w:color w:val="1a2a3a"/>
                <w:sz w:val="19"/>
              </w:rPr>
              <w:t>Automatic: Annex K Section 2.1 triggers</w:t>
            </w:r>
          </w:p>
        </w:tc>
      </w:tr>
      <w:tr>
        <w:tc>
          <w:tcPr>
            <w:tcMar>
              <w:top w:w="60" w:type="dxa"/>
              <w:left w:w="80" w:type="dxa"/>
              <w:bottom w:w="60" w:type="dxa"/>
              <w:right w:w="80" w:type="dxa"/>
            </w:tcMar>
          </w:tcPr>
          <w:p>
            <w:pPr>
              <w:spacing w:after="0" w:line="260" w:lineRule="auto"/>
            </w:pPr>
            <w:r>
              <w:rPr>
                <w:color w:val="1a2a3a"/>
                <w:sz w:val="19"/>
              </w:rPr>
              <w:t>De-Escalation Channel</w:t>
            </w:r>
          </w:p>
        </w:tc>
        <w:tc>
          <w:tcPr>
            <w:tcMar>
              <w:top w:w="60" w:type="dxa"/>
              <w:left w:w="80" w:type="dxa"/>
              <w:bottom w:w="60" w:type="dxa"/>
              <w:right w:w="80" w:type="dxa"/>
            </w:tcMar>
          </w:tcPr>
          <w:p>
            <w:pPr>
              <w:spacing w:after="0" w:line="260" w:lineRule="auto"/>
            </w:pPr>
            <w:r>
              <w:rPr>
                <w:color w:val="1a2a3a"/>
                <w:sz w:val="19"/>
              </w:rPr>
              <w:t>2-hour response requirement</w:t>
            </w:r>
          </w:p>
        </w:tc>
      </w:tr>
      <w:tr>
        <w:tc>
          <w:tcPr>
            <w:tcMar>
              <w:top w:w="60" w:type="dxa"/>
              <w:left w:w="80" w:type="dxa"/>
              <w:bottom w:w="60" w:type="dxa"/>
              <w:right w:w="80" w:type="dxa"/>
            </w:tcMar>
          </w:tcPr>
          <w:p>
            <w:pPr>
              <w:spacing w:after="0" w:line="260" w:lineRule="auto"/>
            </w:pPr>
            <w:r>
              <w:rPr>
                <w:color w:val="1a2a3a"/>
                <w:sz w:val="19"/>
              </w:rPr>
              <w:t>Proxy Presumption Rebuttal</w:t>
            </w:r>
          </w:p>
        </w:tc>
        <w:tc>
          <w:tcPr>
            <w:tcMar>
              <w:top w:w="60" w:type="dxa"/>
              <w:left w:w="80" w:type="dxa"/>
              <w:bottom w:w="60" w:type="dxa"/>
              <w:right w:w="80" w:type="dxa"/>
            </w:tcMar>
          </w:tcPr>
          <w:p>
            <w:pPr>
              <w:spacing w:after="0" w:line="260" w:lineRule="auto"/>
            </w:pPr>
            <w:r>
              <w:rPr>
                <w:color w:val="1a2a3a"/>
                <w:sz w:val="19"/>
              </w:rPr>
              <w:t>72-hour window from trigger</w:t>
            </w:r>
          </w:p>
        </w:tc>
      </w:tr>
      <w:tr>
        <w:tc>
          <w:tcPr>
            <w:tcMar>
              <w:top w:w="60" w:type="dxa"/>
              <w:left w:w="80" w:type="dxa"/>
              <w:bottom w:w="60" w:type="dxa"/>
              <w:right w:w="80" w:type="dxa"/>
            </w:tcMar>
          </w:tcPr>
          <w:p>
            <w:pPr>
              <w:spacing w:after="0" w:line="260" w:lineRule="auto"/>
            </w:pPr>
            <w:r>
              <w:rPr>
                <w:color w:val="1a2a3a"/>
                <w:sz w:val="19"/>
              </w:rPr>
              <w:t>Wartime Protocol Round</w:t>
            </w:r>
          </w:p>
        </w:tc>
        <w:tc>
          <w:tcPr>
            <w:tcMar>
              <w:top w:w="60" w:type="dxa"/>
              <w:left w:w="80" w:type="dxa"/>
              <w:bottom w:w="60" w:type="dxa"/>
              <w:right w:w="80" w:type="dxa"/>
            </w:tcMar>
          </w:tcPr>
          <w:p>
            <w:pPr>
              <w:spacing w:after="0" w:line="260" w:lineRule="auto"/>
            </w:pPr>
            <w:r>
              <w:rPr>
                <w:color w:val="1a2a3a"/>
                <w:sz w:val="19"/>
              </w:rPr>
              <w:t>21 days: assess, implement, review</w:t>
            </w:r>
          </w:p>
        </w:tc>
      </w:tr>
      <w:tr>
        <w:tc>
          <w:tcPr>
            <w:tcMar>
              <w:top w:w="60" w:type="dxa"/>
              <w:left w:w="80" w:type="dxa"/>
              <w:bottom w:w="60" w:type="dxa"/>
              <w:right w:w="80" w:type="dxa"/>
            </w:tcMar>
          </w:tcPr>
          <w:p>
            <w:pPr>
              <w:spacing w:after="0" w:line="260" w:lineRule="auto"/>
            </w:pPr>
            <w:r>
              <w:rPr>
                <w:color w:val="1a2a3a"/>
                <w:sz w:val="19"/>
              </w:rPr>
              <w:t>Earn-Back Phase</w:t>
            </w:r>
          </w:p>
        </w:tc>
        <w:tc>
          <w:tcPr>
            <w:tcMar>
              <w:top w:w="60" w:type="dxa"/>
              <w:left w:w="80" w:type="dxa"/>
              <w:bottom w:w="60" w:type="dxa"/>
              <w:right w:w="80" w:type="dxa"/>
            </w:tcMar>
          </w:tcPr>
          <w:p>
            <w:pPr>
              <w:spacing w:after="0" w:line="260" w:lineRule="auto"/>
            </w:pPr>
            <w:r>
              <w:rPr>
                <w:color w:val="1a2a3a"/>
                <w:sz w:val="19"/>
              </w:rPr>
              <w:t>14 days minimum per phase</w:t>
            </w:r>
          </w:p>
        </w:tc>
      </w:tr>
      <w:tr>
        <w:tc>
          <w:tcPr>
            <w:tcMar>
              <w:top w:w="60" w:type="dxa"/>
              <w:left w:w="80" w:type="dxa"/>
              <w:bottom w:w="60" w:type="dxa"/>
              <w:right w:w="80" w:type="dxa"/>
            </w:tcMar>
          </w:tcPr>
          <w:p>
            <w:pPr>
              <w:spacing w:after="0" w:line="260" w:lineRule="auto"/>
            </w:pPr>
            <w:r>
              <w:rPr>
                <w:color w:val="1a2a3a"/>
                <w:sz w:val="19"/>
              </w:rPr>
              <w:t>Ledger Freeze (T-4)</w:t>
            </w:r>
          </w:p>
        </w:tc>
        <w:tc>
          <w:tcPr>
            <w:tcMar>
              <w:top w:w="60" w:type="dxa"/>
              <w:left w:w="80" w:type="dxa"/>
              <w:bottom w:w="60" w:type="dxa"/>
              <w:right w:w="80" w:type="dxa"/>
            </w:tcMar>
          </w:tcPr>
          <w:p>
            <w:pPr>
              <w:spacing w:after="0" w:line="260" w:lineRule="auto"/>
            </w:pPr>
            <w:r>
              <w:rPr>
                <w:color w:val="1a2a3a"/>
                <w:sz w:val="19"/>
              </w:rPr>
              <w:t>No debits accrue during suspension</w:t>
            </w:r>
          </w:p>
        </w:tc>
      </w:tr>
      <w:tr>
        <w:tc>
          <w:tcPr>
            <w:tcMar>
              <w:top w:w="60" w:type="dxa"/>
              <w:left w:w="80" w:type="dxa"/>
              <w:bottom w:w="60" w:type="dxa"/>
              <w:right w:w="80" w:type="dxa"/>
            </w:tcMar>
          </w:tcPr>
          <w:p>
            <w:pPr>
              <w:spacing w:after="0" w:line="260" w:lineRule="auto"/>
            </w:pPr>
            <w:r>
              <w:rPr>
                <w:color w:val="1a2a3a"/>
                <w:sz w:val="19"/>
              </w:rPr>
              <w:t>Band Auto-Upgrade</w:t>
            </w:r>
          </w:p>
        </w:tc>
        <w:tc>
          <w:tcPr>
            <w:tcMar>
              <w:top w:w="60" w:type="dxa"/>
              <w:left w:w="80" w:type="dxa"/>
              <w:bottom w:w="60" w:type="dxa"/>
              <w:right w:w="80" w:type="dxa"/>
            </w:tcMar>
          </w:tcPr>
          <w:p>
            <w:pPr>
              <w:spacing w:after="0" w:line="260" w:lineRule="auto"/>
            </w:pPr>
            <w:r>
              <w:rPr>
                <w:color w:val="1a2a3a"/>
                <w:sz w:val="19"/>
              </w:rPr>
              <w:t>Caution+: Green&gt;Amber, Amber&gt;Red</w:t>
            </w:r>
          </w:p>
        </w:tc>
      </w:tr>
      <w:tr>
        <w:tc>
          <w:tcPr>
            <w:tcMar>
              <w:top w:w="60" w:type="dxa"/>
              <w:left w:w="80" w:type="dxa"/>
              <w:bottom w:w="60" w:type="dxa"/>
              <w:right w:w="80" w:type="dxa"/>
            </w:tcMar>
          </w:tcPr>
          <w:p>
            <w:pPr>
              <w:spacing w:after="0" w:line="260" w:lineRule="auto"/>
            </w:pPr>
            <w:r>
              <w:rPr>
                <w:color w:val="1a2a3a"/>
                <w:sz w:val="19"/>
              </w:rPr>
              <w:t>Notification Requirement</w:t>
            </w:r>
          </w:p>
        </w:tc>
        <w:tc>
          <w:tcPr>
            <w:tcMar>
              <w:top w:w="60" w:type="dxa"/>
              <w:left w:w="80" w:type="dxa"/>
              <w:bottom w:w="60" w:type="dxa"/>
              <w:right w:w="80" w:type="dxa"/>
            </w:tcMar>
          </w:tcPr>
          <w:p>
            <w:pPr>
              <w:spacing w:after="0" w:line="260" w:lineRule="auto"/>
            </w:pPr>
            <w:r>
              <w:rPr>
                <w:color w:val="1a2a3a"/>
                <w:sz w:val="19"/>
              </w:rPr>
              <w:t>T-4: 24hr; T-5: immediate; T-6: immediate</w:t>
            </w:r>
          </w:p>
        </w:tc>
      </w:tr>
    </w:tbl>
    <w:p>
      <w:pPr>
        <w:sectPr>
          <w:headerReference w:type="default" r:id="R822c91831b43433b"/>
          <w:footerReference w:type="default" r:id="R0f574fb0ea444d79"/>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58599763833e444d"/>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FFFFFF"/>
          <w:sz w:val="28"/>
        </w:rPr>
        <w:t>Hormuz Synchronization Compact v7.3</w:t>
      </w:r>
    </w:p>
    <w:p>
      <w:pPr>
        <w:spacing w:after="200"/>
        <w:jc w:val="center"/>
      </w:pPr>
      <w:r>
        <w:rPr>
          <w:color w:val="8ab4c7"/>
          <w:sz w:val="22"/>
        </w:rPr>
        <w:t>Negotiator's Guide</w:t>
      </w:r>
    </w:p>
    <w:p>
      <w:pPr>
        <w:spacing w:after="600"/>
        <w:jc w:val="center"/>
      </w:pPr>
      <w:r>
        <w:rPr>
          <w:color w:val="8aabb8"/>
          <w:sz w:val="20"/>
        </w:rPr>
        <w:t>For official use by authorized diplomatic personnel</w:t>
      </w:r>
    </w:p>
    <w:p>
      <w:pPr>
        <w:jc w:val="center"/>
      </w:pPr>
      <w:r>
        <w:rPr>
          <w:color w:val="7a95a5"/>
          <w:sz w:val="18"/>
        </w:rPr>
        <w:t>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95a5"/>
        <w:sz w:val="18"/>
      </w:rPr>
      <w:fldChar w:fldCharType="begin"/>
    </w:r>
    <w:r>
      <w:rPr>
        <w:color w:val="7a95a5"/>
        <w:sz w:val="18"/>
      </w:rPr>
      <w:instrText xml:space="preserve"> PAGE </w:instrText>
    </w:r>
    <w:r>
      <w:rPr>
        <w:color w:val="7a95a5"/>
        <w:sz w:val="18"/>
      </w:rPr>
      <w:fldChar w:fldCharType="separate"/>
    </w:r>
    <w:r>
      <w:rPr>
        <w:color w:val="7a95a5"/>
        <w:sz w:val="18"/>
      </w:rPr>
      <w:t>1</w:t>
    </w:r>
    <w:r>
      <w:rPr>
        <w:color w:val="7a95a5"/>
        <w:sz w:val="18"/>
      </w:rPr>
      <w:fldChar w:fldCharType="end"/>
    </w:r>
    <w:r>
      <w:rPr>
        <w:color w:val="7a95a5"/>
        <w:sz w:val="18"/>
      </w:rPr>
      <w:t xml:space="preserve"> / </w:t>
    </w:r>
    <w:r>
      <w:rPr>
        <w:color w:val="7a95a5"/>
        <w:sz w:val="18"/>
      </w:rPr>
      <w:fldChar w:fldCharType="begin"/>
    </w:r>
    <w:r>
      <w:rPr>
        <w:color w:val="7a95a5"/>
        <w:sz w:val="18"/>
      </w:rPr>
      <w:instrText xml:space="preserve"> NUMPAGES </w:instrText>
    </w:r>
    <w:r>
      <w:rPr>
        <w:color w:val="7a95a5"/>
        <w:sz w:val="18"/>
      </w:rPr>
      <w:fldChar w:fldCharType="separate"/>
    </w:r>
    <w:r>
      <w:rPr>
        <w:color w:val="7a95a5"/>
        <w:sz w:val="18"/>
      </w:rPr>
      <w:t>1</w:t>
    </w:r>
    <w:r>
      <w:rPr>
        <w:color w:val="7a95a5"/>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66b268effb54cf9"/>
                  <a:stretch>
                    <a:fillRect/>
                  </a:stretch>
                </pic:blipFill>
                <pic:spPr>
                  <a:xfrm>
                    <a:off x="0" y="0"/>
                    <a:ext cx="7560000" cy="10692000"/>
                  </a:xfrm>
                  <a:prstGeom prst="rect"/>
                </pic:spPr>
              </pic:pic>
            </a:graphicData>
          </a:graphic>
        </wp:anchor>
      </w:drawing>
    </w:r>
  </w:p>
  <w:p>
    <w:pPr>
      <w:jc w:val="right"/>
    </w:pPr>
    <w:r>
      <w:rPr>
        <w:color w:val="7a95a5"/>
        <w:sz w:val="18"/>
      </w:rPr>
      <w:t>Hormuz Compact v7.3 - Negotiator's Guide</w:t>
    </w:r>
  </w:p>
</w:hdr>
</file>

<file path=word/numbering.xml><?xml version="1.0" encoding="utf-8"?>
<w:numbering xmlns:w="http://schemas.openxmlformats.org/wordprocessingml/2006/main">
  <w:abstractNum w:abstractNumId="0">
    <w:lvl w:ilvl="0">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a2a3a"/>
      <w:sz w:val="21"/>
    </w:rPr>
  </w:style>
  <w:style w:type="paragraph" w:styleId="Heading1">
    <w:name w:val="heading 1"/>
    <w:basedOn w:val="Normal"/>
    <w:pPr>
      <w:keepNext/>
      <w:keepLines/>
      <w:spacing w:before="480" w:after="200"/>
      <w:outlineLvl w:val="0"/>
    </w:pPr>
    <w:rPr>
      <w:rFonts w:ascii="Calibri" w:hAnsi="Calibri" w:eastAsia="Microsoft YaHei"/>
      <w:b/>
      <w:color w:val="4a7c94"/>
      <w:sz w:val="36"/>
    </w:rPr>
  </w:style>
  <w:style w:type="paragraph" w:styleId="Heading2">
    <w:name w:val="heading 2"/>
    <w:basedOn w:val="Normal"/>
    <w:pPr>
      <w:keepNext/>
      <w:keepLines/>
      <w:spacing w:before="360" w:after="120"/>
      <w:outlineLvl w:val="1"/>
    </w:pPr>
    <w:rPr>
      <w:rFonts w:ascii="Calibri" w:hAnsi="Calibri" w:eastAsia="Microsoft YaHei"/>
      <w:b/>
      <w:color w:val="1a2a3a"/>
      <w:sz w:val="28"/>
    </w:rPr>
  </w:style>
  <w:style w:type="paragraph" w:styleId="Heading3">
    <w:name w:val="heading 3"/>
    <w:basedOn w:val="Normal"/>
    <w:pPr>
      <w:keepNext/>
      <w:keepLines/>
      <w:spacing w:before="280" w:after="80"/>
      <w:outlineLvl w:val="2"/>
    </w:pPr>
    <w:rPr>
      <w:rFonts w:ascii="Calibri" w:hAnsi="Calibri" w:eastAsia="Microsoft YaHei"/>
      <w:b/>
      <w:color w:val="3d5a6b"/>
      <w:sz w:val="24"/>
    </w:rPr>
  </w:style>
  <w:style w:type="paragraph" w:styleId="Caption">
    <w:name w:val="Caption"/>
    <w:basedOn w:val="Normal"/>
    <w:pPr>
      <w:spacing w:before="40" w:after="240"/>
      <w:jc w:val="center"/>
    </w:pPr>
    <w:rPr>
      <w:color w:val="7a95a5"/>
      <w:sz w:val="20"/>
    </w:rPr>
  </w:style>
  <w:style w:type="paragraph" w:styleId="TOC1">
    <w:name w:val="toc 1"/>
    <w:basedOn w:val="Normal"/>
    <w:pPr>
      <w:tabs>
        <w:tab w:val="right" w:leader="dot" w:pos="9350"/>
      </w:tabs>
      <w:spacing w:before="200" w:after="60"/>
      <w:ind w:left="0"/>
    </w:pPr>
    <w:rPr>
      <w:b/>
      <w:color w:val="1a2a3a"/>
    </w:rPr>
  </w:style>
  <w:style w:type="paragraph" w:styleId="TOC2">
    <w:name w:val="toc 2"/>
    <w:basedOn w:val="Normal"/>
    <w:pPr>
      <w:tabs>
        <w:tab w:val="right" w:leader="dot" w:pos="9350"/>
      </w:tabs>
      <w:spacing w:before="60" w:after="60"/>
      <w:ind w:left="360"/>
    </w:pPr>
    <w:rPr>
      <w:color w:val="3d5a6b"/>
    </w:rPr>
  </w:style>
  <w:style w:type="paragraph" w:styleId="TOC3">
    <w:name w:val="toc 3"/>
    <w:basedOn w:val="Normal"/>
    <w:pPr>
      <w:tabs>
        <w:tab w:val="right" w:leader="dot" w:pos="9350"/>
      </w:tabs>
      <w:spacing w:before="40" w:after="60"/>
      <w:ind w:left="720"/>
    </w:pPr>
    <w:rPr>
      <w:color w:val="3d5a6b"/>
    </w:rPr>
  </w:style>
  <w:style w:type="paragraph" w:styleId="AlertBox">
    <w:name w:val="Alert Box"/>
    <w:basedOn w:val="Normal"/>
    <w:pPr>
      <w:pBdr>
        <w:left w:val="single" w:color="b85c50" w:sz="12"/>
      </w:pBdr>
      <w:shd w:val="clear" w:fill="fdf2f2"/>
      <w:spacing w:before="120" w:after="120"/>
      <w:ind w:left="200" w:right="200"/>
    </w:pPr>
    <w:rPr>
      <w:color w:val="b85c50"/>
    </w:rPr>
  </w:style>
  <w:style w:type="paragraph" w:styleId="TipBox">
    <w:name w:val="Tip Box"/>
    <w:basedOn w:val="Normal"/>
    <w:pPr>
      <w:pBdr>
        <w:left w:val="single" w:color="5a8a6a" w:sz="12"/>
      </w:pBdr>
      <w:shd w:val="clear" w:fill="f0f7f2"/>
      <w:spacing w:before="120" w:after="120"/>
      <w:ind w:left="200" w:right="200"/>
    </w:pPr>
    <w:rPr>
      <w:color w:val="5a8a6a"/>
    </w:rPr>
  </w:style>
</w:styles>
</file>

<file path=word/_rels/document.xml.rels><?xml version='1.0' encoding='UTF-8'?>
<Relationships xmlns="http://schemas.openxmlformats.org/package/2006/relationships"><Relationship Type="http://schemas.openxmlformats.org/officeDocument/2006/relationships/styles" Target="styles.xml" Id="Rdca1e543efe447e5" /><Relationship Type="http://schemas.openxmlformats.org/officeDocument/2006/relationships/numbering" Target="numbering.xml" Id="R55903010199d46b8" /><Relationship Type="http://schemas.openxmlformats.org/officeDocument/2006/relationships/image" Target="media/image.png" Id="Re9de9c8244ab4a3d" /><Relationship Type="http://schemas.openxmlformats.org/officeDocument/2006/relationships/image" Target="media/image2.png" Id="R58599763833e444d" /><Relationship Type="http://schemas.openxmlformats.org/officeDocument/2006/relationships/header" Target="header1.xml" Id="R822c91831b43433b" /><Relationship Type="http://schemas.openxmlformats.org/officeDocument/2006/relationships/footer" Target="footer1.xml" Id="R0f574fb0ea444d79" /><Relationship Type="http://schemas.openxmlformats.org/officeDocument/2006/relationships/settings" Target="settings.xml" Id="Re4f40292e7fa430e" /></Relationships>
</file>

<file path=word/_rels/header1.xml.rels><?xml version='1.0' encoding='UTF-8'?>
<Relationships xmlns="http://schemas.openxmlformats.org/package/2006/relationships"><Relationship Type="http://schemas.openxmlformats.org/officeDocument/2006/relationships/image" Target="media/image3.png" Id="R466b268effb54cf9" /></Relationships>
</file>