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4A63" w14:textId="77777777" w:rsidR="006A3BC5" w:rsidRDefault="00000000">
      <w:pPr>
        <w:spacing w:before="800" w:after="60"/>
        <w:jc w:val="center"/>
      </w:pPr>
      <w:r w:rsidRPr="009C6A25">
        <w:rPr>
          <w:color w:val="78909C"/>
          <w:spacing w:val="30"/>
          <w:sz w:val="20"/>
          <w:szCs w:val="20"/>
        </w:rPr>
        <w:t>D I P L O M A T I C   W O R K I N G   D O C U M E N T</w:t>
      </w:r>
    </w:p>
    <w:p w14:paraId="23B268BD" w14:textId="77777777" w:rsidR="006A3BC5" w:rsidRDefault="006A3BC5">
      <w:pPr>
        <w:pBdr>
          <w:bottom w:val="single" w:sz="8" w:space="1" w:color="B8860B"/>
        </w:pBdr>
        <w:spacing w:before="120" w:after="120"/>
        <w:ind w:left="3600" w:right="3600"/>
      </w:pPr>
    </w:p>
    <w:p w14:paraId="0E68EAE9" w14:textId="77777777" w:rsidR="006A3BC5" w:rsidRDefault="00000000">
      <w:pPr>
        <w:spacing w:before="600" w:after="0"/>
        <w:jc w:val="center"/>
      </w:pPr>
      <w:r>
        <w:rPr>
          <w:b/>
          <w:color w:val="37474F"/>
          <w:sz w:val="64"/>
        </w:rPr>
        <w:t>Post-Crisis Reconstruction &amp;</w:t>
      </w:r>
    </w:p>
    <w:p w14:paraId="6A08B4B9" w14:textId="77777777" w:rsidR="006A3BC5" w:rsidRDefault="00000000">
      <w:pPr>
        <w:spacing w:after="120"/>
        <w:jc w:val="center"/>
      </w:pPr>
      <w:r>
        <w:rPr>
          <w:b/>
          <w:color w:val="37474F"/>
          <w:sz w:val="64"/>
        </w:rPr>
        <w:t>Reconciliation Track</w:t>
      </w:r>
    </w:p>
    <w:p w14:paraId="6B0A135E" w14:textId="77777777" w:rsidR="006A3BC5" w:rsidRDefault="00000000">
      <w:pPr>
        <w:spacing w:before="80" w:after="420"/>
        <w:jc w:val="center"/>
      </w:pPr>
      <w:r>
        <w:rPr>
          <w:color w:val="546E7A"/>
          <w:spacing w:val="60"/>
          <w:sz w:val="30"/>
        </w:rPr>
        <w:t>( P C R R T )</w:t>
      </w:r>
    </w:p>
    <w:p w14:paraId="7C95E825" w14:textId="77777777" w:rsidR="006A3BC5" w:rsidRDefault="00000000">
      <w:pPr>
        <w:spacing w:before="80" w:after="100"/>
        <w:jc w:val="center"/>
      </w:pPr>
      <w:r>
        <w:rPr>
          <w:b/>
          <w:sz w:val="30"/>
        </w:rPr>
        <w:t>The Auto-Renewal Bridge</w:t>
      </w:r>
    </w:p>
    <w:p w14:paraId="1DF7BBF8" w14:textId="77777777" w:rsidR="006A3BC5" w:rsidRDefault="00000000">
      <w:pPr>
        <w:spacing w:after="40"/>
        <w:jc w:val="center"/>
      </w:pPr>
      <w:r>
        <w:rPr>
          <w:color w:val="546E7A"/>
        </w:rPr>
        <w:t>A Rolling-Horizon Instrument for Stabilization, Reconstruction, and Reconciliation</w:t>
      </w:r>
    </w:p>
    <w:p w14:paraId="43F2DB8E" w14:textId="77777777" w:rsidR="006A3BC5" w:rsidRDefault="00000000">
      <w:pPr>
        <w:spacing w:after="700"/>
        <w:jc w:val="center"/>
      </w:pPr>
      <w:r>
        <w:rPr>
          <w:color w:val="546E7A"/>
        </w:rPr>
        <w:t>between the United States of America and the Islamic Republic of Iran</w:t>
      </w:r>
    </w:p>
    <w:p w14:paraId="56DDB4D8" w14:textId="77777777" w:rsidR="006A3BC5" w:rsidRDefault="006A3BC5">
      <w:pPr>
        <w:pBdr>
          <w:bottom w:val="single" w:sz="6" w:space="1" w:color="CDD6DB"/>
        </w:pBdr>
        <w:spacing w:before="120" w:after="120"/>
        <w:ind w:left="2600" w:right="2600"/>
      </w:pPr>
    </w:p>
    <w:p w14:paraId="126FAFA4" w14:textId="77777777" w:rsidR="006A3BC5" w:rsidRDefault="00000000">
      <w:pPr>
        <w:spacing w:before="260" w:after="60"/>
        <w:jc w:val="center"/>
      </w:pPr>
      <w:r>
        <w:rPr>
          <w:b/>
          <w:sz w:val="22"/>
        </w:rPr>
        <w:t>Version 2.0   |   22 July 2026</w:t>
      </w:r>
    </w:p>
    <w:p w14:paraId="61B1F301" w14:textId="77777777" w:rsidR="006A3BC5" w:rsidRDefault="00000000">
      <w:pPr>
        <w:spacing w:after="60"/>
        <w:jc w:val="center"/>
      </w:pPr>
      <w:r>
        <w:rPr>
          <w:color w:val="546E7A"/>
          <w:sz w:val="20"/>
        </w:rPr>
        <w:t>Status: Negotiation Draft, Subject to Revision</w:t>
      </w:r>
    </w:p>
    <w:p w14:paraId="02C451B2" w14:textId="77777777" w:rsidR="006A3BC5" w:rsidRDefault="00000000">
      <w:pPr>
        <w:spacing w:after="60"/>
        <w:jc w:val="center"/>
      </w:pPr>
      <w:r>
        <w:rPr>
          <w:color w:val="546E7A"/>
          <w:sz w:val="20"/>
        </w:rPr>
        <w:t>Supersedes: PCRRT v1.0 of 21 July 2026</w:t>
      </w:r>
    </w:p>
    <w:p w14:paraId="407ED575" w14:textId="77777777" w:rsidR="006A3BC5" w:rsidRDefault="00000000">
      <w:pPr>
        <w:spacing w:after="60"/>
        <w:jc w:val="center"/>
      </w:pPr>
      <w:r>
        <w:rPr>
          <w:color w:val="546E7A"/>
          <w:sz w:val="20"/>
        </w:rPr>
        <w:t>Negotiation Reference: PCRRT-2026-v2.0</w:t>
      </w:r>
    </w:p>
    <w:p w14:paraId="5CCFC165" w14:textId="77777777" w:rsidR="006A3BC5" w:rsidRDefault="00000000">
      <w:pPr>
        <w:spacing w:after="220"/>
        <w:jc w:val="center"/>
      </w:pPr>
      <w:r>
        <w:rPr>
          <w:b/>
          <w:sz w:val="20"/>
        </w:rPr>
        <w:t>Classification: Authorized Negotiators Only</w:t>
      </w:r>
    </w:p>
    <w:p w14:paraId="293B3302" w14:textId="77777777" w:rsidR="006A3BC5" w:rsidRDefault="00000000">
      <w:pPr>
        <w:spacing w:before="600" w:after="0"/>
        <w:jc w:val="center"/>
      </w:pPr>
      <w:r>
        <w:rPr>
          <w:color w:val="78909C"/>
          <w:sz w:val="18"/>
        </w:rPr>
        <w:t>Facilitation: Sultanate of Oman  ·  Swiss Confederation  ·  State of Qatar  ·  Islamic Republic of Pakistan</w:t>
      </w:r>
    </w:p>
    <w:p w14:paraId="5F209C1B" w14:textId="77777777" w:rsidR="006A3BC5" w:rsidRDefault="006A3BC5">
      <w:pPr>
        <w:sectPr w:rsidR="006A3BC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Borders w:offsetFrom="page">
            <w:top w:val="double" w:sz="12" w:space="24" w:color="37474F"/>
            <w:left w:val="double" w:sz="12" w:space="24" w:color="37474F"/>
            <w:bottom w:val="double" w:sz="12" w:space="24" w:color="37474F"/>
            <w:right w:val="double" w:sz="12" w:space="24" w:color="37474F"/>
          </w:pgBorders>
          <w:cols w:space="720"/>
          <w:titlePg/>
        </w:sectPr>
      </w:pPr>
    </w:p>
    <w:p w14:paraId="0111A37C" w14:textId="77777777" w:rsidR="006A3BC5" w:rsidRDefault="00000000">
      <w:pPr>
        <w:pStyle w:val="Heading1"/>
      </w:pPr>
      <w:bookmarkStart w:id="0" w:name="_Toc235569972"/>
      <w:r>
        <w:lastRenderedPageBreak/>
        <w:t>Table of Contents</w:t>
      </w:r>
      <w:bookmarkEnd w:id="0"/>
    </w:p>
    <w:p w14:paraId="640A6BD0" w14:textId="6364B8DF" w:rsidR="0024146A" w:rsidRDefault="00000000">
      <w:pPr>
        <w:pStyle w:val="TOC1"/>
        <w:rPr>
          <w:rFonts w:asciiTheme="minorHAnsi" w:eastAsiaTheme="minorEastAsia" w:hAnsiTheme="minorHAnsi"/>
          <w:b w:val="0"/>
          <w:noProof/>
          <w:color w:val="auto"/>
          <w:sz w:val="24"/>
        </w:rPr>
      </w:pPr>
      <w:r>
        <w:fldChar w:fldCharType="begin"/>
      </w:r>
      <w:r>
        <w:instrText xml:space="preserve"> TOC \o "1-2" \h \z \u </w:instrText>
      </w:r>
      <w:r>
        <w:fldChar w:fldCharType="separate"/>
      </w:r>
      <w:hyperlink w:anchor="_Toc235569972" w:history="1">
        <w:r w:rsidR="0024146A" w:rsidRPr="00C5605B">
          <w:rPr>
            <w:rStyle w:val="Hyperlink"/>
            <w:noProof/>
          </w:rPr>
          <w:t>Table of Contents</w:t>
        </w:r>
        <w:r w:rsidR="0024146A">
          <w:rPr>
            <w:noProof/>
            <w:webHidden/>
          </w:rPr>
          <w:tab/>
        </w:r>
        <w:r w:rsidR="0024146A">
          <w:rPr>
            <w:noProof/>
            <w:webHidden/>
          </w:rPr>
          <w:fldChar w:fldCharType="begin"/>
        </w:r>
        <w:r w:rsidR="0024146A">
          <w:rPr>
            <w:noProof/>
            <w:webHidden/>
          </w:rPr>
          <w:instrText xml:space="preserve"> PAGEREF _Toc235569972 \h </w:instrText>
        </w:r>
        <w:r w:rsidR="0024146A">
          <w:rPr>
            <w:noProof/>
            <w:webHidden/>
          </w:rPr>
        </w:r>
        <w:r w:rsidR="0024146A">
          <w:rPr>
            <w:noProof/>
            <w:webHidden/>
          </w:rPr>
          <w:fldChar w:fldCharType="separate"/>
        </w:r>
        <w:r w:rsidR="00340C20">
          <w:rPr>
            <w:noProof/>
            <w:webHidden/>
          </w:rPr>
          <w:t>2</w:t>
        </w:r>
        <w:r w:rsidR="0024146A">
          <w:rPr>
            <w:noProof/>
            <w:webHidden/>
          </w:rPr>
          <w:fldChar w:fldCharType="end"/>
        </w:r>
      </w:hyperlink>
    </w:p>
    <w:p w14:paraId="7ED6F6E8" w14:textId="6BE67773" w:rsidR="0024146A" w:rsidRDefault="0024146A">
      <w:pPr>
        <w:pStyle w:val="TOC1"/>
        <w:rPr>
          <w:rFonts w:asciiTheme="minorHAnsi" w:eastAsiaTheme="minorEastAsia" w:hAnsiTheme="minorHAnsi"/>
          <w:b w:val="0"/>
          <w:noProof/>
          <w:color w:val="auto"/>
          <w:sz w:val="24"/>
        </w:rPr>
      </w:pPr>
      <w:hyperlink w:anchor="_Toc235569973" w:history="1">
        <w:r w:rsidRPr="00C5605B">
          <w:rPr>
            <w:rStyle w:val="Hyperlink"/>
            <w:noProof/>
          </w:rPr>
          <w:t>Preamble: The Moment of 21 July 2026</w:t>
        </w:r>
        <w:r>
          <w:rPr>
            <w:noProof/>
            <w:webHidden/>
          </w:rPr>
          <w:tab/>
        </w:r>
        <w:r>
          <w:rPr>
            <w:noProof/>
            <w:webHidden/>
          </w:rPr>
          <w:fldChar w:fldCharType="begin"/>
        </w:r>
        <w:r>
          <w:rPr>
            <w:noProof/>
            <w:webHidden/>
          </w:rPr>
          <w:instrText xml:space="preserve"> PAGEREF _Toc235569973 \h </w:instrText>
        </w:r>
        <w:r>
          <w:rPr>
            <w:noProof/>
            <w:webHidden/>
          </w:rPr>
        </w:r>
        <w:r>
          <w:rPr>
            <w:noProof/>
            <w:webHidden/>
          </w:rPr>
          <w:fldChar w:fldCharType="separate"/>
        </w:r>
        <w:r w:rsidR="00340C20">
          <w:rPr>
            <w:noProof/>
            <w:webHidden/>
          </w:rPr>
          <w:t>5</w:t>
        </w:r>
        <w:r>
          <w:rPr>
            <w:noProof/>
            <w:webHidden/>
          </w:rPr>
          <w:fldChar w:fldCharType="end"/>
        </w:r>
      </w:hyperlink>
    </w:p>
    <w:p w14:paraId="17CB1526" w14:textId="0F49DF8A" w:rsidR="0024146A" w:rsidRDefault="0024146A">
      <w:pPr>
        <w:pStyle w:val="TOC1"/>
        <w:rPr>
          <w:rFonts w:asciiTheme="minorHAnsi" w:eastAsiaTheme="minorEastAsia" w:hAnsiTheme="minorHAnsi"/>
          <w:b w:val="0"/>
          <w:noProof/>
          <w:color w:val="auto"/>
          <w:sz w:val="24"/>
        </w:rPr>
      </w:pPr>
      <w:hyperlink w:anchor="_Toc235569974" w:history="1">
        <w:r w:rsidRPr="00C5605B">
          <w:rPr>
            <w:rStyle w:val="Hyperlink"/>
            <w:noProof/>
          </w:rPr>
          <w:t>Drafting Convention and Document Status</w:t>
        </w:r>
        <w:r>
          <w:rPr>
            <w:noProof/>
            <w:webHidden/>
          </w:rPr>
          <w:tab/>
        </w:r>
        <w:r>
          <w:rPr>
            <w:noProof/>
            <w:webHidden/>
          </w:rPr>
          <w:fldChar w:fldCharType="begin"/>
        </w:r>
        <w:r>
          <w:rPr>
            <w:noProof/>
            <w:webHidden/>
          </w:rPr>
          <w:instrText xml:space="preserve"> PAGEREF _Toc235569974 \h </w:instrText>
        </w:r>
        <w:r>
          <w:rPr>
            <w:noProof/>
            <w:webHidden/>
          </w:rPr>
        </w:r>
        <w:r>
          <w:rPr>
            <w:noProof/>
            <w:webHidden/>
          </w:rPr>
          <w:fldChar w:fldCharType="separate"/>
        </w:r>
        <w:r w:rsidR="00340C20">
          <w:rPr>
            <w:noProof/>
            <w:webHidden/>
          </w:rPr>
          <w:t>6</w:t>
        </w:r>
        <w:r>
          <w:rPr>
            <w:noProof/>
            <w:webHidden/>
          </w:rPr>
          <w:fldChar w:fldCharType="end"/>
        </w:r>
      </w:hyperlink>
    </w:p>
    <w:p w14:paraId="64F717D0" w14:textId="722214D0" w:rsidR="0024146A" w:rsidRDefault="0024146A">
      <w:pPr>
        <w:pStyle w:val="TOC1"/>
        <w:rPr>
          <w:rFonts w:asciiTheme="minorHAnsi" w:eastAsiaTheme="minorEastAsia" w:hAnsiTheme="minorHAnsi"/>
          <w:b w:val="0"/>
          <w:noProof/>
          <w:color w:val="auto"/>
          <w:sz w:val="24"/>
        </w:rPr>
      </w:pPr>
      <w:hyperlink w:anchor="_Toc235569975" w:history="1">
        <w:r w:rsidRPr="00C5605B">
          <w:rPr>
            <w:rStyle w:val="Hyperlink"/>
            <w:noProof/>
          </w:rPr>
          <w:t>Part I: Purpose and Architecture</w:t>
        </w:r>
        <w:r>
          <w:rPr>
            <w:noProof/>
            <w:webHidden/>
          </w:rPr>
          <w:tab/>
        </w:r>
        <w:r>
          <w:rPr>
            <w:noProof/>
            <w:webHidden/>
          </w:rPr>
          <w:fldChar w:fldCharType="begin"/>
        </w:r>
        <w:r>
          <w:rPr>
            <w:noProof/>
            <w:webHidden/>
          </w:rPr>
          <w:instrText xml:space="preserve"> PAGEREF _Toc235569975 \h </w:instrText>
        </w:r>
        <w:r>
          <w:rPr>
            <w:noProof/>
            <w:webHidden/>
          </w:rPr>
        </w:r>
        <w:r>
          <w:rPr>
            <w:noProof/>
            <w:webHidden/>
          </w:rPr>
          <w:fldChar w:fldCharType="separate"/>
        </w:r>
        <w:r w:rsidR="00340C20">
          <w:rPr>
            <w:noProof/>
            <w:webHidden/>
          </w:rPr>
          <w:t>6</w:t>
        </w:r>
        <w:r>
          <w:rPr>
            <w:noProof/>
            <w:webHidden/>
          </w:rPr>
          <w:fldChar w:fldCharType="end"/>
        </w:r>
      </w:hyperlink>
    </w:p>
    <w:p w14:paraId="76596B90" w14:textId="5ECC6C22" w:rsidR="0024146A" w:rsidRDefault="0024146A">
      <w:pPr>
        <w:pStyle w:val="TOC2"/>
        <w:rPr>
          <w:rFonts w:asciiTheme="minorHAnsi" w:eastAsiaTheme="minorEastAsia" w:hAnsiTheme="minorHAnsi"/>
          <w:noProof/>
          <w:color w:val="auto"/>
          <w:sz w:val="24"/>
        </w:rPr>
      </w:pPr>
      <w:hyperlink w:anchor="_Toc235569976" w:history="1">
        <w:r w:rsidRPr="00C5605B">
          <w:rPr>
            <w:rStyle w:val="Hyperlink"/>
            <w:noProof/>
          </w:rPr>
          <w:t>What This Track Does</w:t>
        </w:r>
        <w:r>
          <w:rPr>
            <w:noProof/>
            <w:webHidden/>
          </w:rPr>
          <w:tab/>
        </w:r>
        <w:r>
          <w:rPr>
            <w:noProof/>
            <w:webHidden/>
          </w:rPr>
          <w:fldChar w:fldCharType="begin"/>
        </w:r>
        <w:r>
          <w:rPr>
            <w:noProof/>
            <w:webHidden/>
          </w:rPr>
          <w:instrText xml:space="preserve"> PAGEREF _Toc235569976 \h </w:instrText>
        </w:r>
        <w:r>
          <w:rPr>
            <w:noProof/>
            <w:webHidden/>
          </w:rPr>
        </w:r>
        <w:r>
          <w:rPr>
            <w:noProof/>
            <w:webHidden/>
          </w:rPr>
          <w:fldChar w:fldCharType="separate"/>
        </w:r>
        <w:r w:rsidR="00340C20">
          <w:rPr>
            <w:noProof/>
            <w:webHidden/>
          </w:rPr>
          <w:t>6</w:t>
        </w:r>
        <w:r>
          <w:rPr>
            <w:noProof/>
            <w:webHidden/>
          </w:rPr>
          <w:fldChar w:fldCharType="end"/>
        </w:r>
      </w:hyperlink>
    </w:p>
    <w:p w14:paraId="5F806DD2" w14:textId="11A81C04" w:rsidR="0024146A" w:rsidRDefault="0024146A">
      <w:pPr>
        <w:pStyle w:val="TOC2"/>
        <w:rPr>
          <w:rFonts w:asciiTheme="minorHAnsi" w:eastAsiaTheme="minorEastAsia" w:hAnsiTheme="minorHAnsi"/>
          <w:noProof/>
          <w:color w:val="auto"/>
          <w:sz w:val="24"/>
        </w:rPr>
      </w:pPr>
      <w:hyperlink w:anchor="_Toc235569977" w:history="1">
        <w:r w:rsidRPr="00C5605B">
          <w:rPr>
            <w:rStyle w:val="Hyperlink"/>
            <w:noProof/>
          </w:rPr>
          <w:t>What This Track Does Not Do</w:t>
        </w:r>
        <w:r>
          <w:rPr>
            <w:noProof/>
            <w:webHidden/>
          </w:rPr>
          <w:tab/>
        </w:r>
        <w:r>
          <w:rPr>
            <w:noProof/>
            <w:webHidden/>
          </w:rPr>
          <w:fldChar w:fldCharType="begin"/>
        </w:r>
        <w:r>
          <w:rPr>
            <w:noProof/>
            <w:webHidden/>
          </w:rPr>
          <w:instrText xml:space="preserve"> PAGEREF _Toc235569977 \h </w:instrText>
        </w:r>
        <w:r>
          <w:rPr>
            <w:noProof/>
            <w:webHidden/>
          </w:rPr>
        </w:r>
        <w:r>
          <w:rPr>
            <w:noProof/>
            <w:webHidden/>
          </w:rPr>
          <w:fldChar w:fldCharType="separate"/>
        </w:r>
        <w:r w:rsidR="00340C20">
          <w:rPr>
            <w:noProof/>
            <w:webHidden/>
          </w:rPr>
          <w:t>6</w:t>
        </w:r>
        <w:r>
          <w:rPr>
            <w:noProof/>
            <w:webHidden/>
          </w:rPr>
          <w:fldChar w:fldCharType="end"/>
        </w:r>
      </w:hyperlink>
    </w:p>
    <w:p w14:paraId="5D01EA87" w14:textId="14736A9C" w:rsidR="0024146A" w:rsidRDefault="0024146A">
      <w:pPr>
        <w:pStyle w:val="TOC2"/>
        <w:rPr>
          <w:rFonts w:asciiTheme="minorHAnsi" w:eastAsiaTheme="minorEastAsia" w:hAnsiTheme="minorHAnsi"/>
          <w:noProof/>
          <w:color w:val="auto"/>
          <w:sz w:val="24"/>
        </w:rPr>
      </w:pPr>
      <w:hyperlink w:anchor="_Toc235569978" w:history="1">
        <w:r w:rsidRPr="00C5605B">
          <w:rPr>
            <w:rStyle w:val="Hyperlink"/>
            <w:noProof/>
          </w:rPr>
          <w:t>Relationship to the Islamabad Memorandum</w:t>
        </w:r>
        <w:r>
          <w:rPr>
            <w:noProof/>
            <w:webHidden/>
          </w:rPr>
          <w:tab/>
        </w:r>
        <w:r>
          <w:rPr>
            <w:noProof/>
            <w:webHidden/>
          </w:rPr>
          <w:fldChar w:fldCharType="begin"/>
        </w:r>
        <w:r>
          <w:rPr>
            <w:noProof/>
            <w:webHidden/>
          </w:rPr>
          <w:instrText xml:space="preserve"> PAGEREF _Toc235569978 \h </w:instrText>
        </w:r>
        <w:r>
          <w:rPr>
            <w:noProof/>
            <w:webHidden/>
          </w:rPr>
        </w:r>
        <w:r>
          <w:rPr>
            <w:noProof/>
            <w:webHidden/>
          </w:rPr>
          <w:fldChar w:fldCharType="separate"/>
        </w:r>
        <w:r w:rsidR="00340C20">
          <w:rPr>
            <w:noProof/>
            <w:webHidden/>
          </w:rPr>
          <w:t>7</w:t>
        </w:r>
        <w:r>
          <w:rPr>
            <w:noProof/>
            <w:webHidden/>
          </w:rPr>
          <w:fldChar w:fldCharType="end"/>
        </w:r>
      </w:hyperlink>
    </w:p>
    <w:p w14:paraId="2D8F23B2" w14:textId="415CA018" w:rsidR="0024146A" w:rsidRDefault="0024146A">
      <w:pPr>
        <w:pStyle w:val="TOC2"/>
        <w:rPr>
          <w:rFonts w:asciiTheme="minorHAnsi" w:eastAsiaTheme="minorEastAsia" w:hAnsiTheme="minorHAnsi"/>
          <w:noProof/>
          <w:color w:val="auto"/>
          <w:sz w:val="24"/>
        </w:rPr>
      </w:pPr>
      <w:hyperlink w:anchor="_Toc235569979" w:history="1">
        <w:r w:rsidRPr="00C5605B">
          <w:rPr>
            <w:rStyle w:val="Hyperlink"/>
            <w:noProof/>
          </w:rPr>
          <w:t>The Deal at a Glance</w:t>
        </w:r>
        <w:r>
          <w:rPr>
            <w:noProof/>
            <w:webHidden/>
          </w:rPr>
          <w:tab/>
        </w:r>
        <w:r>
          <w:rPr>
            <w:noProof/>
            <w:webHidden/>
          </w:rPr>
          <w:fldChar w:fldCharType="begin"/>
        </w:r>
        <w:r>
          <w:rPr>
            <w:noProof/>
            <w:webHidden/>
          </w:rPr>
          <w:instrText xml:space="preserve"> PAGEREF _Toc235569979 \h </w:instrText>
        </w:r>
        <w:r>
          <w:rPr>
            <w:noProof/>
            <w:webHidden/>
          </w:rPr>
        </w:r>
        <w:r>
          <w:rPr>
            <w:noProof/>
            <w:webHidden/>
          </w:rPr>
          <w:fldChar w:fldCharType="separate"/>
        </w:r>
        <w:r w:rsidR="00340C20">
          <w:rPr>
            <w:noProof/>
            <w:webHidden/>
          </w:rPr>
          <w:t>7</w:t>
        </w:r>
        <w:r>
          <w:rPr>
            <w:noProof/>
            <w:webHidden/>
          </w:rPr>
          <w:fldChar w:fldCharType="end"/>
        </w:r>
      </w:hyperlink>
    </w:p>
    <w:p w14:paraId="675937A8" w14:textId="54339625" w:rsidR="0024146A" w:rsidRDefault="0024146A">
      <w:pPr>
        <w:pStyle w:val="TOC1"/>
        <w:rPr>
          <w:rFonts w:asciiTheme="minorHAnsi" w:eastAsiaTheme="minorEastAsia" w:hAnsiTheme="minorHAnsi"/>
          <w:b w:val="0"/>
          <w:noProof/>
          <w:color w:val="auto"/>
          <w:sz w:val="24"/>
        </w:rPr>
      </w:pPr>
      <w:hyperlink w:anchor="_Toc235569980" w:history="1">
        <w:r w:rsidRPr="00C5605B">
          <w:rPr>
            <w:rStyle w:val="Hyperlink"/>
            <w:noProof/>
          </w:rPr>
          <w:t>Core Operating Principles</w:t>
        </w:r>
        <w:r>
          <w:rPr>
            <w:noProof/>
            <w:webHidden/>
          </w:rPr>
          <w:tab/>
        </w:r>
        <w:r>
          <w:rPr>
            <w:noProof/>
            <w:webHidden/>
          </w:rPr>
          <w:fldChar w:fldCharType="begin"/>
        </w:r>
        <w:r>
          <w:rPr>
            <w:noProof/>
            <w:webHidden/>
          </w:rPr>
          <w:instrText xml:space="preserve"> PAGEREF _Toc235569980 \h </w:instrText>
        </w:r>
        <w:r>
          <w:rPr>
            <w:noProof/>
            <w:webHidden/>
          </w:rPr>
        </w:r>
        <w:r>
          <w:rPr>
            <w:noProof/>
            <w:webHidden/>
          </w:rPr>
          <w:fldChar w:fldCharType="separate"/>
        </w:r>
        <w:r w:rsidR="00340C20">
          <w:rPr>
            <w:noProof/>
            <w:webHidden/>
          </w:rPr>
          <w:t>8</w:t>
        </w:r>
        <w:r>
          <w:rPr>
            <w:noProof/>
            <w:webHidden/>
          </w:rPr>
          <w:fldChar w:fldCharType="end"/>
        </w:r>
      </w:hyperlink>
    </w:p>
    <w:p w14:paraId="64B9199F" w14:textId="72BC1559" w:rsidR="0024146A" w:rsidRDefault="0024146A">
      <w:pPr>
        <w:pStyle w:val="TOC1"/>
        <w:rPr>
          <w:rFonts w:asciiTheme="minorHAnsi" w:eastAsiaTheme="minorEastAsia" w:hAnsiTheme="minorHAnsi"/>
          <w:b w:val="0"/>
          <w:noProof/>
          <w:color w:val="auto"/>
          <w:sz w:val="24"/>
        </w:rPr>
      </w:pPr>
      <w:hyperlink w:anchor="_Toc235569981" w:history="1">
        <w:r w:rsidRPr="00C5605B">
          <w:rPr>
            <w:rStyle w:val="Hyperlink"/>
            <w:noProof/>
          </w:rPr>
          <w:t>Article 1: The Rolling Horizon Engine</w:t>
        </w:r>
        <w:r>
          <w:rPr>
            <w:noProof/>
            <w:webHidden/>
          </w:rPr>
          <w:tab/>
        </w:r>
        <w:r>
          <w:rPr>
            <w:noProof/>
            <w:webHidden/>
          </w:rPr>
          <w:fldChar w:fldCharType="begin"/>
        </w:r>
        <w:r>
          <w:rPr>
            <w:noProof/>
            <w:webHidden/>
          </w:rPr>
          <w:instrText xml:space="preserve"> PAGEREF _Toc235569981 \h </w:instrText>
        </w:r>
        <w:r>
          <w:rPr>
            <w:noProof/>
            <w:webHidden/>
          </w:rPr>
        </w:r>
        <w:r>
          <w:rPr>
            <w:noProof/>
            <w:webHidden/>
          </w:rPr>
          <w:fldChar w:fldCharType="separate"/>
        </w:r>
        <w:r w:rsidR="00340C20">
          <w:rPr>
            <w:noProof/>
            <w:webHidden/>
          </w:rPr>
          <w:t>9</w:t>
        </w:r>
        <w:r>
          <w:rPr>
            <w:noProof/>
            <w:webHidden/>
          </w:rPr>
          <w:fldChar w:fldCharType="end"/>
        </w:r>
      </w:hyperlink>
    </w:p>
    <w:p w14:paraId="2C18D0B0" w14:textId="335C79DA" w:rsidR="0024146A" w:rsidRDefault="0024146A">
      <w:pPr>
        <w:pStyle w:val="TOC2"/>
        <w:rPr>
          <w:rFonts w:asciiTheme="minorHAnsi" w:eastAsiaTheme="minorEastAsia" w:hAnsiTheme="minorHAnsi"/>
          <w:noProof/>
          <w:color w:val="auto"/>
          <w:sz w:val="24"/>
        </w:rPr>
      </w:pPr>
      <w:hyperlink w:anchor="_Toc235569982" w:history="1">
        <w:r w:rsidRPr="00C5605B">
          <w:rPr>
            <w:rStyle w:val="Hyperlink"/>
            <w:noProof/>
          </w:rPr>
          <w:t>1.1 The Ninety-Day Cycle</w:t>
        </w:r>
        <w:r>
          <w:rPr>
            <w:noProof/>
            <w:webHidden/>
          </w:rPr>
          <w:tab/>
        </w:r>
        <w:r>
          <w:rPr>
            <w:noProof/>
            <w:webHidden/>
          </w:rPr>
          <w:fldChar w:fldCharType="begin"/>
        </w:r>
        <w:r>
          <w:rPr>
            <w:noProof/>
            <w:webHidden/>
          </w:rPr>
          <w:instrText xml:space="preserve"> PAGEREF _Toc235569982 \h </w:instrText>
        </w:r>
        <w:r>
          <w:rPr>
            <w:noProof/>
            <w:webHidden/>
          </w:rPr>
        </w:r>
        <w:r>
          <w:rPr>
            <w:noProof/>
            <w:webHidden/>
          </w:rPr>
          <w:fldChar w:fldCharType="separate"/>
        </w:r>
        <w:r w:rsidR="00340C20">
          <w:rPr>
            <w:noProof/>
            <w:webHidden/>
          </w:rPr>
          <w:t>9</w:t>
        </w:r>
        <w:r>
          <w:rPr>
            <w:noProof/>
            <w:webHidden/>
          </w:rPr>
          <w:fldChar w:fldCharType="end"/>
        </w:r>
      </w:hyperlink>
    </w:p>
    <w:p w14:paraId="4F0AC74E" w14:textId="5D890806" w:rsidR="0024146A" w:rsidRDefault="0024146A">
      <w:pPr>
        <w:pStyle w:val="TOC2"/>
        <w:rPr>
          <w:rFonts w:asciiTheme="minorHAnsi" w:eastAsiaTheme="minorEastAsia" w:hAnsiTheme="minorHAnsi"/>
          <w:noProof/>
          <w:color w:val="auto"/>
          <w:sz w:val="24"/>
        </w:rPr>
      </w:pPr>
      <w:hyperlink w:anchor="_Toc235569983" w:history="1">
        <w:r w:rsidRPr="00C5605B">
          <w:rPr>
            <w:rStyle w:val="Hyperlink"/>
            <w:noProof/>
          </w:rPr>
          <w:t>1.2 Automatic Renewal by Silence</w:t>
        </w:r>
        <w:r>
          <w:rPr>
            <w:noProof/>
            <w:webHidden/>
          </w:rPr>
          <w:tab/>
        </w:r>
        <w:r>
          <w:rPr>
            <w:noProof/>
            <w:webHidden/>
          </w:rPr>
          <w:fldChar w:fldCharType="begin"/>
        </w:r>
        <w:r>
          <w:rPr>
            <w:noProof/>
            <w:webHidden/>
          </w:rPr>
          <w:instrText xml:space="preserve"> PAGEREF _Toc235569983 \h </w:instrText>
        </w:r>
        <w:r>
          <w:rPr>
            <w:noProof/>
            <w:webHidden/>
          </w:rPr>
        </w:r>
        <w:r>
          <w:rPr>
            <w:noProof/>
            <w:webHidden/>
          </w:rPr>
          <w:fldChar w:fldCharType="separate"/>
        </w:r>
        <w:r w:rsidR="00340C20">
          <w:rPr>
            <w:noProof/>
            <w:webHidden/>
          </w:rPr>
          <w:t>9</w:t>
        </w:r>
        <w:r>
          <w:rPr>
            <w:noProof/>
            <w:webHidden/>
          </w:rPr>
          <w:fldChar w:fldCharType="end"/>
        </w:r>
      </w:hyperlink>
    </w:p>
    <w:p w14:paraId="6B8CCD3B" w14:textId="4A1EFE18" w:rsidR="0024146A" w:rsidRDefault="0024146A">
      <w:pPr>
        <w:pStyle w:val="TOC2"/>
        <w:rPr>
          <w:rFonts w:asciiTheme="minorHAnsi" w:eastAsiaTheme="minorEastAsia" w:hAnsiTheme="minorHAnsi"/>
          <w:noProof/>
          <w:color w:val="auto"/>
          <w:sz w:val="24"/>
        </w:rPr>
      </w:pPr>
      <w:hyperlink w:anchor="_Toc235569984" w:history="1">
        <w:r w:rsidRPr="00C5605B">
          <w:rPr>
            <w:rStyle w:val="Hyperlink"/>
            <w:noProof/>
          </w:rPr>
          <w:t>1.3 The Sixty-Day Notice and the Thirty-Day Cooling Window</w:t>
        </w:r>
        <w:r>
          <w:rPr>
            <w:noProof/>
            <w:webHidden/>
          </w:rPr>
          <w:tab/>
        </w:r>
        <w:r>
          <w:rPr>
            <w:noProof/>
            <w:webHidden/>
          </w:rPr>
          <w:fldChar w:fldCharType="begin"/>
        </w:r>
        <w:r>
          <w:rPr>
            <w:noProof/>
            <w:webHidden/>
          </w:rPr>
          <w:instrText xml:space="preserve"> PAGEREF _Toc235569984 \h </w:instrText>
        </w:r>
        <w:r>
          <w:rPr>
            <w:noProof/>
            <w:webHidden/>
          </w:rPr>
        </w:r>
        <w:r>
          <w:rPr>
            <w:noProof/>
            <w:webHidden/>
          </w:rPr>
          <w:fldChar w:fldCharType="separate"/>
        </w:r>
        <w:r w:rsidR="00340C20">
          <w:rPr>
            <w:noProof/>
            <w:webHidden/>
          </w:rPr>
          <w:t>9</w:t>
        </w:r>
        <w:r>
          <w:rPr>
            <w:noProof/>
            <w:webHidden/>
          </w:rPr>
          <w:fldChar w:fldCharType="end"/>
        </w:r>
      </w:hyperlink>
    </w:p>
    <w:p w14:paraId="13AA3EBB" w14:textId="642F2BA1" w:rsidR="0024146A" w:rsidRDefault="0024146A">
      <w:pPr>
        <w:pStyle w:val="TOC2"/>
        <w:rPr>
          <w:rFonts w:asciiTheme="minorHAnsi" w:eastAsiaTheme="minorEastAsia" w:hAnsiTheme="minorHAnsi"/>
          <w:noProof/>
          <w:color w:val="auto"/>
          <w:sz w:val="24"/>
        </w:rPr>
      </w:pPr>
      <w:hyperlink w:anchor="_Toc235569985" w:history="1">
        <w:r w:rsidRPr="00C5605B">
          <w:rPr>
            <w:rStyle w:val="Hyperlink"/>
            <w:noProof/>
          </w:rPr>
          <w:t>1.4 The Confidence Escalator</w:t>
        </w:r>
        <w:r>
          <w:rPr>
            <w:noProof/>
            <w:webHidden/>
          </w:rPr>
          <w:tab/>
        </w:r>
        <w:r>
          <w:rPr>
            <w:noProof/>
            <w:webHidden/>
          </w:rPr>
          <w:fldChar w:fldCharType="begin"/>
        </w:r>
        <w:r>
          <w:rPr>
            <w:noProof/>
            <w:webHidden/>
          </w:rPr>
          <w:instrText xml:space="preserve"> PAGEREF _Toc235569985 \h </w:instrText>
        </w:r>
        <w:r>
          <w:rPr>
            <w:noProof/>
            <w:webHidden/>
          </w:rPr>
        </w:r>
        <w:r>
          <w:rPr>
            <w:noProof/>
            <w:webHidden/>
          </w:rPr>
          <w:fldChar w:fldCharType="separate"/>
        </w:r>
        <w:r w:rsidR="00340C20">
          <w:rPr>
            <w:noProof/>
            <w:webHidden/>
          </w:rPr>
          <w:t>9</w:t>
        </w:r>
        <w:r>
          <w:rPr>
            <w:noProof/>
            <w:webHidden/>
          </w:rPr>
          <w:fldChar w:fldCharType="end"/>
        </w:r>
      </w:hyperlink>
    </w:p>
    <w:p w14:paraId="05354DCD" w14:textId="55033048" w:rsidR="0024146A" w:rsidRDefault="0024146A">
      <w:pPr>
        <w:pStyle w:val="TOC2"/>
        <w:rPr>
          <w:rFonts w:asciiTheme="minorHAnsi" w:eastAsiaTheme="minorEastAsia" w:hAnsiTheme="minorHAnsi"/>
          <w:noProof/>
          <w:color w:val="auto"/>
          <w:sz w:val="24"/>
        </w:rPr>
      </w:pPr>
      <w:hyperlink w:anchor="_Toc235569986" w:history="1">
        <w:r w:rsidRPr="00C5605B">
          <w:rPr>
            <w:rStyle w:val="Hyperlink"/>
            <w:noProof/>
          </w:rPr>
          <w:t>1.5 Graduation Between Cycles</w:t>
        </w:r>
        <w:r>
          <w:rPr>
            <w:noProof/>
            <w:webHidden/>
          </w:rPr>
          <w:tab/>
        </w:r>
        <w:r>
          <w:rPr>
            <w:noProof/>
            <w:webHidden/>
          </w:rPr>
          <w:fldChar w:fldCharType="begin"/>
        </w:r>
        <w:r>
          <w:rPr>
            <w:noProof/>
            <w:webHidden/>
          </w:rPr>
          <w:instrText xml:space="preserve"> PAGEREF _Toc235569986 \h </w:instrText>
        </w:r>
        <w:r>
          <w:rPr>
            <w:noProof/>
            <w:webHidden/>
          </w:rPr>
        </w:r>
        <w:r>
          <w:rPr>
            <w:noProof/>
            <w:webHidden/>
          </w:rPr>
          <w:fldChar w:fldCharType="separate"/>
        </w:r>
        <w:r w:rsidR="00340C20">
          <w:rPr>
            <w:noProof/>
            <w:webHidden/>
          </w:rPr>
          <w:t>10</w:t>
        </w:r>
        <w:r>
          <w:rPr>
            <w:noProof/>
            <w:webHidden/>
          </w:rPr>
          <w:fldChar w:fldCharType="end"/>
        </w:r>
      </w:hyperlink>
    </w:p>
    <w:p w14:paraId="68F657FC" w14:textId="535A92DE" w:rsidR="0024146A" w:rsidRDefault="0024146A">
      <w:pPr>
        <w:pStyle w:val="TOC1"/>
        <w:rPr>
          <w:rFonts w:asciiTheme="minorHAnsi" w:eastAsiaTheme="minorEastAsia" w:hAnsiTheme="minorHAnsi"/>
          <w:b w:val="0"/>
          <w:noProof/>
          <w:color w:val="auto"/>
          <w:sz w:val="24"/>
        </w:rPr>
      </w:pPr>
      <w:hyperlink w:anchor="_Toc235569987" w:history="1">
        <w:r w:rsidRPr="00C5605B">
          <w:rPr>
            <w:rStyle w:val="Hyperlink"/>
            <w:noProof/>
          </w:rPr>
          <w:t>Article 2: Phase 0: The Back-Channel Pre-Negotiation (Days 1-14)</w:t>
        </w:r>
        <w:r>
          <w:rPr>
            <w:noProof/>
            <w:webHidden/>
          </w:rPr>
          <w:tab/>
        </w:r>
        <w:r>
          <w:rPr>
            <w:noProof/>
            <w:webHidden/>
          </w:rPr>
          <w:fldChar w:fldCharType="begin"/>
        </w:r>
        <w:r>
          <w:rPr>
            <w:noProof/>
            <w:webHidden/>
          </w:rPr>
          <w:instrText xml:space="preserve"> PAGEREF _Toc235569987 \h </w:instrText>
        </w:r>
        <w:r>
          <w:rPr>
            <w:noProof/>
            <w:webHidden/>
          </w:rPr>
        </w:r>
        <w:r>
          <w:rPr>
            <w:noProof/>
            <w:webHidden/>
          </w:rPr>
          <w:fldChar w:fldCharType="separate"/>
        </w:r>
        <w:r w:rsidR="00340C20">
          <w:rPr>
            <w:noProof/>
            <w:webHidden/>
          </w:rPr>
          <w:t>10</w:t>
        </w:r>
        <w:r>
          <w:rPr>
            <w:noProof/>
            <w:webHidden/>
          </w:rPr>
          <w:fldChar w:fldCharType="end"/>
        </w:r>
      </w:hyperlink>
    </w:p>
    <w:p w14:paraId="4D9A4652" w14:textId="0E123CA5" w:rsidR="0024146A" w:rsidRDefault="0024146A">
      <w:pPr>
        <w:pStyle w:val="TOC2"/>
        <w:rPr>
          <w:rFonts w:asciiTheme="minorHAnsi" w:eastAsiaTheme="minorEastAsia" w:hAnsiTheme="minorHAnsi"/>
          <w:noProof/>
          <w:color w:val="auto"/>
          <w:sz w:val="24"/>
        </w:rPr>
      </w:pPr>
      <w:hyperlink w:anchor="_Toc235569988" w:history="1">
        <w:r w:rsidRPr="00C5605B">
          <w:rPr>
            <w:rStyle w:val="Hyperlink"/>
            <w:noProof/>
          </w:rPr>
          <w:t>2.1 Channel Architecture</w:t>
        </w:r>
        <w:r>
          <w:rPr>
            <w:noProof/>
            <w:webHidden/>
          </w:rPr>
          <w:tab/>
        </w:r>
        <w:r>
          <w:rPr>
            <w:noProof/>
            <w:webHidden/>
          </w:rPr>
          <w:fldChar w:fldCharType="begin"/>
        </w:r>
        <w:r>
          <w:rPr>
            <w:noProof/>
            <w:webHidden/>
          </w:rPr>
          <w:instrText xml:space="preserve"> PAGEREF _Toc235569988 \h </w:instrText>
        </w:r>
        <w:r>
          <w:rPr>
            <w:noProof/>
            <w:webHidden/>
          </w:rPr>
        </w:r>
        <w:r>
          <w:rPr>
            <w:noProof/>
            <w:webHidden/>
          </w:rPr>
          <w:fldChar w:fldCharType="separate"/>
        </w:r>
        <w:r w:rsidR="00340C20">
          <w:rPr>
            <w:noProof/>
            <w:webHidden/>
          </w:rPr>
          <w:t>10</w:t>
        </w:r>
        <w:r>
          <w:rPr>
            <w:noProof/>
            <w:webHidden/>
          </w:rPr>
          <w:fldChar w:fldCharType="end"/>
        </w:r>
      </w:hyperlink>
    </w:p>
    <w:p w14:paraId="3288A795" w14:textId="493574DD" w:rsidR="0024146A" w:rsidRDefault="0024146A">
      <w:pPr>
        <w:pStyle w:val="TOC2"/>
        <w:rPr>
          <w:rFonts w:asciiTheme="minorHAnsi" w:eastAsiaTheme="minorEastAsia" w:hAnsiTheme="minorHAnsi"/>
          <w:noProof/>
          <w:color w:val="auto"/>
          <w:sz w:val="24"/>
        </w:rPr>
      </w:pPr>
      <w:hyperlink w:anchor="_Toc235569989" w:history="1">
        <w:r w:rsidRPr="00C5605B">
          <w:rPr>
            <w:rStyle w:val="Hyperlink"/>
            <w:noProof/>
          </w:rPr>
          <w:t>2.2 Agenda Discipline</w:t>
        </w:r>
        <w:r>
          <w:rPr>
            <w:noProof/>
            <w:webHidden/>
          </w:rPr>
          <w:tab/>
        </w:r>
        <w:r>
          <w:rPr>
            <w:noProof/>
            <w:webHidden/>
          </w:rPr>
          <w:fldChar w:fldCharType="begin"/>
        </w:r>
        <w:r>
          <w:rPr>
            <w:noProof/>
            <w:webHidden/>
          </w:rPr>
          <w:instrText xml:space="preserve"> PAGEREF _Toc235569989 \h </w:instrText>
        </w:r>
        <w:r>
          <w:rPr>
            <w:noProof/>
            <w:webHidden/>
          </w:rPr>
        </w:r>
        <w:r>
          <w:rPr>
            <w:noProof/>
            <w:webHidden/>
          </w:rPr>
          <w:fldChar w:fldCharType="separate"/>
        </w:r>
        <w:r w:rsidR="00340C20">
          <w:rPr>
            <w:noProof/>
            <w:webHidden/>
          </w:rPr>
          <w:t>10</w:t>
        </w:r>
        <w:r>
          <w:rPr>
            <w:noProof/>
            <w:webHidden/>
          </w:rPr>
          <w:fldChar w:fldCharType="end"/>
        </w:r>
      </w:hyperlink>
    </w:p>
    <w:p w14:paraId="3F91D945" w14:textId="26E68913" w:rsidR="0024146A" w:rsidRDefault="0024146A">
      <w:pPr>
        <w:pStyle w:val="TOC2"/>
        <w:rPr>
          <w:rFonts w:asciiTheme="minorHAnsi" w:eastAsiaTheme="minorEastAsia" w:hAnsiTheme="minorHAnsi"/>
          <w:noProof/>
          <w:color w:val="auto"/>
          <w:sz w:val="24"/>
        </w:rPr>
      </w:pPr>
      <w:hyperlink w:anchor="_Toc235569990" w:history="1">
        <w:r w:rsidRPr="00C5605B">
          <w:rPr>
            <w:rStyle w:val="Hyperlink"/>
            <w:noProof/>
          </w:rPr>
          <w:t>2.3 The Confidence Signals</w:t>
        </w:r>
        <w:r>
          <w:rPr>
            <w:noProof/>
            <w:webHidden/>
          </w:rPr>
          <w:tab/>
        </w:r>
        <w:r>
          <w:rPr>
            <w:noProof/>
            <w:webHidden/>
          </w:rPr>
          <w:fldChar w:fldCharType="begin"/>
        </w:r>
        <w:r>
          <w:rPr>
            <w:noProof/>
            <w:webHidden/>
          </w:rPr>
          <w:instrText xml:space="preserve"> PAGEREF _Toc235569990 \h </w:instrText>
        </w:r>
        <w:r>
          <w:rPr>
            <w:noProof/>
            <w:webHidden/>
          </w:rPr>
        </w:r>
        <w:r>
          <w:rPr>
            <w:noProof/>
            <w:webHidden/>
          </w:rPr>
          <w:fldChar w:fldCharType="separate"/>
        </w:r>
        <w:r w:rsidR="00340C20">
          <w:rPr>
            <w:noProof/>
            <w:webHidden/>
          </w:rPr>
          <w:t>10</w:t>
        </w:r>
        <w:r>
          <w:rPr>
            <w:noProof/>
            <w:webHidden/>
          </w:rPr>
          <w:fldChar w:fldCharType="end"/>
        </w:r>
      </w:hyperlink>
    </w:p>
    <w:p w14:paraId="5948F33F" w14:textId="734F29B8" w:rsidR="0024146A" w:rsidRDefault="0024146A">
      <w:pPr>
        <w:pStyle w:val="TOC2"/>
        <w:rPr>
          <w:rFonts w:asciiTheme="minorHAnsi" w:eastAsiaTheme="minorEastAsia" w:hAnsiTheme="minorHAnsi"/>
          <w:noProof/>
          <w:color w:val="auto"/>
          <w:sz w:val="24"/>
        </w:rPr>
      </w:pPr>
      <w:hyperlink w:anchor="_Toc235569991" w:history="1">
        <w:r w:rsidRPr="00C5605B">
          <w:rPr>
            <w:rStyle w:val="Hyperlink"/>
            <w:noProof/>
          </w:rPr>
          <w:t>2.4 The Letter of Intent</w:t>
        </w:r>
        <w:r>
          <w:rPr>
            <w:noProof/>
            <w:webHidden/>
          </w:rPr>
          <w:tab/>
        </w:r>
        <w:r>
          <w:rPr>
            <w:noProof/>
            <w:webHidden/>
          </w:rPr>
          <w:fldChar w:fldCharType="begin"/>
        </w:r>
        <w:r>
          <w:rPr>
            <w:noProof/>
            <w:webHidden/>
          </w:rPr>
          <w:instrText xml:space="preserve"> PAGEREF _Toc235569991 \h </w:instrText>
        </w:r>
        <w:r>
          <w:rPr>
            <w:noProof/>
            <w:webHidden/>
          </w:rPr>
        </w:r>
        <w:r>
          <w:rPr>
            <w:noProof/>
            <w:webHidden/>
          </w:rPr>
          <w:fldChar w:fldCharType="separate"/>
        </w:r>
        <w:r w:rsidR="00340C20">
          <w:rPr>
            <w:noProof/>
            <w:webHidden/>
          </w:rPr>
          <w:t>11</w:t>
        </w:r>
        <w:r>
          <w:rPr>
            <w:noProof/>
            <w:webHidden/>
          </w:rPr>
          <w:fldChar w:fldCharType="end"/>
        </w:r>
      </w:hyperlink>
    </w:p>
    <w:p w14:paraId="5EA8A727" w14:textId="22B082ED" w:rsidR="0024146A" w:rsidRDefault="0024146A">
      <w:pPr>
        <w:pStyle w:val="TOC2"/>
        <w:rPr>
          <w:rFonts w:asciiTheme="minorHAnsi" w:eastAsiaTheme="minorEastAsia" w:hAnsiTheme="minorHAnsi"/>
          <w:noProof/>
          <w:color w:val="auto"/>
          <w:sz w:val="24"/>
        </w:rPr>
      </w:pPr>
      <w:hyperlink w:anchor="_Toc235569992" w:history="1">
        <w:r w:rsidRPr="00C5605B">
          <w:rPr>
            <w:rStyle w:val="Hyperlink"/>
            <w:noProof/>
          </w:rPr>
          <w:t>2.5 The Leak Shield</w:t>
        </w:r>
        <w:r>
          <w:rPr>
            <w:noProof/>
            <w:webHidden/>
          </w:rPr>
          <w:tab/>
        </w:r>
        <w:r>
          <w:rPr>
            <w:noProof/>
            <w:webHidden/>
          </w:rPr>
          <w:fldChar w:fldCharType="begin"/>
        </w:r>
        <w:r>
          <w:rPr>
            <w:noProof/>
            <w:webHidden/>
          </w:rPr>
          <w:instrText xml:space="preserve"> PAGEREF _Toc235569992 \h </w:instrText>
        </w:r>
        <w:r>
          <w:rPr>
            <w:noProof/>
            <w:webHidden/>
          </w:rPr>
        </w:r>
        <w:r>
          <w:rPr>
            <w:noProof/>
            <w:webHidden/>
          </w:rPr>
          <w:fldChar w:fldCharType="separate"/>
        </w:r>
        <w:r w:rsidR="00340C20">
          <w:rPr>
            <w:noProof/>
            <w:webHidden/>
          </w:rPr>
          <w:t>11</w:t>
        </w:r>
        <w:r>
          <w:rPr>
            <w:noProof/>
            <w:webHidden/>
          </w:rPr>
          <w:fldChar w:fldCharType="end"/>
        </w:r>
      </w:hyperlink>
    </w:p>
    <w:p w14:paraId="07217942" w14:textId="0F5896D9" w:rsidR="0024146A" w:rsidRDefault="0024146A">
      <w:pPr>
        <w:pStyle w:val="TOC1"/>
        <w:rPr>
          <w:rFonts w:asciiTheme="minorHAnsi" w:eastAsiaTheme="minorEastAsia" w:hAnsiTheme="minorHAnsi"/>
          <w:b w:val="0"/>
          <w:noProof/>
          <w:color w:val="auto"/>
          <w:sz w:val="24"/>
        </w:rPr>
      </w:pPr>
      <w:hyperlink w:anchor="_Toc235569993" w:history="1">
        <w:r w:rsidRPr="00C5605B">
          <w:rPr>
            <w:rStyle w:val="Hyperlink"/>
            <w:noProof/>
          </w:rPr>
          <w:t>Article 3: Cycle 1: The Maritime Safety Protocol (Days 1-90)</w:t>
        </w:r>
        <w:r>
          <w:rPr>
            <w:noProof/>
            <w:webHidden/>
          </w:rPr>
          <w:tab/>
        </w:r>
        <w:r>
          <w:rPr>
            <w:noProof/>
            <w:webHidden/>
          </w:rPr>
          <w:fldChar w:fldCharType="begin"/>
        </w:r>
        <w:r>
          <w:rPr>
            <w:noProof/>
            <w:webHidden/>
          </w:rPr>
          <w:instrText xml:space="preserve"> PAGEREF _Toc235569993 \h </w:instrText>
        </w:r>
        <w:r>
          <w:rPr>
            <w:noProof/>
            <w:webHidden/>
          </w:rPr>
        </w:r>
        <w:r>
          <w:rPr>
            <w:noProof/>
            <w:webHidden/>
          </w:rPr>
          <w:fldChar w:fldCharType="separate"/>
        </w:r>
        <w:r w:rsidR="00340C20">
          <w:rPr>
            <w:noProof/>
            <w:webHidden/>
          </w:rPr>
          <w:t>11</w:t>
        </w:r>
        <w:r>
          <w:rPr>
            <w:noProof/>
            <w:webHidden/>
          </w:rPr>
          <w:fldChar w:fldCharType="end"/>
        </w:r>
      </w:hyperlink>
    </w:p>
    <w:p w14:paraId="2A3596A5" w14:textId="53CD5C49" w:rsidR="0024146A" w:rsidRDefault="0024146A">
      <w:pPr>
        <w:pStyle w:val="TOC2"/>
        <w:rPr>
          <w:rFonts w:asciiTheme="minorHAnsi" w:eastAsiaTheme="minorEastAsia" w:hAnsiTheme="minorHAnsi"/>
          <w:noProof/>
          <w:color w:val="auto"/>
          <w:sz w:val="24"/>
        </w:rPr>
      </w:pPr>
      <w:hyperlink w:anchor="_Toc235569994" w:history="1">
        <w:r w:rsidRPr="00C5605B">
          <w:rPr>
            <w:rStyle w:val="Hyperlink"/>
            <w:noProof/>
          </w:rPr>
          <w:t>3.1 Deliverable and Scope</w:t>
        </w:r>
        <w:r>
          <w:rPr>
            <w:noProof/>
            <w:webHidden/>
          </w:rPr>
          <w:tab/>
        </w:r>
        <w:r>
          <w:rPr>
            <w:noProof/>
            <w:webHidden/>
          </w:rPr>
          <w:fldChar w:fldCharType="begin"/>
        </w:r>
        <w:r>
          <w:rPr>
            <w:noProof/>
            <w:webHidden/>
          </w:rPr>
          <w:instrText xml:space="preserve"> PAGEREF _Toc235569994 \h </w:instrText>
        </w:r>
        <w:r>
          <w:rPr>
            <w:noProof/>
            <w:webHidden/>
          </w:rPr>
        </w:r>
        <w:r>
          <w:rPr>
            <w:noProof/>
            <w:webHidden/>
          </w:rPr>
          <w:fldChar w:fldCharType="separate"/>
        </w:r>
        <w:r w:rsidR="00340C20">
          <w:rPr>
            <w:noProof/>
            <w:webHidden/>
          </w:rPr>
          <w:t>11</w:t>
        </w:r>
        <w:r>
          <w:rPr>
            <w:noProof/>
            <w:webHidden/>
          </w:rPr>
          <w:fldChar w:fldCharType="end"/>
        </w:r>
      </w:hyperlink>
    </w:p>
    <w:p w14:paraId="64E0FE39" w14:textId="3E64455A" w:rsidR="0024146A" w:rsidRDefault="0024146A">
      <w:pPr>
        <w:pStyle w:val="TOC2"/>
        <w:rPr>
          <w:rFonts w:asciiTheme="minorHAnsi" w:eastAsiaTheme="minorEastAsia" w:hAnsiTheme="minorHAnsi"/>
          <w:noProof/>
          <w:color w:val="auto"/>
          <w:sz w:val="24"/>
        </w:rPr>
      </w:pPr>
      <w:hyperlink w:anchor="_Toc235569995" w:history="1">
        <w:r w:rsidRPr="00C5605B">
          <w:rPr>
            <w:rStyle w:val="Hyperlink"/>
            <w:noProof/>
          </w:rPr>
          <w:t>3.2 The Reciprocal Obligation Pairs</w:t>
        </w:r>
        <w:r>
          <w:rPr>
            <w:noProof/>
            <w:webHidden/>
          </w:rPr>
          <w:tab/>
        </w:r>
        <w:r>
          <w:rPr>
            <w:noProof/>
            <w:webHidden/>
          </w:rPr>
          <w:fldChar w:fldCharType="begin"/>
        </w:r>
        <w:r>
          <w:rPr>
            <w:noProof/>
            <w:webHidden/>
          </w:rPr>
          <w:instrText xml:space="preserve"> PAGEREF _Toc235569995 \h </w:instrText>
        </w:r>
        <w:r>
          <w:rPr>
            <w:noProof/>
            <w:webHidden/>
          </w:rPr>
        </w:r>
        <w:r>
          <w:rPr>
            <w:noProof/>
            <w:webHidden/>
          </w:rPr>
          <w:fldChar w:fldCharType="separate"/>
        </w:r>
        <w:r w:rsidR="00340C20">
          <w:rPr>
            <w:noProof/>
            <w:webHidden/>
          </w:rPr>
          <w:t>11</w:t>
        </w:r>
        <w:r>
          <w:rPr>
            <w:noProof/>
            <w:webHidden/>
          </w:rPr>
          <w:fldChar w:fldCharType="end"/>
        </w:r>
      </w:hyperlink>
    </w:p>
    <w:p w14:paraId="2685B916" w14:textId="51F37D1C" w:rsidR="0024146A" w:rsidRDefault="0024146A">
      <w:pPr>
        <w:pStyle w:val="TOC2"/>
        <w:rPr>
          <w:rFonts w:asciiTheme="minorHAnsi" w:eastAsiaTheme="minorEastAsia" w:hAnsiTheme="minorHAnsi"/>
          <w:noProof/>
          <w:color w:val="auto"/>
          <w:sz w:val="24"/>
        </w:rPr>
      </w:pPr>
      <w:hyperlink w:anchor="_Toc235569996" w:history="1">
        <w:r w:rsidRPr="00C5605B">
          <w:rPr>
            <w:rStyle w:val="Hyperlink"/>
            <w:noProof/>
          </w:rPr>
          <w:t>3.3 The Dual-Route Transit Protocol</w:t>
        </w:r>
        <w:r>
          <w:rPr>
            <w:noProof/>
            <w:webHidden/>
          </w:rPr>
          <w:tab/>
        </w:r>
        <w:r>
          <w:rPr>
            <w:noProof/>
            <w:webHidden/>
          </w:rPr>
          <w:fldChar w:fldCharType="begin"/>
        </w:r>
        <w:r>
          <w:rPr>
            <w:noProof/>
            <w:webHidden/>
          </w:rPr>
          <w:instrText xml:space="preserve"> PAGEREF _Toc235569996 \h </w:instrText>
        </w:r>
        <w:r>
          <w:rPr>
            <w:noProof/>
            <w:webHidden/>
          </w:rPr>
        </w:r>
        <w:r>
          <w:rPr>
            <w:noProof/>
            <w:webHidden/>
          </w:rPr>
          <w:fldChar w:fldCharType="separate"/>
        </w:r>
        <w:r w:rsidR="00340C20">
          <w:rPr>
            <w:noProof/>
            <w:webHidden/>
          </w:rPr>
          <w:t>12</w:t>
        </w:r>
        <w:r>
          <w:rPr>
            <w:noProof/>
            <w:webHidden/>
          </w:rPr>
          <w:fldChar w:fldCharType="end"/>
        </w:r>
      </w:hyperlink>
    </w:p>
    <w:p w14:paraId="731A3570" w14:textId="25E86B43" w:rsidR="0024146A" w:rsidRDefault="0024146A">
      <w:pPr>
        <w:pStyle w:val="TOC2"/>
        <w:rPr>
          <w:rFonts w:asciiTheme="minorHAnsi" w:eastAsiaTheme="minorEastAsia" w:hAnsiTheme="minorHAnsi"/>
          <w:noProof/>
          <w:color w:val="auto"/>
          <w:sz w:val="24"/>
        </w:rPr>
      </w:pPr>
      <w:hyperlink w:anchor="_Toc235569997" w:history="1">
        <w:r w:rsidRPr="00C5605B">
          <w:rPr>
            <w:rStyle w:val="Hyperlink"/>
            <w:noProof/>
          </w:rPr>
          <w:t>3.4 Mine Clearance and Corridor Certification</w:t>
        </w:r>
        <w:r>
          <w:rPr>
            <w:noProof/>
            <w:webHidden/>
          </w:rPr>
          <w:tab/>
        </w:r>
        <w:r>
          <w:rPr>
            <w:noProof/>
            <w:webHidden/>
          </w:rPr>
          <w:fldChar w:fldCharType="begin"/>
        </w:r>
        <w:r>
          <w:rPr>
            <w:noProof/>
            <w:webHidden/>
          </w:rPr>
          <w:instrText xml:space="preserve"> PAGEREF _Toc235569997 \h </w:instrText>
        </w:r>
        <w:r>
          <w:rPr>
            <w:noProof/>
            <w:webHidden/>
          </w:rPr>
        </w:r>
        <w:r>
          <w:rPr>
            <w:noProof/>
            <w:webHidden/>
          </w:rPr>
          <w:fldChar w:fldCharType="separate"/>
        </w:r>
        <w:r w:rsidR="00340C20">
          <w:rPr>
            <w:noProof/>
            <w:webHidden/>
          </w:rPr>
          <w:t>12</w:t>
        </w:r>
        <w:r>
          <w:rPr>
            <w:noProof/>
            <w:webHidden/>
          </w:rPr>
          <w:fldChar w:fldCharType="end"/>
        </w:r>
      </w:hyperlink>
    </w:p>
    <w:p w14:paraId="4F810F95" w14:textId="5E8D561E" w:rsidR="0024146A" w:rsidRDefault="0024146A">
      <w:pPr>
        <w:pStyle w:val="TOC2"/>
        <w:rPr>
          <w:rFonts w:asciiTheme="minorHAnsi" w:eastAsiaTheme="minorEastAsia" w:hAnsiTheme="minorHAnsi"/>
          <w:noProof/>
          <w:color w:val="auto"/>
          <w:sz w:val="24"/>
        </w:rPr>
      </w:pPr>
      <w:hyperlink w:anchor="_Toc235569998" w:history="1">
        <w:r w:rsidRPr="00C5605B">
          <w:rPr>
            <w:rStyle w:val="Hyperlink"/>
            <w:noProof/>
          </w:rPr>
          <w:t>3.5 Major Incidents and the Auto-Renewal Trigger</w:t>
        </w:r>
        <w:r>
          <w:rPr>
            <w:noProof/>
            <w:webHidden/>
          </w:rPr>
          <w:tab/>
        </w:r>
        <w:r>
          <w:rPr>
            <w:noProof/>
            <w:webHidden/>
          </w:rPr>
          <w:fldChar w:fldCharType="begin"/>
        </w:r>
        <w:r>
          <w:rPr>
            <w:noProof/>
            <w:webHidden/>
          </w:rPr>
          <w:instrText xml:space="preserve"> PAGEREF _Toc235569998 \h </w:instrText>
        </w:r>
        <w:r>
          <w:rPr>
            <w:noProof/>
            <w:webHidden/>
          </w:rPr>
        </w:r>
        <w:r>
          <w:rPr>
            <w:noProof/>
            <w:webHidden/>
          </w:rPr>
          <w:fldChar w:fldCharType="separate"/>
        </w:r>
        <w:r w:rsidR="00340C20">
          <w:rPr>
            <w:noProof/>
            <w:webHidden/>
          </w:rPr>
          <w:t>12</w:t>
        </w:r>
        <w:r>
          <w:rPr>
            <w:noProof/>
            <w:webHidden/>
          </w:rPr>
          <w:fldChar w:fldCharType="end"/>
        </w:r>
      </w:hyperlink>
    </w:p>
    <w:p w14:paraId="253FB7C0" w14:textId="1697B2C0" w:rsidR="0024146A" w:rsidRDefault="0024146A">
      <w:pPr>
        <w:pStyle w:val="TOC1"/>
        <w:rPr>
          <w:rFonts w:asciiTheme="minorHAnsi" w:eastAsiaTheme="minorEastAsia" w:hAnsiTheme="minorHAnsi"/>
          <w:b w:val="0"/>
          <w:noProof/>
          <w:color w:val="auto"/>
          <w:sz w:val="24"/>
        </w:rPr>
      </w:pPr>
      <w:hyperlink w:anchor="_Toc235569999" w:history="1">
        <w:r w:rsidRPr="00C5605B">
          <w:rPr>
            <w:rStyle w:val="Hyperlink"/>
            <w:noProof/>
          </w:rPr>
          <w:t>Article 4: Cycle 2: Expanded Scope (Days 91-180)</w:t>
        </w:r>
        <w:r>
          <w:rPr>
            <w:noProof/>
            <w:webHidden/>
          </w:rPr>
          <w:tab/>
        </w:r>
        <w:r>
          <w:rPr>
            <w:noProof/>
            <w:webHidden/>
          </w:rPr>
          <w:fldChar w:fldCharType="begin"/>
        </w:r>
        <w:r>
          <w:rPr>
            <w:noProof/>
            <w:webHidden/>
          </w:rPr>
          <w:instrText xml:space="preserve"> PAGEREF _Toc235569999 \h </w:instrText>
        </w:r>
        <w:r>
          <w:rPr>
            <w:noProof/>
            <w:webHidden/>
          </w:rPr>
        </w:r>
        <w:r>
          <w:rPr>
            <w:noProof/>
            <w:webHidden/>
          </w:rPr>
          <w:fldChar w:fldCharType="separate"/>
        </w:r>
        <w:r w:rsidR="00340C20">
          <w:rPr>
            <w:noProof/>
            <w:webHidden/>
          </w:rPr>
          <w:t>13</w:t>
        </w:r>
        <w:r>
          <w:rPr>
            <w:noProof/>
            <w:webHidden/>
          </w:rPr>
          <w:fldChar w:fldCharType="end"/>
        </w:r>
      </w:hyperlink>
    </w:p>
    <w:p w14:paraId="1878F474" w14:textId="1B3262AB" w:rsidR="0024146A" w:rsidRDefault="0024146A">
      <w:pPr>
        <w:pStyle w:val="TOC2"/>
        <w:rPr>
          <w:rFonts w:asciiTheme="minorHAnsi" w:eastAsiaTheme="minorEastAsia" w:hAnsiTheme="minorHAnsi"/>
          <w:noProof/>
          <w:color w:val="auto"/>
          <w:sz w:val="24"/>
        </w:rPr>
      </w:pPr>
      <w:hyperlink w:anchor="_Toc235570000" w:history="1">
        <w:r w:rsidRPr="00C5605B">
          <w:rPr>
            <w:rStyle w:val="Hyperlink"/>
            <w:noProof/>
          </w:rPr>
          <w:t>4.1 Expansion Logic</w:t>
        </w:r>
        <w:r>
          <w:rPr>
            <w:noProof/>
            <w:webHidden/>
          </w:rPr>
          <w:tab/>
        </w:r>
        <w:r>
          <w:rPr>
            <w:noProof/>
            <w:webHidden/>
          </w:rPr>
          <w:fldChar w:fldCharType="begin"/>
        </w:r>
        <w:r>
          <w:rPr>
            <w:noProof/>
            <w:webHidden/>
          </w:rPr>
          <w:instrText xml:space="preserve"> PAGEREF _Toc235570000 \h </w:instrText>
        </w:r>
        <w:r>
          <w:rPr>
            <w:noProof/>
            <w:webHidden/>
          </w:rPr>
        </w:r>
        <w:r>
          <w:rPr>
            <w:noProof/>
            <w:webHidden/>
          </w:rPr>
          <w:fldChar w:fldCharType="separate"/>
        </w:r>
        <w:r w:rsidR="00340C20">
          <w:rPr>
            <w:noProof/>
            <w:webHidden/>
          </w:rPr>
          <w:t>13</w:t>
        </w:r>
        <w:r>
          <w:rPr>
            <w:noProof/>
            <w:webHidden/>
          </w:rPr>
          <w:fldChar w:fldCharType="end"/>
        </w:r>
      </w:hyperlink>
    </w:p>
    <w:p w14:paraId="7346C65A" w14:textId="291E6824" w:rsidR="0024146A" w:rsidRDefault="0024146A">
      <w:pPr>
        <w:pStyle w:val="TOC2"/>
        <w:rPr>
          <w:rFonts w:asciiTheme="minorHAnsi" w:eastAsiaTheme="minorEastAsia" w:hAnsiTheme="minorHAnsi"/>
          <w:noProof/>
          <w:color w:val="auto"/>
          <w:sz w:val="24"/>
        </w:rPr>
      </w:pPr>
      <w:hyperlink w:anchor="_Toc235570001" w:history="1">
        <w:r w:rsidRPr="00C5605B">
          <w:rPr>
            <w:rStyle w:val="Hyperlink"/>
            <w:noProof/>
          </w:rPr>
          <w:t>4.2 Track A: The Service Fee Deferral and the Qatari Escrow</w:t>
        </w:r>
        <w:r>
          <w:rPr>
            <w:noProof/>
            <w:webHidden/>
          </w:rPr>
          <w:tab/>
        </w:r>
        <w:r>
          <w:rPr>
            <w:noProof/>
            <w:webHidden/>
          </w:rPr>
          <w:fldChar w:fldCharType="begin"/>
        </w:r>
        <w:r>
          <w:rPr>
            <w:noProof/>
            <w:webHidden/>
          </w:rPr>
          <w:instrText xml:space="preserve"> PAGEREF _Toc235570001 \h </w:instrText>
        </w:r>
        <w:r>
          <w:rPr>
            <w:noProof/>
            <w:webHidden/>
          </w:rPr>
        </w:r>
        <w:r>
          <w:rPr>
            <w:noProof/>
            <w:webHidden/>
          </w:rPr>
          <w:fldChar w:fldCharType="separate"/>
        </w:r>
        <w:r w:rsidR="00340C20">
          <w:rPr>
            <w:noProof/>
            <w:webHidden/>
          </w:rPr>
          <w:t>13</w:t>
        </w:r>
        <w:r>
          <w:rPr>
            <w:noProof/>
            <w:webHidden/>
          </w:rPr>
          <w:fldChar w:fldCharType="end"/>
        </w:r>
      </w:hyperlink>
    </w:p>
    <w:p w14:paraId="7D345E15" w14:textId="21CC1B8A" w:rsidR="0024146A" w:rsidRDefault="0024146A">
      <w:pPr>
        <w:pStyle w:val="TOC2"/>
        <w:rPr>
          <w:rFonts w:asciiTheme="minorHAnsi" w:eastAsiaTheme="minorEastAsia" w:hAnsiTheme="minorHAnsi"/>
          <w:noProof/>
          <w:color w:val="auto"/>
          <w:sz w:val="24"/>
        </w:rPr>
      </w:pPr>
      <w:hyperlink w:anchor="_Toc235570002" w:history="1">
        <w:r w:rsidRPr="00C5605B">
          <w:rPr>
            <w:rStyle w:val="Hyperlink"/>
            <w:noProof/>
          </w:rPr>
          <w:t>4.3 Track B: The Nuclear Transparency Trial</w:t>
        </w:r>
        <w:r>
          <w:rPr>
            <w:noProof/>
            <w:webHidden/>
          </w:rPr>
          <w:tab/>
        </w:r>
        <w:r>
          <w:rPr>
            <w:noProof/>
            <w:webHidden/>
          </w:rPr>
          <w:fldChar w:fldCharType="begin"/>
        </w:r>
        <w:r>
          <w:rPr>
            <w:noProof/>
            <w:webHidden/>
          </w:rPr>
          <w:instrText xml:space="preserve"> PAGEREF _Toc235570002 \h </w:instrText>
        </w:r>
        <w:r>
          <w:rPr>
            <w:noProof/>
            <w:webHidden/>
          </w:rPr>
        </w:r>
        <w:r>
          <w:rPr>
            <w:noProof/>
            <w:webHidden/>
          </w:rPr>
          <w:fldChar w:fldCharType="separate"/>
        </w:r>
        <w:r w:rsidR="00340C20">
          <w:rPr>
            <w:noProof/>
            <w:webHidden/>
          </w:rPr>
          <w:t>13</w:t>
        </w:r>
        <w:r>
          <w:rPr>
            <w:noProof/>
            <w:webHidden/>
          </w:rPr>
          <w:fldChar w:fldCharType="end"/>
        </w:r>
      </w:hyperlink>
    </w:p>
    <w:p w14:paraId="5D0A4157" w14:textId="1E71AB0E" w:rsidR="0024146A" w:rsidRDefault="0024146A">
      <w:pPr>
        <w:pStyle w:val="TOC2"/>
        <w:rPr>
          <w:rFonts w:asciiTheme="minorHAnsi" w:eastAsiaTheme="minorEastAsia" w:hAnsiTheme="minorHAnsi"/>
          <w:noProof/>
          <w:color w:val="auto"/>
          <w:sz w:val="24"/>
        </w:rPr>
      </w:pPr>
      <w:hyperlink w:anchor="_Toc235570003" w:history="1">
        <w:r w:rsidRPr="00C5605B">
          <w:rPr>
            <w:rStyle w:val="Hyperlink"/>
            <w:noProof/>
          </w:rPr>
          <w:t>4.4 Track C: The Sanctions Easing Trial</w:t>
        </w:r>
        <w:r>
          <w:rPr>
            <w:noProof/>
            <w:webHidden/>
          </w:rPr>
          <w:tab/>
        </w:r>
        <w:r>
          <w:rPr>
            <w:noProof/>
            <w:webHidden/>
          </w:rPr>
          <w:fldChar w:fldCharType="begin"/>
        </w:r>
        <w:r>
          <w:rPr>
            <w:noProof/>
            <w:webHidden/>
          </w:rPr>
          <w:instrText xml:space="preserve"> PAGEREF _Toc235570003 \h </w:instrText>
        </w:r>
        <w:r>
          <w:rPr>
            <w:noProof/>
            <w:webHidden/>
          </w:rPr>
        </w:r>
        <w:r>
          <w:rPr>
            <w:noProof/>
            <w:webHidden/>
          </w:rPr>
          <w:fldChar w:fldCharType="separate"/>
        </w:r>
        <w:r w:rsidR="00340C20">
          <w:rPr>
            <w:noProof/>
            <w:webHidden/>
          </w:rPr>
          <w:t>13</w:t>
        </w:r>
        <w:r>
          <w:rPr>
            <w:noProof/>
            <w:webHidden/>
          </w:rPr>
          <w:fldChar w:fldCharType="end"/>
        </w:r>
      </w:hyperlink>
    </w:p>
    <w:p w14:paraId="6D798E3B" w14:textId="3C5A3C5D" w:rsidR="0024146A" w:rsidRDefault="0024146A">
      <w:pPr>
        <w:pStyle w:val="TOC2"/>
        <w:rPr>
          <w:rFonts w:asciiTheme="minorHAnsi" w:eastAsiaTheme="minorEastAsia" w:hAnsiTheme="minorHAnsi"/>
          <w:noProof/>
          <w:color w:val="auto"/>
          <w:sz w:val="24"/>
        </w:rPr>
      </w:pPr>
      <w:hyperlink w:anchor="_Toc235570004" w:history="1">
        <w:r w:rsidRPr="00C5605B">
          <w:rPr>
            <w:rStyle w:val="Hyperlink"/>
            <w:noProof/>
          </w:rPr>
          <w:t>4.5 Track D: The Proxy Pause</w:t>
        </w:r>
        <w:r>
          <w:rPr>
            <w:noProof/>
            <w:webHidden/>
          </w:rPr>
          <w:tab/>
        </w:r>
        <w:r>
          <w:rPr>
            <w:noProof/>
            <w:webHidden/>
          </w:rPr>
          <w:fldChar w:fldCharType="begin"/>
        </w:r>
        <w:r>
          <w:rPr>
            <w:noProof/>
            <w:webHidden/>
          </w:rPr>
          <w:instrText xml:space="preserve"> PAGEREF _Toc235570004 \h </w:instrText>
        </w:r>
        <w:r>
          <w:rPr>
            <w:noProof/>
            <w:webHidden/>
          </w:rPr>
        </w:r>
        <w:r>
          <w:rPr>
            <w:noProof/>
            <w:webHidden/>
          </w:rPr>
          <w:fldChar w:fldCharType="separate"/>
        </w:r>
        <w:r w:rsidR="00340C20">
          <w:rPr>
            <w:noProof/>
            <w:webHidden/>
          </w:rPr>
          <w:t>13</w:t>
        </w:r>
        <w:r>
          <w:rPr>
            <w:noProof/>
            <w:webHidden/>
          </w:rPr>
          <w:fldChar w:fldCharType="end"/>
        </w:r>
      </w:hyperlink>
    </w:p>
    <w:p w14:paraId="6B524F4A" w14:textId="71A6DE3F" w:rsidR="0024146A" w:rsidRDefault="0024146A">
      <w:pPr>
        <w:pStyle w:val="TOC2"/>
        <w:rPr>
          <w:rFonts w:asciiTheme="minorHAnsi" w:eastAsiaTheme="minorEastAsia" w:hAnsiTheme="minorHAnsi"/>
          <w:noProof/>
          <w:color w:val="auto"/>
          <w:sz w:val="24"/>
        </w:rPr>
      </w:pPr>
      <w:hyperlink w:anchor="_Toc235570005" w:history="1">
        <w:r w:rsidRPr="00C5605B">
          <w:rPr>
            <w:rStyle w:val="Hyperlink"/>
            <w:noProof/>
          </w:rPr>
          <w:t>4.6 Rolling Horizon Adjustment</w:t>
        </w:r>
        <w:r>
          <w:rPr>
            <w:noProof/>
            <w:webHidden/>
          </w:rPr>
          <w:tab/>
        </w:r>
        <w:r>
          <w:rPr>
            <w:noProof/>
            <w:webHidden/>
          </w:rPr>
          <w:fldChar w:fldCharType="begin"/>
        </w:r>
        <w:r>
          <w:rPr>
            <w:noProof/>
            <w:webHidden/>
          </w:rPr>
          <w:instrText xml:space="preserve"> PAGEREF _Toc235570005 \h </w:instrText>
        </w:r>
        <w:r>
          <w:rPr>
            <w:noProof/>
            <w:webHidden/>
          </w:rPr>
        </w:r>
        <w:r>
          <w:rPr>
            <w:noProof/>
            <w:webHidden/>
          </w:rPr>
          <w:fldChar w:fldCharType="separate"/>
        </w:r>
        <w:r w:rsidR="00340C20">
          <w:rPr>
            <w:noProof/>
            <w:webHidden/>
          </w:rPr>
          <w:t>14</w:t>
        </w:r>
        <w:r>
          <w:rPr>
            <w:noProof/>
            <w:webHidden/>
          </w:rPr>
          <w:fldChar w:fldCharType="end"/>
        </w:r>
      </w:hyperlink>
    </w:p>
    <w:p w14:paraId="4FB8AC6A" w14:textId="4AC010F1" w:rsidR="0024146A" w:rsidRDefault="0024146A">
      <w:pPr>
        <w:pStyle w:val="TOC1"/>
        <w:rPr>
          <w:rFonts w:asciiTheme="minorHAnsi" w:eastAsiaTheme="minorEastAsia" w:hAnsiTheme="minorHAnsi"/>
          <w:b w:val="0"/>
          <w:noProof/>
          <w:color w:val="auto"/>
          <w:sz w:val="24"/>
        </w:rPr>
      </w:pPr>
      <w:hyperlink w:anchor="_Toc235570006" w:history="1">
        <w:r w:rsidRPr="00C5605B">
          <w:rPr>
            <w:rStyle w:val="Hyperlink"/>
            <w:noProof/>
          </w:rPr>
          <w:t>Article 5: Cycle 3: The Nuclear Bridge (Days 181-270)</w:t>
        </w:r>
        <w:r>
          <w:rPr>
            <w:noProof/>
            <w:webHidden/>
          </w:rPr>
          <w:tab/>
        </w:r>
        <w:r>
          <w:rPr>
            <w:noProof/>
            <w:webHidden/>
          </w:rPr>
          <w:fldChar w:fldCharType="begin"/>
        </w:r>
        <w:r>
          <w:rPr>
            <w:noProof/>
            <w:webHidden/>
          </w:rPr>
          <w:instrText xml:space="preserve"> PAGEREF _Toc235570006 \h </w:instrText>
        </w:r>
        <w:r>
          <w:rPr>
            <w:noProof/>
            <w:webHidden/>
          </w:rPr>
        </w:r>
        <w:r>
          <w:rPr>
            <w:noProof/>
            <w:webHidden/>
          </w:rPr>
          <w:fldChar w:fldCharType="separate"/>
        </w:r>
        <w:r w:rsidR="00340C20">
          <w:rPr>
            <w:noProof/>
            <w:webHidden/>
          </w:rPr>
          <w:t>14</w:t>
        </w:r>
        <w:r>
          <w:rPr>
            <w:noProof/>
            <w:webHidden/>
          </w:rPr>
          <w:fldChar w:fldCharType="end"/>
        </w:r>
      </w:hyperlink>
    </w:p>
    <w:p w14:paraId="7ABB32F3" w14:textId="2883EB73" w:rsidR="0024146A" w:rsidRDefault="0024146A">
      <w:pPr>
        <w:pStyle w:val="TOC2"/>
        <w:rPr>
          <w:rFonts w:asciiTheme="minorHAnsi" w:eastAsiaTheme="minorEastAsia" w:hAnsiTheme="minorHAnsi"/>
          <w:noProof/>
          <w:color w:val="auto"/>
          <w:sz w:val="24"/>
        </w:rPr>
      </w:pPr>
      <w:hyperlink w:anchor="_Toc235570007" w:history="1">
        <w:r w:rsidRPr="00C5605B">
          <w:rPr>
            <w:rStyle w:val="Hyperlink"/>
            <w:noProof/>
          </w:rPr>
          <w:t>5.1 The Core Problem</w:t>
        </w:r>
        <w:r>
          <w:rPr>
            <w:noProof/>
            <w:webHidden/>
          </w:rPr>
          <w:tab/>
        </w:r>
        <w:r>
          <w:rPr>
            <w:noProof/>
            <w:webHidden/>
          </w:rPr>
          <w:fldChar w:fldCharType="begin"/>
        </w:r>
        <w:r>
          <w:rPr>
            <w:noProof/>
            <w:webHidden/>
          </w:rPr>
          <w:instrText xml:space="preserve"> PAGEREF _Toc235570007 \h </w:instrText>
        </w:r>
        <w:r>
          <w:rPr>
            <w:noProof/>
            <w:webHidden/>
          </w:rPr>
        </w:r>
        <w:r>
          <w:rPr>
            <w:noProof/>
            <w:webHidden/>
          </w:rPr>
          <w:fldChar w:fldCharType="separate"/>
        </w:r>
        <w:r w:rsidR="00340C20">
          <w:rPr>
            <w:noProof/>
            <w:webHidden/>
          </w:rPr>
          <w:t>14</w:t>
        </w:r>
        <w:r>
          <w:rPr>
            <w:noProof/>
            <w:webHidden/>
          </w:rPr>
          <w:fldChar w:fldCharType="end"/>
        </w:r>
      </w:hyperlink>
    </w:p>
    <w:p w14:paraId="7A9E8950" w14:textId="5F61C7D4" w:rsidR="0024146A" w:rsidRDefault="0024146A">
      <w:pPr>
        <w:pStyle w:val="TOC2"/>
        <w:rPr>
          <w:rFonts w:asciiTheme="minorHAnsi" w:eastAsiaTheme="minorEastAsia" w:hAnsiTheme="minorHAnsi"/>
          <w:noProof/>
          <w:color w:val="auto"/>
          <w:sz w:val="24"/>
        </w:rPr>
      </w:pPr>
      <w:hyperlink w:anchor="_Toc235570008" w:history="1">
        <w:r w:rsidRPr="00C5605B">
          <w:rPr>
            <w:rStyle w:val="Hyperlink"/>
            <w:noProof/>
          </w:rPr>
          <w:t>5.2 The Down-Blend and Joint Seal Solution</w:t>
        </w:r>
        <w:r>
          <w:rPr>
            <w:noProof/>
            <w:webHidden/>
          </w:rPr>
          <w:tab/>
        </w:r>
        <w:r>
          <w:rPr>
            <w:noProof/>
            <w:webHidden/>
          </w:rPr>
          <w:fldChar w:fldCharType="begin"/>
        </w:r>
        <w:r>
          <w:rPr>
            <w:noProof/>
            <w:webHidden/>
          </w:rPr>
          <w:instrText xml:space="preserve"> PAGEREF _Toc235570008 \h </w:instrText>
        </w:r>
        <w:r>
          <w:rPr>
            <w:noProof/>
            <w:webHidden/>
          </w:rPr>
        </w:r>
        <w:r>
          <w:rPr>
            <w:noProof/>
            <w:webHidden/>
          </w:rPr>
          <w:fldChar w:fldCharType="separate"/>
        </w:r>
        <w:r w:rsidR="00340C20">
          <w:rPr>
            <w:noProof/>
            <w:webHidden/>
          </w:rPr>
          <w:t>15</w:t>
        </w:r>
        <w:r>
          <w:rPr>
            <w:noProof/>
            <w:webHidden/>
          </w:rPr>
          <w:fldChar w:fldCharType="end"/>
        </w:r>
      </w:hyperlink>
    </w:p>
    <w:p w14:paraId="2F06B7C7" w14:textId="2FC29E7C" w:rsidR="0024146A" w:rsidRDefault="0024146A">
      <w:pPr>
        <w:pStyle w:val="TOC2"/>
        <w:rPr>
          <w:rFonts w:asciiTheme="minorHAnsi" w:eastAsiaTheme="minorEastAsia" w:hAnsiTheme="minorHAnsi"/>
          <w:noProof/>
          <w:color w:val="auto"/>
          <w:sz w:val="24"/>
        </w:rPr>
      </w:pPr>
      <w:hyperlink w:anchor="_Toc235570009" w:history="1">
        <w:r w:rsidRPr="00C5605B">
          <w:rPr>
            <w:rStyle w:val="Hyperlink"/>
            <w:noProof/>
          </w:rPr>
          <w:t>5.3 The Rolling Condition</w:t>
        </w:r>
        <w:r>
          <w:rPr>
            <w:noProof/>
            <w:webHidden/>
          </w:rPr>
          <w:tab/>
        </w:r>
        <w:r>
          <w:rPr>
            <w:noProof/>
            <w:webHidden/>
          </w:rPr>
          <w:fldChar w:fldCharType="begin"/>
        </w:r>
        <w:r>
          <w:rPr>
            <w:noProof/>
            <w:webHidden/>
          </w:rPr>
          <w:instrText xml:space="preserve"> PAGEREF _Toc235570009 \h </w:instrText>
        </w:r>
        <w:r>
          <w:rPr>
            <w:noProof/>
            <w:webHidden/>
          </w:rPr>
        </w:r>
        <w:r>
          <w:rPr>
            <w:noProof/>
            <w:webHidden/>
          </w:rPr>
          <w:fldChar w:fldCharType="separate"/>
        </w:r>
        <w:r w:rsidR="00340C20">
          <w:rPr>
            <w:noProof/>
            <w:webHidden/>
          </w:rPr>
          <w:t>15</w:t>
        </w:r>
        <w:r>
          <w:rPr>
            <w:noProof/>
            <w:webHidden/>
          </w:rPr>
          <w:fldChar w:fldCharType="end"/>
        </w:r>
      </w:hyperlink>
    </w:p>
    <w:p w14:paraId="2FC50E8F" w14:textId="74BF2474" w:rsidR="0024146A" w:rsidRDefault="0024146A">
      <w:pPr>
        <w:pStyle w:val="TOC2"/>
        <w:rPr>
          <w:rFonts w:asciiTheme="minorHAnsi" w:eastAsiaTheme="minorEastAsia" w:hAnsiTheme="minorHAnsi"/>
          <w:noProof/>
          <w:color w:val="auto"/>
          <w:sz w:val="24"/>
        </w:rPr>
      </w:pPr>
      <w:hyperlink w:anchor="_Toc235570010" w:history="1">
        <w:r w:rsidRPr="00C5605B">
          <w:rPr>
            <w:rStyle w:val="Hyperlink"/>
            <w:noProof/>
          </w:rPr>
          <w:t>5.4 The Parallel Gains</w:t>
        </w:r>
        <w:r>
          <w:rPr>
            <w:noProof/>
            <w:webHidden/>
          </w:rPr>
          <w:tab/>
        </w:r>
        <w:r>
          <w:rPr>
            <w:noProof/>
            <w:webHidden/>
          </w:rPr>
          <w:fldChar w:fldCharType="begin"/>
        </w:r>
        <w:r>
          <w:rPr>
            <w:noProof/>
            <w:webHidden/>
          </w:rPr>
          <w:instrText xml:space="preserve"> PAGEREF _Toc235570010 \h </w:instrText>
        </w:r>
        <w:r>
          <w:rPr>
            <w:noProof/>
            <w:webHidden/>
          </w:rPr>
        </w:r>
        <w:r>
          <w:rPr>
            <w:noProof/>
            <w:webHidden/>
          </w:rPr>
          <w:fldChar w:fldCharType="separate"/>
        </w:r>
        <w:r w:rsidR="00340C20">
          <w:rPr>
            <w:noProof/>
            <w:webHidden/>
          </w:rPr>
          <w:t>15</w:t>
        </w:r>
        <w:r>
          <w:rPr>
            <w:noProof/>
            <w:webHidden/>
          </w:rPr>
          <w:fldChar w:fldCharType="end"/>
        </w:r>
      </w:hyperlink>
    </w:p>
    <w:p w14:paraId="35CC3F71" w14:textId="1BE112F5" w:rsidR="0024146A" w:rsidRDefault="0024146A">
      <w:pPr>
        <w:pStyle w:val="TOC1"/>
        <w:rPr>
          <w:rFonts w:asciiTheme="minorHAnsi" w:eastAsiaTheme="minorEastAsia" w:hAnsiTheme="minorHAnsi"/>
          <w:b w:val="0"/>
          <w:noProof/>
          <w:color w:val="auto"/>
          <w:sz w:val="24"/>
        </w:rPr>
      </w:pPr>
      <w:hyperlink w:anchor="_Toc235570011" w:history="1">
        <w:r w:rsidRPr="00C5605B">
          <w:rPr>
            <w:rStyle w:val="Hyperlink"/>
            <w:noProof/>
          </w:rPr>
          <w:t>Article 6: The Reconstruction Track</w:t>
        </w:r>
        <w:r>
          <w:rPr>
            <w:noProof/>
            <w:webHidden/>
          </w:rPr>
          <w:tab/>
        </w:r>
        <w:r>
          <w:rPr>
            <w:noProof/>
            <w:webHidden/>
          </w:rPr>
          <w:fldChar w:fldCharType="begin"/>
        </w:r>
        <w:r>
          <w:rPr>
            <w:noProof/>
            <w:webHidden/>
          </w:rPr>
          <w:instrText xml:space="preserve"> PAGEREF _Toc235570011 \h </w:instrText>
        </w:r>
        <w:r>
          <w:rPr>
            <w:noProof/>
            <w:webHidden/>
          </w:rPr>
        </w:r>
        <w:r>
          <w:rPr>
            <w:noProof/>
            <w:webHidden/>
          </w:rPr>
          <w:fldChar w:fldCharType="separate"/>
        </w:r>
        <w:r w:rsidR="00340C20">
          <w:rPr>
            <w:noProof/>
            <w:webHidden/>
          </w:rPr>
          <w:t>16</w:t>
        </w:r>
        <w:r>
          <w:rPr>
            <w:noProof/>
            <w:webHidden/>
          </w:rPr>
          <w:fldChar w:fldCharType="end"/>
        </w:r>
      </w:hyperlink>
    </w:p>
    <w:p w14:paraId="77AAB46E" w14:textId="76B06078" w:rsidR="0024146A" w:rsidRDefault="0024146A">
      <w:pPr>
        <w:pStyle w:val="TOC2"/>
        <w:rPr>
          <w:rFonts w:asciiTheme="minorHAnsi" w:eastAsiaTheme="minorEastAsia" w:hAnsiTheme="minorHAnsi"/>
          <w:noProof/>
          <w:color w:val="auto"/>
          <w:sz w:val="24"/>
        </w:rPr>
      </w:pPr>
      <w:hyperlink w:anchor="_Toc235570012" w:history="1">
        <w:r w:rsidRPr="00C5605B">
          <w:rPr>
            <w:rStyle w:val="Hyperlink"/>
            <w:noProof/>
          </w:rPr>
          <w:t>6.1 The Reconstruction and Development Fund</w:t>
        </w:r>
        <w:r>
          <w:rPr>
            <w:noProof/>
            <w:webHidden/>
          </w:rPr>
          <w:tab/>
        </w:r>
        <w:r>
          <w:rPr>
            <w:noProof/>
            <w:webHidden/>
          </w:rPr>
          <w:fldChar w:fldCharType="begin"/>
        </w:r>
        <w:r>
          <w:rPr>
            <w:noProof/>
            <w:webHidden/>
          </w:rPr>
          <w:instrText xml:space="preserve"> PAGEREF _Toc235570012 \h </w:instrText>
        </w:r>
        <w:r>
          <w:rPr>
            <w:noProof/>
            <w:webHidden/>
          </w:rPr>
        </w:r>
        <w:r>
          <w:rPr>
            <w:noProof/>
            <w:webHidden/>
          </w:rPr>
          <w:fldChar w:fldCharType="separate"/>
        </w:r>
        <w:r w:rsidR="00340C20">
          <w:rPr>
            <w:noProof/>
            <w:webHidden/>
          </w:rPr>
          <w:t>16</w:t>
        </w:r>
        <w:r>
          <w:rPr>
            <w:noProof/>
            <w:webHidden/>
          </w:rPr>
          <w:fldChar w:fldCharType="end"/>
        </w:r>
      </w:hyperlink>
    </w:p>
    <w:p w14:paraId="6AD8CCC1" w14:textId="20C82B35" w:rsidR="0024146A" w:rsidRDefault="0024146A">
      <w:pPr>
        <w:pStyle w:val="TOC2"/>
        <w:rPr>
          <w:rFonts w:asciiTheme="minorHAnsi" w:eastAsiaTheme="minorEastAsia" w:hAnsiTheme="minorHAnsi"/>
          <w:noProof/>
          <w:color w:val="auto"/>
          <w:sz w:val="24"/>
        </w:rPr>
      </w:pPr>
      <w:hyperlink w:anchor="_Toc235570013" w:history="1">
        <w:r w:rsidRPr="00C5605B">
          <w:rPr>
            <w:rStyle w:val="Hyperlink"/>
            <w:noProof/>
          </w:rPr>
          <w:t>6.2 The Joint Damage Assessment</w:t>
        </w:r>
        <w:r>
          <w:rPr>
            <w:noProof/>
            <w:webHidden/>
          </w:rPr>
          <w:tab/>
        </w:r>
        <w:r>
          <w:rPr>
            <w:noProof/>
            <w:webHidden/>
          </w:rPr>
          <w:fldChar w:fldCharType="begin"/>
        </w:r>
        <w:r>
          <w:rPr>
            <w:noProof/>
            <w:webHidden/>
          </w:rPr>
          <w:instrText xml:space="preserve"> PAGEREF _Toc235570013 \h </w:instrText>
        </w:r>
        <w:r>
          <w:rPr>
            <w:noProof/>
            <w:webHidden/>
          </w:rPr>
        </w:r>
        <w:r>
          <w:rPr>
            <w:noProof/>
            <w:webHidden/>
          </w:rPr>
          <w:fldChar w:fldCharType="separate"/>
        </w:r>
        <w:r w:rsidR="00340C20">
          <w:rPr>
            <w:noProof/>
            <w:webHidden/>
          </w:rPr>
          <w:t>16</w:t>
        </w:r>
        <w:r>
          <w:rPr>
            <w:noProof/>
            <w:webHidden/>
          </w:rPr>
          <w:fldChar w:fldCharType="end"/>
        </w:r>
      </w:hyperlink>
    </w:p>
    <w:p w14:paraId="1A33FE6D" w14:textId="6698594B" w:rsidR="0024146A" w:rsidRDefault="0024146A">
      <w:pPr>
        <w:pStyle w:val="TOC2"/>
        <w:rPr>
          <w:rFonts w:asciiTheme="minorHAnsi" w:eastAsiaTheme="minorEastAsia" w:hAnsiTheme="minorHAnsi"/>
          <w:noProof/>
          <w:color w:val="auto"/>
          <w:sz w:val="24"/>
        </w:rPr>
      </w:pPr>
      <w:hyperlink w:anchor="_Toc235570014" w:history="1">
        <w:r w:rsidRPr="00C5605B">
          <w:rPr>
            <w:rStyle w:val="Hyperlink"/>
            <w:noProof/>
          </w:rPr>
          <w:t>6.3 Project Categories and Priorities</w:t>
        </w:r>
        <w:r>
          <w:rPr>
            <w:noProof/>
            <w:webHidden/>
          </w:rPr>
          <w:tab/>
        </w:r>
        <w:r>
          <w:rPr>
            <w:noProof/>
            <w:webHidden/>
          </w:rPr>
          <w:fldChar w:fldCharType="begin"/>
        </w:r>
        <w:r>
          <w:rPr>
            <w:noProof/>
            <w:webHidden/>
          </w:rPr>
          <w:instrText xml:space="preserve"> PAGEREF _Toc235570014 \h </w:instrText>
        </w:r>
        <w:r>
          <w:rPr>
            <w:noProof/>
            <w:webHidden/>
          </w:rPr>
        </w:r>
        <w:r>
          <w:rPr>
            <w:noProof/>
            <w:webHidden/>
          </w:rPr>
          <w:fldChar w:fldCharType="separate"/>
        </w:r>
        <w:r w:rsidR="00340C20">
          <w:rPr>
            <w:noProof/>
            <w:webHidden/>
          </w:rPr>
          <w:t>17</w:t>
        </w:r>
        <w:r>
          <w:rPr>
            <w:noProof/>
            <w:webHidden/>
          </w:rPr>
          <w:fldChar w:fldCharType="end"/>
        </w:r>
      </w:hyperlink>
    </w:p>
    <w:p w14:paraId="57B46E3E" w14:textId="1D10728A" w:rsidR="0024146A" w:rsidRDefault="0024146A">
      <w:pPr>
        <w:pStyle w:val="TOC2"/>
        <w:rPr>
          <w:rFonts w:asciiTheme="minorHAnsi" w:eastAsiaTheme="minorEastAsia" w:hAnsiTheme="minorHAnsi"/>
          <w:noProof/>
          <w:color w:val="auto"/>
          <w:sz w:val="24"/>
        </w:rPr>
      </w:pPr>
      <w:hyperlink w:anchor="_Toc235570015" w:history="1">
        <w:r w:rsidRPr="00C5605B">
          <w:rPr>
            <w:rStyle w:val="Hyperlink"/>
            <w:noProof/>
          </w:rPr>
          <w:t>6.4 Anti-Inflation and Absorption Controls</w:t>
        </w:r>
        <w:r>
          <w:rPr>
            <w:noProof/>
            <w:webHidden/>
          </w:rPr>
          <w:tab/>
        </w:r>
        <w:r>
          <w:rPr>
            <w:noProof/>
            <w:webHidden/>
          </w:rPr>
          <w:fldChar w:fldCharType="begin"/>
        </w:r>
        <w:r>
          <w:rPr>
            <w:noProof/>
            <w:webHidden/>
          </w:rPr>
          <w:instrText xml:space="preserve"> PAGEREF _Toc235570015 \h </w:instrText>
        </w:r>
        <w:r>
          <w:rPr>
            <w:noProof/>
            <w:webHidden/>
          </w:rPr>
        </w:r>
        <w:r>
          <w:rPr>
            <w:noProof/>
            <w:webHidden/>
          </w:rPr>
          <w:fldChar w:fldCharType="separate"/>
        </w:r>
        <w:r w:rsidR="00340C20">
          <w:rPr>
            <w:noProof/>
            <w:webHidden/>
          </w:rPr>
          <w:t>17</w:t>
        </w:r>
        <w:r>
          <w:rPr>
            <w:noProof/>
            <w:webHidden/>
          </w:rPr>
          <w:fldChar w:fldCharType="end"/>
        </w:r>
      </w:hyperlink>
    </w:p>
    <w:p w14:paraId="3FF627C6" w14:textId="4CFE6C90" w:rsidR="0024146A" w:rsidRDefault="0024146A">
      <w:pPr>
        <w:pStyle w:val="TOC2"/>
        <w:rPr>
          <w:rFonts w:asciiTheme="minorHAnsi" w:eastAsiaTheme="minorEastAsia" w:hAnsiTheme="minorHAnsi"/>
          <w:noProof/>
          <w:color w:val="auto"/>
          <w:sz w:val="24"/>
        </w:rPr>
      </w:pPr>
      <w:hyperlink w:anchor="_Toc235570016" w:history="1">
        <w:r w:rsidRPr="00C5605B">
          <w:rPr>
            <w:rStyle w:val="Hyperlink"/>
            <w:noProof/>
          </w:rPr>
          <w:t>6.5 The Maritime Maintenance Fund and Service Reimbursement</w:t>
        </w:r>
        <w:r>
          <w:rPr>
            <w:noProof/>
            <w:webHidden/>
          </w:rPr>
          <w:tab/>
        </w:r>
        <w:r>
          <w:rPr>
            <w:noProof/>
            <w:webHidden/>
          </w:rPr>
          <w:fldChar w:fldCharType="begin"/>
        </w:r>
        <w:r>
          <w:rPr>
            <w:noProof/>
            <w:webHidden/>
          </w:rPr>
          <w:instrText xml:space="preserve"> PAGEREF _Toc235570016 \h </w:instrText>
        </w:r>
        <w:r>
          <w:rPr>
            <w:noProof/>
            <w:webHidden/>
          </w:rPr>
        </w:r>
        <w:r>
          <w:rPr>
            <w:noProof/>
            <w:webHidden/>
          </w:rPr>
          <w:fldChar w:fldCharType="separate"/>
        </w:r>
        <w:r w:rsidR="00340C20">
          <w:rPr>
            <w:noProof/>
            <w:webHidden/>
          </w:rPr>
          <w:t>17</w:t>
        </w:r>
        <w:r>
          <w:rPr>
            <w:noProof/>
            <w:webHidden/>
          </w:rPr>
          <w:fldChar w:fldCharType="end"/>
        </w:r>
      </w:hyperlink>
    </w:p>
    <w:p w14:paraId="6160BC4E" w14:textId="55F4721A" w:rsidR="0024146A" w:rsidRDefault="0024146A">
      <w:pPr>
        <w:pStyle w:val="TOC2"/>
        <w:rPr>
          <w:rFonts w:asciiTheme="minorHAnsi" w:eastAsiaTheme="minorEastAsia" w:hAnsiTheme="minorHAnsi"/>
          <w:noProof/>
          <w:color w:val="auto"/>
          <w:sz w:val="24"/>
        </w:rPr>
      </w:pPr>
      <w:hyperlink w:anchor="_Toc235570017" w:history="1">
        <w:r w:rsidRPr="00C5605B">
          <w:rPr>
            <w:rStyle w:val="Hyperlink"/>
            <w:noProof/>
          </w:rPr>
          <w:t>6.6 The Compensation Question</w:t>
        </w:r>
        <w:r>
          <w:rPr>
            <w:noProof/>
            <w:webHidden/>
          </w:rPr>
          <w:tab/>
        </w:r>
        <w:r>
          <w:rPr>
            <w:noProof/>
            <w:webHidden/>
          </w:rPr>
          <w:fldChar w:fldCharType="begin"/>
        </w:r>
        <w:r>
          <w:rPr>
            <w:noProof/>
            <w:webHidden/>
          </w:rPr>
          <w:instrText xml:space="preserve"> PAGEREF _Toc235570017 \h </w:instrText>
        </w:r>
        <w:r>
          <w:rPr>
            <w:noProof/>
            <w:webHidden/>
          </w:rPr>
        </w:r>
        <w:r>
          <w:rPr>
            <w:noProof/>
            <w:webHidden/>
          </w:rPr>
          <w:fldChar w:fldCharType="separate"/>
        </w:r>
        <w:r w:rsidR="00340C20">
          <w:rPr>
            <w:noProof/>
            <w:webHidden/>
          </w:rPr>
          <w:t>17</w:t>
        </w:r>
        <w:r>
          <w:rPr>
            <w:noProof/>
            <w:webHidden/>
          </w:rPr>
          <w:fldChar w:fldCharType="end"/>
        </w:r>
      </w:hyperlink>
    </w:p>
    <w:p w14:paraId="5724F352" w14:textId="0119FC39" w:rsidR="0024146A" w:rsidRDefault="0024146A">
      <w:pPr>
        <w:pStyle w:val="TOC1"/>
        <w:rPr>
          <w:rFonts w:asciiTheme="minorHAnsi" w:eastAsiaTheme="minorEastAsia" w:hAnsiTheme="minorHAnsi"/>
          <w:b w:val="0"/>
          <w:noProof/>
          <w:color w:val="auto"/>
          <w:sz w:val="24"/>
        </w:rPr>
      </w:pPr>
      <w:hyperlink w:anchor="_Toc235570018" w:history="1">
        <w:r w:rsidRPr="00C5605B">
          <w:rPr>
            <w:rStyle w:val="Hyperlink"/>
            <w:noProof/>
          </w:rPr>
          <w:t>Article 7: The Reconciliation Track</w:t>
        </w:r>
        <w:r>
          <w:rPr>
            <w:noProof/>
            <w:webHidden/>
          </w:rPr>
          <w:tab/>
        </w:r>
        <w:r>
          <w:rPr>
            <w:noProof/>
            <w:webHidden/>
          </w:rPr>
          <w:fldChar w:fldCharType="begin"/>
        </w:r>
        <w:r>
          <w:rPr>
            <w:noProof/>
            <w:webHidden/>
          </w:rPr>
          <w:instrText xml:space="preserve"> PAGEREF _Toc235570018 \h </w:instrText>
        </w:r>
        <w:r>
          <w:rPr>
            <w:noProof/>
            <w:webHidden/>
          </w:rPr>
        </w:r>
        <w:r>
          <w:rPr>
            <w:noProof/>
            <w:webHidden/>
          </w:rPr>
          <w:fldChar w:fldCharType="separate"/>
        </w:r>
        <w:r w:rsidR="00340C20">
          <w:rPr>
            <w:noProof/>
            <w:webHidden/>
          </w:rPr>
          <w:t>18</w:t>
        </w:r>
        <w:r>
          <w:rPr>
            <w:noProof/>
            <w:webHidden/>
          </w:rPr>
          <w:fldChar w:fldCharType="end"/>
        </w:r>
      </w:hyperlink>
    </w:p>
    <w:p w14:paraId="3F977BB6" w14:textId="2C0DC08A" w:rsidR="0024146A" w:rsidRDefault="0024146A">
      <w:pPr>
        <w:pStyle w:val="TOC2"/>
        <w:rPr>
          <w:rFonts w:asciiTheme="minorHAnsi" w:eastAsiaTheme="minorEastAsia" w:hAnsiTheme="minorHAnsi"/>
          <w:noProof/>
          <w:color w:val="auto"/>
          <w:sz w:val="24"/>
        </w:rPr>
      </w:pPr>
      <w:hyperlink w:anchor="_Toc235570019" w:history="1">
        <w:r w:rsidRPr="00C5605B">
          <w:rPr>
            <w:rStyle w:val="Hyperlink"/>
            <w:noProof/>
          </w:rPr>
          <w:t>7.1 Purpose and Boundaries</w:t>
        </w:r>
        <w:r>
          <w:rPr>
            <w:noProof/>
            <w:webHidden/>
          </w:rPr>
          <w:tab/>
        </w:r>
        <w:r>
          <w:rPr>
            <w:noProof/>
            <w:webHidden/>
          </w:rPr>
          <w:fldChar w:fldCharType="begin"/>
        </w:r>
        <w:r>
          <w:rPr>
            <w:noProof/>
            <w:webHidden/>
          </w:rPr>
          <w:instrText xml:space="preserve"> PAGEREF _Toc235570019 \h </w:instrText>
        </w:r>
        <w:r>
          <w:rPr>
            <w:noProof/>
            <w:webHidden/>
          </w:rPr>
        </w:r>
        <w:r>
          <w:rPr>
            <w:noProof/>
            <w:webHidden/>
          </w:rPr>
          <w:fldChar w:fldCharType="separate"/>
        </w:r>
        <w:r w:rsidR="00340C20">
          <w:rPr>
            <w:noProof/>
            <w:webHidden/>
          </w:rPr>
          <w:t>18</w:t>
        </w:r>
        <w:r>
          <w:rPr>
            <w:noProof/>
            <w:webHidden/>
          </w:rPr>
          <w:fldChar w:fldCharType="end"/>
        </w:r>
      </w:hyperlink>
    </w:p>
    <w:p w14:paraId="3171D6AD" w14:textId="58748CB7" w:rsidR="0024146A" w:rsidRDefault="0024146A">
      <w:pPr>
        <w:pStyle w:val="TOC2"/>
        <w:rPr>
          <w:rFonts w:asciiTheme="minorHAnsi" w:eastAsiaTheme="minorEastAsia" w:hAnsiTheme="minorHAnsi"/>
          <w:noProof/>
          <w:color w:val="auto"/>
          <w:sz w:val="24"/>
        </w:rPr>
      </w:pPr>
      <w:hyperlink w:anchor="_Toc235570020" w:history="1">
        <w:r w:rsidRPr="00C5605B">
          <w:rPr>
            <w:rStyle w:val="Hyperlink"/>
            <w:noProof/>
          </w:rPr>
          <w:t>7.2 The Detainee and Remains Protocol</w:t>
        </w:r>
        <w:r>
          <w:rPr>
            <w:noProof/>
            <w:webHidden/>
          </w:rPr>
          <w:tab/>
        </w:r>
        <w:r>
          <w:rPr>
            <w:noProof/>
            <w:webHidden/>
          </w:rPr>
          <w:fldChar w:fldCharType="begin"/>
        </w:r>
        <w:r>
          <w:rPr>
            <w:noProof/>
            <w:webHidden/>
          </w:rPr>
          <w:instrText xml:space="preserve"> PAGEREF _Toc235570020 \h </w:instrText>
        </w:r>
        <w:r>
          <w:rPr>
            <w:noProof/>
            <w:webHidden/>
          </w:rPr>
        </w:r>
        <w:r>
          <w:rPr>
            <w:noProof/>
            <w:webHidden/>
          </w:rPr>
          <w:fldChar w:fldCharType="separate"/>
        </w:r>
        <w:r w:rsidR="00340C20">
          <w:rPr>
            <w:noProof/>
            <w:webHidden/>
          </w:rPr>
          <w:t>18</w:t>
        </w:r>
        <w:r>
          <w:rPr>
            <w:noProof/>
            <w:webHidden/>
          </w:rPr>
          <w:fldChar w:fldCharType="end"/>
        </w:r>
      </w:hyperlink>
    </w:p>
    <w:p w14:paraId="7745715A" w14:textId="4E1E16E3" w:rsidR="0024146A" w:rsidRDefault="0024146A">
      <w:pPr>
        <w:pStyle w:val="TOC2"/>
        <w:rPr>
          <w:rFonts w:asciiTheme="minorHAnsi" w:eastAsiaTheme="minorEastAsia" w:hAnsiTheme="minorHAnsi"/>
          <w:noProof/>
          <w:color w:val="auto"/>
          <w:sz w:val="24"/>
        </w:rPr>
      </w:pPr>
      <w:hyperlink w:anchor="_Toc235570021" w:history="1">
        <w:r w:rsidRPr="00C5605B">
          <w:rPr>
            <w:rStyle w:val="Hyperlink"/>
            <w:noProof/>
          </w:rPr>
          <w:t>7.3 The Joint Incident Review</w:t>
        </w:r>
        <w:r>
          <w:rPr>
            <w:noProof/>
            <w:webHidden/>
          </w:rPr>
          <w:tab/>
        </w:r>
        <w:r>
          <w:rPr>
            <w:noProof/>
            <w:webHidden/>
          </w:rPr>
          <w:fldChar w:fldCharType="begin"/>
        </w:r>
        <w:r>
          <w:rPr>
            <w:noProof/>
            <w:webHidden/>
          </w:rPr>
          <w:instrText xml:space="preserve"> PAGEREF _Toc235570021 \h </w:instrText>
        </w:r>
        <w:r>
          <w:rPr>
            <w:noProof/>
            <w:webHidden/>
          </w:rPr>
        </w:r>
        <w:r>
          <w:rPr>
            <w:noProof/>
            <w:webHidden/>
          </w:rPr>
          <w:fldChar w:fldCharType="separate"/>
        </w:r>
        <w:r w:rsidR="00340C20">
          <w:rPr>
            <w:noProof/>
            <w:webHidden/>
          </w:rPr>
          <w:t>18</w:t>
        </w:r>
        <w:r>
          <w:rPr>
            <w:noProof/>
            <w:webHidden/>
          </w:rPr>
          <w:fldChar w:fldCharType="end"/>
        </w:r>
      </w:hyperlink>
    </w:p>
    <w:p w14:paraId="3E1A86FA" w14:textId="2EBA131E" w:rsidR="0024146A" w:rsidRDefault="0024146A">
      <w:pPr>
        <w:pStyle w:val="TOC2"/>
        <w:rPr>
          <w:rFonts w:asciiTheme="minorHAnsi" w:eastAsiaTheme="minorEastAsia" w:hAnsiTheme="minorHAnsi"/>
          <w:noProof/>
          <w:color w:val="auto"/>
          <w:sz w:val="24"/>
        </w:rPr>
      </w:pPr>
      <w:hyperlink w:anchor="_Toc235570022" w:history="1">
        <w:r w:rsidRPr="00C5605B">
          <w:rPr>
            <w:rStyle w:val="Hyperlink"/>
            <w:noProof/>
          </w:rPr>
          <w:t>7.4 The Narrative De-Escalation Protocol</w:t>
        </w:r>
        <w:r>
          <w:rPr>
            <w:noProof/>
            <w:webHidden/>
          </w:rPr>
          <w:tab/>
        </w:r>
        <w:r>
          <w:rPr>
            <w:noProof/>
            <w:webHidden/>
          </w:rPr>
          <w:fldChar w:fldCharType="begin"/>
        </w:r>
        <w:r>
          <w:rPr>
            <w:noProof/>
            <w:webHidden/>
          </w:rPr>
          <w:instrText xml:space="preserve"> PAGEREF _Toc235570022 \h </w:instrText>
        </w:r>
        <w:r>
          <w:rPr>
            <w:noProof/>
            <w:webHidden/>
          </w:rPr>
        </w:r>
        <w:r>
          <w:rPr>
            <w:noProof/>
            <w:webHidden/>
          </w:rPr>
          <w:fldChar w:fldCharType="separate"/>
        </w:r>
        <w:r w:rsidR="00340C20">
          <w:rPr>
            <w:noProof/>
            <w:webHidden/>
          </w:rPr>
          <w:t>18</w:t>
        </w:r>
        <w:r>
          <w:rPr>
            <w:noProof/>
            <w:webHidden/>
          </w:rPr>
          <w:fldChar w:fldCharType="end"/>
        </w:r>
      </w:hyperlink>
    </w:p>
    <w:p w14:paraId="1AB8F346" w14:textId="356181D0" w:rsidR="0024146A" w:rsidRDefault="0024146A">
      <w:pPr>
        <w:pStyle w:val="TOC2"/>
        <w:rPr>
          <w:rFonts w:asciiTheme="minorHAnsi" w:eastAsiaTheme="minorEastAsia" w:hAnsiTheme="minorHAnsi"/>
          <w:noProof/>
          <w:color w:val="auto"/>
          <w:sz w:val="24"/>
        </w:rPr>
      </w:pPr>
      <w:hyperlink w:anchor="_Toc235570023" w:history="1">
        <w:r w:rsidRPr="00C5605B">
          <w:rPr>
            <w:rStyle w:val="Hyperlink"/>
            <w:noProof/>
          </w:rPr>
          <w:t>7.5 The Muscat Maritime Safety Dedication</w:t>
        </w:r>
        <w:r>
          <w:rPr>
            <w:noProof/>
            <w:webHidden/>
          </w:rPr>
          <w:tab/>
        </w:r>
        <w:r>
          <w:rPr>
            <w:noProof/>
            <w:webHidden/>
          </w:rPr>
          <w:fldChar w:fldCharType="begin"/>
        </w:r>
        <w:r>
          <w:rPr>
            <w:noProof/>
            <w:webHidden/>
          </w:rPr>
          <w:instrText xml:space="preserve"> PAGEREF _Toc235570023 \h </w:instrText>
        </w:r>
        <w:r>
          <w:rPr>
            <w:noProof/>
            <w:webHidden/>
          </w:rPr>
        </w:r>
        <w:r>
          <w:rPr>
            <w:noProof/>
            <w:webHidden/>
          </w:rPr>
          <w:fldChar w:fldCharType="separate"/>
        </w:r>
        <w:r w:rsidR="00340C20">
          <w:rPr>
            <w:noProof/>
            <w:webHidden/>
          </w:rPr>
          <w:t>19</w:t>
        </w:r>
        <w:r>
          <w:rPr>
            <w:noProof/>
            <w:webHidden/>
          </w:rPr>
          <w:fldChar w:fldCharType="end"/>
        </w:r>
      </w:hyperlink>
    </w:p>
    <w:p w14:paraId="44597EB9" w14:textId="50D3ED5D" w:rsidR="0024146A" w:rsidRDefault="0024146A">
      <w:pPr>
        <w:pStyle w:val="TOC2"/>
        <w:rPr>
          <w:rFonts w:asciiTheme="minorHAnsi" w:eastAsiaTheme="minorEastAsia" w:hAnsiTheme="minorHAnsi"/>
          <w:noProof/>
          <w:color w:val="auto"/>
          <w:sz w:val="24"/>
        </w:rPr>
      </w:pPr>
      <w:hyperlink w:anchor="_Toc235570024" w:history="1">
        <w:r w:rsidRPr="00C5605B">
          <w:rPr>
            <w:rStyle w:val="Hyperlink"/>
            <w:noProof/>
          </w:rPr>
          <w:t>7.6 The Societal and Education Track</w:t>
        </w:r>
        <w:r>
          <w:rPr>
            <w:noProof/>
            <w:webHidden/>
          </w:rPr>
          <w:tab/>
        </w:r>
        <w:r>
          <w:rPr>
            <w:noProof/>
            <w:webHidden/>
          </w:rPr>
          <w:fldChar w:fldCharType="begin"/>
        </w:r>
        <w:r>
          <w:rPr>
            <w:noProof/>
            <w:webHidden/>
          </w:rPr>
          <w:instrText xml:space="preserve"> PAGEREF _Toc235570024 \h </w:instrText>
        </w:r>
        <w:r>
          <w:rPr>
            <w:noProof/>
            <w:webHidden/>
          </w:rPr>
        </w:r>
        <w:r>
          <w:rPr>
            <w:noProof/>
            <w:webHidden/>
          </w:rPr>
          <w:fldChar w:fldCharType="separate"/>
        </w:r>
        <w:r w:rsidR="00340C20">
          <w:rPr>
            <w:noProof/>
            <w:webHidden/>
          </w:rPr>
          <w:t>19</w:t>
        </w:r>
        <w:r>
          <w:rPr>
            <w:noProof/>
            <w:webHidden/>
          </w:rPr>
          <w:fldChar w:fldCharType="end"/>
        </w:r>
      </w:hyperlink>
    </w:p>
    <w:p w14:paraId="385F652F" w14:textId="2FFD1DED" w:rsidR="0024146A" w:rsidRDefault="0024146A">
      <w:pPr>
        <w:pStyle w:val="TOC2"/>
        <w:rPr>
          <w:rFonts w:asciiTheme="minorHAnsi" w:eastAsiaTheme="minorEastAsia" w:hAnsiTheme="minorHAnsi"/>
          <w:noProof/>
          <w:color w:val="auto"/>
          <w:sz w:val="24"/>
        </w:rPr>
      </w:pPr>
      <w:hyperlink w:anchor="_Toc235570025" w:history="1">
        <w:r w:rsidRPr="00C5605B">
          <w:rPr>
            <w:rStyle w:val="Hyperlink"/>
            <w:noProof/>
          </w:rPr>
          <w:t>7.7 The Regional Firewall</w:t>
        </w:r>
        <w:r>
          <w:rPr>
            <w:noProof/>
            <w:webHidden/>
          </w:rPr>
          <w:tab/>
        </w:r>
        <w:r>
          <w:rPr>
            <w:noProof/>
            <w:webHidden/>
          </w:rPr>
          <w:fldChar w:fldCharType="begin"/>
        </w:r>
        <w:r>
          <w:rPr>
            <w:noProof/>
            <w:webHidden/>
          </w:rPr>
          <w:instrText xml:space="preserve"> PAGEREF _Toc235570025 \h </w:instrText>
        </w:r>
        <w:r>
          <w:rPr>
            <w:noProof/>
            <w:webHidden/>
          </w:rPr>
        </w:r>
        <w:r>
          <w:rPr>
            <w:noProof/>
            <w:webHidden/>
          </w:rPr>
          <w:fldChar w:fldCharType="separate"/>
        </w:r>
        <w:r w:rsidR="00340C20">
          <w:rPr>
            <w:noProof/>
            <w:webHidden/>
          </w:rPr>
          <w:t>19</w:t>
        </w:r>
        <w:r>
          <w:rPr>
            <w:noProof/>
            <w:webHidden/>
          </w:rPr>
          <w:fldChar w:fldCharType="end"/>
        </w:r>
      </w:hyperlink>
    </w:p>
    <w:p w14:paraId="3EB99E15" w14:textId="23388A58" w:rsidR="0024146A" w:rsidRDefault="0024146A">
      <w:pPr>
        <w:pStyle w:val="TOC1"/>
        <w:rPr>
          <w:rFonts w:asciiTheme="minorHAnsi" w:eastAsiaTheme="minorEastAsia" w:hAnsiTheme="minorHAnsi"/>
          <w:b w:val="0"/>
          <w:noProof/>
          <w:color w:val="auto"/>
          <w:sz w:val="24"/>
        </w:rPr>
      </w:pPr>
      <w:hyperlink w:anchor="_Toc235570026" w:history="1">
        <w:r w:rsidRPr="00C5605B">
          <w:rPr>
            <w:rStyle w:val="Hyperlink"/>
            <w:noProof/>
          </w:rPr>
          <w:t>Article 8: Verification Architecture</w:t>
        </w:r>
        <w:r>
          <w:rPr>
            <w:noProof/>
            <w:webHidden/>
          </w:rPr>
          <w:tab/>
        </w:r>
        <w:r>
          <w:rPr>
            <w:noProof/>
            <w:webHidden/>
          </w:rPr>
          <w:fldChar w:fldCharType="begin"/>
        </w:r>
        <w:r>
          <w:rPr>
            <w:noProof/>
            <w:webHidden/>
          </w:rPr>
          <w:instrText xml:space="preserve"> PAGEREF _Toc235570026 \h </w:instrText>
        </w:r>
        <w:r>
          <w:rPr>
            <w:noProof/>
            <w:webHidden/>
          </w:rPr>
        </w:r>
        <w:r>
          <w:rPr>
            <w:noProof/>
            <w:webHidden/>
          </w:rPr>
          <w:fldChar w:fldCharType="separate"/>
        </w:r>
        <w:r w:rsidR="00340C20">
          <w:rPr>
            <w:noProof/>
            <w:webHidden/>
          </w:rPr>
          <w:t>19</w:t>
        </w:r>
        <w:r>
          <w:rPr>
            <w:noProof/>
            <w:webHidden/>
          </w:rPr>
          <w:fldChar w:fldCharType="end"/>
        </w:r>
      </w:hyperlink>
    </w:p>
    <w:p w14:paraId="71F25595" w14:textId="5A3288ED" w:rsidR="0024146A" w:rsidRDefault="0024146A">
      <w:pPr>
        <w:pStyle w:val="TOC2"/>
        <w:rPr>
          <w:rFonts w:asciiTheme="minorHAnsi" w:eastAsiaTheme="minorEastAsia" w:hAnsiTheme="minorHAnsi"/>
          <w:noProof/>
          <w:color w:val="auto"/>
          <w:sz w:val="24"/>
        </w:rPr>
      </w:pPr>
      <w:hyperlink w:anchor="_Toc235570027" w:history="1">
        <w:r w:rsidRPr="00C5605B">
          <w:rPr>
            <w:rStyle w:val="Hyperlink"/>
            <w:noProof/>
          </w:rPr>
          <w:t>8.1 Design Philosophy</w:t>
        </w:r>
        <w:r>
          <w:rPr>
            <w:noProof/>
            <w:webHidden/>
          </w:rPr>
          <w:tab/>
        </w:r>
        <w:r>
          <w:rPr>
            <w:noProof/>
            <w:webHidden/>
          </w:rPr>
          <w:fldChar w:fldCharType="begin"/>
        </w:r>
        <w:r>
          <w:rPr>
            <w:noProof/>
            <w:webHidden/>
          </w:rPr>
          <w:instrText xml:space="preserve"> PAGEREF _Toc235570027 \h </w:instrText>
        </w:r>
        <w:r>
          <w:rPr>
            <w:noProof/>
            <w:webHidden/>
          </w:rPr>
        </w:r>
        <w:r>
          <w:rPr>
            <w:noProof/>
            <w:webHidden/>
          </w:rPr>
          <w:fldChar w:fldCharType="separate"/>
        </w:r>
        <w:r w:rsidR="00340C20">
          <w:rPr>
            <w:noProof/>
            <w:webHidden/>
          </w:rPr>
          <w:t>19</w:t>
        </w:r>
        <w:r>
          <w:rPr>
            <w:noProof/>
            <w:webHidden/>
          </w:rPr>
          <w:fldChar w:fldCharType="end"/>
        </w:r>
      </w:hyperlink>
    </w:p>
    <w:p w14:paraId="78CA19AE" w14:textId="763502B0" w:rsidR="0024146A" w:rsidRDefault="0024146A">
      <w:pPr>
        <w:pStyle w:val="TOC2"/>
        <w:rPr>
          <w:rFonts w:asciiTheme="minorHAnsi" w:eastAsiaTheme="minorEastAsia" w:hAnsiTheme="minorHAnsi"/>
          <w:noProof/>
          <w:color w:val="auto"/>
          <w:sz w:val="24"/>
        </w:rPr>
      </w:pPr>
      <w:hyperlink w:anchor="_Toc235570028" w:history="1">
        <w:r w:rsidRPr="00C5605B">
          <w:rPr>
            <w:rStyle w:val="Hyperlink"/>
            <w:noProof/>
          </w:rPr>
          <w:t>8.2 The Verification Bodies</w:t>
        </w:r>
        <w:r>
          <w:rPr>
            <w:noProof/>
            <w:webHidden/>
          </w:rPr>
          <w:tab/>
        </w:r>
        <w:r>
          <w:rPr>
            <w:noProof/>
            <w:webHidden/>
          </w:rPr>
          <w:fldChar w:fldCharType="begin"/>
        </w:r>
        <w:r>
          <w:rPr>
            <w:noProof/>
            <w:webHidden/>
          </w:rPr>
          <w:instrText xml:space="preserve"> PAGEREF _Toc235570028 \h </w:instrText>
        </w:r>
        <w:r>
          <w:rPr>
            <w:noProof/>
            <w:webHidden/>
          </w:rPr>
        </w:r>
        <w:r>
          <w:rPr>
            <w:noProof/>
            <w:webHidden/>
          </w:rPr>
          <w:fldChar w:fldCharType="separate"/>
        </w:r>
        <w:r w:rsidR="00340C20">
          <w:rPr>
            <w:noProof/>
            <w:webHidden/>
          </w:rPr>
          <w:t>19</w:t>
        </w:r>
        <w:r>
          <w:rPr>
            <w:noProof/>
            <w:webHidden/>
          </w:rPr>
          <w:fldChar w:fldCharType="end"/>
        </w:r>
      </w:hyperlink>
    </w:p>
    <w:p w14:paraId="7C481F6B" w14:textId="27760A8E" w:rsidR="0024146A" w:rsidRDefault="0024146A">
      <w:pPr>
        <w:pStyle w:val="TOC2"/>
        <w:rPr>
          <w:rFonts w:asciiTheme="minorHAnsi" w:eastAsiaTheme="minorEastAsia" w:hAnsiTheme="minorHAnsi"/>
          <w:noProof/>
          <w:color w:val="auto"/>
          <w:sz w:val="24"/>
        </w:rPr>
      </w:pPr>
      <w:hyperlink w:anchor="_Toc235570029" w:history="1">
        <w:r w:rsidRPr="00C5605B">
          <w:rPr>
            <w:rStyle w:val="Hyperlink"/>
            <w:noProof/>
          </w:rPr>
          <w:t>8.3 The Shared Dashboard</w:t>
        </w:r>
        <w:r>
          <w:rPr>
            <w:noProof/>
            <w:webHidden/>
          </w:rPr>
          <w:tab/>
        </w:r>
        <w:r>
          <w:rPr>
            <w:noProof/>
            <w:webHidden/>
          </w:rPr>
          <w:fldChar w:fldCharType="begin"/>
        </w:r>
        <w:r>
          <w:rPr>
            <w:noProof/>
            <w:webHidden/>
          </w:rPr>
          <w:instrText xml:space="preserve"> PAGEREF _Toc235570029 \h </w:instrText>
        </w:r>
        <w:r>
          <w:rPr>
            <w:noProof/>
            <w:webHidden/>
          </w:rPr>
        </w:r>
        <w:r>
          <w:rPr>
            <w:noProof/>
            <w:webHidden/>
          </w:rPr>
          <w:fldChar w:fldCharType="separate"/>
        </w:r>
        <w:r w:rsidR="00340C20">
          <w:rPr>
            <w:noProof/>
            <w:webHidden/>
          </w:rPr>
          <w:t>20</w:t>
        </w:r>
        <w:r>
          <w:rPr>
            <w:noProof/>
            <w:webHidden/>
          </w:rPr>
          <w:fldChar w:fldCharType="end"/>
        </w:r>
      </w:hyperlink>
    </w:p>
    <w:p w14:paraId="75EA4BC5" w14:textId="2C56B5C3" w:rsidR="0024146A" w:rsidRDefault="0024146A">
      <w:pPr>
        <w:pStyle w:val="TOC2"/>
        <w:rPr>
          <w:rFonts w:asciiTheme="minorHAnsi" w:eastAsiaTheme="minorEastAsia" w:hAnsiTheme="minorHAnsi"/>
          <w:noProof/>
          <w:color w:val="auto"/>
          <w:sz w:val="24"/>
        </w:rPr>
      </w:pPr>
      <w:hyperlink w:anchor="_Toc235570030" w:history="1">
        <w:r w:rsidRPr="00C5605B">
          <w:rPr>
            <w:rStyle w:val="Hyperlink"/>
            <w:noProof/>
          </w:rPr>
          <w:t>8.4 Five-Channel Convergence</w:t>
        </w:r>
        <w:r>
          <w:rPr>
            <w:noProof/>
            <w:webHidden/>
          </w:rPr>
          <w:tab/>
        </w:r>
        <w:r>
          <w:rPr>
            <w:noProof/>
            <w:webHidden/>
          </w:rPr>
          <w:fldChar w:fldCharType="begin"/>
        </w:r>
        <w:r>
          <w:rPr>
            <w:noProof/>
            <w:webHidden/>
          </w:rPr>
          <w:instrText xml:space="preserve"> PAGEREF _Toc235570030 \h </w:instrText>
        </w:r>
        <w:r>
          <w:rPr>
            <w:noProof/>
            <w:webHidden/>
          </w:rPr>
        </w:r>
        <w:r>
          <w:rPr>
            <w:noProof/>
            <w:webHidden/>
          </w:rPr>
          <w:fldChar w:fldCharType="separate"/>
        </w:r>
        <w:r w:rsidR="00340C20">
          <w:rPr>
            <w:noProof/>
            <w:webHidden/>
          </w:rPr>
          <w:t>20</w:t>
        </w:r>
        <w:r>
          <w:rPr>
            <w:noProof/>
            <w:webHidden/>
          </w:rPr>
          <w:fldChar w:fldCharType="end"/>
        </w:r>
      </w:hyperlink>
    </w:p>
    <w:p w14:paraId="3869C72B" w14:textId="387B1205" w:rsidR="0024146A" w:rsidRDefault="0024146A">
      <w:pPr>
        <w:pStyle w:val="TOC2"/>
        <w:rPr>
          <w:rFonts w:asciiTheme="minorHAnsi" w:eastAsiaTheme="minorEastAsia" w:hAnsiTheme="minorHAnsi"/>
          <w:noProof/>
          <w:color w:val="auto"/>
          <w:sz w:val="24"/>
        </w:rPr>
      </w:pPr>
      <w:hyperlink w:anchor="_Toc235570031" w:history="1">
        <w:r w:rsidRPr="00C5605B">
          <w:rPr>
            <w:rStyle w:val="Hyperlink"/>
            <w:noProof/>
          </w:rPr>
          <w:t>8.5 Human-in-the-Loop</w:t>
        </w:r>
        <w:r>
          <w:rPr>
            <w:noProof/>
            <w:webHidden/>
          </w:rPr>
          <w:tab/>
        </w:r>
        <w:r>
          <w:rPr>
            <w:noProof/>
            <w:webHidden/>
          </w:rPr>
          <w:fldChar w:fldCharType="begin"/>
        </w:r>
        <w:r>
          <w:rPr>
            <w:noProof/>
            <w:webHidden/>
          </w:rPr>
          <w:instrText xml:space="preserve"> PAGEREF _Toc235570031 \h </w:instrText>
        </w:r>
        <w:r>
          <w:rPr>
            <w:noProof/>
            <w:webHidden/>
          </w:rPr>
        </w:r>
        <w:r>
          <w:rPr>
            <w:noProof/>
            <w:webHidden/>
          </w:rPr>
          <w:fldChar w:fldCharType="separate"/>
        </w:r>
        <w:r w:rsidR="00340C20">
          <w:rPr>
            <w:noProof/>
            <w:webHidden/>
          </w:rPr>
          <w:t>20</w:t>
        </w:r>
        <w:r>
          <w:rPr>
            <w:noProof/>
            <w:webHidden/>
          </w:rPr>
          <w:fldChar w:fldCharType="end"/>
        </w:r>
      </w:hyperlink>
    </w:p>
    <w:p w14:paraId="4D0A872D" w14:textId="46F4054A" w:rsidR="0024146A" w:rsidRDefault="0024146A">
      <w:pPr>
        <w:pStyle w:val="TOC2"/>
        <w:rPr>
          <w:rFonts w:asciiTheme="minorHAnsi" w:eastAsiaTheme="minorEastAsia" w:hAnsiTheme="minorHAnsi"/>
          <w:noProof/>
          <w:color w:val="auto"/>
          <w:sz w:val="24"/>
        </w:rPr>
      </w:pPr>
      <w:hyperlink w:anchor="_Toc235570032" w:history="1">
        <w:r w:rsidRPr="00C5605B">
          <w:rPr>
            <w:rStyle w:val="Hyperlink"/>
            <w:noProof/>
          </w:rPr>
          <w:t>8.6 Evidence Standards</w:t>
        </w:r>
        <w:r>
          <w:rPr>
            <w:noProof/>
            <w:webHidden/>
          </w:rPr>
          <w:tab/>
        </w:r>
        <w:r>
          <w:rPr>
            <w:noProof/>
            <w:webHidden/>
          </w:rPr>
          <w:fldChar w:fldCharType="begin"/>
        </w:r>
        <w:r>
          <w:rPr>
            <w:noProof/>
            <w:webHidden/>
          </w:rPr>
          <w:instrText xml:space="preserve"> PAGEREF _Toc235570032 \h </w:instrText>
        </w:r>
        <w:r>
          <w:rPr>
            <w:noProof/>
            <w:webHidden/>
          </w:rPr>
        </w:r>
        <w:r>
          <w:rPr>
            <w:noProof/>
            <w:webHidden/>
          </w:rPr>
          <w:fldChar w:fldCharType="separate"/>
        </w:r>
        <w:r w:rsidR="00340C20">
          <w:rPr>
            <w:noProof/>
            <w:webHidden/>
          </w:rPr>
          <w:t>20</w:t>
        </w:r>
        <w:r>
          <w:rPr>
            <w:noProof/>
            <w:webHidden/>
          </w:rPr>
          <w:fldChar w:fldCharType="end"/>
        </w:r>
      </w:hyperlink>
    </w:p>
    <w:p w14:paraId="27F098EC" w14:textId="27231FB8" w:rsidR="0024146A" w:rsidRDefault="0024146A">
      <w:pPr>
        <w:pStyle w:val="TOC1"/>
        <w:rPr>
          <w:rFonts w:asciiTheme="minorHAnsi" w:eastAsiaTheme="minorEastAsia" w:hAnsiTheme="minorHAnsi"/>
          <w:b w:val="0"/>
          <w:noProof/>
          <w:color w:val="auto"/>
          <w:sz w:val="24"/>
        </w:rPr>
      </w:pPr>
      <w:hyperlink w:anchor="_Toc235570033" w:history="1">
        <w:r w:rsidRPr="00C5605B">
          <w:rPr>
            <w:rStyle w:val="Hyperlink"/>
            <w:noProof/>
          </w:rPr>
          <w:t>Article 9: Compliance, Step-Back, and Earn-Back</w:t>
        </w:r>
        <w:r>
          <w:rPr>
            <w:noProof/>
            <w:webHidden/>
          </w:rPr>
          <w:tab/>
        </w:r>
        <w:r>
          <w:rPr>
            <w:noProof/>
            <w:webHidden/>
          </w:rPr>
          <w:fldChar w:fldCharType="begin"/>
        </w:r>
        <w:r>
          <w:rPr>
            <w:noProof/>
            <w:webHidden/>
          </w:rPr>
          <w:instrText xml:space="preserve"> PAGEREF _Toc235570033 \h </w:instrText>
        </w:r>
        <w:r>
          <w:rPr>
            <w:noProof/>
            <w:webHidden/>
          </w:rPr>
        </w:r>
        <w:r>
          <w:rPr>
            <w:noProof/>
            <w:webHidden/>
          </w:rPr>
          <w:fldChar w:fldCharType="separate"/>
        </w:r>
        <w:r w:rsidR="00340C20">
          <w:rPr>
            <w:noProof/>
            <w:webHidden/>
          </w:rPr>
          <w:t>21</w:t>
        </w:r>
        <w:r>
          <w:rPr>
            <w:noProof/>
            <w:webHidden/>
          </w:rPr>
          <w:fldChar w:fldCharType="end"/>
        </w:r>
      </w:hyperlink>
    </w:p>
    <w:p w14:paraId="54276BD3" w14:textId="2DECBB0D" w:rsidR="0024146A" w:rsidRDefault="0024146A">
      <w:pPr>
        <w:pStyle w:val="TOC2"/>
        <w:rPr>
          <w:rFonts w:asciiTheme="minorHAnsi" w:eastAsiaTheme="minorEastAsia" w:hAnsiTheme="minorHAnsi"/>
          <w:noProof/>
          <w:color w:val="auto"/>
          <w:sz w:val="24"/>
        </w:rPr>
      </w:pPr>
      <w:hyperlink w:anchor="_Toc235570034" w:history="1">
        <w:r w:rsidRPr="00C5605B">
          <w:rPr>
            <w:rStyle w:val="Hyperlink"/>
            <w:noProof/>
          </w:rPr>
          <w:t>9.1 The Three-Category Classification</w:t>
        </w:r>
        <w:r>
          <w:rPr>
            <w:noProof/>
            <w:webHidden/>
          </w:rPr>
          <w:tab/>
        </w:r>
        <w:r>
          <w:rPr>
            <w:noProof/>
            <w:webHidden/>
          </w:rPr>
          <w:fldChar w:fldCharType="begin"/>
        </w:r>
        <w:r>
          <w:rPr>
            <w:noProof/>
            <w:webHidden/>
          </w:rPr>
          <w:instrText xml:space="preserve"> PAGEREF _Toc235570034 \h </w:instrText>
        </w:r>
        <w:r>
          <w:rPr>
            <w:noProof/>
            <w:webHidden/>
          </w:rPr>
        </w:r>
        <w:r>
          <w:rPr>
            <w:noProof/>
            <w:webHidden/>
          </w:rPr>
          <w:fldChar w:fldCharType="separate"/>
        </w:r>
        <w:r w:rsidR="00340C20">
          <w:rPr>
            <w:noProof/>
            <w:webHidden/>
          </w:rPr>
          <w:t>21</w:t>
        </w:r>
        <w:r>
          <w:rPr>
            <w:noProof/>
            <w:webHidden/>
          </w:rPr>
          <w:fldChar w:fldCharType="end"/>
        </w:r>
      </w:hyperlink>
    </w:p>
    <w:p w14:paraId="0760728B" w14:textId="59B98CE5" w:rsidR="0024146A" w:rsidRDefault="0024146A">
      <w:pPr>
        <w:pStyle w:val="TOC2"/>
        <w:rPr>
          <w:rFonts w:asciiTheme="minorHAnsi" w:eastAsiaTheme="minorEastAsia" w:hAnsiTheme="minorHAnsi"/>
          <w:noProof/>
          <w:color w:val="auto"/>
          <w:sz w:val="24"/>
        </w:rPr>
      </w:pPr>
      <w:hyperlink w:anchor="_Toc235570035" w:history="1">
        <w:r w:rsidRPr="00C5605B">
          <w:rPr>
            <w:rStyle w:val="Hyperlink"/>
            <w:noProof/>
          </w:rPr>
          <w:t>9.2 The Step-Back Ladder</w:t>
        </w:r>
        <w:r>
          <w:rPr>
            <w:noProof/>
            <w:webHidden/>
          </w:rPr>
          <w:tab/>
        </w:r>
        <w:r>
          <w:rPr>
            <w:noProof/>
            <w:webHidden/>
          </w:rPr>
          <w:fldChar w:fldCharType="begin"/>
        </w:r>
        <w:r>
          <w:rPr>
            <w:noProof/>
            <w:webHidden/>
          </w:rPr>
          <w:instrText xml:space="preserve"> PAGEREF _Toc235570035 \h </w:instrText>
        </w:r>
        <w:r>
          <w:rPr>
            <w:noProof/>
            <w:webHidden/>
          </w:rPr>
        </w:r>
        <w:r>
          <w:rPr>
            <w:noProof/>
            <w:webHidden/>
          </w:rPr>
          <w:fldChar w:fldCharType="separate"/>
        </w:r>
        <w:r w:rsidR="00340C20">
          <w:rPr>
            <w:noProof/>
            <w:webHidden/>
          </w:rPr>
          <w:t>21</w:t>
        </w:r>
        <w:r>
          <w:rPr>
            <w:noProof/>
            <w:webHidden/>
          </w:rPr>
          <w:fldChar w:fldCharType="end"/>
        </w:r>
      </w:hyperlink>
    </w:p>
    <w:p w14:paraId="1A16FFC3" w14:textId="06054EA2" w:rsidR="0024146A" w:rsidRDefault="0024146A">
      <w:pPr>
        <w:pStyle w:val="TOC2"/>
        <w:rPr>
          <w:rFonts w:asciiTheme="minorHAnsi" w:eastAsiaTheme="minorEastAsia" w:hAnsiTheme="minorHAnsi"/>
          <w:noProof/>
          <w:color w:val="auto"/>
          <w:sz w:val="24"/>
        </w:rPr>
      </w:pPr>
      <w:hyperlink w:anchor="_Toc235570036" w:history="1">
        <w:r w:rsidRPr="00C5605B">
          <w:rPr>
            <w:rStyle w:val="Hyperlink"/>
            <w:noProof/>
          </w:rPr>
          <w:t>9.3 Earn-Back and Over-Compliance Credit</w:t>
        </w:r>
        <w:r>
          <w:rPr>
            <w:noProof/>
            <w:webHidden/>
          </w:rPr>
          <w:tab/>
        </w:r>
        <w:r>
          <w:rPr>
            <w:noProof/>
            <w:webHidden/>
          </w:rPr>
          <w:fldChar w:fldCharType="begin"/>
        </w:r>
        <w:r>
          <w:rPr>
            <w:noProof/>
            <w:webHidden/>
          </w:rPr>
          <w:instrText xml:space="preserve"> PAGEREF _Toc235570036 \h </w:instrText>
        </w:r>
        <w:r>
          <w:rPr>
            <w:noProof/>
            <w:webHidden/>
          </w:rPr>
        </w:r>
        <w:r>
          <w:rPr>
            <w:noProof/>
            <w:webHidden/>
          </w:rPr>
          <w:fldChar w:fldCharType="separate"/>
        </w:r>
        <w:r w:rsidR="00340C20">
          <w:rPr>
            <w:noProof/>
            <w:webHidden/>
          </w:rPr>
          <w:t>21</w:t>
        </w:r>
        <w:r>
          <w:rPr>
            <w:noProof/>
            <w:webHidden/>
          </w:rPr>
          <w:fldChar w:fldCharType="end"/>
        </w:r>
      </w:hyperlink>
    </w:p>
    <w:p w14:paraId="7F5E9754" w14:textId="7330FFD6" w:rsidR="0024146A" w:rsidRDefault="0024146A">
      <w:pPr>
        <w:pStyle w:val="TOC2"/>
        <w:rPr>
          <w:rFonts w:asciiTheme="minorHAnsi" w:eastAsiaTheme="minorEastAsia" w:hAnsiTheme="minorHAnsi"/>
          <w:noProof/>
          <w:color w:val="auto"/>
          <w:sz w:val="24"/>
        </w:rPr>
      </w:pPr>
      <w:hyperlink w:anchor="_Toc235570037" w:history="1">
        <w:r w:rsidRPr="00C5605B">
          <w:rPr>
            <w:rStyle w:val="Hyperlink"/>
            <w:noProof/>
          </w:rPr>
          <w:t>9.4 The Humanitarian Firewall</w:t>
        </w:r>
        <w:r>
          <w:rPr>
            <w:noProof/>
            <w:webHidden/>
          </w:rPr>
          <w:tab/>
        </w:r>
        <w:r>
          <w:rPr>
            <w:noProof/>
            <w:webHidden/>
          </w:rPr>
          <w:fldChar w:fldCharType="begin"/>
        </w:r>
        <w:r>
          <w:rPr>
            <w:noProof/>
            <w:webHidden/>
          </w:rPr>
          <w:instrText xml:space="preserve"> PAGEREF _Toc235570037 \h </w:instrText>
        </w:r>
        <w:r>
          <w:rPr>
            <w:noProof/>
            <w:webHidden/>
          </w:rPr>
        </w:r>
        <w:r>
          <w:rPr>
            <w:noProof/>
            <w:webHidden/>
          </w:rPr>
          <w:fldChar w:fldCharType="separate"/>
        </w:r>
        <w:r w:rsidR="00340C20">
          <w:rPr>
            <w:noProof/>
            <w:webHidden/>
          </w:rPr>
          <w:t>21</w:t>
        </w:r>
        <w:r>
          <w:rPr>
            <w:noProof/>
            <w:webHidden/>
          </w:rPr>
          <w:fldChar w:fldCharType="end"/>
        </w:r>
      </w:hyperlink>
    </w:p>
    <w:p w14:paraId="6AE07A42" w14:textId="6A10788A" w:rsidR="0024146A" w:rsidRDefault="0024146A">
      <w:pPr>
        <w:pStyle w:val="TOC2"/>
        <w:rPr>
          <w:rFonts w:asciiTheme="minorHAnsi" w:eastAsiaTheme="minorEastAsia" w:hAnsiTheme="minorHAnsi"/>
          <w:noProof/>
          <w:color w:val="auto"/>
          <w:sz w:val="24"/>
        </w:rPr>
      </w:pPr>
      <w:hyperlink w:anchor="_Toc235570038" w:history="1">
        <w:r w:rsidRPr="00C5605B">
          <w:rPr>
            <w:rStyle w:val="Hyperlink"/>
            <w:noProof/>
          </w:rPr>
          <w:t>9.5 No Automatic Snapback</w:t>
        </w:r>
        <w:r>
          <w:rPr>
            <w:noProof/>
            <w:webHidden/>
          </w:rPr>
          <w:tab/>
        </w:r>
        <w:r>
          <w:rPr>
            <w:noProof/>
            <w:webHidden/>
          </w:rPr>
          <w:fldChar w:fldCharType="begin"/>
        </w:r>
        <w:r>
          <w:rPr>
            <w:noProof/>
            <w:webHidden/>
          </w:rPr>
          <w:instrText xml:space="preserve"> PAGEREF _Toc235570038 \h </w:instrText>
        </w:r>
        <w:r>
          <w:rPr>
            <w:noProof/>
            <w:webHidden/>
          </w:rPr>
        </w:r>
        <w:r>
          <w:rPr>
            <w:noProof/>
            <w:webHidden/>
          </w:rPr>
          <w:fldChar w:fldCharType="separate"/>
        </w:r>
        <w:r w:rsidR="00340C20">
          <w:rPr>
            <w:noProof/>
            <w:webHidden/>
          </w:rPr>
          <w:t>22</w:t>
        </w:r>
        <w:r>
          <w:rPr>
            <w:noProof/>
            <w:webHidden/>
          </w:rPr>
          <w:fldChar w:fldCharType="end"/>
        </w:r>
      </w:hyperlink>
    </w:p>
    <w:p w14:paraId="40BF22D9" w14:textId="6D828990" w:rsidR="0024146A" w:rsidRDefault="0024146A">
      <w:pPr>
        <w:pStyle w:val="TOC2"/>
        <w:rPr>
          <w:rFonts w:asciiTheme="minorHAnsi" w:eastAsiaTheme="minorEastAsia" w:hAnsiTheme="minorHAnsi"/>
          <w:noProof/>
          <w:color w:val="auto"/>
          <w:sz w:val="24"/>
        </w:rPr>
      </w:pPr>
      <w:hyperlink w:anchor="_Toc235570039" w:history="1">
        <w:r w:rsidRPr="00C5605B">
          <w:rPr>
            <w:rStyle w:val="Hyperlink"/>
            <w:noProof/>
          </w:rPr>
          <w:t>9.6 Decoupling from Force</w:t>
        </w:r>
        <w:r>
          <w:rPr>
            <w:noProof/>
            <w:webHidden/>
          </w:rPr>
          <w:tab/>
        </w:r>
        <w:r>
          <w:rPr>
            <w:noProof/>
            <w:webHidden/>
          </w:rPr>
          <w:fldChar w:fldCharType="begin"/>
        </w:r>
        <w:r>
          <w:rPr>
            <w:noProof/>
            <w:webHidden/>
          </w:rPr>
          <w:instrText xml:space="preserve"> PAGEREF _Toc235570039 \h </w:instrText>
        </w:r>
        <w:r>
          <w:rPr>
            <w:noProof/>
            <w:webHidden/>
          </w:rPr>
        </w:r>
        <w:r>
          <w:rPr>
            <w:noProof/>
            <w:webHidden/>
          </w:rPr>
          <w:fldChar w:fldCharType="separate"/>
        </w:r>
        <w:r w:rsidR="00340C20">
          <w:rPr>
            <w:noProof/>
            <w:webHidden/>
          </w:rPr>
          <w:t>22</w:t>
        </w:r>
        <w:r>
          <w:rPr>
            <w:noProof/>
            <w:webHidden/>
          </w:rPr>
          <w:fldChar w:fldCharType="end"/>
        </w:r>
      </w:hyperlink>
    </w:p>
    <w:p w14:paraId="7FA8B5D2" w14:textId="463DAF75" w:rsidR="0024146A" w:rsidRDefault="0024146A">
      <w:pPr>
        <w:pStyle w:val="TOC2"/>
        <w:rPr>
          <w:rFonts w:asciiTheme="minorHAnsi" w:eastAsiaTheme="minorEastAsia" w:hAnsiTheme="minorHAnsi"/>
          <w:noProof/>
          <w:color w:val="auto"/>
          <w:sz w:val="24"/>
        </w:rPr>
      </w:pPr>
      <w:hyperlink w:anchor="_Toc235570040" w:history="1">
        <w:r w:rsidRPr="00C5605B">
          <w:rPr>
            <w:rStyle w:val="Hyperlink"/>
            <w:noProof/>
          </w:rPr>
          <w:t>9.7 Attribution and the Rogue Actor Pathway</w:t>
        </w:r>
        <w:r>
          <w:rPr>
            <w:noProof/>
            <w:webHidden/>
          </w:rPr>
          <w:tab/>
        </w:r>
        <w:r>
          <w:rPr>
            <w:noProof/>
            <w:webHidden/>
          </w:rPr>
          <w:fldChar w:fldCharType="begin"/>
        </w:r>
        <w:r>
          <w:rPr>
            <w:noProof/>
            <w:webHidden/>
          </w:rPr>
          <w:instrText xml:space="preserve"> PAGEREF _Toc235570040 \h </w:instrText>
        </w:r>
        <w:r>
          <w:rPr>
            <w:noProof/>
            <w:webHidden/>
          </w:rPr>
        </w:r>
        <w:r>
          <w:rPr>
            <w:noProof/>
            <w:webHidden/>
          </w:rPr>
          <w:fldChar w:fldCharType="separate"/>
        </w:r>
        <w:r w:rsidR="00340C20">
          <w:rPr>
            <w:noProof/>
            <w:webHidden/>
          </w:rPr>
          <w:t>22</w:t>
        </w:r>
        <w:r>
          <w:rPr>
            <w:noProof/>
            <w:webHidden/>
          </w:rPr>
          <w:fldChar w:fldCharType="end"/>
        </w:r>
      </w:hyperlink>
    </w:p>
    <w:p w14:paraId="06543513" w14:textId="18295A94" w:rsidR="0024146A" w:rsidRDefault="0024146A">
      <w:pPr>
        <w:pStyle w:val="TOC1"/>
        <w:rPr>
          <w:rFonts w:asciiTheme="minorHAnsi" w:eastAsiaTheme="minorEastAsia" w:hAnsiTheme="minorHAnsi"/>
          <w:b w:val="0"/>
          <w:noProof/>
          <w:color w:val="auto"/>
          <w:sz w:val="24"/>
        </w:rPr>
      </w:pPr>
      <w:hyperlink w:anchor="_Toc235570041" w:history="1">
        <w:r w:rsidRPr="00C5605B">
          <w:rPr>
            <w:rStyle w:val="Hyperlink"/>
            <w:noProof/>
          </w:rPr>
          <w:t>Article 10: The Graduated Exit (Eject) Mechanism</w:t>
        </w:r>
        <w:r>
          <w:rPr>
            <w:noProof/>
            <w:webHidden/>
          </w:rPr>
          <w:tab/>
        </w:r>
        <w:r>
          <w:rPr>
            <w:noProof/>
            <w:webHidden/>
          </w:rPr>
          <w:fldChar w:fldCharType="begin"/>
        </w:r>
        <w:r>
          <w:rPr>
            <w:noProof/>
            <w:webHidden/>
          </w:rPr>
          <w:instrText xml:space="preserve"> PAGEREF _Toc235570041 \h </w:instrText>
        </w:r>
        <w:r>
          <w:rPr>
            <w:noProof/>
            <w:webHidden/>
          </w:rPr>
        </w:r>
        <w:r>
          <w:rPr>
            <w:noProof/>
            <w:webHidden/>
          </w:rPr>
          <w:fldChar w:fldCharType="separate"/>
        </w:r>
        <w:r w:rsidR="00340C20">
          <w:rPr>
            <w:noProof/>
            <w:webHidden/>
          </w:rPr>
          <w:t>22</w:t>
        </w:r>
        <w:r>
          <w:rPr>
            <w:noProof/>
            <w:webHidden/>
          </w:rPr>
          <w:fldChar w:fldCharType="end"/>
        </w:r>
      </w:hyperlink>
    </w:p>
    <w:p w14:paraId="6784D013" w14:textId="72CFF536" w:rsidR="0024146A" w:rsidRDefault="0024146A">
      <w:pPr>
        <w:pStyle w:val="TOC2"/>
        <w:rPr>
          <w:rFonts w:asciiTheme="minorHAnsi" w:eastAsiaTheme="minorEastAsia" w:hAnsiTheme="minorHAnsi"/>
          <w:noProof/>
          <w:color w:val="auto"/>
          <w:sz w:val="24"/>
        </w:rPr>
      </w:pPr>
      <w:hyperlink w:anchor="_Toc235570042" w:history="1">
        <w:r w:rsidRPr="00C5605B">
          <w:rPr>
            <w:rStyle w:val="Hyperlink"/>
            <w:noProof/>
          </w:rPr>
          <w:t>10.1 Design Logic</w:t>
        </w:r>
        <w:r>
          <w:rPr>
            <w:noProof/>
            <w:webHidden/>
          </w:rPr>
          <w:tab/>
        </w:r>
        <w:r>
          <w:rPr>
            <w:noProof/>
            <w:webHidden/>
          </w:rPr>
          <w:fldChar w:fldCharType="begin"/>
        </w:r>
        <w:r>
          <w:rPr>
            <w:noProof/>
            <w:webHidden/>
          </w:rPr>
          <w:instrText xml:space="preserve"> PAGEREF _Toc235570042 \h </w:instrText>
        </w:r>
        <w:r>
          <w:rPr>
            <w:noProof/>
            <w:webHidden/>
          </w:rPr>
        </w:r>
        <w:r>
          <w:rPr>
            <w:noProof/>
            <w:webHidden/>
          </w:rPr>
          <w:fldChar w:fldCharType="separate"/>
        </w:r>
        <w:r w:rsidR="00340C20">
          <w:rPr>
            <w:noProof/>
            <w:webHidden/>
          </w:rPr>
          <w:t>22</w:t>
        </w:r>
        <w:r>
          <w:rPr>
            <w:noProof/>
            <w:webHidden/>
          </w:rPr>
          <w:fldChar w:fldCharType="end"/>
        </w:r>
      </w:hyperlink>
    </w:p>
    <w:p w14:paraId="6D2F4F41" w14:textId="56B1538B" w:rsidR="0024146A" w:rsidRDefault="0024146A">
      <w:pPr>
        <w:pStyle w:val="TOC2"/>
        <w:rPr>
          <w:rFonts w:asciiTheme="minorHAnsi" w:eastAsiaTheme="minorEastAsia" w:hAnsiTheme="minorHAnsi"/>
          <w:noProof/>
          <w:color w:val="auto"/>
          <w:sz w:val="24"/>
        </w:rPr>
      </w:pPr>
      <w:hyperlink w:anchor="_Toc235570043" w:history="1">
        <w:r w:rsidRPr="00C5605B">
          <w:rPr>
            <w:rStyle w:val="Hyperlink"/>
            <w:noProof/>
          </w:rPr>
          <w:t>10.2 The Notice Ladder</w:t>
        </w:r>
        <w:r>
          <w:rPr>
            <w:noProof/>
            <w:webHidden/>
          </w:rPr>
          <w:tab/>
        </w:r>
        <w:r>
          <w:rPr>
            <w:noProof/>
            <w:webHidden/>
          </w:rPr>
          <w:fldChar w:fldCharType="begin"/>
        </w:r>
        <w:r>
          <w:rPr>
            <w:noProof/>
            <w:webHidden/>
          </w:rPr>
          <w:instrText xml:space="preserve"> PAGEREF _Toc235570043 \h </w:instrText>
        </w:r>
        <w:r>
          <w:rPr>
            <w:noProof/>
            <w:webHidden/>
          </w:rPr>
        </w:r>
        <w:r>
          <w:rPr>
            <w:noProof/>
            <w:webHidden/>
          </w:rPr>
          <w:fldChar w:fldCharType="separate"/>
        </w:r>
        <w:r w:rsidR="00340C20">
          <w:rPr>
            <w:noProof/>
            <w:webHidden/>
          </w:rPr>
          <w:t>23</w:t>
        </w:r>
        <w:r>
          <w:rPr>
            <w:noProof/>
            <w:webHidden/>
          </w:rPr>
          <w:fldChar w:fldCharType="end"/>
        </w:r>
      </w:hyperlink>
    </w:p>
    <w:p w14:paraId="4B004F19" w14:textId="3AE0F230" w:rsidR="0024146A" w:rsidRDefault="0024146A">
      <w:pPr>
        <w:pStyle w:val="TOC2"/>
        <w:rPr>
          <w:rFonts w:asciiTheme="minorHAnsi" w:eastAsiaTheme="minorEastAsia" w:hAnsiTheme="minorHAnsi"/>
          <w:noProof/>
          <w:color w:val="auto"/>
          <w:sz w:val="24"/>
        </w:rPr>
      </w:pPr>
      <w:hyperlink w:anchor="_Toc235570044" w:history="1">
        <w:r w:rsidRPr="00C5605B">
          <w:rPr>
            <w:rStyle w:val="Hyperlink"/>
            <w:noProof/>
          </w:rPr>
          <w:t>10.3 Financial Guarantees</w:t>
        </w:r>
        <w:r>
          <w:rPr>
            <w:noProof/>
            <w:webHidden/>
          </w:rPr>
          <w:tab/>
        </w:r>
        <w:r>
          <w:rPr>
            <w:noProof/>
            <w:webHidden/>
          </w:rPr>
          <w:fldChar w:fldCharType="begin"/>
        </w:r>
        <w:r>
          <w:rPr>
            <w:noProof/>
            <w:webHidden/>
          </w:rPr>
          <w:instrText xml:space="preserve"> PAGEREF _Toc235570044 \h </w:instrText>
        </w:r>
        <w:r>
          <w:rPr>
            <w:noProof/>
            <w:webHidden/>
          </w:rPr>
        </w:r>
        <w:r>
          <w:rPr>
            <w:noProof/>
            <w:webHidden/>
          </w:rPr>
          <w:fldChar w:fldCharType="separate"/>
        </w:r>
        <w:r w:rsidR="00340C20">
          <w:rPr>
            <w:noProof/>
            <w:webHidden/>
          </w:rPr>
          <w:t>23</w:t>
        </w:r>
        <w:r>
          <w:rPr>
            <w:noProof/>
            <w:webHidden/>
          </w:rPr>
          <w:fldChar w:fldCharType="end"/>
        </w:r>
      </w:hyperlink>
    </w:p>
    <w:p w14:paraId="65E74DDE" w14:textId="2469C888" w:rsidR="0024146A" w:rsidRDefault="0024146A">
      <w:pPr>
        <w:pStyle w:val="TOC2"/>
        <w:rPr>
          <w:rFonts w:asciiTheme="minorHAnsi" w:eastAsiaTheme="minorEastAsia" w:hAnsiTheme="minorHAnsi"/>
          <w:noProof/>
          <w:color w:val="auto"/>
          <w:sz w:val="24"/>
        </w:rPr>
      </w:pPr>
      <w:hyperlink w:anchor="_Toc235570045" w:history="1">
        <w:r w:rsidRPr="00C5605B">
          <w:rPr>
            <w:rStyle w:val="Hyperlink"/>
            <w:noProof/>
          </w:rPr>
          <w:t>10.4 Effects on the Nuclear Bridge</w:t>
        </w:r>
        <w:r>
          <w:rPr>
            <w:noProof/>
            <w:webHidden/>
          </w:rPr>
          <w:tab/>
        </w:r>
        <w:r>
          <w:rPr>
            <w:noProof/>
            <w:webHidden/>
          </w:rPr>
          <w:fldChar w:fldCharType="begin"/>
        </w:r>
        <w:r>
          <w:rPr>
            <w:noProof/>
            <w:webHidden/>
          </w:rPr>
          <w:instrText xml:space="preserve"> PAGEREF _Toc235570045 \h </w:instrText>
        </w:r>
        <w:r>
          <w:rPr>
            <w:noProof/>
            <w:webHidden/>
          </w:rPr>
        </w:r>
        <w:r>
          <w:rPr>
            <w:noProof/>
            <w:webHidden/>
          </w:rPr>
          <w:fldChar w:fldCharType="separate"/>
        </w:r>
        <w:r w:rsidR="00340C20">
          <w:rPr>
            <w:noProof/>
            <w:webHidden/>
          </w:rPr>
          <w:t>23</w:t>
        </w:r>
        <w:r>
          <w:rPr>
            <w:noProof/>
            <w:webHidden/>
          </w:rPr>
          <w:fldChar w:fldCharType="end"/>
        </w:r>
      </w:hyperlink>
    </w:p>
    <w:p w14:paraId="75A32B0A" w14:textId="7967553A" w:rsidR="0024146A" w:rsidRDefault="0024146A">
      <w:pPr>
        <w:pStyle w:val="TOC2"/>
        <w:rPr>
          <w:rFonts w:asciiTheme="minorHAnsi" w:eastAsiaTheme="minorEastAsia" w:hAnsiTheme="minorHAnsi"/>
          <w:noProof/>
          <w:color w:val="auto"/>
          <w:sz w:val="24"/>
        </w:rPr>
      </w:pPr>
      <w:hyperlink w:anchor="_Toc235570046" w:history="1">
        <w:r w:rsidRPr="00C5605B">
          <w:rPr>
            <w:rStyle w:val="Hyperlink"/>
            <w:noProof/>
          </w:rPr>
          <w:t>10.5 Reconstitution</w:t>
        </w:r>
        <w:r>
          <w:rPr>
            <w:noProof/>
            <w:webHidden/>
          </w:rPr>
          <w:tab/>
        </w:r>
        <w:r>
          <w:rPr>
            <w:noProof/>
            <w:webHidden/>
          </w:rPr>
          <w:fldChar w:fldCharType="begin"/>
        </w:r>
        <w:r>
          <w:rPr>
            <w:noProof/>
            <w:webHidden/>
          </w:rPr>
          <w:instrText xml:space="preserve"> PAGEREF _Toc235570046 \h </w:instrText>
        </w:r>
        <w:r>
          <w:rPr>
            <w:noProof/>
            <w:webHidden/>
          </w:rPr>
        </w:r>
        <w:r>
          <w:rPr>
            <w:noProof/>
            <w:webHidden/>
          </w:rPr>
          <w:fldChar w:fldCharType="separate"/>
        </w:r>
        <w:r w:rsidR="00340C20">
          <w:rPr>
            <w:noProof/>
            <w:webHidden/>
          </w:rPr>
          <w:t>23</w:t>
        </w:r>
        <w:r>
          <w:rPr>
            <w:noProof/>
            <w:webHidden/>
          </w:rPr>
          <w:fldChar w:fldCharType="end"/>
        </w:r>
      </w:hyperlink>
    </w:p>
    <w:p w14:paraId="0FB72655" w14:textId="0C970A01" w:rsidR="0024146A" w:rsidRDefault="0024146A">
      <w:pPr>
        <w:pStyle w:val="TOC1"/>
        <w:rPr>
          <w:rFonts w:asciiTheme="minorHAnsi" w:eastAsiaTheme="minorEastAsia" w:hAnsiTheme="minorHAnsi"/>
          <w:b w:val="0"/>
          <w:noProof/>
          <w:color w:val="auto"/>
          <w:sz w:val="24"/>
        </w:rPr>
      </w:pPr>
      <w:hyperlink w:anchor="_Toc235570047" w:history="1">
        <w:r w:rsidRPr="00C5605B">
          <w:rPr>
            <w:rStyle w:val="Hyperlink"/>
            <w:noProof/>
          </w:rPr>
          <w:t>Article 11: Governance</w:t>
        </w:r>
        <w:r>
          <w:rPr>
            <w:noProof/>
            <w:webHidden/>
          </w:rPr>
          <w:tab/>
        </w:r>
        <w:r>
          <w:rPr>
            <w:noProof/>
            <w:webHidden/>
          </w:rPr>
          <w:fldChar w:fldCharType="begin"/>
        </w:r>
        <w:r>
          <w:rPr>
            <w:noProof/>
            <w:webHidden/>
          </w:rPr>
          <w:instrText xml:space="preserve"> PAGEREF _Toc235570047 \h </w:instrText>
        </w:r>
        <w:r>
          <w:rPr>
            <w:noProof/>
            <w:webHidden/>
          </w:rPr>
        </w:r>
        <w:r>
          <w:rPr>
            <w:noProof/>
            <w:webHidden/>
          </w:rPr>
          <w:fldChar w:fldCharType="separate"/>
        </w:r>
        <w:r w:rsidR="00340C20">
          <w:rPr>
            <w:noProof/>
            <w:webHidden/>
          </w:rPr>
          <w:t>24</w:t>
        </w:r>
        <w:r>
          <w:rPr>
            <w:noProof/>
            <w:webHidden/>
          </w:rPr>
          <w:fldChar w:fldCharType="end"/>
        </w:r>
      </w:hyperlink>
    </w:p>
    <w:p w14:paraId="00463C90" w14:textId="0ACD49C5" w:rsidR="0024146A" w:rsidRDefault="0024146A">
      <w:pPr>
        <w:pStyle w:val="TOC2"/>
        <w:rPr>
          <w:rFonts w:asciiTheme="minorHAnsi" w:eastAsiaTheme="minorEastAsia" w:hAnsiTheme="minorHAnsi"/>
          <w:noProof/>
          <w:color w:val="auto"/>
          <w:sz w:val="24"/>
        </w:rPr>
      </w:pPr>
      <w:hyperlink w:anchor="_Toc235570048" w:history="1">
        <w:r w:rsidRPr="00C5605B">
          <w:rPr>
            <w:rStyle w:val="Hyperlink"/>
            <w:noProof/>
          </w:rPr>
          <w:t>11.1 Three Bodies Only</w:t>
        </w:r>
        <w:r>
          <w:rPr>
            <w:noProof/>
            <w:webHidden/>
          </w:rPr>
          <w:tab/>
        </w:r>
        <w:r>
          <w:rPr>
            <w:noProof/>
            <w:webHidden/>
          </w:rPr>
          <w:fldChar w:fldCharType="begin"/>
        </w:r>
        <w:r>
          <w:rPr>
            <w:noProof/>
            <w:webHidden/>
          </w:rPr>
          <w:instrText xml:space="preserve"> PAGEREF _Toc235570048 \h </w:instrText>
        </w:r>
        <w:r>
          <w:rPr>
            <w:noProof/>
            <w:webHidden/>
          </w:rPr>
        </w:r>
        <w:r>
          <w:rPr>
            <w:noProof/>
            <w:webHidden/>
          </w:rPr>
          <w:fldChar w:fldCharType="separate"/>
        </w:r>
        <w:r w:rsidR="00340C20">
          <w:rPr>
            <w:noProof/>
            <w:webHidden/>
          </w:rPr>
          <w:t>24</w:t>
        </w:r>
        <w:r>
          <w:rPr>
            <w:noProof/>
            <w:webHidden/>
          </w:rPr>
          <w:fldChar w:fldCharType="end"/>
        </w:r>
      </w:hyperlink>
    </w:p>
    <w:p w14:paraId="218DFDD6" w14:textId="38499148" w:rsidR="0024146A" w:rsidRDefault="0024146A">
      <w:pPr>
        <w:pStyle w:val="TOC2"/>
        <w:rPr>
          <w:rFonts w:asciiTheme="minorHAnsi" w:eastAsiaTheme="minorEastAsia" w:hAnsiTheme="minorHAnsi"/>
          <w:noProof/>
          <w:color w:val="auto"/>
          <w:sz w:val="24"/>
        </w:rPr>
      </w:pPr>
      <w:hyperlink w:anchor="_Toc235570049" w:history="1">
        <w:r w:rsidRPr="00C5605B">
          <w:rPr>
            <w:rStyle w:val="Hyperlink"/>
            <w:noProof/>
          </w:rPr>
          <w:t>11.2 Decision Rules</w:t>
        </w:r>
        <w:r>
          <w:rPr>
            <w:noProof/>
            <w:webHidden/>
          </w:rPr>
          <w:tab/>
        </w:r>
        <w:r>
          <w:rPr>
            <w:noProof/>
            <w:webHidden/>
          </w:rPr>
          <w:fldChar w:fldCharType="begin"/>
        </w:r>
        <w:r>
          <w:rPr>
            <w:noProof/>
            <w:webHidden/>
          </w:rPr>
          <w:instrText xml:space="preserve"> PAGEREF _Toc235570049 \h </w:instrText>
        </w:r>
        <w:r>
          <w:rPr>
            <w:noProof/>
            <w:webHidden/>
          </w:rPr>
        </w:r>
        <w:r>
          <w:rPr>
            <w:noProof/>
            <w:webHidden/>
          </w:rPr>
          <w:fldChar w:fldCharType="separate"/>
        </w:r>
        <w:r w:rsidR="00340C20">
          <w:rPr>
            <w:noProof/>
            <w:webHidden/>
          </w:rPr>
          <w:t>24</w:t>
        </w:r>
        <w:r>
          <w:rPr>
            <w:noProof/>
            <w:webHidden/>
          </w:rPr>
          <w:fldChar w:fldCharType="end"/>
        </w:r>
      </w:hyperlink>
    </w:p>
    <w:p w14:paraId="5F4FC3F2" w14:textId="5C9E7514" w:rsidR="0024146A" w:rsidRDefault="0024146A">
      <w:pPr>
        <w:pStyle w:val="TOC2"/>
        <w:rPr>
          <w:rFonts w:asciiTheme="minorHAnsi" w:eastAsiaTheme="minorEastAsia" w:hAnsiTheme="minorHAnsi"/>
          <w:noProof/>
          <w:color w:val="auto"/>
          <w:sz w:val="24"/>
        </w:rPr>
      </w:pPr>
      <w:hyperlink w:anchor="_Toc235570050" w:history="1">
        <w:r w:rsidRPr="00C5605B">
          <w:rPr>
            <w:rStyle w:val="Hyperlink"/>
            <w:noProof/>
          </w:rPr>
          <w:t>11.3 Crisis Contacts</w:t>
        </w:r>
        <w:r>
          <w:rPr>
            <w:noProof/>
            <w:webHidden/>
          </w:rPr>
          <w:tab/>
        </w:r>
        <w:r>
          <w:rPr>
            <w:noProof/>
            <w:webHidden/>
          </w:rPr>
          <w:fldChar w:fldCharType="begin"/>
        </w:r>
        <w:r>
          <w:rPr>
            <w:noProof/>
            <w:webHidden/>
          </w:rPr>
          <w:instrText xml:space="preserve"> PAGEREF _Toc235570050 \h </w:instrText>
        </w:r>
        <w:r>
          <w:rPr>
            <w:noProof/>
            <w:webHidden/>
          </w:rPr>
        </w:r>
        <w:r>
          <w:rPr>
            <w:noProof/>
            <w:webHidden/>
          </w:rPr>
          <w:fldChar w:fldCharType="separate"/>
        </w:r>
        <w:r w:rsidR="00340C20">
          <w:rPr>
            <w:noProof/>
            <w:webHidden/>
          </w:rPr>
          <w:t>24</w:t>
        </w:r>
        <w:r>
          <w:rPr>
            <w:noProof/>
            <w:webHidden/>
          </w:rPr>
          <w:fldChar w:fldCharType="end"/>
        </w:r>
      </w:hyperlink>
    </w:p>
    <w:p w14:paraId="121D14E7" w14:textId="1D0AF0DC" w:rsidR="0024146A" w:rsidRDefault="0024146A">
      <w:pPr>
        <w:pStyle w:val="TOC2"/>
        <w:rPr>
          <w:rFonts w:asciiTheme="minorHAnsi" w:eastAsiaTheme="minorEastAsia" w:hAnsiTheme="minorHAnsi"/>
          <w:noProof/>
          <w:color w:val="auto"/>
          <w:sz w:val="24"/>
        </w:rPr>
      </w:pPr>
      <w:hyperlink w:anchor="_Toc235570051" w:history="1">
        <w:r w:rsidRPr="00C5605B">
          <w:rPr>
            <w:rStyle w:val="Hyperlink"/>
            <w:noProof/>
          </w:rPr>
          <w:t>11.4 Cost-Sharing</w:t>
        </w:r>
        <w:r>
          <w:rPr>
            <w:noProof/>
            <w:webHidden/>
          </w:rPr>
          <w:tab/>
        </w:r>
        <w:r>
          <w:rPr>
            <w:noProof/>
            <w:webHidden/>
          </w:rPr>
          <w:fldChar w:fldCharType="begin"/>
        </w:r>
        <w:r>
          <w:rPr>
            <w:noProof/>
            <w:webHidden/>
          </w:rPr>
          <w:instrText xml:space="preserve"> PAGEREF _Toc235570051 \h </w:instrText>
        </w:r>
        <w:r>
          <w:rPr>
            <w:noProof/>
            <w:webHidden/>
          </w:rPr>
        </w:r>
        <w:r>
          <w:rPr>
            <w:noProof/>
            <w:webHidden/>
          </w:rPr>
          <w:fldChar w:fldCharType="separate"/>
        </w:r>
        <w:r w:rsidR="00340C20">
          <w:rPr>
            <w:noProof/>
            <w:webHidden/>
          </w:rPr>
          <w:t>24</w:t>
        </w:r>
        <w:r>
          <w:rPr>
            <w:noProof/>
            <w:webHidden/>
          </w:rPr>
          <w:fldChar w:fldCharType="end"/>
        </w:r>
      </w:hyperlink>
    </w:p>
    <w:p w14:paraId="00B78A4F" w14:textId="5684569E" w:rsidR="0024146A" w:rsidRDefault="0024146A">
      <w:pPr>
        <w:pStyle w:val="TOC1"/>
        <w:rPr>
          <w:rFonts w:asciiTheme="minorHAnsi" w:eastAsiaTheme="minorEastAsia" w:hAnsiTheme="minorHAnsi"/>
          <w:b w:val="0"/>
          <w:noProof/>
          <w:color w:val="auto"/>
          <w:sz w:val="24"/>
        </w:rPr>
      </w:pPr>
      <w:hyperlink w:anchor="_Toc235570052" w:history="1">
        <w:r w:rsidRPr="00C5605B">
          <w:rPr>
            <w:rStyle w:val="Hyperlink"/>
            <w:noProof/>
          </w:rPr>
          <w:t>Article 12: Political Sensitivity and Narrative Protocol</w:t>
        </w:r>
        <w:r>
          <w:rPr>
            <w:noProof/>
            <w:webHidden/>
          </w:rPr>
          <w:tab/>
        </w:r>
        <w:r>
          <w:rPr>
            <w:noProof/>
            <w:webHidden/>
          </w:rPr>
          <w:fldChar w:fldCharType="begin"/>
        </w:r>
        <w:r>
          <w:rPr>
            <w:noProof/>
            <w:webHidden/>
          </w:rPr>
          <w:instrText xml:space="preserve"> PAGEREF _Toc235570052 \h </w:instrText>
        </w:r>
        <w:r>
          <w:rPr>
            <w:noProof/>
            <w:webHidden/>
          </w:rPr>
        </w:r>
        <w:r>
          <w:rPr>
            <w:noProof/>
            <w:webHidden/>
          </w:rPr>
          <w:fldChar w:fldCharType="separate"/>
        </w:r>
        <w:r w:rsidR="00340C20">
          <w:rPr>
            <w:noProof/>
            <w:webHidden/>
          </w:rPr>
          <w:t>24</w:t>
        </w:r>
        <w:r>
          <w:rPr>
            <w:noProof/>
            <w:webHidden/>
          </w:rPr>
          <w:fldChar w:fldCharType="end"/>
        </w:r>
      </w:hyperlink>
    </w:p>
    <w:p w14:paraId="1C41A882" w14:textId="192A086A" w:rsidR="0024146A" w:rsidRDefault="0024146A">
      <w:pPr>
        <w:pStyle w:val="TOC2"/>
        <w:rPr>
          <w:rFonts w:asciiTheme="minorHAnsi" w:eastAsiaTheme="minorEastAsia" w:hAnsiTheme="minorHAnsi"/>
          <w:noProof/>
          <w:color w:val="auto"/>
          <w:sz w:val="24"/>
        </w:rPr>
      </w:pPr>
      <w:hyperlink w:anchor="_Toc235570053" w:history="1">
        <w:r w:rsidRPr="00C5605B">
          <w:rPr>
            <w:rStyle w:val="Hyperlink"/>
            <w:noProof/>
          </w:rPr>
          <w:t>12.1 The Non-Humiliation Doctrine</w:t>
        </w:r>
        <w:r>
          <w:rPr>
            <w:noProof/>
            <w:webHidden/>
          </w:rPr>
          <w:tab/>
        </w:r>
        <w:r>
          <w:rPr>
            <w:noProof/>
            <w:webHidden/>
          </w:rPr>
          <w:fldChar w:fldCharType="begin"/>
        </w:r>
        <w:r>
          <w:rPr>
            <w:noProof/>
            <w:webHidden/>
          </w:rPr>
          <w:instrText xml:space="preserve"> PAGEREF _Toc235570053 \h </w:instrText>
        </w:r>
        <w:r>
          <w:rPr>
            <w:noProof/>
            <w:webHidden/>
          </w:rPr>
        </w:r>
        <w:r>
          <w:rPr>
            <w:noProof/>
            <w:webHidden/>
          </w:rPr>
          <w:fldChar w:fldCharType="separate"/>
        </w:r>
        <w:r w:rsidR="00340C20">
          <w:rPr>
            <w:noProof/>
            <w:webHidden/>
          </w:rPr>
          <w:t>24</w:t>
        </w:r>
        <w:r>
          <w:rPr>
            <w:noProof/>
            <w:webHidden/>
          </w:rPr>
          <w:fldChar w:fldCharType="end"/>
        </w:r>
      </w:hyperlink>
    </w:p>
    <w:p w14:paraId="1DEA325C" w14:textId="1B8381EE" w:rsidR="0024146A" w:rsidRDefault="0024146A">
      <w:pPr>
        <w:pStyle w:val="TOC2"/>
        <w:rPr>
          <w:rFonts w:asciiTheme="minorHAnsi" w:eastAsiaTheme="minorEastAsia" w:hAnsiTheme="minorHAnsi"/>
          <w:noProof/>
          <w:color w:val="auto"/>
          <w:sz w:val="24"/>
        </w:rPr>
      </w:pPr>
      <w:hyperlink w:anchor="_Toc235570054" w:history="1">
        <w:r w:rsidRPr="00C5605B">
          <w:rPr>
            <w:rStyle w:val="Hyperlink"/>
            <w:noProof/>
          </w:rPr>
          <w:t>12.2 Mutual Architecture Framing</w:t>
        </w:r>
        <w:r>
          <w:rPr>
            <w:noProof/>
            <w:webHidden/>
          </w:rPr>
          <w:tab/>
        </w:r>
        <w:r>
          <w:rPr>
            <w:noProof/>
            <w:webHidden/>
          </w:rPr>
          <w:fldChar w:fldCharType="begin"/>
        </w:r>
        <w:r>
          <w:rPr>
            <w:noProof/>
            <w:webHidden/>
          </w:rPr>
          <w:instrText xml:space="preserve"> PAGEREF _Toc235570054 \h </w:instrText>
        </w:r>
        <w:r>
          <w:rPr>
            <w:noProof/>
            <w:webHidden/>
          </w:rPr>
        </w:r>
        <w:r>
          <w:rPr>
            <w:noProof/>
            <w:webHidden/>
          </w:rPr>
          <w:fldChar w:fldCharType="separate"/>
        </w:r>
        <w:r w:rsidR="00340C20">
          <w:rPr>
            <w:noProof/>
            <w:webHidden/>
          </w:rPr>
          <w:t>25</w:t>
        </w:r>
        <w:r>
          <w:rPr>
            <w:noProof/>
            <w:webHidden/>
          </w:rPr>
          <w:fldChar w:fldCharType="end"/>
        </w:r>
      </w:hyperlink>
    </w:p>
    <w:p w14:paraId="3C9ABC11" w14:textId="20864E1B" w:rsidR="0024146A" w:rsidRDefault="0024146A">
      <w:pPr>
        <w:pStyle w:val="TOC2"/>
        <w:rPr>
          <w:rFonts w:asciiTheme="minorHAnsi" w:eastAsiaTheme="minorEastAsia" w:hAnsiTheme="minorHAnsi"/>
          <w:noProof/>
          <w:color w:val="auto"/>
          <w:sz w:val="24"/>
        </w:rPr>
      </w:pPr>
      <w:hyperlink w:anchor="_Toc235570055" w:history="1">
        <w:r w:rsidRPr="00C5605B">
          <w:rPr>
            <w:rStyle w:val="Hyperlink"/>
            <w:noProof/>
          </w:rPr>
          <w:t>12.3 Nomenclature Neutrality</w:t>
        </w:r>
        <w:r>
          <w:rPr>
            <w:noProof/>
            <w:webHidden/>
          </w:rPr>
          <w:tab/>
        </w:r>
        <w:r>
          <w:rPr>
            <w:noProof/>
            <w:webHidden/>
          </w:rPr>
          <w:fldChar w:fldCharType="begin"/>
        </w:r>
        <w:r>
          <w:rPr>
            <w:noProof/>
            <w:webHidden/>
          </w:rPr>
          <w:instrText xml:space="preserve"> PAGEREF _Toc235570055 \h </w:instrText>
        </w:r>
        <w:r>
          <w:rPr>
            <w:noProof/>
            <w:webHidden/>
          </w:rPr>
        </w:r>
        <w:r>
          <w:rPr>
            <w:noProof/>
            <w:webHidden/>
          </w:rPr>
          <w:fldChar w:fldCharType="separate"/>
        </w:r>
        <w:r w:rsidR="00340C20">
          <w:rPr>
            <w:noProof/>
            <w:webHidden/>
          </w:rPr>
          <w:t>25</w:t>
        </w:r>
        <w:r>
          <w:rPr>
            <w:noProof/>
            <w:webHidden/>
          </w:rPr>
          <w:fldChar w:fldCharType="end"/>
        </w:r>
      </w:hyperlink>
    </w:p>
    <w:p w14:paraId="172DA2B2" w14:textId="0481576A" w:rsidR="0024146A" w:rsidRDefault="0024146A">
      <w:pPr>
        <w:pStyle w:val="TOC2"/>
        <w:rPr>
          <w:rFonts w:asciiTheme="minorHAnsi" w:eastAsiaTheme="minorEastAsia" w:hAnsiTheme="minorHAnsi"/>
          <w:noProof/>
          <w:color w:val="auto"/>
          <w:sz w:val="24"/>
        </w:rPr>
      </w:pPr>
      <w:hyperlink w:anchor="_Toc235570056" w:history="1">
        <w:r w:rsidRPr="00C5605B">
          <w:rPr>
            <w:rStyle w:val="Hyperlink"/>
            <w:noProof/>
          </w:rPr>
          <w:t>12.4 Synchronized Announcements and Quiet Remediation</w:t>
        </w:r>
        <w:r>
          <w:rPr>
            <w:noProof/>
            <w:webHidden/>
          </w:rPr>
          <w:tab/>
        </w:r>
        <w:r>
          <w:rPr>
            <w:noProof/>
            <w:webHidden/>
          </w:rPr>
          <w:fldChar w:fldCharType="begin"/>
        </w:r>
        <w:r>
          <w:rPr>
            <w:noProof/>
            <w:webHidden/>
          </w:rPr>
          <w:instrText xml:space="preserve"> PAGEREF _Toc235570056 \h </w:instrText>
        </w:r>
        <w:r>
          <w:rPr>
            <w:noProof/>
            <w:webHidden/>
          </w:rPr>
        </w:r>
        <w:r>
          <w:rPr>
            <w:noProof/>
            <w:webHidden/>
          </w:rPr>
          <w:fldChar w:fldCharType="separate"/>
        </w:r>
        <w:r w:rsidR="00340C20">
          <w:rPr>
            <w:noProof/>
            <w:webHidden/>
          </w:rPr>
          <w:t>25</w:t>
        </w:r>
        <w:r>
          <w:rPr>
            <w:noProof/>
            <w:webHidden/>
          </w:rPr>
          <w:fldChar w:fldCharType="end"/>
        </w:r>
      </w:hyperlink>
    </w:p>
    <w:p w14:paraId="4CC73F9C" w14:textId="71757C80" w:rsidR="0024146A" w:rsidRDefault="0024146A">
      <w:pPr>
        <w:pStyle w:val="TOC2"/>
        <w:rPr>
          <w:rFonts w:asciiTheme="minorHAnsi" w:eastAsiaTheme="minorEastAsia" w:hAnsiTheme="minorHAnsi"/>
          <w:noProof/>
          <w:color w:val="auto"/>
          <w:sz w:val="24"/>
        </w:rPr>
      </w:pPr>
      <w:hyperlink w:anchor="_Toc235570057" w:history="1">
        <w:r w:rsidRPr="00C5605B">
          <w:rPr>
            <w:rStyle w:val="Hyperlink"/>
            <w:noProof/>
          </w:rPr>
          <w:t>12.5 What Each Side Gains</w:t>
        </w:r>
        <w:r>
          <w:rPr>
            <w:noProof/>
            <w:webHidden/>
          </w:rPr>
          <w:tab/>
        </w:r>
        <w:r>
          <w:rPr>
            <w:noProof/>
            <w:webHidden/>
          </w:rPr>
          <w:fldChar w:fldCharType="begin"/>
        </w:r>
        <w:r>
          <w:rPr>
            <w:noProof/>
            <w:webHidden/>
          </w:rPr>
          <w:instrText xml:space="preserve"> PAGEREF _Toc235570057 \h </w:instrText>
        </w:r>
        <w:r>
          <w:rPr>
            <w:noProof/>
            <w:webHidden/>
          </w:rPr>
        </w:r>
        <w:r>
          <w:rPr>
            <w:noProof/>
            <w:webHidden/>
          </w:rPr>
          <w:fldChar w:fldCharType="separate"/>
        </w:r>
        <w:r w:rsidR="00340C20">
          <w:rPr>
            <w:noProof/>
            <w:webHidden/>
          </w:rPr>
          <w:t>25</w:t>
        </w:r>
        <w:r>
          <w:rPr>
            <w:noProof/>
            <w:webHidden/>
          </w:rPr>
          <w:fldChar w:fldCharType="end"/>
        </w:r>
      </w:hyperlink>
    </w:p>
    <w:p w14:paraId="12E01F50" w14:textId="4627137C" w:rsidR="0024146A" w:rsidRDefault="0024146A">
      <w:pPr>
        <w:pStyle w:val="TOC1"/>
        <w:rPr>
          <w:rFonts w:asciiTheme="minorHAnsi" w:eastAsiaTheme="minorEastAsia" w:hAnsiTheme="minorHAnsi"/>
          <w:b w:val="0"/>
          <w:noProof/>
          <w:color w:val="auto"/>
          <w:sz w:val="24"/>
        </w:rPr>
      </w:pPr>
      <w:hyperlink w:anchor="_Toc235570058" w:history="1">
        <w:r w:rsidRPr="00C5605B">
          <w:rPr>
            <w:rStyle w:val="Hyperlink"/>
            <w:noProof/>
          </w:rPr>
          <w:t>Article 13: Final Provisions</w:t>
        </w:r>
        <w:r>
          <w:rPr>
            <w:noProof/>
            <w:webHidden/>
          </w:rPr>
          <w:tab/>
        </w:r>
        <w:r>
          <w:rPr>
            <w:noProof/>
            <w:webHidden/>
          </w:rPr>
          <w:fldChar w:fldCharType="begin"/>
        </w:r>
        <w:r>
          <w:rPr>
            <w:noProof/>
            <w:webHidden/>
          </w:rPr>
          <w:instrText xml:space="preserve"> PAGEREF _Toc235570058 \h </w:instrText>
        </w:r>
        <w:r>
          <w:rPr>
            <w:noProof/>
            <w:webHidden/>
          </w:rPr>
        </w:r>
        <w:r>
          <w:rPr>
            <w:noProof/>
            <w:webHidden/>
          </w:rPr>
          <w:fldChar w:fldCharType="separate"/>
        </w:r>
        <w:r w:rsidR="00340C20">
          <w:rPr>
            <w:noProof/>
            <w:webHidden/>
          </w:rPr>
          <w:t>26</w:t>
        </w:r>
        <w:r>
          <w:rPr>
            <w:noProof/>
            <w:webHidden/>
          </w:rPr>
          <w:fldChar w:fldCharType="end"/>
        </w:r>
      </w:hyperlink>
    </w:p>
    <w:p w14:paraId="3B1DF929" w14:textId="42C73F73" w:rsidR="0024146A" w:rsidRDefault="0024146A">
      <w:pPr>
        <w:pStyle w:val="TOC2"/>
        <w:rPr>
          <w:rFonts w:asciiTheme="minorHAnsi" w:eastAsiaTheme="minorEastAsia" w:hAnsiTheme="minorHAnsi"/>
          <w:noProof/>
          <w:color w:val="auto"/>
          <w:sz w:val="24"/>
        </w:rPr>
      </w:pPr>
      <w:hyperlink w:anchor="_Toc235570059" w:history="1">
        <w:r w:rsidRPr="00C5605B">
          <w:rPr>
            <w:rStyle w:val="Hyperlink"/>
            <w:noProof/>
          </w:rPr>
          <w:t>13.1 Entry into Force</w:t>
        </w:r>
        <w:r>
          <w:rPr>
            <w:noProof/>
            <w:webHidden/>
          </w:rPr>
          <w:tab/>
        </w:r>
        <w:r>
          <w:rPr>
            <w:noProof/>
            <w:webHidden/>
          </w:rPr>
          <w:fldChar w:fldCharType="begin"/>
        </w:r>
        <w:r>
          <w:rPr>
            <w:noProof/>
            <w:webHidden/>
          </w:rPr>
          <w:instrText xml:space="preserve"> PAGEREF _Toc235570059 \h </w:instrText>
        </w:r>
        <w:r>
          <w:rPr>
            <w:noProof/>
            <w:webHidden/>
          </w:rPr>
        </w:r>
        <w:r>
          <w:rPr>
            <w:noProof/>
            <w:webHidden/>
          </w:rPr>
          <w:fldChar w:fldCharType="separate"/>
        </w:r>
        <w:r w:rsidR="00340C20">
          <w:rPr>
            <w:noProof/>
            <w:webHidden/>
          </w:rPr>
          <w:t>26</w:t>
        </w:r>
        <w:r>
          <w:rPr>
            <w:noProof/>
            <w:webHidden/>
          </w:rPr>
          <w:fldChar w:fldCharType="end"/>
        </w:r>
      </w:hyperlink>
    </w:p>
    <w:p w14:paraId="07EC5D1C" w14:textId="40069891" w:rsidR="0024146A" w:rsidRDefault="0024146A">
      <w:pPr>
        <w:pStyle w:val="TOC2"/>
        <w:rPr>
          <w:rFonts w:asciiTheme="minorHAnsi" w:eastAsiaTheme="minorEastAsia" w:hAnsiTheme="minorHAnsi"/>
          <w:noProof/>
          <w:color w:val="auto"/>
          <w:sz w:val="24"/>
        </w:rPr>
      </w:pPr>
      <w:hyperlink w:anchor="_Toc235570060" w:history="1">
        <w:r w:rsidRPr="00C5605B">
          <w:rPr>
            <w:rStyle w:val="Hyperlink"/>
            <w:noProof/>
          </w:rPr>
          <w:t>13.2 No Precedent</w:t>
        </w:r>
        <w:r>
          <w:rPr>
            <w:noProof/>
            <w:webHidden/>
          </w:rPr>
          <w:tab/>
        </w:r>
        <w:r>
          <w:rPr>
            <w:noProof/>
            <w:webHidden/>
          </w:rPr>
          <w:fldChar w:fldCharType="begin"/>
        </w:r>
        <w:r>
          <w:rPr>
            <w:noProof/>
            <w:webHidden/>
          </w:rPr>
          <w:instrText xml:space="preserve"> PAGEREF _Toc235570060 \h </w:instrText>
        </w:r>
        <w:r>
          <w:rPr>
            <w:noProof/>
            <w:webHidden/>
          </w:rPr>
        </w:r>
        <w:r>
          <w:rPr>
            <w:noProof/>
            <w:webHidden/>
          </w:rPr>
          <w:fldChar w:fldCharType="separate"/>
        </w:r>
        <w:r w:rsidR="00340C20">
          <w:rPr>
            <w:noProof/>
            <w:webHidden/>
          </w:rPr>
          <w:t>26</w:t>
        </w:r>
        <w:r>
          <w:rPr>
            <w:noProof/>
            <w:webHidden/>
          </w:rPr>
          <w:fldChar w:fldCharType="end"/>
        </w:r>
      </w:hyperlink>
    </w:p>
    <w:p w14:paraId="11BCAC07" w14:textId="7CE1E31D" w:rsidR="0024146A" w:rsidRDefault="0024146A">
      <w:pPr>
        <w:pStyle w:val="TOC2"/>
        <w:rPr>
          <w:rFonts w:asciiTheme="minorHAnsi" w:eastAsiaTheme="minorEastAsia" w:hAnsiTheme="minorHAnsi"/>
          <w:noProof/>
          <w:color w:val="auto"/>
          <w:sz w:val="24"/>
        </w:rPr>
      </w:pPr>
      <w:hyperlink w:anchor="_Toc235570061" w:history="1">
        <w:r w:rsidRPr="00C5605B">
          <w:rPr>
            <w:rStyle w:val="Hyperlink"/>
            <w:noProof/>
          </w:rPr>
          <w:t>13.3 Severability</w:t>
        </w:r>
        <w:r>
          <w:rPr>
            <w:noProof/>
            <w:webHidden/>
          </w:rPr>
          <w:tab/>
        </w:r>
        <w:r>
          <w:rPr>
            <w:noProof/>
            <w:webHidden/>
          </w:rPr>
          <w:fldChar w:fldCharType="begin"/>
        </w:r>
        <w:r>
          <w:rPr>
            <w:noProof/>
            <w:webHidden/>
          </w:rPr>
          <w:instrText xml:space="preserve"> PAGEREF _Toc235570061 \h </w:instrText>
        </w:r>
        <w:r>
          <w:rPr>
            <w:noProof/>
            <w:webHidden/>
          </w:rPr>
        </w:r>
        <w:r>
          <w:rPr>
            <w:noProof/>
            <w:webHidden/>
          </w:rPr>
          <w:fldChar w:fldCharType="separate"/>
        </w:r>
        <w:r w:rsidR="00340C20">
          <w:rPr>
            <w:noProof/>
            <w:webHidden/>
          </w:rPr>
          <w:t>26</w:t>
        </w:r>
        <w:r>
          <w:rPr>
            <w:noProof/>
            <w:webHidden/>
          </w:rPr>
          <w:fldChar w:fldCharType="end"/>
        </w:r>
      </w:hyperlink>
    </w:p>
    <w:p w14:paraId="0E204C82" w14:textId="3F15A50F" w:rsidR="0024146A" w:rsidRDefault="0024146A">
      <w:pPr>
        <w:pStyle w:val="TOC2"/>
        <w:rPr>
          <w:rFonts w:asciiTheme="minorHAnsi" w:eastAsiaTheme="minorEastAsia" w:hAnsiTheme="minorHAnsi"/>
          <w:noProof/>
          <w:color w:val="auto"/>
          <w:sz w:val="24"/>
        </w:rPr>
      </w:pPr>
      <w:hyperlink w:anchor="_Toc235570062" w:history="1">
        <w:r w:rsidRPr="00C5605B">
          <w:rPr>
            <w:rStyle w:val="Hyperlink"/>
            <w:noProof/>
          </w:rPr>
          <w:t>13.4 Good Faith and Non-Weaponization</w:t>
        </w:r>
        <w:r>
          <w:rPr>
            <w:noProof/>
            <w:webHidden/>
          </w:rPr>
          <w:tab/>
        </w:r>
        <w:r>
          <w:rPr>
            <w:noProof/>
            <w:webHidden/>
          </w:rPr>
          <w:fldChar w:fldCharType="begin"/>
        </w:r>
        <w:r>
          <w:rPr>
            <w:noProof/>
            <w:webHidden/>
          </w:rPr>
          <w:instrText xml:space="preserve"> PAGEREF _Toc235570062 \h </w:instrText>
        </w:r>
        <w:r>
          <w:rPr>
            <w:noProof/>
            <w:webHidden/>
          </w:rPr>
        </w:r>
        <w:r>
          <w:rPr>
            <w:noProof/>
            <w:webHidden/>
          </w:rPr>
          <w:fldChar w:fldCharType="separate"/>
        </w:r>
        <w:r w:rsidR="00340C20">
          <w:rPr>
            <w:noProof/>
            <w:webHidden/>
          </w:rPr>
          <w:t>26</w:t>
        </w:r>
        <w:r>
          <w:rPr>
            <w:noProof/>
            <w:webHidden/>
          </w:rPr>
          <w:fldChar w:fldCharType="end"/>
        </w:r>
      </w:hyperlink>
    </w:p>
    <w:p w14:paraId="0823C10A" w14:textId="25052EF6" w:rsidR="0024146A" w:rsidRDefault="0024146A">
      <w:pPr>
        <w:pStyle w:val="TOC2"/>
        <w:rPr>
          <w:rFonts w:asciiTheme="minorHAnsi" w:eastAsiaTheme="minorEastAsia" w:hAnsiTheme="minorHAnsi"/>
          <w:noProof/>
          <w:color w:val="auto"/>
          <w:sz w:val="24"/>
        </w:rPr>
      </w:pPr>
      <w:hyperlink w:anchor="_Toc235570063" w:history="1">
        <w:r w:rsidRPr="00C5605B">
          <w:rPr>
            <w:rStyle w:val="Hyperlink"/>
            <w:noProof/>
          </w:rPr>
          <w:t>13.5 No Goalpost Moving</w:t>
        </w:r>
        <w:r>
          <w:rPr>
            <w:noProof/>
            <w:webHidden/>
          </w:rPr>
          <w:tab/>
        </w:r>
        <w:r>
          <w:rPr>
            <w:noProof/>
            <w:webHidden/>
          </w:rPr>
          <w:fldChar w:fldCharType="begin"/>
        </w:r>
        <w:r>
          <w:rPr>
            <w:noProof/>
            <w:webHidden/>
          </w:rPr>
          <w:instrText xml:space="preserve"> PAGEREF _Toc235570063 \h </w:instrText>
        </w:r>
        <w:r>
          <w:rPr>
            <w:noProof/>
            <w:webHidden/>
          </w:rPr>
        </w:r>
        <w:r>
          <w:rPr>
            <w:noProof/>
            <w:webHidden/>
          </w:rPr>
          <w:fldChar w:fldCharType="separate"/>
        </w:r>
        <w:r w:rsidR="00340C20">
          <w:rPr>
            <w:noProof/>
            <w:webHidden/>
          </w:rPr>
          <w:t>26</w:t>
        </w:r>
        <w:r>
          <w:rPr>
            <w:noProof/>
            <w:webHidden/>
          </w:rPr>
          <w:fldChar w:fldCharType="end"/>
        </w:r>
      </w:hyperlink>
    </w:p>
    <w:p w14:paraId="5EB15DBE" w14:textId="1D099160" w:rsidR="0024146A" w:rsidRDefault="0024146A">
      <w:pPr>
        <w:pStyle w:val="TOC2"/>
        <w:rPr>
          <w:rFonts w:asciiTheme="minorHAnsi" w:eastAsiaTheme="minorEastAsia" w:hAnsiTheme="minorHAnsi"/>
          <w:noProof/>
          <w:color w:val="auto"/>
          <w:sz w:val="24"/>
        </w:rPr>
      </w:pPr>
      <w:hyperlink w:anchor="_Toc235570064" w:history="1">
        <w:r w:rsidRPr="00C5605B">
          <w:rPr>
            <w:rStyle w:val="Hyperlink"/>
            <w:noProof/>
          </w:rPr>
          <w:t>13.6 Legal Character</w:t>
        </w:r>
        <w:r>
          <w:rPr>
            <w:noProof/>
            <w:webHidden/>
          </w:rPr>
          <w:tab/>
        </w:r>
        <w:r>
          <w:rPr>
            <w:noProof/>
            <w:webHidden/>
          </w:rPr>
          <w:fldChar w:fldCharType="begin"/>
        </w:r>
        <w:r>
          <w:rPr>
            <w:noProof/>
            <w:webHidden/>
          </w:rPr>
          <w:instrText xml:space="preserve"> PAGEREF _Toc235570064 \h </w:instrText>
        </w:r>
        <w:r>
          <w:rPr>
            <w:noProof/>
            <w:webHidden/>
          </w:rPr>
        </w:r>
        <w:r>
          <w:rPr>
            <w:noProof/>
            <w:webHidden/>
          </w:rPr>
          <w:fldChar w:fldCharType="separate"/>
        </w:r>
        <w:r w:rsidR="00340C20">
          <w:rPr>
            <w:noProof/>
            <w:webHidden/>
          </w:rPr>
          <w:t>26</w:t>
        </w:r>
        <w:r>
          <w:rPr>
            <w:noProof/>
            <w:webHidden/>
          </w:rPr>
          <w:fldChar w:fldCharType="end"/>
        </w:r>
      </w:hyperlink>
    </w:p>
    <w:p w14:paraId="55663C4E" w14:textId="55679B95" w:rsidR="0024146A" w:rsidRDefault="0024146A">
      <w:pPr>
        <w:pStyle w:val="TOC2"/>
        <w:rPr>
          <w:rFonts w:asciiTheme="minorHAnsi" w:eastAsiaTheme="minorEastAsia" w:hAnsiTheme="minorHAnsi"/>
          <w:noProof/>
          <w:color w:val="auto"/>
          <w:sz w:val="24"/>
        </w:rPr>
      </w:pPr>
      <w:hyperlink w:anchor="_Toc235570065" w:history="1">
        <w:r w:rsidRPr="00C5605B">
          <w:rPr>
            <w:rStyle w:val="Hyperlink"/>
            <w:noProof/>
          </w:rPr>
          <w:t>13.7 Languages</w:t>
        </w:r>
        <w:r>
          <w:rPr>
            <w:noProof/>
            <w:webHidden/>
          </w:rPr>
          <w:tab/>
        </w:r>
        <w:r>
          <w:rPr>
            <w:noProof/>
            <w:webHidden/>
          </w:rPr>
          <w:fldChar w:fldCharType="begin"/>
        </w:r>
        <w:r>
          <w:rPr>
            <w:noProof/>
            <w:webHidden/>
          </w:rPr>
          <w:instrText xml:space="preserve"> PAGEREF _Toc235570065 \h </w:instrText>
        </w:r>
        <w:r>
          <w:rPr>
            <w:noProof/>
            <w:webHidden/>
          </w:rPr>
        </w:r>
        <w:r>
          <w:rPr>
            <w:noProof/>
            <w:webHidden/>
          </w:rPr>
          <w:fldChar w:fldCharType="separate"/>
        </w:r>
        <w:r w:rsidR="00340C20">
          <w:rPr>
            <w:noProof/>
            <w:webHidden/>
          </w:rPr>
          <w:t>27</w:t>
        </w:r>
        <w:r>
          <w:rPr>
            <w:noProof/>
            <w:webHidden/>
          </w:rPr>
          <w:fldChar w:fldCharType="end"/>
        </w:r>
      </w:hyperlink>
    </w:p>
    <w:p w14:paraId="4E2466F5" w14:textId="7271B75A" w:rsidR="0024146A" w:rsidRDefault="0024146A">
      <w:pPr>
        <w:pStyle w:val="TOC2"/>
        <w:rPr>
          <w:rFonts w:asciiTheme="minorHAnsi" w:eastAsiaTheme="minorEastAsia" w:hAnsiTheme="minorHAnsi"/>
          <w:noProof/>
          <w:color w:val="auto"/>
          <w:sz w:val="24"/>
        </w:rPr>
      </w:pPr>
      <w:hyperlink w:anchor="_Toc235570066" w:history="1">
        <w:r w:rsidRPr="00C5605B">
          <w:rPr>
            <w:rStyle w:val="Hyperlink"/>
            <w:noProof/>
          </w:rPr>
          <w:t>13.8 Rolling Review of Annexes</w:t>
        </w:r>
        <w:r>
          <w:rPr>
            <w:noProof/>
            <w:webHidden/>
          </w:rPr>
          <w:tab/>
        </w:r>
        <w:r>
          <w:rPr>
            <w:noProof/>
            <w:webHidden/>
          </w:rPr>
          <w:fldChar w:fldCharType="begin"/>
        </w:r>
        <w:r>
          <w:rPr>
            <w:noProof/>
            <w:webHidden/>
          </w:rPr>
          <w:instrText xml:space="preserve"> PAGEREF _Toc235570066 \h </w:instrText>
        </w:r>
        <w:r>
          <w:rPr>
            <w:noProof/>
            <w:webHidden/>
          </w:rPr>
        </w:r>
        <w:r>
          <w:rPr>
            <w:noProof/>
            <w:webHidden/>
          </w:rPr>
          <w:fldChar w:fldCharType="separate"/>
        </w:r>
        <w:r w:rsidR="00340C20">
          <w:rPr>
            <w:noProof/>
            <w:webHidden/>
          </w:rPr>
          <w:t>27</w:t>
        </w:r>
        <w:r>
          <w:rPr>
            <w:noProof/>
            <w:webHidden/>
          </w:rPr>
          <w:fldChar w:fldCharType="end"/>
        </w:r>
      </w:hyperlink>
    </w:p>
    <w:p w14:paraId="658EB10C" w14:textId="060EFC22" w:rsidR="0024146A" w:rsidRDefault="0024146A">
      <w:pPr>
        <w:pStyle w:val="TOC1"/>
        <w:rPr>
          <w:rFonts w:asciiTheme="minorHAnsi" w:eastAsiaTheme="minorEastAsia" w:hAnsiTheme="minorHAnsi"/>
          <w:b w:val="0"/>
          <w:noProof/>
          <w:color w:val="auto"/>
          <w:sz w:val="24"/>
        </w:rPr>
      </w:pPr>
      <w:hyperlink w:anchor="_Toc235570067" w:history="1">
        <w:r w:rsidRPr="00C5605B">
          <w:rPr>
            <w:rStyle w:val="Hyperlink"/>
            <w:noProof/>
          </w:rPr>
          <w:t>Annex A: Technical Definitions (Operative)</w:t>
        </w:r>
        <w:r>
          <w:rPr>
            <w:noProof/>
            <w:webHidden/>
          </w:rPr>
          <w:tab/>
        </w:r>
        <w:r>
          <w:rPr>
            <w:noProof/>
            <w:webHidden/>
          </w:rPr>
          <w:fldChar w:fldCharType="begin"/>
        </w:r>
        <w:r>
          <w:rPr>
            <w:noProof/>
            <w:webHidden/>
          </w:rPr>
          <w:instrText xml:space="preserve"> PAGEREF _Toc235570067 \h </w:instrText>
        </w:r>
        <w:r>
          <w:rPr>
            <w:noProof/>
            <w:webHidden/>
          </w:rPr>
        </w:r>
        <w:r>
          <w:rPr>
            <w:noProof/>
            <w:webHidden/>
          </w:rPr>
          <w:fldChar w:fldCharType="separate"/>
        </w:r>
        <w:r w:rsidR="00340C20">
          <w:rPr>
            <w:noProof/>
            <w:webHidden/>
          </w:rPr>
          <w:t>27</w:t>
        </w:r>
        <w:r>
          <w:rPr>
            <w:noProof/>
            <w:webHidden/>
          </w:rPr>
          <w:fldChar w:fldCharType="end"/>
        </w:r>
      </w:hyperlink>
    </w:p>
    <w:p w14:paraId="2E2B16B7" w14:textId="02CA80DD" w:rsidR="0024146A" w:rsidRDefault="0024146A">
      <w:pPr>
        <w:pStyle w:val="TOC1"/>
        <w:rPr>
          <w:rFonts w:asciiTheme="minorHAnsi" w:eastAsiaTheme="minorEastAsia" w:hAnsiTheme="minorHAnsi"/>
          <w:b w:val="0"/>
          <w:noProof/>
          <w:color w:val="auto"/>
          <w:sz w:val="24"/>
        </w:rPr>
      </w:pPr>
      <w:hyperlink w:anchor="_Toc235570068" w:history="1">
        <w:r w:rsidRPr="00C5605B">
          <w:rPr>
            <w:rStyle w:val="Hyperlink"/>
            <w:noProof/>
          </w:rPr>
          <w:t>Annex B: Consolidated Implementation Timeline</w:t>
        </w:r>
        <w:r>
          <w:rPr>
            <w:noProof/>
            <w:webHidden/>
          </w:rPr>
          <w:tab/>
        </w:r>
        <w:r>
          <w:rPr>
            <w:noProof/>
            <w:webHidden/>
          </w:rPr>
          <w:fldChar w:fldCharType="begin"/>
        </w:r>
        <w:r>
          <w:rPr>
            <w:noProof/>
            <w:webHidden/>
          </w:rPr>
          <w:instrText xml:space="preserve"> PAGEREF _Toc235570068 \h </w:instrText>
        </w:r>
        <w:r>
          <w:rPr>
            <w:noProof/>
            <w:webHidden/>
          </w:rPr>
        </w:r>
        <w:r>
          <w:rPr>
            <w:noProof/>
            <w:webHidden/>
          </w:rPr>
          <w:fldChar w:fldCharType="separate"/>
        </w:r>
        <w:r w:rsidR="00340C20">
          <w:rPr>
            <w:noProof/>
            <w:webHidden/>
          </w:rPr>
          <w:t>28</w:t>
        </w:r>
        <w:r>
          <w:rPr>
            <w:noProof/>
            <w:webHidden/>
          </w:rPr>
          <w:fldChar w:fldCharType="end"/>
        </w:r>
      </w:hyperlink>
    </w:p>
    <w:p w14:paraId="46133FE6" w14:textId="790EA8AB" w:rsidR="0024146A" w:rsidRDefault="0024146A">
      <w:pPr>
        <w:pStyle w:val="TOC1"/>
        <w:rPr>
          <w:rFonts w:asciiTheme="minorHAnsi" w:eastAsiaTheme="minorEastAsia" w:hAnsiTheme="minorHAnsi"/>
          <w:b w:val="0"/>
          <w:noProof/>
          <w:color w:val="auto"/>
          <w:sz w:val="24"/>
        </w:rPr>
      </w:pPr>
      <w:hyperlink w:anchor="_Toc235570069" w:history="1">
        <w:r w:rsidRPr="00C5605B">
          <w:rPr>
            <w:rStyle w:val="Hyperlink"/>
            <w:noProof/>
          </w:rPr>
          <w:t>Annex E: Financial Guarantees (Optional)</w:t>
        </w:r>
        <w:r>
          <w:rPr>
            <w:noProof/>
            <w:webHidden/>
          </w:rPr>
          <w:tab/>
        </w:r>
        <w:r>
          <w:rPr>
            <w:noProof/>
            <w:webHidden/>
          </w:rPr>
          <w:fldChar w:fldCharType="begin"/>
        </w:r>
        <w:r>
          <w:rPr>
            <w:noProof/>
            <w:webHidden/>
          </w:rPr>
          <w:instrText xml:space="preserve"> PAGEREF _Toc235570069 \h </w:instrText>
        </w:r>
        <w:r>
          <w:rPr>
            <w:noProof/>
            <w:webHidden/>
          </w:rPr>
        </w:r>
        <w:r>
          <w:rPr>
            <w:noProof/>
            <w:webHidden/>
          </w:rPr>
          <w:fldChar w:fldCharType="separate"/>
        </w:r>
        <w:r w:rsidR="00340C20">
          <w:rPr>
            <w:noProof/>
            <w:webHidden/>
          </w:rPr>
          <w:t>29</w:t>
        </w:r>
        <w:r>
          <w:rPr>
            <w:noProof/>
            <w:webHidden/>
          </w:rPr>
          <w:fldChar w:fldCharType="end"/>
        </w:r>
      </w:hyperlink>
    </w:p>
    <w:p w14:paraId="6B873717" w14:textId="22367E28" w:rsidR="0024146A" w:rsidRDefault="0024146A">
      <w:pPr>
        <w:pStyle w:val="TOC1"/>
        <w:rPr>
          <w:rFonts w:asciiTheme="minorHAnsi" w:eastAsiaTheme="minorEastAsia" w:hAnsiTheme="minorHAnsi"/>
          <w:b w:val="0"/>
          <w:noProof/>
          <w:color w:val="auto"/>
          <w:sz w:val="24"/>
        </w:rPr>
      </w:pPr>
      <w:hyperlink w:anchor="_Toc235570070" w:history="1">
        <w:r w:rsidRPr="00C5605B">
          <w:rPr>
            <w:rStyle w:val="Hyperlink"/>
            <w:noProof/>
          </w:rPr>
          <w:t>Instruments of Acceptance</w:t>
        </w:r>
        <w:r>
          <w:rPr>
            <w:noProof/>
            <w:webHidden/>
          </w:rPr>
          <w:tab/>
        </w:r>
        <w:r>
          <w:rPr>
            <w:noProof/>
            <w:webHidden/>
          </w:rPr>
          <w:fldChar w:fldCharType="begin"/>
        </w:r>
        <w:r>
          <w:rPr>
            <w:noProof/>
            <w:webHidden/>
          </w:rPr>
          <w:instrText xml:space="preserve"> PAGEREF _Toc235570070 \h </w:instrText>
        </w:r>
        <w:r>
          <w:rPr>
            <w:noProof/>
            <w:webHidden/>
          </w:rPr>
        </w:r>
        <w:r>
          <w:rPr>
            <w:noProof/>
            <w:webHidden/>
          </w:rPr>
          <w:fldChar w:fldCharType="separate"/>
        </w:r>
        <w:r w:rsidR="00340C20">
          <w:rPr>
            <w:noProof/>
            <w:webHidden/>
          </w:rPr>
          <w:t>29</w:t>
        </w:r>
        <w:r>
          <w:rPr>
            <w:noProof/>
            <w:webHidden/>
          </w:rPr>
          <w:fldChar w:fldCharType="end"/>
        </w:r>
      </w:hyperlink>
    </w:p>
    <w:p w14:paraId="5E5C5B70" w14:textId="44E3AC55" w:rsidR="006A3BC5" w:rsidRDefault="00000000">
      <w:pPr>
        <w:sectPr w:rsidR="006A3BC5">
          <w:pgSz w:w="11906" w:h="16838"/>
          <w:pgMar w:top="1800" w:right="1440" w:bottom="1440" w:left="1440" w:header="720" w:footer="720" w:gutter="0"/>
          <w:cols w:space="720"/>
        </w:sectPr>
      </w:pPr>
      <w:r>
        <w:fldChar w:fldCharType="end"/>
      </w:r>
    </w:p>
    <w:p w14:paraId="182CB414" w14:textId="77777777" w:rsidR="006A3BC5" w:rsidRDefault="00000000">
      <w:pPr>
        <w:pStyle w:val="Heading1"/>
      </w:pPr>
      <w:bookmarkStart w:id="1" w:name="_Toc235569973"/>
      <w:r>
        <w:lastRenderedPageBreak/>
        <w:t>Preamble: The Moment of 21 July 2026</w:t>
      </w:r>
      <w:bookmarkEnd w:id="1"/>
    </w:p>
    <w:p w14:paraId="06051552" w14:textId="77777777" w:rsidR="006A3BC5" w:rsidRDefault="00000000">
      <w:r>
        <w:t>The United States of America and the Islamic Republic of Iran, hereafter the Parties, stand at a second precipice. The Islamabad Memorandum of Understanding of 17 June 2026 opened a sixty-day window toward comprehensive settlement. That window now fractures. Iranian forces struck commercial vessels in the Strait of Hormuz on 6 and 7 July 2026. United States forces answered with strikes against approximately 140 Iranian targets over the following days. On 10 July 2026 the President of the United States declared the ceasefire over. On 14 July 2026 the United States Navy reimposed the blockade of Iranian ports. On 17 July 2026 two United States service members died in a strike against a United States base in Jordan. On 18 July 2026 the Islamic Republic of Iran announced the suspension of its commitments under the Memorandum.</w:t>
      </w:r>
    </w:p>
    <w:p w14:paraId="0C0FAB28" w14:textId="77777777" w:rsidR="006A3BC5" w:rsidRDefault="00000000">
      <w:r>
        <w:t>And yet the channel breathes. Iranian officials privately characterize the July ship strikes as a mistake and request further talks. The President of the United States directs his teams to continue talking and sets 18 August 2026 as the working horizon for a nuclear understanding, with tolerance for a longer runway. Qatari mediators travel between the two capitals. The Omani channel stays open. Foreign Minister Araghchi visits Muscat to discuss safe passage arrangements. The demand lists of both capitals sit on the same table, incompatible in sequence but not in substance.</w:t>
      </w:r>
    </w:p>
    <w:p w14:paraId="5025D221" w14:textId="77777777" w:rsidR="006A3BC5" w:rsidRDefault="00000000">
      <w:r>
        <w:t>The United States seeks a public Iranian statement affirming that all shipping lanes in the Strait stand open and that attacks on ships stop; a commitment to toll-free transit; acknowledgment that the July attacks were mistakes paired with a pledge to cease such actions; compliance with the June Memorandum; a halt to missile, drone, and proxy activity; and the transfer of highly enriched nuclear material out of Iranian control. Iran seeks United States compliance with the Islamabad Memorandum; acceptance of Iranian law in the strait; cessation of what Tehran describes as malicious activities; recognition of Iranian coastal authority, including routing; permission to levy fees for services; and the lifting of the blockade as part of ending the war.</w:t>
      </w:r>
    </w:p>
    <w:p w14:paraId="55FB2975" w14:textId="77777777" w:rsidR="006A3BC5" w:rsidRDefault="00000000">
      <w:r>
        <w:t>The Parties enter this Track in good faith, with the intention of implementing its provisions in their spirit as well as their letter. Neither Party exploits ambiguities or drafting gaps to manufacture breaches or to extract concessions unrelated to verified performance. This commitment has indefinite effect and survives any suspension or withdrawal.</w:t>
      </w:r>
    </w:p>
    <w:p w14:paraId="1F7255CE" w14:textId="77777777" w:rsidR="006A3BC5" w:rsidRDefault="00000000">
      <w:r>
        <w:t>The Post-Crisis Reconstruction and Reconciliation Track, hereafter the PCRRT or the Track, exists for this exact configuration: a negotiation that neither side abandons and neither side dares to restart from zero. The Track carries the reconstruction and reconciliation agenda that the Islamabad Memorandum anticipates, and it runs on a rolling-horizon engine that no single incident kills. The Track does not ask either Party to trust. The Track asks each Party to verify, in ninety-day increments, with automatic renewal as the default and orderly exit as the standing right of both.</w:t>
      </w:r>
    </w:p>
    <w:tbl>
      <w:tblPr>
        <w:tblW w:w="5000" w:type="pct"/>
        <w:tblInd w:w="220" w:type="dxa"/>
        <w:tblBorders>
          <w:top w:val="nil"/>
          <w:left w:val="single" w:sz="18" w:space="0" w:color="B8860B"/>
          <w:bottom w:val="nil"/>
          <w:right w:val="nil"/>
          <w:insideH w:val="nil"/>
          <w:insideV w:val="nil"/>
        </w:tblBorders>
        <w:tblCellMar>
          <w:left w:w="10" w:type="dxa"/>
          <w:right w:w="10" w:type="dxa"/>
        </w:tblCellMar>
        <w:tblLook w:val="04A0" w:firstRow="1" w:lastRow="0" w:firstColumn="1" w:lastColumn="0" w:noHBand="0" w:noVBand="1"/>
      </w:tblPr>
      <w:tblGrid>
        <w:gridCol w:w="9466"/>
      </w:tblGrid>
      <w:tr w:rsidR="006A3BC5" w14:paraId="7AF85DDD" w14:textId="77777777">
        <w:tc>
          <w:tcPr>
            <w:tcW w:w="9026" w:type="dxa"/>
            <w:shd w:val="clear" w:color="auto" w:fill="EDF1F2"/>
            <w:tcMar>
              <w:left w:w="220" w:type="dxa"/>
              <w:right w:w="220" w:type="dxa"/>
            </w:tcMar>
          </w:tcPr>
          <w:p w14:paraId="005293AF" w14:textId="77777777" w:rsidR="006A3BC5" w:rsidRDefault="00000000">
            <w:pPr>
              <w:spacing w:before="120" w:after="120" w:line="300" w:lineRule="auto"/>
            </w:pPr>
            <w:r>
              <w:rPr>
                <w:i/>
                <w:sz w:val="20"/>
              </w:rPr>
              <w:t xml:space="preserve">This instrument is a negotiation draft, not a treaty. It creates no precedent. It recognizes no government, no </w:t>
            </w:r>
            <w:r>
              <w:rPr>
                <w:i/>
                <w:sz w:val="20"/>
              </w:rPr>
              <w:lastRenderedPageBreak/>
              <w:t>political system, and no regional policy. It grants no amnesty and confers no retrospective judgment on any prior action by either Party.</w:t>
            </w:r>
          </w:p>
        </w:tc>
      </w:tr>
    </w:tbl>
    <w:p w14:paraId="43858B46" w14:textId="77777777" w:rsidR="006A3BC5" w:rsidRDefault="00000000" w:rsidP="00A22B0E">
      <w:pPr>
        <w:pStyle w:val="Heading1"/>
      </w:pPr>
      <w:bookmarkStart w:id="2" w:name="_Toc235569974"/>
      <w:r>
        <w:t>Drafting Convention and Document Status</w:t>
      </w:r>
      <w:bookmarkEnd w:id="2"/>
    </w:p>
    <w:p w14:paraId="1D976239" w14:textId="77777777" w:rsidR="006A3BC5" w:rsidRDefault="00000000">
      <w:r>
        <w:t>This instrument uses active present-tense operational language throughout. Every obligation reads as a state of the framework, not as a command addressed to a sovereign. Every constraint appears as a feature of the shared architecture, not as a restraint by one Party for the benefit of the other. This convention preserves sovereign equality inside the text itself, so that neither capital reads its own signature as subordination.</w:t>
      </w:r>
    </w:p>
    <w:p w14:paraId="539FD975" w14:textId="77777777" w:rsidR="006A3BC5" w:rsidRDefault="00000000">
      <w:r>
        <w:t>Version 2.0, dated 22 July 2026. Status: negotiation draft, subject to revision. This instrument supersedes PCRRT v1.0 of 21 July 2026 in full and evolves that text rather than competing with it. Negotiation reference PCRRT-2026-v2.0. Classification: Authorized Negotiators Only. Facilitating states: the Sultanate of Oman as primary maritime facilitator, the Swiss Confederation as financial and custody facilitator, the State of Qatar as escrow and crisis mediator, and the Islamic Republic of Pakistan as convening mediator, in continuity with the Islamabad process.</w:t>
      </w:r>
    </w:p>
    <w:p w14:paraId="60E397A4" w14:textId="77777777" w:rsidR="006A3BC5" w:rsidRDefault="00000000" w:rsidP="009B4014">
      <w:pPr>
        <w:pStyle w:val="Heading1"/>
      </w:pPr>
      <w:bookmarkStart w:id="3" w:name="_Toc235569975"/>
      <w:r>
        <w:t>Part I: Purpose and Architecture</w:t>
      </w:r>
      <w:bookmarkEnd w:id="3"/>
    </w:p>
    <w:p w14:paraId="09AE04EC" w14:textId="77777777" w:rsidR="006A3BC5" w:rsidRDefault="00000000">
      <w:pPr>
        <w:pStyle w:val="Heading2"/>
      </w:pPr>
      <w:bookmarkStart w:id="4" w:name="_Toc235569976"/>
      <w:r>
        <w:t>What This Track Does</w:t>
      </w:r>
      <w:bookmarkEnd w:id="4"/>
    </w:p>
    <w:p w14:paraId="73FF7FF6" w14:textId="77777777" w:rsidR="006A3BC5" w:rsidRDefault="00000000">
      <w:r>
        <w:t>The PCRRT converts the stalled comprehensive agenda into a sequence of rolling, verified, ninety-day cycles. Each cycle renews automatically unless a Party activates the graduated exit ladder of Article 10. Each cycle adds scope only after the previous cycle demonstrates verified reciprocity. The Track handles five files in sequence and in parallel: maritime safety, economic normalization, the nuclear bridge, reconstruction, and reconciliation.</w:t>
      </w:r>
    </w:p>
    <w:p w14:paraId="2BDD0358" w14:textId="77777777" w:rsidR="006A3BC5" w:rsidRDefault="00000000">
      <w:r>
        <w:t>The architecture rests on the Auto-Renewal Bridge: the agreement renews automatically every ninety days unless either Party gives written notice of intent to withdraw sixty days in advance. The gap between the notice deadline and the renewal date creates a thirty-day cooling window for last-minute repair. Sudden shocks become structurally impossible: no silence ever kills the deal, and no exit ever lands without a runway.</w:t>
      </w:r>
    </w:p>
    <w:p w14:paraId="58D60DED" w14:textId="77777777" w:rsidR="006A3BC5" w:rsidRDefault="00000000">
      <w:pPr>
        <w:pStyle w:val="Heading2"/>
      </w:pPr>
      <w:bookmarkStart w:id="5" w:name="_Toc235569977"/>
      <w:r>
        <w:t>What This Track Does Not Do</w:t>
      </w:r>
      <w:bookmarkEnd w:id="5"/>
    </w:p>
    <w:p w14:paraId="26E11777" w14:textId="77777777" w:rsidR="006A3BC5" w:rsidRDefault="00000000">
      <w:pPr>
        <w:numPr>
          <w:ilvl w:val="0"/>
          <w:numId w:val="1"/>
        </w:numPr>
        <w:spacing w:after="120" w:line="300" w:lineRule="auto"/>
      </w:pPr>
      <w:r>
        <w:t>It does not permanently resolve the nuclear file, the ballistic missile file, or the regional proxy file; Phase 3 opens the nuclear bridge and later cycles carry the rest.</w:t>
      </w:r>
    </w:p>
    <w:p w14:paraId="244DE5F5" w14:textId="77777777" w:rsidR="006A3BC5" w:rsidRDefault="00000000">
      <w:pPr>
        <w:numPr>
          <w:ilvl w:val="0"/>
          <w:numId w:val="1"/>
        </w:numPr>
        <w:spacing w:after="120" w:line="300" w:lineRule="auto"/>
      </w:pPr>
      <w:r>
        <w:t>It does not compel Iran to dismantle any centrifuge or facility, and it does not compel the United States to dismantle any sanctions statute; both operate under time-limited, reversible measures.</w:t>
      </w:r>
    </w:p>
    <w:p w14:paraId="5B7BA48B" w14:textId="77777777" w:rsidR="006A3BC5" w:rsidRDefault="00000000">
      <w:pPr>
        <w:numPr>
          <w:ilvl w:val="0"/>
          <w:numId w:val="1"/>
        </w:numPr>
        <w:spacing w:after="120" w:line="300" w:lineRule="auto"/>
      </w:pPr>
      <w:r>
        <w:lastRenderedPageBreak/>
        <w:t>It does not recognize the Persian Gulf Strait Authority or any other body in international law; it treats existing operational entities as working counterparts, nothing more.</w:t>
      </w:r>
    </w:p>
    <w:p w14:paraId="31645FB5" w14:textId="77777777" w:rsidR="006A3BC5" w:rsidRDefault="00000000">
      <w:pPr>
        <w:numPr>
          <w:ilvl w:val="0"/>
          <w:numId w:val="1"/>
        </w:numPr>
        <w:spacing w:after="120" w:line="300" w:lineRule="auto"/>
      </w:pPr>
      <w:r>
        <w:t>It does not link the Strait of Hormuz file to Lebanon, Gaza, Yemen, or Syria; the firewall of Article 7.7 keeps the files legally separate.</w:t>
      </w:r>
    </w:p>
    <w:p w14:paraId="72B87C37" w14:textId="77777777" w:rsidR="006A3BC5" w:rsidRDefault="00000000">
      <w:pPr>
        <w:numPr>
          <w:ilvl w:val="0"/>
          <w:numId w:val="1"/>
        </w:numPr>
        <w:spacing w:after="120" w:line="300" w:lineRule="auto"/>
      </w:pPr>
      <w:r>
        <w:t>It does not channel any direct United States state investment into Iran; reconstruction value moves through multilateral and escrow structures only.</w:t>
      </w:r>
    </w:p>
    <w:p w14:paraId="2A82458A" w14:textId="77777777" w:rsidR="006A3BC5" w:rsidRDefault="00000000">
      <w:pPr>
        <w:numPr>
          <w:ilvl w:val="0"/>
          <w:numId w:val="1"/>
        </w:numPr>
        <w:spacing w:after="120" w:line="300" w:lineRule="auto"/>
      </w:pPr>
      <w:r>
        <w:t>It does not require either Party to describe this instrument by any particular term; each capital selects its own vocabulary under Article 12.</w:t>
      </w:r>
    </w:p>
    <w:p w14:paraId="62B286D6" w14:textId="77777777" w:rsidR="006A3BC5" w:rsidRDefault="00000000">
      <w:pPr>
        <w:pStyle w:val="Heading2"/>
      </w:pPr>
      <w:bookmarkStart w:id="6" w:name="_Toc235569978"/>
      <w:r>
        <w:t>Relationship to the Islamabad Memorandum</w:t>
      </w:r>
      <w:bookmarkEnd w:id="6"/>
    </w:p>
    <w:p w14:paraId="75EBB96C" w14:textId="77777777" w:rsidR="006A3BC5" w:rsidRDefault="00000000">
      <w:r>
        <w:t>The Track operates as the operational successor to the Islamabad Memorandum of Understanding, not as its repudiation. Both Parties affirmed the Memorandum in June 2026; both Parties retain the option to reaffirm it. Where the Memorandum sets goals, the Track sets clocks. Where the Memorandum lists files, the Track sequences them. Nothing in this instrument cancels any provision of the Memorandum that both Parties choose to keep in force, and the sixty-day comprehensive window of the Memorandum continues to run in parallel with the cycles of this Track.</w:t>
      </w:r>
    </w:p>
    <w:p w14:paraId="6F3563D6" w14:textId="77777777" w:rsidR="006A3BC5" w:rsidRDefault="00000000">
      <w:r>
        <w:t>The Track deliberately absorbs the lesson of the June collapse: ambiguous route authority, unresolved toll questions, and an unbridged nuclear demand destroyed a broad agreement in three weeks. The Track therefore narrows each cycle to what both sides verify, and it defers the maximalist ends of each position to named later phases rather than pretending they vanish.</w:t>
      </w:r>
    </w:p>
    <w:p w14:paraId="6E43EF77" w14:textId="77777777" w:rsidR="006A3BC5" w:rsidRDefault="00000000">
      <w:pPr>
        <w:pStyle w:val="Heading2"/>
      </w:pPr>
      <w:bookmarkStart w:id="7" w:name="_Toc235569979"/>
      <w:r>
        <w:t>The Deal at a Glance</w:t>
      </w:r>
      <w:bookmarkEnd w:id="7"/>
    </w:p>
    <w:p w14:paraId="3F46A9A2" w14:textId="77777777" w:rsidR="006A3BC5" w:rsidRDefault="00000000">
      <w:pPr>
        <w:pStyle w:val="Caption"/>
        <w:keepNext/>
      </w:pPr>
      <w:r>
        <w:rPr>
          <w:b/>
        </w:rPr>
        <w:t>Table 1: The rolling cycles at a glance</w:t>
      </w:r>
    </w:p>
    <w:tbl>
      <w:tblPr>
        <w:tblW w:w="5000" w:type="pct"/>
        <w:tblInd w:w="100" w:type="dxa"/>
        <w:tblBorders>
          <w:top w:val="single" w:sz="12" w:space="0" w:color="37474F"/>
          <w:bottom w:val="single" w:sz="12" w:space="0" w:color="37474F"/>
          <w:insideH w:val="single" w:sz="4" w:space="0" w:color="CDD6DB"/>
          <w:insideV w:val="single" w:sz="4" w:space="0" w:color="CDD6DB"/>
        </w:tblBorders>
        <w:tblCellMar>
          <w:left w:w="10" w:type="dxa"/>
          <w:right w:w="10" w:type="dxa"/>
        </w:tblCellMar>
        <w:tblLook w:val="04A0" w:firstRow="1" w:lastRow="0" w:firstColumn="1" w:lastColumn="0" w:noHBand="0" w:noVBand="1"/>
      </w:tblPr>
      <w:tblGrid>
        <w:gridCol w:w="1846"/>
        <w:gridCol w:w="1845"/>
        <w:gridCol w:w="1845"/>
        <w:gridCol w:w="1845"/>
        <w:gridCol w:w="1845"/>
      </w:tblGrid>
      <w:tr w:rsidR="006A3BC5" w14:paraId="31F0F077" w14:textId="77777777">
        <w:trPr>
          <w:tblHeader/>
        </w:trPr>
        <w:tc>
          <w:tcPr>
            <w:tcW w:w="1805" w:type="dxa"/>
            <w:shd w:val="clear" w:color="auto" w:fill="ECEFF1"/>
            <w:tcMar>
              <w:left w:w="100" w:type="dxa"/>
              <w:right w:w="100" w:type="dxa"/>
            </w:tcMar>
          </w:tcPr>
          <w:p w14:paraId="14E67A01" w14:textId="77777777" w:rsidR="006A3BC5" w:rsidRDefault="00000000">
            <w:pPr>
              <w:spacing w:before="60" w:after="60" w:line="276" w:lineRule="auto"/>
            </w:pPr>
            <w:r>
              <w:rPr>
                <w:b/>
                <w:sz w:val="18"/>
              </w:rPr>
              <w:t>Cycle</w:t>
            </w:r>
          </w:p>
        </w:tc>
        <w:tc>
          <w:tcPr>
            <w:tcW w:w="1805" w:type="dxa"/>
            <w:shd w:val="clear" w:color="auto" w:fill="ECEFF1"/>
            <w:tcMar>
              <w:left w:w="100" w:type="dxa"/>
              <w:right w:w="100" w:type="dxa"/>
            </w:tcMar>
          </w:tcPr>
          <w:p w14:paraId="68E33D25" w14:textId="77777777" w:rsidR="006A3BC5" w:rsidRDefault="00000000">
            <w:pPr>
              <w:spacing w:before="60" w:after="60" w:line="276" w:lineRule="auto"/>
            </w:pPr>
            <w:r>
              <w:rPr>
                <w:b/>
                <w:sz w:val="18"/>
              </w:rPr>
              <w:t>Window</w:t>
            </w:r>
          </w:p>
        </w:tc>
        <w:tc>
          <w:tcPr>
            <w:tcW w:w="1805" w:type="dxa"/>
            <w:shd w:val="clear" w:color="auto" w:fill="ECEFF1"/>
            <w:tcMar>
              <w:left w:w="100" w:type="dxa"/>
              <w:right w:w="100" w:type="dxa"/>
            </w:tcMar>
          </w:tcPr>
          <w:p w14:paraId="70ADAAE6" w14:textId="77777777" w:rsidR="006A3BC5" w:rsidRDefault="00000000">
            <w:pPr>
              <w:spacing w:before="60" w:after="60" w:line="276" w:lineRule="auto"/>
            </w:pPr>
            <w:r>
              <w:rPr>
                <w:b/>
                <w:sz w:val="18"/>
              </w:rPr>
              <w:t>Iranian Side Executes</w:t>
            </w:r>
          </w:p>
        </w:tc>
        <w:tc>
          <w:tcPr>
            <w:tcW w:w="1805" w:type="dxa"/>
            <w:shd w:val="clear" w:color="auto" w:fill="ECEFF1"/>
            <w:tcMar>
              <w:left w:w="100" w:type="dxa"/>
              <w:right w:w="100" w:type="dxa"/>
            </w:tcMar>
          </w:tcPr>
          <w:p w14:paraId="5182406D" w14:textId="77777777" w:rsidR="006A3BC5" w:rsidRDefault="00000000">
            <w:pPr>
              <w:spacing w:before="60" w:after="60" w:line="276" w:lineRule="auto"/>
            </w:pPr>
            <w:r>
              <w:rPr>
                <w:b/>
                <w:sz w:val="18"/>
              </w:rPr>
              <w:t>United States Side Executes</w:t>
            </w:r>
          </w:p>
        </w:tc>
        <w:tc>
          <w:tcPr>
            <w:tcW w:w="1805" w:type="dxa"/>
            <w:shd w:val="clear" w:color="auto" w:fill="ECEFF1"/>
            <w:tcMar>
              <w:left w:w="100" w:type="dxa"/>
              <w:right w:w="100" w:type="dxa"/>
            </w:tcMar>
          </w:tcPr>
          <w:p w14:paraId="0CEE6DA4" w14:textId="77777777" w:rsidR="006A3BC5" w:rsidRDefault="00000000">
            <w:pPr>
              <w:spacing w:before="60" w:after="60" w:line="276" w:lineRule="auto"/>
            </w:pPr>
            <w:r>
              <w:rPr>
                <w:b/>
                <w:sz w:val="18"/>
              </w:rPr>
              <w:t>Renewal Logic</w:t>
            </w:r>
          </w:p>
        </w:tc>
      </w:tr>
      <w:tr w:rsidR="006A3BC5" w14:paraId="5ADBA7DF" w14:textId="77777777">
        <w:tc>
          <w:tcPr>
            <w:tcW w:w="1805" w:type="dxa"/>
            <w:tcMar>
              <w:left w:w="100" w:type="dxa"/>
              <w:right w:w="100" w:type="dxa"/>
            </w:tcMar>
          </w:tcPr>
          <w:p w14:paraId="0345CE70" w14:textId="77777777" w:rsidR="006A3BC5" w:rsidRDefault="00000000">
            <w:pPr>
              <w:spacing w:before="50" w:after="50" w:line="276" w:lineRule="auto"/>
            </w:pPr>
            <w:r>
              <w:rPr>
                <w:color w:val="546E7A"/>
                <w:sz w:val="18"/>
              </w:rPr>
              <w:t>Phase 0</w:t>
            </w:r>
          </w:p>
        </w:tc>
        <w:tc>
          <w:tcPr>
            <w:tcW w:w="1805" w:type="dxa"/>
            <w:tcMar>
              <w:left w:w="100" w:type="dxa"/>
              <w:right w:w="100" w:type="dxa"/>
            </w:tcMar>
          </w:tcPr>
          <w:p w14:paraId="280D63EC" w14:textId="77777777" w:rsidR="006A3BC5" w:rsidRDefault="00000000">
            <w:pPr>
              <w:spacing w:before="50" w:after="50" w:line="276" w:lineRule="auto"/>
            </w:pPr>
            <w:r>
              <w:rPr>
                <w:color w:val="546E7A"/>
                <w:sz w:val="18"/>
              </w:rPr>
              <w:t>Days 1-14</w:t>
            </w:r>
          </w:p>
        </w:tc>
        <w:tc>
          <w:tcPr>
            <w:tcW w:w="1805" w:type="dxa"/>
            <w:tcMar>
              <w:left w:w="100" w:type="dxa"/>
              <w:right w:w="100" w:type="dxa"/>
            </w:tcMar>
          </w:tcPr>
          <w:p w14:paraId="24BF2849" w14:textId="77777777" w:rsidR="006A3BC5" w:rsidRDefault="00000000">
            <w:pPr>
              <w:spacing w:before="50" w:after="50" w:line="276" w:lineRule="auto"/>
            </w:pPr>
            <w:r>
              <w:rPr>
                <w:color w:val="546E7A"/>
                <w:sz w:val="18"/>
              </w:rPr>
              <w:t>Halts naval exercises within ten nautical miles of the shipping lane; signs the Letter of Intent</w:t>
            </w:r>
          </w:p>
        </w:tc>
        <w:tc>
          <w:tcPr>
            <w:tcW w:w="1805" w:type="dxa"/>
            <w:tcMar>
              <w:left w:w="100" w:type="dxa"/>
              <w:right w:w="100" w:type="dxa"/>
            </w:tcMar>
          </w:tcPr>
          <w:p w14:paraId="547930F1" w14:textId="77777777" w:rsidR="006A3BC5" w:rsidRDefault="00000000">
            <w:pPr>
              <w:spacing w:before="50" w:after="50" w:line="276" w:lineRule="auto"/>
            </w:pPr>
            <w:r>
              <w:rPr>
                <w:color w:val="546E7A"/>
                <w:sz w:val="18"/>
              </w:rPr>
              <w:t>Repositions one carrier group outside the immediate Gulf region; signs the Letter of Intent</w:t>
            </w:r>
          </w:p>
        </w:tc>
        <w:tc>
          <w:tcPr>
            <w:tcW w:w="1805" w:type="dxa"/>
            <w:tcMar>
              <w:left w:w="100" w:type="dxa"/>
              <w:right w:w="100" w:type="dxa"/>
            </w:tcMar>
          </w:tcPr>
          <w:p w14:paraId="48575EC6" w14:textId="77777777" w:rsidR="006A3BC5" w:rsidRDefault="00000000">
            <w:pPr>
              <w:spacing w:before="50" w:after="50" w:line="276" w:lineRule="auto"/>
            </w:pPr>
            <w:r>
              <w:rPr>
                <w:color w:val="546E7A"/>
                <w:sz w:val="18"/>
              </w:rPr>
              <w:t>Non-binding; entry into Cycle 1 on dashboard confirmation</w:t>
            </w:r>
          </w:p>
        </w:tc>
      </w:tr>
      <w:tr w:rsidR="006A3BC5" w14:paraId="3FF8D674" w14:textId="77777777">
        <w:tc>
          <w:tcPr>
            <w:tcW w:w="1805" w:type="dxa"/>
            <w:tcMar>
              <w:left w:w="100" w:type="dxa"/>
              <w:right w:w="100" w:type="dxa"/>
            </w:tcMar>
          </w:tcPr>
          <w:p w14:paraId="37C3FCF7" w14:textId="77777777" w:rsidR="006A3BC5" w:rsidRDefault="00000000">
            <w:pPr>
              <w:spacing w:before="50" w:after="50" w:line="276" w:lineRule="auto"/>
            </w:pPr>
            <w:r>
              <w:rPr>
                <w:color w:val="546E7A"/>
                <w:sz w:val="18"/>
              </w:rPr>
              <w:t>Cycle 1</w:t>
            </w:r>
          </w:p>
        </w:tc>
        <w:tc>
          <w:tcPr>
            <w:tcW w:w="1805" w:type="dxa"/>
            <w:tcMar>
              <w:left w:w="100" w:type="dxa"/>
              <w:right w:w="100" w:type="dxa"/>
            </w:tcMar>
          </w:tcPr>
          <w:p w14:paraId="74CC593B" w14:textId="77777777" w:rsidR="006A3BC5" w:rsidRDefault="00000000">
            <w:pPr>
              <w:spacing w:before="50" w:after="50" w:line="276" w:lineRule="auto"/>
            </w:pPr>
            <w:r>
              <w:rPr>
                <w:color w:val="546E7A"/>
                <w:sz w:val="18"/>
              </w:rPr>
              <w:t>Days 1-90</w:t>
            </w:r>
          </w:p>
        </w:tc>
        <w:tc>
          <w:tcPr>
            <w:tcW w:w="1805" w:type="dxa"/>
            <w:tcMar>
              <w:left w:w="100" w:type="dxa"/>
              <w:right w:w="100" w:type="dxa"/>
            </w:tcMar>
          </w:tcPr>
          <w:p w14:paraId="5E8833E7" w14:textId="77777777" w:rsidR="006A3BC5" w:rsidRDefault="00000000">
            <w:pPr>
              <w:spacing w:before="50" w:after="50" w:line="276" w:lineRule="auto"/>
            </w:pPr>
            <w:r>
              <w:rPr>
                <w:color w:val="546E7A"/>
                <w:sz w:val="18"/>
              </w:rPr>
              <w:t>Patrol notice, no spoofing or jamming, Omani observer aboard</w:t>
            </w:r>
          </w:p>
        </w:tc>
        <w:tc>
          <w:tcPr>
            <w:tcW w:w="1805" w:type="dxa"/>
            <w:tcMar>
              <w:left w:w="100" w:type="dxa"/>
              <w:right w:w="100" w:type="dxa"/>
            </w:tcMar>
          </w:tcPr>
          <w:p w14:paraId="2A3C0E58" w14:textId="77777777" w:rsidR="006A3BC5" w:rsidRDefault="00000000">
            <w:pPr>
              <w:spacing w:before="50" w:after="50" w:line="276" w:lineRule="auto"/>
            </w:pPr>
            <w:r>
              <w:rPr>
                <w:color w:val="546E7A"/>
                <w:sz w:val="18"/>
              </w:rPr>
              <w:t>Transit notice, no close-in drone flights, Omani observer aboard</w:t>
            </w:r>
          </w:p>
        </w:tc>
        <w:tc>
          <w:tcPr>
            <w:tcW w:w="1805" w:type="dxa"/>
            <w:tcMar>
              <w:left w:w="100" w:type="dxa"/>
              <w:right w:w="100" w:type="dxa"/>
            </w:tcMar>
          </w:tcPr>
          <w:p w14:paraId="5CFF0F3F" w14:textId="77777777" w:rsidR="006A3BC5" w:rsidRDefault="00000000">
            <w:pPr>
              <w:spacing w:before="50" w:after="50" w:line="276" w:lineRule="auto"/>
            </w:pPr>
            <w:r>
              <w:rPr>
                <w:color w:val="546E7A"/>
                <w:sz w:val="18"/>
              </w:rPr>
              <w:t>Auto-renews if zero major incidents</w:t>
            </w:r>
          </w:p>
        </w:tc>
      </w:tr>
      <w:tr w:rsidR="006A3BC5" w14:paraId="77A66261" w14:textId="77777777">
        <w:tc>
          <w:tcPr>
            <w:tcW w:w="1805" w:type="dxa"/>
            <w:tcMar>
              <w:left w:w="100" w:type="dxa"/>
              <w:right w:w="100" w:type="dxa"/>
            </w:tcMar>
          </w:tcPr>
          <w:p w14:paraId="4847EF90" w14:textId="77777777" w:rsidR="006A3BC5" w:rsidRDefault="00000000">
            <w:pPr>
              <w:spacing w:before="50" w:after="50" w:line="276" w:lineRule="auto"/>
            </w:pPr>
            <w:r>
              <w:rPr>
                <w:color w:val="546E7A"/>
                <w:sz w:val="18"/>
              </w:rPr>
              <w:t>Cycle 2</w:t>
            </w:r>
          </w:p>
        </w:tc>
        <w:tc>
          <w:tcPr>
            <w:tcW w:w="1805" w:type="dxa"/>
            <w:tcMar>
              <w:left w:w="100" w:type="dxa"/>
              <w:right w:w="100" w:type="dxa"/>
            </w:tcMar>
          </w:tcPr>
          <w:p w14:paraId="0ABE55D6" w14:textId="77777777" w:rsidR="006A3BC5" w:rsidRDefault="00000000">
            <w:pPr>
              <w:spacing w:before="50" w:after="50" w:line="276" w:lineRule="auto"/>
            </w:pPr>
            <w:r>
              <w:rPr>
                <w:color w:val="546E7A"/>
                <w:sz w:val="18"/>
              </w:rPr>
              <w:t>Days 91-180</w:t>
            </w:r>
          </w:p>
        </w:tc>
        <w:tc>
          <w:tcPr>
            <w:tcW w:w="1805" w:type="dxa"/>
            <w:tcMar>
              <w:left w:w="100" w:type="dxa"/>
              <w:right w:w="100" w:type="dxa"/>
            </w:tcMar>
          </w:tcPr>
          <w:p w14:paraId="42EFA325" w14:textId="77777777" w:rsidR="006A3BC5" w:rsidRDefault="00000000">
            <w:pPr>
              <w:spacing w:before="50" w:after="50" w:line="276" w:lineRule="auto"/>
            </w:pPr>
            <w:r>
              <w:rPr>
                <w:color w:val="546E7A"/>
                <w:sz w:val="18"/>
              </w:rPr>
              <w:t>Escrow-held service fee; IAEA cameras at two facilities; public proxy pause call</w:t>
            </w:r>
          </w:p>
        </w:tc>
        <w:tc>
          <w:tcPr>
            <w:tcW w:w="1805" w:type="dxa"/>
            <w:tcMar>
              <w:left w:w="100" w:type="dxa"/>
              <w:right w:w="100" w:type="dxa"/>
            </w:tcMar>
          </w:tcPr>
          <w:p w14:paraId="7E52A951" w14:textId="77777777" w:rsidR="006A3BC5" w:rsidRDefault="00000000">
            <w:pPr>
              <w:spacing w:before="50" w:after="50" w:line="276" w:lineRule="auto"/>
            </w:pPr>
            <w:r>
              <w:rPr>
                <w:color w:val="546E7A"/>
                <w:sz w:val="18"/>
              </w:rPr>
              <w:t>120-day oil waiver for three Asian buyers; escrow administration via Qatar</w:t>
            </w:r>
          </w:p>
        </w:tc>
        <w:tc>
          <w:tcPr>
            <w:tcW w:w="1805" w:type="dxa"/>
            <w:tcMar>
              <w:left w:w="100" w:type="dxa"/>
              <w:right w:w="100" w:type="dxa"/>
            </w:tcMar>
          </w:tcPr>
          <w:p w14:paraId="44367153" w14:textId="77777777" w:rsidR="006A3BC5" w:rsidRDefault="00000000">
            <w:pPr>
              <w:spacing w:before="50" w:after="50" w:line="276" w:lineRule="auto"/>
            </w:pPr>
            <w:r>
              <w:rPr>
                <w:color w:val="546E7A"/>
                <w:sz w:val="18"/>
              </w:rPr>
              <w:t>Notice period shortens to 45 days; withdrawal needs a material-breach finding</w:t>
            </w:r>
          </w:p>
        </w:tc>
      </w:tr>
      <w:tr w:rsidR="006A3BC5" w14:paraId="19D6810D" w14:textId="77777777">
        <w:tc>
          <w:tcPr>
            <w:tcW w:w="1805" w:type="dxa"/>
            <w:tcMar>
              <w:left w:w="100" w:type="dxa"/>
              <w:right w:w="100" w:type="dxa"/>
            </w:tcMar>
          </w:tcPr>
          <w:p w14:paraId="45190C4A" w14:textId="77777777" w:rsidR="006A3BC5" w:rsidRDefault="00000000">
            <w:pPr>
              <w:spacing w:before="50" w:after="50" w:line="276" w:lineRule="auto"/>
            </w:pPr>
            <w:r>
              <w:rPr>
                <w:color w:val="546E7A"/>
                <w:sz w:val="18"/>
              </w:rPr>
              <w:lastRenderedPageBreak/>
              <w:t>Cycle 3</w:t>
            </w:r>
          </w:p>
        </w:tc>
        <w:tc>
          <w:tcPr>
            <w:tcW w:w="1805" w:type="dxa"/>
            <w:tcMar>
              <w:left w:w="100" w:type="dxa"/>
              <w:right w:w="100" w:type="dxa"/>
            </w:tcMar>
          </w:tcPr>
          <w:p w14:paraId="6CF93FD5" w14:textId="77777777" w:rsidR="006A3BC5" w:rsidRDefault="00000000">
            <w:pPr>
              <w:spacing w:before="50" w:after="50" w:line="276" w:lineRule="auto"/>
            </w:pPr>
            <w:r>
              <w:rPr>
                <w:color w:val="546E7A"/>
                <w:sz w:val="18"/>
              </w:rPr>
              <w:t>Days 181-270</w:t>
            </w:r>
          </w:p>
        </w:tc>
        <w:tc>
          <w:tcPr>
            <w:tcW w:w="1805" w:type="dxa"/>
            <w:tcMar>
              <w:left w:w="100" w:type="dxa"/>
              <w:right w:w="100" w:type="dxa"/>
            </w:tcMar>
          </w:tcPr>
          <w:p w14:paraId="3112BD20" w14:textId="77777777" w:rsidR="006A3BC5" w:rsidRDefault="00000000">
            <w:pPr>
              <w:spacing w:before="50" w:after="50" w:line="276" w:lineRule="auto"/>
            </w:pPr>
            <w:r>
              <w:rPr>
                <w:color w:val="546E7A"/>
                <w:sz w:val="18"/>
              </w:rPr>
              <w:t>Down-blends 50 percent of the 60 percent stockpile; joint seals on the remainder; centrifuge logs</w:t>
            </w:r>
          </w:p>
        </w:tc>
        <w:tc>
          <w:tcPr>
            <w:tcW w:w="1805" w:type="dxa"/>
            <w:tcMar>
              <w:left w:w="100" w:type="dxa"/>
              <w:right w:w="100" w:type="dxa"/>
            </w:tcMar>
          </w:tcPr>
          <w:p w14:paraId="36EE3A16" w14:textId="77777777" w:rsidR="006A3BC5" w:rsidRDefault="00000000">
            <w:pPr>
              <w:spacing w:before="50" w:after="50" w:line="276" w:lineRule="auto"/>
            </w:pPr>
            <w:r>
              <w:rPr>
                <w:color w:val="546E7A"/>
                <w:sz w:val="18"/>
              </w:rPr>
              <w:t>Releases service-fee escrow for medicine and food via the Swiss channel</w:t>
            </w:r>
          </w:p>
        </w:tc>
        <w:tc>
          <w:tcPr>
            <w:tcW w:w="1805" w:type="dxa"/>
            <w:tcMar>
              <w:left w:w="100" w:type="dxa"/>
              <w:right w:w="100" w:type="dxa"/>
            </w:tcMar>
          </w:tcPr>
          <w:p w14:paraId="6C372014" w14:textId="77777777" w:rsidR="006A3BC5" w:rsidRDefault="00000000">
            <w:pPr>
              <w:spacing w:before="50" w:after="50" w:line="276" w:lineRule="auto"/>
            </w:pPr>
            <w:r>
              <w:rPr>
                <w:color w:val="546E7A"/>
                <w:sz w:val="18"/>
              </w:rPr>
              <w:t>Seal recertification each cycle; eject ladder of Article 10 governs</w:t>
            </w:r>
          </w:p>
        </w:tc>
      </w:tr>
      <w:tr w:rsidR="006A3BC5" w14:paraId="25A21776" w14:textId="77777777">
        <w:tc>
          <w:tcPr>
            <w:tcW w:w="1805" w:type="dxa"/>
            <w:tcMar>
              <w:left w:w="100" w:type="dxa"/>
              <w:right w:w="100" w:type="dxa"/>
            </w:tcMar>
          </w:tcPr>
          <w:p w14:paraId="552184D9" w14:textId="77777777" w:rsidR="006A3BC5" w:rsidRDefault="00000000">
            <w:pPr>
              <w:spacing w:before="50" w:after="50" w:line="276" w:lineRule="auto"/>
            </w:pPr>
            <w:r>
              <w:rPr>
                <w:color w:val="546E7A"/>
                <w:sz w:val="18"/>
              </w:rPr>
              <w:t>Cycle 4 and beyond</w:t>
            </w:r>
          </w:p>
        </w:tc>
        <w:tc>
          <w:tcPr>
            <w:tcW w:w="1805" w:type="dxa"/>
            <w:tcMar>
              <w:left w:w="100" w:type="dxa"/>
              <w:right w:w="100" w:type="dxa"/>
            </w:tcMar>
          </w:tcPr>
          <w:p w14:paraId="01F24A5C" w14:textId="77777777" w:rsidR="006A3BC5" w:rsidRDefault="00000000">
            <w:pPr>
              <w:spacing w:before="50" w:after="50" w:line="276" w:lineRule="auto"/>
            </w:pPr>
            <w:r>
              <w:rPr>
                <w:color w:val="546E7A"/>
                <w:sz w:val="18"/>
              </w:rPr>
              <w:t>Day 271 onward</w:t>
            </w:r>
          </w:p>
        </w:tc>
        <w:tc>
          <w:tcPr>
            <w:tcW w:w="1805" w:type="dxa"/>
            <w:tcMar>
              <w:left w:w="100" w:type="dxa"/>
              <w:right w:w="100" w:type="dxa"/>
            </w:tcMar>
          </w:tcPr>
          <w:p w14:paraId="471B5083" w14:textId="77777777" w:rsidR="006A3BC5" w:rsidRDefault="00000000">
            <w:pPr>
              <w:spacing w:before="50" w:after="50" w:line="276" w:lineRule="auto"/>
            </w:pPr>
            <w:r>
              <w:rPr>
                <w:color w:val="546E7A"/>
                <w:sz w:val="18"/>
              </w:rPr>
              <w:t>Reconstruction and reconciliation tracks scale per Articles 6 and 7</w:t>
            </w:r>
          </w:p>
        </w:tc>
        <w:tc>
          <w:tcPr>
            <w:tcW w:w="1805" w:type="dxa"/>
            <w:tcMar>
              <w:left w:w="100" w:type="dxa"/>
              <w:right w:w="100" w:type="dxa"/>
            </w:tcMar>
          </w:tcPr>
          <w:p w14:paraId="7DEC880E" w14:textId="77777777" w:rsidR="006A3BC5" w:rsidRDefault="00000000">
            <w:pPr>
              <w:spacing w:before="50" w:after="50" w:line="276" w:lineRule="auto"/>
            </w:pPr>
            <w:r>
              <w:rPr>
                <w:color w:val="546E7A"/>
                <w:sz w:val="18"/>
              </w:rPr>
              <w:t>Same</w:t>
            </w:r>
          </w:p>
        </w:tc>
        <w:tc>
          <w:tcPr>
            <w:tcW w:w="1805" w:type="dxa"/>
            <w:tcMar>
              <w:left w:w="100" w:type="dxa"/>
              <w:right w:w="100" w:type="dxa"/>
            </w:tcMar>
          </w:tcPr>
          <w:p w14:paraId="762C8974" w14:textId="77777777" w:rsidR="006A3BC5" w:rsidRDefault="00000000">
            <w:pPr>
              <w:spacing w:before="50" w:after="50" w:line="276" w:lineRule="auto"/>
            </w:pPr>
            <w:r>
              <w:rPr>
                <w:color w:val="546E7A"/>
                <w:sz w:val="18"/>
              </w:rPr>
              <w:t>Unlimited renewals; de facto settlement without the label</w:t>
            </w:r>
          </w:p>
        </w:tc>
      </w:tr>
    </w:tbl>
    <w:p w14:paraId="6A8950A1" w14:textId="77777777" w:rsidR="006A3BC5" w:rsidRDefault="00000000" w:rsidP="00953F39">
      <w:pPr>
        <w:pStyle w:val="Heading1"/>
      </w:pPr>
      <w:bookmarkStart w:id="8" w:name="_Toc235569980"/>
      <w:r>
        <w:t>Core Operating Principles</w:t>
      </w:r>
      <w:bookmarkEnd w:id="8"/>
    </w:p>
    <w:p w14:paraId="598C9804" w14:textId="77777777" w:rsidR="006A3BC5" w:rsidRDefault="00000000">
      <w:pPr>
        <w:pStyle w:val="Heading3"/>
      </w:pPr>
      <w:r>
        <w:t>Principle I: Synchronized Reciprocal Motion</w:t>
      </w:r>
    </w:p>
    <w:p w14:paraId="01B0BF3A" w14:textId="77777777" w:rsidR="006A3BC5" w:rsidRDefault="00000000">
      <w:r>
        <w:t>Neither Party moves alone. Every Iranian commitment pairs with a United States commitment on the same clock cycle, and the shared dashboard confirms both before either takes effect. If one side stops, the paired benefit of the other side stops with it. This principle eliminates the question of who moves first, which collapsed every previous negotiation between the Parties.</w:t>
      </w:r>
    </w:p>
    <w:p w14:paraId="74A4CB84" w14:textId="77777777" w:rsidR="006A3BC5" w:rsidRDefault="00000000">
      <w:pPr>
        <w:pStyle w:val="Heading3"/>
      </w:pPr>
      <w:r>
        <w:t>Principle II: Telemetry-First Verification</w:t>
      </w:r>
    </w:p>
    <w:p w14:paraId="712070AD" w14:textId="77777777" w:rsidR="006A3BC5" w:rsidRDefault="00000000">
      <w:r>
        <w:t>Every commitment in this instrument expresses itself as a sensor reading, a data feed, a seal state, a transit log, or a financial transaction record. A commitment that escapes neutral technical observation does not enter the operative text. Politics follows telemetry, never the reverse.</w:t>
      </w:r>
    </w:p>
    <w:p w14:paraId="048F9902" w14:textId="77777777" w:rsidR="006A3BC5" w:rsidRDefault="00000000">
      <w:pPr>
        <w:pStyle w:val="Heading3"/>
      </w:pPr>
      <w:r>
        <w:t>Principle III: Rollback, Not Collapse</w:t>
      </w:r>
    </w:p>
    <w:p w14:paraId="13ED9475" w14:textId="77777777" w:rsidR="006A3BC5" w:rsidRDefault="00000000">
      <w:r>
        <w:t>A breach pauses the affected module; it does not terminate the Track. Discretionary measures halt first, core constraints survive longest, and humanitarian protections remain in force under every scenario. Ambiguity triggers investigation, not punishment. Only deliberate, verified, hostile conduct reaches the highest tier, and even that tier carries an earn-back path.</w:t>
      </w:r>
    </w:p>
    <w:p w14:paraId="1C64FEDC" w14:textId="77777777" w:rsidR="006A3BC5" w:rsidRDefault="00000000">
      <w:pPr>
        <w:pStyle w:val="Heading3"/>
      </w:pPr>
      <w:r>
        <w:t>Principle IV: The Firewall</w:t>
      </w:r>
    </w:p>
    <w:p w14:paraId="6991F3CB" w14:textId="77777777" w:rsidR="006A3BC5" w:rsidRDefault="00000000">
      <w:r>
        <w:t>Failure on one front does not collapse another. The maritime file, the nuclear file, the economic file, the reconstruction file, and the reconciliation file run as separable modules. A breach in one module does not cascade into any other module unless the operative text explicitly links them.</w:t>
      </w:r>
    </w:p>
    <w:p w14:paraId="1F42A397" w14:textId="77777777" w:rsidR="006A3BC5" w:rsidRDefault="00000000">
      <w:pPr>
        <w:pStyle w:val="Heading3"/>
      </w:pPr>
      <w:r>
        <w:t>Principle V: No-Fade Continuity</w:t>
      </w:r>
    </w:p>
    <w:p w14:paraId="5A8AA076" w14:textId="77777777" w:rsidR="006A3BC5" w:rsidRDefault="00000000">
      <w:r>
        <w:t xml:space="preserve">No commitment fades at a cycle boundary. Verified performance banks permanently. Automatic renewal carries every operational state forward unless a Party activates the graduated exit ladder of Article 10. </w:t>
      </w:r>
      <w:r>
        <w:lastRenderedPageBreak/>
        <w:t>The architecture recognizes no sunset, no cliff, and no silent expiry. Obligations persist exactly as written until both Parties amend them in writing or one Party exits through the ladder. This principle stands first among equals: it governs the interpretation of every other provision of this instrument.</w:t>
      </w:r>
    </w:p>
    <w:p w14:paraId="133AA915" w14:textId="77777777" w:rsidR="006A3BC5" w:rsidRDefault="00000000">
      <w:pPr>
        <w:pStyle w:val="Heading3"/>
      </w:pPr>
      <w:r>
        <w:t>Principle VI: Mutual Architecture and Non-Humiliation</w:t>
      </w:r>
    </w:p>
    <w:p w14:paraId="4C7558C7" w14:textId="77777777" w:rsidR="006A3BC5" w:rsidRDefault="00000000">
      <w:r>
        <w:t>Every constraint binds both Parties equally as a design feature of the shared framework. The framework architecture excludes kinetic enforcement, excludes coerced public statements, and excludes any language of surrender, capitulation, or submission. Compliance constitutes the fulfillment of negotiated commitments between sovereign equals, and no provision stages humiliation optics for either side.</w:t>
      </w:r>
    </w:p>
    <w:p w14:paraId="1A78D908" w14:textId="77777777" w:rsidR="006A3BC5" w:rsidRDefault="00000000" w:rsidP="00F71F29">
      <w:pPr>
        <w:pStyle w:val="Heading1"/>
      </w:pPr>
      <w:bookmarkStart w:id="9" w:name="_Toc235569981"/>
      <w:r>
        <w:t>Article 1: The Rolling Horizon Engine</w:t>
      </w:r>
      <w:bookmarkEnd w:id="9"/>
    </w:p>
    <w:p w14:paraId="23CC8027" w14:textId="77777777" w:rsidR="006A3BC5" w:rsidRDefault="00000000">
      <w:pPr>
        <w:pStyle w:val="Heading2"/>
      </w:pPr>
      <w:bookmarkStart w:id="10" w:name="_Toc235569982"/>
      <w:r>
        <w:t>1.1 The Ninety-Day Cycle</w:t>
      </w:r>
      <w:bookmarkEnd w:id="10"/>
    </w:p>
    <w:p w14:paraId="775D124F" w14:textId="77777777" w:rsidR="006A3BC5" w:rsidRDefault="00000000">
      <w:r>
        <w:t>The Track operates in consecutive ninety-day cycles. Cycle 1 begins on the day the shared dashboard confirms the Phase 0 Letter of Intent from both capitals. Each cycle carries its own scope, its own deliverables, and its own verification package. A cycle never renegotiates a completed cycle; scope only expands forward.</w:t>
      </w:r>
    </w:p>
    <w:p w14:paraId="48945F1A" w14:textId="77777777" w:rsidR="006A3BC5" w:rsidRDefault="00000000">
      <w:pPr>
        <w:pStyle w:val="Heading2"/>
      </w:pPr>
      <w:bookmarkStart w:id="11" w:name="_Toc235569983"/>
      <w:r>
        <w:t>1.2 Automatic Renewal by Silence</w:t>
      </w:r>
      <w:bookmarkEnd w:id="11"/>
    </w:p>
    <w:p w14:paraId="7F1152C4" w14:textId="77777777" w:rsidR="006A3BC5" w:rsidRDefault="00000000">
      <w:r>
        <w:t>Each cycle renews automatically for a further ninety days on identical terms. Silence equals continuation. Renewal requires no signature, no ceremony, and no public event. The dashboard publishes a renewal certificate at hour zero of each new cycle, and both capitals receive it simultaneously through the facilitator channel.</w:t>
      </w:r>
    </w:p>
    <w:p w14:paraId="56A11FBD" w14:textId="77777777" w:rsidR="006A3BC5" w:rsidRDefault="00000000">
      <w:pPr>
        <w:pStyle w:val="Heading2"/>
      </w:pPr>
      <w:bookmarkStart w:id="12" w:name="_Toc235569984"/>
      <w:r>
        <w:t>1.3 The Sixty-Day Notice and the Thirty-Day Cooling Window</w:t>
      </w:r>
      <w:bookmarkEnd w:id="12"/>
    </w:p>
    <w:p w14:paraId="7E4B7D48" w14:textId="77777777" w:rsidR="006A3BC5" w:rsidRDefault="00000000">
      <w:r>
        <w:t>Either Party declines renewal by delivering a written notice of intent to withdraw to the depositary no later than sixty days before the current cycle ends. The interval between the notice deadline and the cycle boundary creates a guaranteed thirty-day cooling window. During the cooling window, all operational protocols continue in full, the facilitators convene both Parties for repair talks, and the notice-giving Party retains the right to retract its notice at any time before expiry. Retraction restores the cycle instantly, with no penalty and no statement.</w:t>
      </w:r>
    </w:p>
    <w:p w14:paraId="31123B61" w14:textId="77777777" w:rsidR="006A3BC5" w:rsidRDefault="00000000">
      <w:pPr>
        <w:pStyle w:val="Heading2"/>
      </w:pPr>
      <w:bookmarkStart w:id="13" w:name="_Toc235569985"/>
      <w:r>
        <w:t>1.4 The Confidence Escalator</w:t>
      </w:r>
      <w:bookmarkEnd w:id="13"/>
    </w:p>
    <w:p w14:paraId="237CB468" w14:textId="77777777" w:rsidR="006A3BC5" w:rsidRDefault="00000000">
      <w:r>
        <w:t xml:space="preserve">The notice period itself signals the state of the relationship. Cycles 1 runs on a sixty-day notice requirement. Cycle 2 shortens the requirement to forty-five days, reflecting accumulated trust, and simultaneously raises the exit bar: withdrawal during Cycle 2 takes effect only after the technical committees of both Parties issue a joint finding of material breach, or after the full forty-five-day notice </w:t>
      </w:r>
      <w:r>
        <w:lastRenderedPageBreak/>
        <w:t>elapses unresolved. Cycle 3 and later cycles hold at forty-five days. The ladder never shortens below forty-five days without a further written amendment.</w:t>
      </w:r>
    </w:p>
    <w:p w14:paraId="0221CE28" w14:textId="77777777" w:rsidR="006A3BC5" w:rsidRDefault="00000000">
      <w:pPr>
        <w:pStyle w:val="Heading2"/>
      </w:pPr>
      <w:bookmarkStart w:id="14" w:name="_Toc235569986"/>
      <w:r>
        <w:t>1.5 Graduation Between Cycles</w:t>
      </w:r>
      <w:bookmarkEnd w:id="14"/>
    </w:p>
    <w:p w14:paraId="65EE75DF" w14:textId="77777777" w:rsidR="006A3BC5" w:rsidRDefault="00000000">
      <w:r>
        <w:t>Graduation from one cycle to the next occurs automatically upon the dashboard confirming the graduation condition of the current cycle. For Cycle 1, the condition is zero major incidents in ninety days, where a major incident means any ship fired upon or forcibly diverted. For Cycle 2, the condition is clean escrow and camera telemetry for the full cycle. For Cycle 3, the condition is IAEA certification of the down-blend rate and seal integrity. Either Party declines graduation by written notice within forty-eight hours of the dashboard certificate; absent such notice, the next cycle begins.</w:t>
      </w:r>
    </w:p>
    <w:p w14:paraId="55C266C5" w14:textId="77777777" w:rsidR="006A3BC5" w:rsidRDefault="00000000" w:rsidP="003D1551">
      <w:pPr>
        <w:pStyle w:val="Heading1"/>
      </w:pPr>
      <w:bookmarkStart w:id="15" w:name="_Toc235569987"/>
      <w:r>
        <w:t>Article 2: Phase 0: The Back-Channel Pre-Negotiation (Days 1-14)</w:t>
      </w:r>
      <w:bookmarkEnd w:id="15"/>
    </w:p>
    <w:p w14:paraId="3D74CDE8" w14:textId="77777777" w:rsidR="006A3BC5" w:rsidRDefault="00000000">
      <w:pPr>
        <w:pStyle w:val="Heading2"/>
      </w:pPr>
      <w:bookmarkStart w:id="16" w:name="_Toc235569988"/>
      <w:r>
        <w:t>2.1 Channel Architecture</w:t>
      </w:r>
      <w:bookmarkEnd w:id="16"/>
    </w:p>
    <w:p w14:paraId="450C1ADE" w14:textId="77777777" w:rsidR="006A3BC5" w:rsidRDefault="00000000">
      <w:r>
        <w:t>Phase 0 produces no public announcement of any kind. All communication moves through the neutral third-party channel that the Parties already use: the Sultanate of Oman as primary relay and the Swiss Confederation as alternate. The channel transmits unsigned non-papers only. No document in Phase 0 carries a letterhead, a signature, or a ministerial attribution. A leaked non-paper is deniable by design, because at the non-paper stage no agreement exists as a matter of fact.</w:t>
      </w:r>
    </w:p>
    <w:p w14:paraId="7C6F8B77" w14:textId="77777777" w:rsidR="006A3BC5" w:rsidRDefault="00000000">
      <w:pPr>
        <w:pStyle w:val="Heading2"/>
      </w:pPr>
      <w:bookmarkStart w:id="17" w:name="_Toc235569989"/>
      <w:r>
        <w:t>2.2 Agenda Discipline</w:t>
      </w:r>
      <w:bookmarkEnd w:id="17"/>
    </w:p>
    <w:p w14:paraId="5E4645BF" w14:textId="77777777" w:rsidR="006A3BC5" w:rsidRDefault="00000000">
      <w:r>
        <w:t>Both sides privately fix the agenda of the first cycle before any public step occurs. The agenda of Cycle 1 covers maritime deconfliction and nothing else. The nuclear file, the toll question, the proxy file, the sanctions architecture, and the Lebanon file all sit outside Cycle 1 by mutual pre-commitment. This discipline prevents the maximalist pile-up that collapsed the June process: each file enters the room only when the previous file demonstrates verified motion.</w:t>
      </w:r>
    </w:p>
    <w:p w14:paraId="48EE916B" w14:textId="77777777" w:rsidR="006A3BC5" w:rsidRDefault="00000000">
      <w:pPr>
        <w:pStyle w:val="Heading2"/>
      </w:pPr>
      <w:bookmarkStart w:id="18" w:name="_Toc235569990"/>
      <w:r>
        <w:t>2.3 The Confidence Signals</w:t>
      </w:r>
      <w:bookmarkEnd w:id="18"/>
    </w:p>
    <w:p w14:paraId="034D9855" w14:textId="77777777" w:rsidR="006A3BC5" w:rsidRDefault="00000000">
      <w:r>
        <w:t>During Days 1-14, each side executes one visible, reversible, sovereignty-preserving gesture. Both gestures carry the shared label of goodwill signals, not concessions. Neither gesture enters the compliance ledger, and neither survives as an obligation beyond Day 14 unless Cycle 1 activates.</w:t>
      </w:r>
    </w:p>
    <w:p w14:paraId="52D99BEA" w14:textId="77777777" w:rsidR="006A3BC5" w:rsidRDefault="00000000">
      <w:pPr>
        <w:pStyle w:val="Caption"/>
        <w:keepNext/>
      </w:pPr>
      <w:r>
        <w:rPr>
          <w:b/>
        </w:rPr>
        <w:t>Table 2: Phase 0 confidence signals</w:t>
      </w:r>
    </w:p>
    <w:tbl>
      <w:tblPr>
        <w:tblW w:w="5000" w:type="pct"/>
        <w:tblInd w:w="100" w:type="dxa"/>
        <w:tblBorders>
          <w:top w:val="single" w:sz="12" w:space="0" w:color="37474F"/>
          <w:bottom w:val="single" w:sz="12" w:space="0" w:color="37474F"/>
          <w:insideH w:val="single" w:sz="4" w:space="0" w:color="CDD6DB"/>
          <w:insideV w:val="single" w:sz="4" w:space="0" w:color="CDD6DB"/>
        </w:tblBorders>
        <w:tblCellMar>
          <w:left w:w="10" w:type="dxa"/>
          <w:right w:w="10" w:type="dxa"/>
        </w:tblCellMar>
        <w:tblLook w:val="04A0" w:firstRow="1" w:lastRow="0" w:firstColumn="1" w:lastColumn="0" w:noHBand="0" w:noVBand="1"/>
      </w:tblPr>
      <w:tblGrid>
        <w:gridCol w:w="3076"/>
        <w:gridCol w:w="3075"/>
        <w:gridCol w:w="3075"/>
      </w:tblGrid>
      <w:tr w:rsidR="006A3BC5" w14:paraId="09C8BECA" w14:textId="77777777">
        <w:trPr>
          <w:tblHeader/>
        </w:trPr>
        <w:tc>
          <w:tcPr>
            <w:tcW w:w="3008" w:type="dxa"/>
            <w:shd w:val="clear" w:color="auto" w:fill="ECEFF1"/>
            <w:tcMar>
              <w:left w:w="100" w:type="dxa"/>
              <w:right w:w="100" w:type="dxa"/>
            </w:tcMar>
          </w:tcPr>
          <w:p w14:paraId="013F5234" w14:textId="77777777" w:rsidR="006A3BC5" w:rsidRDefault="00000000">
            <w:pPr>
              <w:spacing w:before="60" w:after="60" w:line="276" w:lineRule="auto"/>
            </w:pPr>
            <w:r>
              <w:rPr>
                <w:b/>
                <w:sz w:val="18"/>
              </w:rPr>
              <w:t>Iranian Signal</w:t>
            </w:r>
          </w:p>
        </w:tc>
        <w:tc>
          <w:tcPr>
            <w:tcW w:w="3008" w:type="dxa"/>
            <w:shd w:val="clear" w:color="auto" w:fill="ECEFF1"/>
            <w:tcMar>
              <w:left w:w="100" w:type="dxa"/>
              <w:right w:w="100" w:type="dxa"/>
            </w:tcMar>
          </w:tcPr>
          <w:p w14:paraId="75415879" w14:textId="77777777" w:rsidR="006A3BC5" w:rsidRDefault="00000000">
            <w:pPr>
              <w:spacing w:before="60" w:after="60" w:line="276" w:lineRule="auto"/>
            </w:pPr>
            <w:r>
              <w:rPr>
                <w:b/>
                <w:sz w:val="18"/>
              </w:rPr>
              <w:t>United States Signal</w:t>
            </w:r>
          </w:p>
        </w:tc>
        <w:tc>
          <w:tcPr>
            <w:tcW w:w="3008" w:type="dxa"/>
            <w:shd w:val="clear" w:color="auto" w:fill="ECEFF1"/>
            <w:tcMar>
              <w:left w:w="100" w:type="dxa"/>
              <w:right w:w="100" w:type="dxa"/>
            </w:tcMar>
          </w:tcPr>
          <w:p w14:paraId="66EC1404" w14:textId="77777777" w:rsidR="006A3BC5" w:rsidRDefault="00000000">
            <w:pPr>
              <w:spacing w:before="60" w:after="60" w:line="276" w:lineRule="auto"/>
            </w:pPr>
            <w:r>
              <w:rPr>
                <w:b/>
                <w:sz w:val="18"/>
              </w:rPr>
              <w:t>Verification</w:t>
            </w:r>
          </w:p>
        </w:tc>
      </w:tr>
      <w:tr w:rsidR="006A3BC5" w14:paraId="0CA820C7" w14:textId="77777777">
        <w:tc>
          <w:tcPr>
            <w:tcW w:w="3008" w:type="dxa"/>
            <w:tcMar>
              <w:left w:w="100" w:type="dxa"/>
              <w:right w:w="100" w:type="dxa"/>
            </w:tcMar>
          </w:tcPr>
          <w:p w14:paraId="754BFCFB" w14:textId="77777777" w:rsidR="006A3BC5" w:rsidRDefault="00000000">
            <w:pPr>
              <w:spacing w:before="50" w:after="50" w:line="276" w:lineRule="auto"/>
            </w:pPr>
            <w:r>
              <w:rPr>
                <w:color w:val="546E7A"/>
                <w:sz w:val="18"/>
              </w:rPr>
              <w:t xml:space="preserve">Iran halts all naval exercises within ten nautical miles of the commercial shipping lane for the duration of Phase </w:t>
            </w:r>
            <w:r>
              <w:rPr>
                <w:color w:val="546E7A"/>
                <w:sz w:val="18"/>
              </w:rPr>
              <w:lastRenderedPageBreak/>
              <w:t>0</w:t>
            </w:r>
          </w:p>
        </w:tc>
        <w:tc>
          <w:tcPr>
            <w:tcW w:w="3008" w:type="dxa"/>
            <w:tcMar>
              <w:left w:w="100" w:type="dxa"/>
              <w:right w:w="100" w:type="dxa"/>
            </w:tcMar>
          </w:tcPr>
          <w:p w14:paraId="7F3532D3" w14:textId="77777777" w:rsidR="006A3BC5" w:rsidRDefault="00000000">
            <w:pPr>
              <w:spacing w:before="50" w:after="50" w:line="276" w:lineRule="auto"/>
            </w:pPr>
            <w:r>
              <w:rPr>
                <w:color w:val="546E7A"/>
                <w:sz w:val="18"/>
              </w:rPr>
              <w:lastRenderedPageBreak/>
              <w:t xml:space="preserve">The United States repositions one carrier strike group outside the immediate Gulf region for the duration </w:t>
            </w:r>
            <w:r>
              <w:rPr>
                <w:color w:val="546E7A"/>
                <w:sz w:val="18"/>
              </w:rPr>
              <w:lastRenderedPageBreak/>
              <w:t>of Phase 0</w:t>
            </w:r>
          </w:p>
        </w:tc>
        <w:tc>
          <w:tcPr>
            <w:tcW w:w="3008" w:type="dxa"/>
            <w:tcMar>
              <w:left w:w="100" w:type="dxa"/>
              <w:right w:w="100" w:type="dxa"/>
            </w:tcMar>
          </w:tcPr>
          <w:p w14:paraId="36EBBC6B" w14:textId="77777777" w:rsidR="006A3BC5" w:rsidRDefault="00000000">
            <w:pPr>
              <w:spacing w:before="50" w:after="50" w:line="276" w:lineRule="auto"/>
            </w:pPr>
            <w:r>
              <w:rPr>
                <w:color w:val="546E7A"/>
                <w:sz w:val="18"/>
              </w:rPr>
              <w:lastRenderedPageBreak/>
              <w:t xml:space="preserve">Omani naval observation logs exercise activity; commercial satellite imagery and AIS tracks confirm carrier group </w:t>
            </w:r>
            <w:r>
              <w:rPr>
                <w:color w:val="546E7A"/>
                <w:sz w:val="18"/>
              </w:rPr>
              <w:lastRenderedPageBreak/>
              <w:t>position; both readings publish on the shared dashboard</w:t>
            </w:r>
          </w:p>
        </w:tc>
      </w:tr>
    </w:tbl>
    <w:p w14:paraId="28FE25D8" w14:textId="77777777" w:rsidR="006A3BC5" w:rsidRDefault="00000000">
      <w:pPr>
        <w:pStyle w:val="Heading2"/>
      </w:pPr>
      <w:bookmarkStart w:id="19" w:name="_Toc235569991"/>
      <w:r>
        <w:t>2.4 The Letter of Intent</w:t>
      </w:r>
      <w:bookmarkEnd w:id="19"/>
    </w:p>
    <w:p w14:paraId="38FEA81C" w14:textId="77777777" w:rsidR="006A3BC5" w:rsidRDefault="00000000">
      <w:r>
        <w:t>On or before Day 14, both sides sign a non-binding Letter of Intent through the facilitator channel. The Letter of Intent states a single operative sentence: any operational agreement reached under this Track renews automatically every ninety days, subject to the notice ladder of Article 1. The Letter of Intent binds neither Party to any substantive measure; it binds both Parties to the rolling architecture. The dashboard logs both signatures, and hour zero of Cycle 1 starts on the second signature.</w:t>
      </w:r>
    </w:p>
    <w:p w14:paraId="1C840F71" w14:textId="77777777" w:rsidR="006A3BC5" w:rsidRDefault="00000000">
      <w:pPr>
        <w:pStyle w:val="Heading2"/>
      </w:pPr>
      <w:bookmarkStart w:id="20" w:name="_Toc235569992"/>
      <w:r>
        <w:t>2.5 The Leak Shield</w:t>
      </w:r>
      <w:bookmarkEnd w:id="20"/>
    </w:p>
    <w:p w14:paraId="115130A7" w14:textId="77777777" w:rsidR="006A3BC5" w:rsidRDefault="00000000">
      <w:r>
        <w:t>If any Phase 0 text leaks before Cycle 1 activation, both capitals deploy the same pre-agreed response: this is an unsigned working draft with no standing, and no agreement exists. Because the statement is factually accurate at that stage, neither side loses credibility. The process proceeds on schedule or pauses until the political storm passes, at the joint discretion of the facilitators.</w:t>
      </w:r>
    </w:p>
    <w:p w14:paraId="49BF38D3" w14:textId="77777777" w:rsidR="006A3BC5" w:rsidRDefault="00000000" w:rsidP="00452E01">
      <w:pPr>
        <w:pStyle w:val="Heading1"/>
      </w:pPr>
      <w:bookmarkStart w:id="21" w:name="_Toc235569993"/>
      <w:r>
        <w:t>Article 3: Cycle 1: The Maritime Safety Protocol (Days 1-90)</w:t>
      </w:r>
      <w:bookmarkEnd w:id="21"/>
    </w:p>
    <w:p w14:paraId="6DADDB4A" w14:textId="77777777" w:rsidR="006A3BC5" w:rsidRDefault="00000000">
      <w:pPr>
        <w:pStyle w:val="Heading2"/>
      </w:pPr>
      <w:bookmarkStart w:id="22" w:name="_Toc235569994"/>
      <w:r>
        <w:t>3.1 Deliverable and Scope</w:t>
      </w:r>
      <w:bookmarkEnd w:id="22"/>
    </w:p>
    <w:p w14:paraId="41C288B7" w14:textId="77777777" w:rsidR="006A3BC5" w:rsidRDefault="00000000">
      <w:r>
        <w:t>Cycle 1 delivers a single, bare-bones Maritime Safety Protocol for the Strait of Hormuz. The Protocol governs notification, non-interference, and neutral observation in the commercial transit corridor. It touches nothing else. Every obligation in this Article pairs an Iranian action with a simultaneous United States action of equal weight, and the shared dashboard confirms both sides before either obligation activates.</w:t>
      </w:r>
    </w:p>
    <w:p w14:paraId="5F039E6F" w14:textId="77777777" w:rsidR="006A3BC5" w:rsidRDefault="00000000">
      <w:pPr>
        <w:pStyle w:val="Heading2"/>
      </w:pPr>
      <w:bookmarkStart w:id="23" w:name="_Toc235569995"/>
      <w:r>
        <w:t>3.2 The Reciprocal Obligation Pairs</w:t>
      </w:r>
      <w:bookmarkEnd w:id="23"/>
    </w:p>
    <w:p w14:paraId="28E1ECE1" w14:textId="77777777" w:rsidR="006A3BC5" w:rsidRDefault="00000000">
      <w:pPr>
        <w:pStyle w:val="Caption"/>
        <w:keepNext/>
      </w:pPr>
      <w:r>
        <w:rPr>
          <w:b/>
        </w:rPr>
        <w:t>Table 3: Cycle 1 reciprocal obligations</w:t>
      </w:r>
    </w:p>
    <w:tbl>
      <w:tblPr>
        <w:tblW w:w="5000" w:type="pct"/>
        <w:tblInd w:w="100" w:type="dxa"/>
        <w:tblBorders>
          <w:top w:val="single" w:sz="12" w:space="0" w:color="37474F"/>
          <w:bottom w:val="single" w:sz="12" w:space="0" w:color="37474F"/>
          <w:insideH w:val="single" w:sz="4" w:space="0" w:color="CDD6DB"/>
          <w:insideV w:val="single" w:sz="4" w:space="0" w:color="CDD6DB"/>
        </w:tblBorders>
        <w:tblCellMar>
          <w:left w:w="10" w:type="dxa"/>
          <w:right w:w="10" w:type="dxa"/>
        </w:tblCellMar>
        <w:tblLook w:val="04A0" w:firstRow="1" w:lastRow="0" w:firstColumn="1" w:lastColumn="0" w:noHBand="0" w:noVBand="1"/>
      </w:tblPr>
      <w:tblGrid>
        <w:gridCol w:w="3076"/>
        <w:gridCol w:w="3075"/>
        <w:gridCol w:w="3075"/>
      </w:tblGrid>
      <w:tr w:rsidR="006A3BC5" w14:paraId="60D526C0" w14:textId="77777777">
        <w:trPr>
          <w:tblHeader/>
        </w:trPr>
        <w:tc>
          <w:tcPr>
            <w:tcW w:w="3008" w:type="dxa"/>
            <w:shd w:val="clear" w:color="auto" w:fill="ECEFF1"/>
            <w:tcMar>
              <w:left w:w="100" w:type="dxa"/>
              <w:right w:w="100" w:type="dxa"/>
            </w:tcMar>
          </w:tcPr>
          <w:p w14:paraId="7E49446F" w14:textId="77777777" w:rsidR="006A3BC5" w:rsidRDefault="00000000">
            <w:pPr>
              <w:spacing w:before="60" w:after="60" w:line="276" w:lineRule="auto"/>
            </w:pPr>
            <w:r>
              <w:rPr>
                <w:b/>
                <w:sz w:val="18"/>
              </w:rPr>
              <w:t>Iranian Side Executes</w:t>
            </w:r>
          </w:p>
        </w:tc>
        <w:tc>
          <w:tcPr>
            <w:tcW w:w="3008" w:type="dxa"/>
            <w:shd w:val="clear" w:color="auto" w:fill="ECEFF1"/>
            <w:tcMar>
              <w:left w:w="100" w:type="dxa"/>
              <w:right w:w="100" w:type="dxa"/>
            </w:tcMar>
          </w:tcPr>
          <w:p w14:paraId="5BD34837" w14:textId="77777777" w:rsidR="006A3BC5" w:rsidRDefault="00000000">
            <w:pPr>
              <w:spacing w:before="60" w:after="60" w:line="276" w:lineRule="auto"/>
            </w:pPr>
            <w:r>
              <w:rPr>
                <w:b/>
                <w:sz w:val="18"/>
              </w:rPr>
              <w:t>United States and Coalition Side Executes</w:t>
            </w:r>
          </w:p>
        </w:tc>
        <w:tc>
          <w:tcPr>
            <w:tcW w:w="3008" w:type="dxa"/>
            <w:shd w:val="clear" w:color="auto" w:fill="ECEFF1"/>
            <w:tcMar>
              <w:left w:w="100" w:type="dxa"/>
              <w:right w:w="100" w:type="dxa"/>
            </w:tcMar>
          </w:tcPr>
          <w:p w14:paraId="5386436A" w14:textId="77777777" w:rsidR="006A3BC5" w:rsidRDefault="00000000">
            <w:pPr>
              <w:spacing w:before="60" w:after="60" w:line="276" w:lineRule="auto"/>
            </w:pPr>
            <w:r>
              <w:rPr>
                <w:b/>
                <w:sz w:val="18"/>
              </w:rPr>
              <w:t>Verification Channel</w:t>
            </w:r>
          </w:p>
        </w:tc>
      </w:tr>
      <w:tr w:rsidR="006A3BC5" w14:paraId="0D6BCDEE" w14:textId="77777777">
        <w:tc>
          <w:tcPr>
            <w:tcW w:w="3008" w:type="dxa"/>
            <w:tcMar>
              <w:left w:w="100" w:type="dxa"/>
              <w:right w:w="100" w:type="dxa"/>
            </w:tcMar>
          </w:tcPr>
          <w:p w14:paraId="6C3C8D82" w14:textId="77777777" w:rsidR="006A3BC5" w:rsidRDefault="00000000">
            <w:pPr>
              <w:spacing w:before="50" w:after="50" w:line="276" w:lineRule="auto"/>
            </w:pPr>
            <w:r>
              <w:rPr>
                <w:color w:val="546E7A"/>
                <w:sz w:val="18"/>
              </w:rPr>
              <w:t>Iran provides 48-hour advance notice of all naval patrol schedules in the Strait area</w:t>
            </w:r>
          </w:p>
        </w:tc>
        <w:tc>
          <w:tcPr>
            <w:tcW w:w="3008" w:type="dxa"/>
            <w:tcMar>
              <w:left w:w="100" w:type="dxa"/>
              <w:right w:w="100" w:type="dxa"/>
            </w:tcMar>
          </w:tcPr>
          <w:p w14:paraId="6A0D946F" w14:textId="77777777" w:rsidR="006A3BC5" w:rsidRDefault="00000000">
            <w:pPr>
              <w:spacing w:before="50" w:after="50" w:line="276" w:lineRule="auto"/>
            </w:pPr>
            <w:r>
              <w:rPr>
                <w:color w:val="546E7A"/>
                <w:sz w:val="18"/>
              </w:rPr>
              <w:t>The United States provides 48-hour advance notice of all naval transits through the Strait</w:t>
            </w:r>
          </w:p>
        </w:tc>
        <w:tc>
          <w:tcPr>
            <w:tcW w:w="3008" w:type="dxa"/>
            <w:tcMar>
              <w:left w:w="100" w:type="dxa"/>
              <w:right w:w="100" w:type="dxa"/>
            </w:tcMar>
          </w:tcPr>
          <w:p w14:paraId="260448DB" w14:textId="77777777" w:rsidR="006A3BC5" w:rsidRDefault="00000000">
            <w:pPr>
              <w:spacing w:before="50" w:after="50" w:line="276" w:lineRule="auto"/>
            </w:pPr>
            <w:r>
              <w:rPr>
                <w:color w:val="546E7A"/>
                <w:sz w:val="18"/>
              </w:rPr>
              <w:t>The secure digital bulletin board, operated under UN facilitation with Swiss hosting, logs both notice streams in real time</w:t>
            </w:r>
          </w:p>
        </w:tc>
      </w:tr>
      <w:tr w:rsidR="006A3BC5" w14:paraId="434C8509" w14:textId="77777777">
        <w:tc>
          <w:tcPr>
            <w:tcW w:w="3008" w:type="dxa"/>
            <w:tcMar>
              <w:left w:w="100" w:type="dxa"/>
              <w:right w:w="100" w:type="dxa"/>
            </w:tcMar>
          </w:tcPr>
          <w:p w14:paraId="7BC7EB2A" w14:textId="77777777" w:rsidR="006A3BC5" w:rsidRDefault="00000000">
            <w:pPr>
              <w:spacing w:before="50" w:after="50" w:line="276" w:lineRule="auto"/>
            </w:pPr>
            <w:r>
              <w:rPr>
                <w:color w:val="546E7A"/>
                <w:sz w:val="18"/>
              </w:rPr>
              <w:t>The framework architecture excludes GPS spoofing and radio jamming near the shipping lane on the Iranian side</w:t>
            </w:r>
          </w:p>
        </w:tc>
        <w:tc>
          <w:tcPr>
            <w:tcW w:w="3008" w:type="dxa"/>
            <w:tcMar>
              <w:left w:w="100" w:type="dxa"/>
              <w:right w:w="100" w:type="dxa"/>
            </w:tcMar>
          </w:tcPr>
          <w:p w14:paraId="3F95A3F1" w14:textId="77777777" w:rsidR="006A3BC5" w:rsidRDefault="00000000">
            <w:pPr>
              <w:spacing w:before="50" w:after="50" w:line="276" w:lineRule="auto"/>
            </w:pPr>
            <w:r>
              <w:rPr>
                <w:color w:val="546E7A"/>
                <w:sz w:val="18"/>
              </w:rPr>
              <w:t xml:space="preserve">The framework architecture excludes close-in surveillance drone flights over Iranian territorial waters on the United </w:t>
            </w:r>
            <w:r>
              <w:rPr>
                <w:color w:val="546E7A"/>
                <w:sz w:val="18"/>
              </w:rPr>
              <w:lastRenderedPageBreak/>
              <w:t>States side</w:t>
            </w:r>
          </w:p>
        </w:tc>
        <w:tc>
          <w:tcPr>
            <w:tcW w:w="3008" w:type="dxa"/>
            <w:tcMar>
              <w:left w:w="100" w:type="dxa"/>
              <w:right w:w="100" w:type="dxa"/>
            </w:tcMar>
          </w:tcPr>
          <w:p w14:paraId="6ABF2DCA" w14:textId="77777777" w:rsidR="006A3BC5" w:rsidRDefault="00000000">
            <w:pPr>
              <w:spacing w:before="50" w:after="50" w:line="276" w:lineRule="auto"/>
            </w:pPr>
            <w:r>
              <w:rPr>
                <w:color w:val="546E7A"/>
                <w:sz w:val="18"/>
              </w:rPr>
              <w:lastRenderedPageBreak/>
              <w:t xml:space="preserve">Commercial shipping insurers, including the Lloyd's market, report any interference event to the bulletin </w:t>
            </w:r>
            <w:r>
              <w:rPr>
                <w:color w:val="546E7A"/>
                <w:sz w:val="18"/>
              </w:rPr>
              <w:lastRenderedPageBreak/>
              <w:t>board within six hours</w:t>
            </w:r>
          </w:p>
        </w:tc>
      </w:tr>
      <w:tr w:rsidR="006A3BC5" w14:paraId="3F314055" w14:textId="77777777">
        <w:tc>
          <w:tcPr>
            <w:tcW w:w="3008" w:type="dxa"/>
            <w:tcMar>
              <w:left w:w="100" w:type="dxa"/>
              <w:right w:w="100" w:type="dxa"/>
            </w:tcMar>
          </w:tcPr>
          <w:p w14:paraId="69987E43" w14:textId="77777777" w:rsidR="006A3BC5" w:rsidRDefault="00000000">
            <w:pPr>
              <w:spacing w:before="50" w:after="50" w:line="276" w:lineRule="auto"/>
            </w:pPr>
            <w:r>
              <w:rPr>
                <w:color w:val="546E7A"/>
                <w:sz w:val="18"/>
              </w:rPr>
              <w:t>Iran admits one neutral Omani inspector aboard Iranian patrol boats operating in the Strait, in observer status only</w:t>
            </w:r>
          </w:p>
        </w:tc>
        <w:tc>
          <w:tcPr>
            <w:tcW w:w="3008" w:type="dxa"/>
            <w:tcMar>
              <w:left w:w="100" w:type="dxa"/>
              <w:right w:w="100" w:type="dxa"/>
            </w:tcMar>
          </w:tcPr>
          <w:p w14:paraId="1A30C1EF" w14:textId="77777777" w:rsidR="006A3BC5" w:rsidRDefault="00000000">
            <w:pPr>
              <w:spacing w:before="50" w:after="50" w:line="276" w:lineRule="auto"/>
            </w:pPr>
            <w:r>
              <w:rPr>
                <w:color w:val="546E7A"/>
                <w:sz w:val="18"/>
              </w:rPr>
              <w:t>The United States admits one neutral Omani inspector aboard one designated United States destroyer, in observer status only</w:t>
            </w:r>
          </w:p>
        </w:tc>
        <w:tc>
          <w:tcPr>
            <w:tcW w:w="3008" w:type="dxa"/>
            <w:tcMar>
              <w:left w:w="100" w:type="dxa"/>
              <w:right w:w="100" w:type="dxa"/>
            </w:tcMar>
          </w:tcPr>
          <w:p w14:paraId="5B8CAF63" w14:textId="77777777" w:rsidR="006A3BC5" w:rsidRDefault="00000000">
            <w:pPr>
              <w:spacing w:before="50" w:after="50" w:line="276" w:lineRule="auto"/>
            </w:pPr>
            <w:r>
              <w:rPr>
                <w:color w:val="546E7A"/>
                <w:sz w:val="18"/>
              </w:rPr>
              <w:t>The Omani observers file weekly joint reports to both capitals through the bulletin board</w:t>
            </w:r>
          </w:p>
        </w:tc>
      </w:tr>
    </w:tbl>
    <w:p w14:paraId="5F7DCEC6" w14:textId="77777777" w:rsidR="006A3BC5" w:rsidRDefault="00000000">
      <w:pPr>
        <w:pStyle w:val="Heading2"/>
      </w:pPr>
      <w:bookmarkStart w:id="24" w:name="_Toc235569996"/>
      <w:r>
        <w:t>3.3 The Dual-Route Transit Protocol</w:t>
      </w:r>
      <w:bookmarkEnd w:id="24"/>
    </w:p>
    <w:p w14:paraId="78727039" w14:textId="77777777" w:rsidR="006A3BC5" w:rsidRDefault="00000000">
      <w:r>
        <w:t>The July collapse turned on route authority: Tehran prescribed a northern corridor close to its own coast, while Washington promoted a southern corridor along the Omani coast. This Track dissolves the dispute through architecture rather than adjudication. Both routes operate. The bulletin board publishes both corridors as certified transit lanes. Vessels select either lane freely. The Omani Royal Navy monitors both. No authority halts, boards, or diverts a vessel for lane selection, and no fee attaches to either lane during Cycles 1 and 2.</w:t>
      </w:r>
    </w:p>
    <w:p w14:paraId="594822EE" w14:textId="77777777" w:rsidR="006A3BC5" w:rsidRDefault="00000000">
      <w:r>
        <w:t>Within Iranian territorial waters, the existing Iranian operational bodies continue their ordinary maritime functions, and the bulletin board mirrors their notices to mariners alongside Omani and IMO notices. This arrangement confers no international legal status on any body and withholds none. It routes operational reality through a transparent channel so that no vessel ever receives contradictory instructions.</w:t>
      </w:r>
    </w:p>
    <w:p w14:paraId="3F70F7C7" w14:textId="77777777" w:rsidR="006A3BC5" w:rsidRDefault="00000000">
      <w:pPr>
        <w:pStyle w:val="Heading2"/>
      </w:pPr>
      <w:bookmarkStart w:id="25" w:name="_Toc235569997"/>
      <w:r>
        <w:t>3.4 Mine Clearance and Corridor Certification</w:t>
      </w:r>
      <w:bookmarkEnd w:id="25"/>
    </w:p>
    <w:p w14:paraId="6BDE55AC" w14:textId="77777777" w:rsidR="006A3BC5" w:rsidRDefault="00000000">
      <w:r>
        <w:t>A joint survey under the UN Mine Action Service, or another mutually accepted technical body, maps the commercial corridor within Days 1-21 of Cycle 1. Iran declares known hazard locations within 72 hours of Cycle 1 activation. Neutral mine countermeasure assets under Omani coordination clear contacts zone by zone, and the International Maritime Organization issues a Maritime Safety Information broadcast for each certified zone. Insurance markets receive the certification simultaneously, so that war-risk premiums begin normalizing on evidence, not on promises.</w:t>
      </w:r>
    </w:p>
    <w:p w14:paraId="4B899328" w14:textId="77777777" w:rsidR="006A3BC5" w:rsidRDefault="00000000">
      <w:pPr>
        <w:pStyle w:val="Heading2"/>
      </w:pPr>
      <w:bookmarkStart w:id="26" w:name="_Toc235569998"/>
      <w:r>
        <w:t>3.5 Major Incidents and the Auto-Renewal Trigger</w:t>
      </w:r>
      <w:bookmarkEnd w:id="26"/>
    </w:p>
    <w:p w14:paraId="77DF401E" w14:textId="77777777" w:rsidR="006A3BC5" w:rsidRDefault="00000000">
      <w:r>
        <w:t>A major incident means any commercial or naval ship fired upon, or any ship forcibly diverted from its declared course, within the Strait area. If ninety days pass with zero major incidents on the bulletin board record, the Protocol rolls automatically into Cycle 2 and the scope expansion of Article 4 activates. Any major incident triggers the classification ladder of Article 9, never automatic termination. The cycle clock pauses during the resulting investigation and resumes on dashboard certification of the review outcome.</w:t>
      </w:r>
    </w:p>
    <w:p w14:paraId="1DB1A74F" w14:textId="77777777" w:rsidR="006A3BC5" w:rsidRDefault="00000000" w:rsidP="001211AB">
      <w:pPr>
        <w:pStyle w:val="Heading1"/>
      </w:pPr>
      <w:bookmarkStart w:id="27" w:name="_Toc235569999"/>
      <w:r>
        <w:lastRenderedPageBreak/>
        <w:t>Article 4: Cycle 2: Expanded Scope (Days 91-180)</w:t>
      </w:r>
      <w:bookmarkEnd w:id="27"/>
    </w:p>
    <w:p w14:paraId="3787945F" w14:textId="77777777" w:rsidR="006A3BC5" w:rsidRDefault="00000000">
      <w:pPr>
        <w:pStyle w:val="Heading2"/>
      </w:pPr>
      <w:bookmarkStart w:id="28" w:name="_Toc235570000"/>
      <w:r>
        <w:t>4.1 Expansion Logic</w:t>
      </w:r>
      <w:bookmarkEnd w:id="28"/>
    </w:p>
    <w:p w14:paraId="6753D27B" w14:textId="77777777" w:rsidR="006A3BC5" w:rsidRDefault="00000000">
      <w:r>
        <w:t>Cycle 2 runs four parallel tracks alongside the continuing maritime protocol. Each track is a trial run with a hard linkage rule: a verified cheat on any track stops renewal of the entire package at the next boundary, while a clean record lets everything roll. The tracks pair an Iranian gain with a United States gain of matching political weight, so that each side defends the cycle at home as a balanced exchange.</w:t>
      </w:r>
    </w:p>
    <w:p w14:paraId="15BEADF3" w14:textId="77777777" w:rsidR="006A3BC5" w:rsidRDefault="00000000">
      <w:pPr>
        <w:pStyle w:val="Heading2"/>
      </w:pPr>
      <w:bookmarkStart w:id="29" w:name="_Toc235570001"/>
      <w:r>
        <w:t>4.2 Track A: The Service Fee Deferral and the Qatari Escrow</w:t>
      </w:r>
      <w:bookmarkEnd w:id="29"/>
    </w:p>
    <w:p w14:paraId="4F240105" w14:textId="77777777" w:rsidR="006A3BC5" w:rsidRDefault="00000000">
      <w:r>
        <w:t>Iran levies a nominal administrative service fee on transiting tankers, calibrated to the actual cost of documented maritime services at pre-approved unit rates. The fees flow into an escrow account administered by the State of Qatar, not to any Iranian account. The escrow holds the funds through Cycle 2 and releases them only under the Cycle 3 conditions of Article 5.4. No vessel faces delay, denial, or inspection over non-payment; invoicing runs quarterly through the escrow administrator, and binding audit resolves any dispute. The architecture delivers value for verified work without a toll on passage: the fee compensates services, and passage itself stays free.</w:t>
      </w:r>
    </w:p>
    <w:p w14:paraId="3347EA12" w14:textId="77777777" w:rsidR="006A3BC5" w:rsidRDefault="00000000">
      <w:pPr>
        <w:pStyle w:val="Heading2"/>
      </w:pPr>
      <w:bookmarkStart w:id="30" w:name="_Toc235570002"/>
      <w:r>
        <w:t>4.3 Track B: The Nuclear Transparency Trial</w:t>
      </w:r>
      <w:bookmarkEnd w:id="30"/>
    </w:p>
    <w:p w14:paraId="68EB726D" w14:textId="77777777" w:rsidR="006A3BC5" w:rsidRDefault="00000000">
      <w:r>
        <w:t>Iran grants the IAEA installation of continuous monitoring cameras at two enrichment facilities, with data streaming to Vienna and mirrored to the shared dashboard. The physical housing of the data remains in IAEA custody in Vienna; the United States receives the live feed, not the facility. The trial runs for the full cycle. Clean camera telemetry for ninety days satisfies the Cycle 2 graduation condition for the nuclear track.</w:t>
      </w:r>
    </w:p>
    <w:p w14:paraId="2B91C126" w14:textId="77777777" w:rsidR="006A3BC5" w:rsidRDefault="00000000">
      <w:pPr>
        <w:pStyle w:val="Heading2"/>
      </w:pPr>
      <w:bookmarkStart w:id="31" w:name="_Toc235570003"/>
      <w:r>
        <w:t>4.4 Track C: The Sanctions Easing Trial</w:t>
      </w:r>
      <w:bookmarkEnd w:id="31"/>
    </w:p>
    <w:p w14:paraId="11ABAAD2" w14:textId="77777777" w:rsidR="006A3BC5" w:rsidRDefault="00000000">
      <w:r>
        <w:t>The United States grants a 120-day waiver permitting Iranian oil sales to three specific Asian buyers, namely China, India, and Japan, at prevailing market rates, with revenue routed through the escrow architecture of Article 6 rather than through direct transfers. All other sanctions remain in force. The waiver expires automatically at Day 120 unless the Track renews, and it reissues with each renewal on identical terms.</w:t>
      </w:r>
    </w:p>
    <w:p w14:paraId="01C4EFDE" w14:textId="77777777" w:rsidR="006A3BC5" w:rsidRDefault="00000000">
      <w:pPr>
        <w:pStyle w:val="Heading2"/>
      </w:pPr>
      <w:bookmarkStart w:id="32" w:name="_Toc235570004"/>
      <w:r>
        <w:t>4.5 Track D: The Proxy Pause</w:t>
      </w:r>
      <w:bookmarkEnd w:id="32"/>
    </w:p>
    <w:p w14:paraId="7B32C640" w14:textId="77777777" w:rsidR="006A3BC5" w:rsidRDefault="00000000">
      <w:r>
        <w:t xml:space="preserve">Iran issues a public call for a 120-day halt to missile and drone attacks on Saudi-bound and Gulf shipping by Yemeni-aligned forces, transmitted through the established back-channel linkage to the Strait file. The call carries no admission of command and no legal responsibility for any non-state actor; it functions as a confidence measure, nothing more. Satellite imagery, third-party shipping logs, and insurer incident </w:t>
      </w:r>
      <w:r>
        <w:lastRenderedPageBreak/>
        <w:t>reports verify the pause. Any attack during the window triggers the classification ladder of Article 9, with the false-flag screen applied first.</w:t>
      </w:r>
    </w:p>
    <w:p w14:paraId="65EC84B4" w14:textId="77777777" w:rsidR="006A3BC5" w:rsidRDefault="00000000">
      <w:pPr>
        <w:pStyle w:val="Caption"/>
        <w:keepNext/>
      </w:pPr>
      <w:r>
        <w:rPr>
          <w:b/>
        </w:rPr>
        <w:t>Table 4: Cycle 2 parallel tracks</w:t>
      </w:r>
    </w:p>
    <w:tbl>
      <w:tblPr>
        <w:tblW w:w="5000" w:type="pct"/>
        <w:tblInd w:w="100" w:type="dxa"/>
        <w:tblBorders>
          <w:top w:val="single" w:sz="12" w:space="0" w:color="37474F"/>
          <w:bottom w:val="single" w:sz="12" w:space="0" w:color="37474F"/>
          <w:insideH w:val="single" w:sz="4" w:space="0" w:color="CDD6DB"/>
          <w:insideV w:val="single" w:sz="4" w:space="0" w:color="CDD6DB"/>
        </w:tblBorders>
        <w:tblCellMar>
          <w:left w:w="10" w:type="dxa"/>
          <w:right w:w="10" w:type="dxa"/>
        </w:tblCellMar>
        <w:tblLook w:val="04A0" w:firstRow="1" w:lastRow="0" w:firstColumn="1" w:lastColumn="0" w:noHBand="0" w:noVBand="1"/>
      </w:tblPr>
      <w:tblGrid>
        <w:gridCol w:w="2306"/>
        <w:gridCol w:w="2306"/>
        <w:gridCol w:w="2307"/>
        <w:gridCol w:w="2307"/>
      </w:tblGrid>
      <w:tr w:rsidR="006A3BC5" w14:paraId="33105A9D" w14:textId="77777777">
        <w:trPr>
          <w:tblHeader/>
        </w:trPr>
        <w:tc>
          <w:tcPr>
            <w:tcW w:w="2256" w:type="dxa"/>
            <w:shd w:val="clear" w:color="auto" w:fill="ECEFF1"/>
            <w:tcMar>
              <w:left w:w="100" w:type="dxa"/>
              <w:right w:w="100" w:type="dxa"/>
            </w:tcMar>
          </w:tcPr>
          <w:p w14:paraId="3DABDD1C" w14:textId="77777777" w:rsidR="006A3BC5" w:rsidRDefault="00000000">
            <w:pPr>
              <w:spacing w:before="60" w:after="60" w:line="276" w:lineRule="auto"/>
            </w:pPr>
            <w:r>
              <w:rPr>
                <w:b/>
                <w:sz w:val="18"/>
              </w:rPr>
              <w:t>Track</w:t>
            </w:r>
          </w:p>
        </w:tc>
        <w:tc>
          <w:tcPr>
            <w:tcW w:w="2256" w:type="dxa"/>
            <w:shd w:val="clear" w:color="auto" w:fill="ECEFF1"/>
            <w:tcMar>
              <w:left w:w="100" w:type="dxa"/>
              <w:right w:w="100" w:type="dxa"/>
            </w:tcMar>
          </w:tcPr>
          <w:p w14:paraId="054E4E59" w14:textId="77777777" w:rsidR="006A3BC5" w:rsidRDefault="00000000">
            <w:pPr>
              <w:spacing w:before="60" w:after="60" w:line="276" w:lineRule="auto"/>
            </w:pPr>
            <w:r>
              <w:rPr>
                <w:b/>
                <w:sz w:val="18"/>
              </w:rPr>
              <w:t>Iranian Side Executes</w:t>
            </w:r>
          </w:p>
        </w:tc>
        <w:tc>
          <w:tcPr>
            <w:tcW w:w="2256" w:type="dxa"/>
            <w:shd w:val="clear" w:color="auto" w:fill="ECEFF1"/>
            <w:tcMar>
              <w:left w:w="100" w:type="dxa"/>
              <w:right w:w="100" w:type="dxa"/>
            </w:tcMar>
          </w:tcPr>
          <w:p w14:paraId="28205146" w14:textId="77777777" w:rsidR="006A3BC5" w:rsidRDefault="00000000">
            <w:pPr>
              <w:spacing w:before="60" w:after="60" w:line="276" w:lineRule="auto"/>
            </w:pPr>
            <w:r>
              <w:rPr>
                <w:b/>
                <w:sz w:val="18"/>
              </w:rPr>
              <w:t>United States Side Executes</w:t>
            </w:r>
          </w:p>
        </w:tc>
        <w:tc>
          <w:tcPr>
            <w:tcW w:w="2256" w:type="dxa"/>
            <w:shd w:val="clear" w:color="auto" w:fill="ECEFF1"/>
            <w:tcMar>
              <w:left w:w="100" w:type="dxa"/>
              <w:right w:w="100" w:type="dxa"/>
            </w:tcMar>
          </w:tcPr>
          <w:p w14:paraId="7ADAB2F5" w14:textId="77777777" w:rsidR="006A3BC5" w:rsidRDefault="00000000">
            <w:pPr>
              <w:spacing w:before="60" w:after="60" w:line="276" w:lineRule="auto"/>
            </w:pPr>
            <w:r>
              <w:rPr>
                <w:b/>
                <w:sz w:val="18"/>
              </w:rPr>
              <w:t>Mechanism and Verification</w:t>
            </w:r>
          </w:p>
        </w:tc>
      </w:tr>
      <w:tr w:rsidR="006A3BC5" w14:paraId="5568B6AC" w14:textId="77777777">
        <w:tc>
          <w:tcPr>
            <w:tcW w:w="2256" w:type="dxa"/>
            <w:tcMar>
              <w:left w:w="100" w:type="dxa"/>
              <w:right w:w="100" w:type="dxa"/>
            </w:tcMar>
          </w:tcPr>
          <w:p w14:paraId="15710B62" w14:textId="77777777" w:rsidR="006A3BC5" w:rsidRDefault="00000000">
            <w:pPr>
              <w:spacing w:before="50" w:after="50" w:line="276" w:lineRule="auto"/>
            </w:pPr>
            <w:r>
              <w:rPr>
                <w:color w:val="546E7A"/>
                <w:sz w:val="18"/>
              </w:rPr>
              <w:t>A: Service fee deferral</w:t>
            </w:r>
          </w:p>
        </w:tc>
        <w:tc>
          <w:tcPr>
            <w:tcW w:w="2256" w:type="dxa"/>
            <w:tcMar>
              <w:left w:w="100" w:type="dxa"/>
              <w:right w:w="100" w:type="dxa"/>
            </w:tcMar>
          </w:tcPr>
          <w:p w14:paraId="2CCE79FB" w14:textId="77777777" w:rsidR="006A3BC5" w:rsidRDefault="00000000">
            <w:pPr>
              <w:spacing w:before="50" w:after="50" w:line="276" w:lineRule="auto"/>
            </w:pPr>
            <w:r>
              <w:rPr>
                <w:color w:val="546E7A"/>
                <w:sz w:val="18"/>
              </w:rPr>
              <w:t>Levies a nominal service fee on tankers at pre-approved rates</w:t>
            </w:r>
          </w:p>
        </w:tc>
        <w:tc>
          <w:tcPr>
            <w:tcW w:w="2256" w:type="dxa"/>
            <w:tcMar>
              <w:left w:w="100" w:type="dxa"/>
              <w:right w:w="100" w:type="dxa"/>
            </w:tcMar>
          </w:tcPr>
          <w:p w14:paraId="082A61B0" w14:textId="77777777" w:rsidR="006A3BC5" w:rsidRDefault="00000000">
            <w:pPr>
              <w:spacing w:before="50" w:after="50" w:line="276" w:lineRule="auto"/>
            </w:pPr>
            <w:r>
              <w:rPr>
                <w:color w:val="546E7A"/>
                <w:sz w:val="18"/>
              </w:rPr>
              <w:t>Accepts fee administration without transit interference</w:t>
            </w:r>
          </w:p>
        </w:tc>
        <w:tc>
          <w:tcPr>
            <w:tcW w:w="2256" w:type="dxa"/>
            <w:tcMar>
              <w:left w:w="100" w:type="dxa"/>
              <w:right w:w="100" w:type="dxa"/>
            </w:tcMar>
          </w:tcPr>
          <w:p w14:paraId="5CF245B2" w14:textId="77777777" w:rsidR="006A3BC5" w:rsidRDefault="00000000">
            <w:pPr>
              <w:spacing w:before="50" w:after="50" w:line="276" w:lineRule="auto"/>
            </w:pPr>
            <w:r>
              <w:rPr>
                <w:color w:val="546E7A"/>
                <w:sz w:val="18"/>
              </w:rPr>
              <w:t>Qatari escrow collects and holds; quarterly invoicing; binding audit; release deferred to Cycle 3</w:t>
            </w:r>
          </w:p>
        </w:tc>
      </w:tr>
      <w:tr w:rsidR="006A3BC5" w14:paraId="1F4DAC96" w14:textId="77777777">
        <w:tc>
          <w:tcPr>
            <w:tcW w:w="2256" w:type="dxa"/>
            <w:tcMar>
              <w:left w:w="100" w:type="dxa"/>
              <w:right w:w="100" w:type="dxa"/>
            </w:tcMar>
          </w:tcPr>
          <w:p w14:paraId="2D34CBBD" w14:textId="77777777" w:rsidR="006A3BC5" w:rsidRDefault="00000000">
            <w:pPr>
              <w:spacing w:before="50" w:after="50" w:line="276" w:lineRule="auto"/>
            </w:pPr>
            <w:r>
              <w:rPr>
                <w:color w:val="546E7A"/>
                <w:sz w:val="18"/>
              </w:rPr>
              <w:t>B: Nuclear transparency</w:t>
            </w:r>
          </w:p>
        </w:tc>
        <w:tc>
          <w:tcPr>
            <w:tcW w:w="2256" w:type="dxa"/>
            <w:tcMar>
              <w:left w:w="100" w:type="dxa"/>
              <w:right w:w="100" w:type="dxa"/>
            </w:tcMar>
          </w:tcPr>
          <w:p w14:paraId="5D78D0AC" w14:textId="77777777" w:rsidR="006A3BC5" w:rsidRDefault="00000000">
            <w:pPr>
              <w:spacing w:before="50" w:after="50" w:line="276" w:lineRule="auto"/>
            </w:pPr>
            <w:r>
              <w:rPr>
                <w:color w:val="546E7A"/>
                <w:sz w:val="18"/>
              </w:rPr>
              <w:t>Grants IAEA continuous cameras at two enrichment facilities</w:t>
            </w:r>
          </w:p>
        </w:tc>
        <w:tc>
          <w:tcPr>
            <w:tcW w:w="2256" w:type="dxa"/>
            <w:tcMar>
              <w:left w:w="100" w:type="dxa"/>
              <w:right w:w="100" w:type="dxa"/>
            </w:tcMar>
          </w:tcPr>
          <w:p w14:paraId="7EEA4D78" w14:textId="77777777" w:rsidR="006A3BC5" w:rsidRDefault="00000000">
            <w:pPr>
              <w:spacing w:before="50" w:after="50" w:line="276" w:lineRule="auto"/>
            </w:pPr>
            <w:r>
              <w:rPr>
                <w:color w:val="546E7A"/>
                <w:sz w:val="18"/>
              </w:rPr>
              <w:t>Receives the mirrored live feed via the dashboard</w:t>
            </w:r>
          </w:p>
        </w:tc>
        <w:tc>
          <w:tcPr>
            <w:tcW w:w="2256" w:type="dxa"/>
            <w:tcMar>
              <w:left w:w="100" w:type="dxa"/>
              <w:right w:w="100" w:type="dxa"/>
            </w:tcMar>
          </w:tcPr>
          <w:p w14:paraId="7DAADF83" w14:textId="77777777" w:rsidR="006A3BC5" w:rsidRDefault="00000000">
            <w:pPr>
              <w:spacing w:before="50" w:after="50" w:line="276" w:lineRule="auto"/>
            </w:pPr>
            <w:r>
              <w:rPr>
                <w:color w:val="546E7A"/>
                <w:sz w:val="18"/>
              </w:rPr>
              <w:t>Data housed in Vienna under IAEA custody; feed mirrored in real time</w:t>
            </w:r>
          </w:p>
        </w:tc>
      </w:tr>
      <w:tr w:rsidR="006A3BC5" w14:paraId="5DDB16DF" w14:textId="77777777">
        <w:tc>
          <w:tcPr>
            <w:tcW w:w="2256" w:type="dxa"/>
            <w:tcMar>
              <w:left w:w="100" w:type="dxa"/>
              <w:right w:w="100" w:type="dxa"/>
            </w:tcMar>
          </w:tcPr>
          <w:p w14:paraId="01E2C40C" w14:textId="77777777" w:rsidR="006A3BC5" w:rsidRDefault="00000000">
            <w:pPr>
              <w:spacing w:before="50" w:after="50" w:line="276" w:lineRule="auto"/>
            </w:pPr>
            <w:r>
              <w:rPr>
                <w:color w:val="546E7A"/>
                <w:sz w:val="18"/>
              </w:rPr>
              <w:t>C: Sanctions easing</w:t>
            </w:r>
          </w:p>
        </w:tc>
        <w:tc>
          <w:tcPr>
            <w:tcW w:w="2256" w:type="dxa"/>
            <w:tcMar>
              <w:left w:w="100" w:type="dxa"/>
              <w:right w:w="100" w:type="dxa"/>
            </w:tcMar>
          </w:tcPr>
          <w:p w14:paraId="7387B3C2" w14:textId="77777777" w:rsidR="006A3BC5" w:rsidRDefault="00000000">
            <w:pPr>
              <w:spacing w:before="50" w:after="50" w:line="276" w:lineRule="auto"/>
            </w:pPr>
            <w:r>
              <w:rPr>
                <w:color w:val="546E7A"/>
                <w:sz w:val="18"/>
              </w:rPr>
              <w:t>Routes oil revenue through the escrow architecture</w:t>
            </w:r>
          </w:p>
        </w:tc>
        <w:tc>
          <w:tcPr>
            <w:tcW w:w="2256" w:type="dxa"/>
            <w:tcMar>
              <w:left w:w="100" w:type="dxa"/>
              <w:right w:w="100" w:type="dxa"/>
            </w:tcMar>
          </w:tcPr>
          <w:p w14:paraId="38080A8C" w14:textId="77777777" w:rsidR="006A3BC5" w:rsidRDefault="00000000">
            <w:pPr>
              <w:spacing w:before="50" w:after="50" w:line="276" w:lineRule="auto"/>
            </w:pPr>
            <w:r>
              <w:rPr>
                <w:color w:val="546E7A"/>
                <w:sz w:val="18"/>
              </w:rPr>
              <w:t>Grants a 120-day oil waiver for China, India, and Japan at market rates</w:t>
            </w:r>
          </w:p>
        </w:tc>
        <w:tc>
          <w:tcPr>
            <w:tcW w:w="2256" w:type="dxa"/>
            <w:tcMar>
              <w:left w:w="100" w:type="dxa"/>
              <w:right w:w="100" w:type="dxa"/>
            </w:tcMar>
          </w:tcPr>
          <w:p w14:paraId="27896B03" w14:textId="77777777" w:rsidR="006A3BC5" w:rsidRDefault="00000000">
            <w:pPr>
              <w:spacing w:before="50" w:after="50" w:line="276" w:lineRule="auto"/>
            </w:pPr>
            <w:r>
              <w:rPr>
                <w:color w:val="546E7A"/>
                <w:sz w:val="18"/>
              </w:rPr>
              <w:t>Escrow transaction records; waiver auto-expires at Day 120 absent renewal</w:t>
            </w:r>
          </w:p>
        </w:tc>
      </w:tr>
      <w:tr w:rsidR="006A3BC5" w14:paraId="070AF7A2" w14:textId="77777777">
        <w:tc>
          <w:tcPr>
            <w:tcW w:w="2256" w:type="dxa"/>
            <w:tcMar>
              <w:left w:w="100" w:type="dxa"/>
              <w:right w:w="100" w:type="dxa"/>
            </w:tcMar>
          </w:tcPr>
          <w:p w14:paraId="39095F79" w14:textId="77777777" w:rsidR="006A3BC5" w:rsidRDefault="00000000">
            <w:pPr>
              <w:spacing w:before="50" w:after="50" w:line="276" w:lineRule="auto"/>
            </w:pPr>
            <w:r>
              <w:rPr>
                <w:color w:val="546E7A"/>
                <w:sz w:val="18"/>
              </w:rPr>
              <w:t>D: Proxy pause</w:t>
            </w:r>
          </w:p>
        </w:tc>
        <w:tc>
          <w:tcPr>
            <w:tcW w:w="2256" w:type="dxa"/>
            <w:tcMar>
              <w:left w:w="100" w:type="dxa"/>
              <w:right w:w="100" w:type="dxa"/>
            </w:tcMar>
          </w:tcPr>
          <w:p w14:paraId="37A08577" w14:textId="77777777" w:rsidR="006A3BC5" w:rsidRDefault="00000000">
            <w:pPr>
              <w:spacing w:before="50" w:after="50" w:line="276" w:lineRule="auto"/>
            </w:pPr>
            <w:r>
              <w:rPr>
                <w:color w:val="546E7A"/>
                <w:sz w:val="18"/>
              </w:rPr>
              <w:t>Issues a public call for a 120-day halt to attacks on Gulf shipping</w:t>
            </w:r>
          </w:p>
        </w:tc>
        <w:tc>
          <w:tcPr>
            <w:tcW w:w="2256" w:type="dxa"/>
            <w:tcMar>
              <w:left w:w="100" w:type="dxa"/>
              <w:right w:w="100" w:type="dxa"/>
            </w:tcMar>
          </w:tcPr>
          <w:p w14:paraId="242CFE46" w14:textId="77777777" w:rsidR="006A3BC5" w:rsidRDefault="00000000">
            <w:pPr>
              <w:spacing w:before="50" w:after="50" w:line="276" w:lineRule="auto"/>
            </w:pPr>
            <w:r>
              <w:rPr>
                <w:color w:val="546E7A"/>
                <w:sz w:val="18"/>
              </w:rPr>
              <w:t>Treats the pause as satisfying the regional confidence condition</w:t>
            </w:r>
          </w:p>
        </w:tc>
        <w:tc>
          <w:tcPr>
            <w:tcW w:w="2256" w:type="dxa"/>
            <w:tcMar>
              <w:left w:w="100" w:type="dxa"/>
              <w:right w:w="100" w:type="dxa"/>
            </w:tcMar>
          </w:tcPr>
          <w:p w14:paraId="6D238750" w14:textId="77777777" w:rsidR="006A3BC5" w:rsidRDefault="00000000">
            <w:pPr>
              <w:spacing w:before="50" w:after="50" w:line="276" w:lineRule="auto"/>
            </w:pPr>
            <w:r>
              <w:rPr>
                <w:color w:val="546E7A"/>
                <w:sz w:val="18"/>
              </w:rPr>
              <w:t>Satellite imagery, shipping logs, and insurer reports verify; false-flag screen applies</w:t>
            </w:r>
          </w:p>
        </w:tc>
      </w:tr>
    </w:tbl>
    <w:p w14:paraId="4ACAC729" w14:textId="77777777" w:rsidR="006A3BC5" w:rsidRDefault="00000000">
      <w:pPr>
        <w:pStyle w:val="Heading2"/>
      </w:pPr>
      <w:bookmarkStart w:id="33" w:name="_Toc235570005"/>
      <w:r>
        <w:t>4.6 Rolling Horizon Adjustment</w:t>
      </w:r>
      <w:bookmarkEnd w:id="33"/>
    </w:p>
    <w:p w14:paraId="60474A68" w14:textId="77777777" w:rsidR="006A3BC5" w:rsidRDefault="00000000">
      <w:r>
        <w:t>With Cycle 2, the withdrawal notice period shortens from sixty days to forty-five days, and the exit bar rises: withdrawal during this cycle takes effect only after both technical committees issue a joint finding of material breach, or after the full notice period elapses with the dispute unresolved. Either path preserves the cooling window of Article 1.3. The adjustment signals growing confidence in both directions at once: harder to leave, easier to stay.</w:t>
      </w:r>
    </w:p>
    <w:p w14:paraId="1AAEB1EF" w14:textId="77777777" w:rsidR="006A3BC5" w:rsidRDefault="00000000" w:rsidP="0045325F">
      <w:pPr>
        <w:pStyle w:val="Heading1"/>
      </w:pPr>
      <w:bookmarkStart w:id="34" w:name="_Toc235570006"/>
      <w:r>
        <w:t>Article 5: Cycle 3: The Nuclear Bridge (Days 181-270)</w:t>
      </w:r>
      <w:bookmarkEnd w:id="34"/>
    </w:p>
    <w:p w14:paraId="1EFAF680" w14:textId="77777777" w:rsidR="006A3BC5" w:rsidRDefault="00000000">
      <w:pPr>
        <w:pStyle w:val="Heading2"/>
      </w:pPr>
      <w:bookmarkStart w:id="35" w:name="_Toc235570007"/>
      <w:r>
        <w:t>5.1 The Core Problem</w:t>
      </w:r>
      <w:bookmarkEnd w:id="35"/>
    </w:p>
    <w:p w14:paraId="1CCF5E19" w14:textId="77777777" w:rsidR="006A3BC5" w:rsidRDefault="00000000">
      <w:r>
        <w:t>The United States demands the turnover of highly enriched nuclear material as the fundamental requirement of any final agreement. Iran holds, as a sovereign position confirmed at the highest level, that its enriched material stays under Iranian legal title and inside Iranian territory. A one-time turnover satisfies the first position and violates the second; indefinite retention does the reverse. This Article bridges the two positions by converting the demand from a question of possession into a question of usability and control, executed in rolling conditions rather than a single irreversible act.</w:t>
      </w:r>
    </w:p>
    <w:p w14:paraId="5A59B780" w14:textId="77777777" w:rsidR="006A3BC5" w:rsidRDefault="00000000">
      <w:pPr>
        <w:pStyle w:val="Heading2"/>
      </w:pPr>
      <w:bookmarkStart w:id="36" w:name="_Toc235570008"/>
      <w:r>
        <w:lastRenderedPageBreak/>
        <w:t>5.2 The Down-Blend and Joint Seal Solution</w:t>
      </w:r>
      <w:bookmarkEnd w:id="36"/>
    </w:p>
    <w:p w14:paraId="3EE1A236" w14:textId="77777777" w:rsidR="006A3BC5" w:rsidRDefault="00000000">
      <w:r>
        <w:t>Iran down-blends fifty percent of its uranium stockpile enriched to sixty percent, reducing it to no more than 19.75 percent U-235, within 180 days of Cycle 3 activation, under joint camera supervision with continuous IAEA presence. The down-blend proceeds at a certified average rate consistent with the operational capacity of the designated facilities; the IAEA Technical Cell confirms the rate within thirty days of Cycle 3 activation and reviews it at each cycle boundary.</w:t>
      </w:r>
    </w:p>
    <w:p w14:paraId="7118BCFE" w14:textId="77777777" w:rsidR="006A3BC5" w:rsidRDefault="00000000">
      <w:r>
        <w:t>The remaining fifty percent moves into a jointly sealed storage area at the Natanz site. Mixed teams of IAEA inspectors and Iranian technicians apply the seals, and the same mixed composition replaces the seals every ninety days at each cycle boundary. The expert members of the seal teams are IAEA-designated experts, drawn from nationals of any IAEA member state and seconded to Vienna for this purpose. The IAEA Director General consults both Parties on the roster, and the roster undergoes review at each cycle boundary. The Central Bank of Iran retains full sovereign legal title to the material at all times. The material never enters United States custody and never leaves Iranian soil. The IAEA holds the monitoring role; the seal teams hold the physical control role; neither Party holds unilateral access. The experts wear IAEA vests and report to Vienna first.</w:t>
      </w:r>
    </w:p>
    <w:p w14:paraId="5D175222" w14:textId="77777777" w:rsidR="006A3BC5" w:rsidRDefault="00000000">
      <w:pPr>
        <w:pStyle w:val="Heading2"/>
      </w:pPr>
      <w:bookmarkStart w:id="37" w:name="_Toc235570009"/>
      <w:r>
        <w:t>5.3 The Rolling Condition</w:t>
      </w:r>
      <w:bookmarkEnd w:id="37"/>
    </w:p>
    <w:p w14:paraId="62B6D7EA" w14:textId="77777777" w:rsidR="006A3BC5" w:rsidRDefault="00000000">
      <w:r>
        <w:t>The seal arrangement is a rolling condition, not a final surrender. At each cycle boundary, the mixed teams recertify the seals, and the dashboard publishes the recertification. If the United States withdraws from the Track, the seal regime ends and Iran regains full unilateral access to the storage area. If Iran withdraws, the United States invokes the forty-five-day notice ladder and the sanctions measures of the pre-Track posture return on the schedule of Article 10.4. Both consequences are symmetric in logic: custody follows continuation, and access follows exit.</w:t>
      </w:r>
    </w:p>
    <w:p w14:paraId="1B8605A0" w14:textId="77777777" w:rsidR="006A3BC5" w:rsidRDefault="00000000">
      <w:pPr>
        <w:pStyle w:val="Heading2"/>
      </w:pPr>
      <w:bookmarkStart w:id="38" w:name="_Toc235570010"/>
      <w:r>
        <w:t>5.4 The Parallel Gains</w:t>
      </w:r>
      <w:bookmarkEnd w:id="38"/>
    </w:p>
    <w:p w14:paraId="7F9287E3" w14:textId="77777777" w:rsidR="006A3BC5" w:rsidRDefault="00000000">
      <w:r>
        <w:t>Two reciprocal gains activate with Cycle 3. First, the Qatari escrow of Cycle 2 releases to the Central Bank of Iran under a restricted humanitarian designation: the funds purchase medicines and food only, through the Swiss humanitarian channel, with full transaction traceability. Second, Iran delivers a one-time transfer of centrifuge performance logs covering the preceding twelve months, giving the IAEA and the United States a technical baseline against which any future breakout attempt becomes immediately visible.</w:t>
      </w:r>
    </w:p>
    <w:p w14:paraId="33741B95" w14:textId="77777777" w:rsidR="006A3BC5" w:rsidRDefault="00000000">
      <w:pPr>
        <w:pStyle w:val="Caption"/>
        <w:keepNext/>
      </w:pPr>
      <w:r>
        <w:rPr>
          <w:b/>
        </w:rPr>
        <w:t>Table 5: Cycle 3 nuclear bridge elements</w:t>
      </w:r>
    </w:p>
    <w:tbl>
      <w:tblPr>
        <w:tblW w:w="5000" w:type="pct"/>
        <w:tblInd w:w="100" w:type="dxa"/>
        <w:tblBorders>
          <w:top w:val="single" w:sz="12" w:space="0" w:color="37474F"/>
          <w:bottom w:val="single" w:sz="12" w:space="0" w:color="37474F"/>
          <w:insideH w:val="single" w:sz="4" w:space="0" w:color="CDD6DB"/>
          <w:insideV w:val="single" w:sz="4" w:space="0" w:color="CDD6DB"/>
        </w:tblBorders>
        <w:tblCellMar>
          <w:left w:w="10" w:type="dxa"/>
          <w:right w:w="10" w:type="dxa"/>
        </w:tblCellMar>
        <w:tblLook w:val="04A0" w:firstRow="1" w:lastRow="0" w:firstColumn="1" w:lastColumn="0" w:noHBand="0" w:noVBand="1"/>
      </w:tblPr>
      <w:tblGrid>
        <w:gridCol w:w="2306"/>
        <w:gridCol w:w="2306"/>
        <w:gridCol w:w="2307"/>
        <w:gridCol w:w="2307"/>
      </w:tblGrid>
      <w:tr w:rsidR="006A3BC5" w14:paraId="5152270C" w14:textId="77777777">
        <w:trPr>
          <w:tblHeader/>
        </w:trPr>
        <w:tc>
          <w:tcPr>
            <w:tcW w:w="2256" w:type="dxa"/>
            <w:shd w:val="clear" w:color="auto" w:fill="ECEFF1"/>
            <w:tcMar>
              <w:left w:w="100" w:type="dxa"/>
              <w:right w:w="100" w:type="dxa"/>
            </w:tcMar>
          </w:tcPr>
          <w:p w14:paraId="0852F062" w14:textId="77777777" w:rsidR="006A3BC5" w:rsidRDefault="00000000">
            <w:pPr>
              <w:spacing w:before="60" w:after="60" w:line="276" w:lineRule="auto"/>
            </w:pPr>
            <w:r>
              <w:rPr>
                <w:b/>
                <w:sz w:val="18"/>
              </w:rPr>
              <w:t>Element</w:t>
            </w:r>
          </w:p>
        </w:tc>
        <w:tc>
          <w:tcPr>
            <w:tcW w:w="2256" w:type="dxa"/>
            <w:shd w:val="clear" w:color="auto" w:fill="ECEFF1"/>
            <w:tcMar>
              <w:left w:w="100" w:type="dxa"/>
              <w:right w:w="100" w:type="dxa"/>
            </w:tcMar>
          </w:tcPr>
          <w:p w14:paraId="70DC9D7D" w14:textId="77777777" w:rsidR="006A3BC5" w:rsidRDefault="00000000">
            <w:pPr>
              <w:spacing w:before="60" w:after="60" w:line="276" w:lineRule="auto"/>
            </w:pPr>
            <w:r>
              <w:rPr>
                <w:b/>
                <w:sz w:val="18"/>
              </w:rPr>
              <w:t>Iranian Side Executes</w:t>
            </w:r>
          </w:p>
        </w:tc>
        <w:tc>
          <w:tcPr>
            <w:tcW w:w="2256" w:type="dxa"/>
            <w:shd w:val="clear" w:color="auto" w:fill="ECEFF1"/>
            <w:tcMar>
              <w:left w:w="100" w:type="dxa"/>
              <w:right w:w="100" w:type="dxa"/>
            </w:tcMar>
          </w:tcPr>
          <w:p w14:paraId="5A92C5F6" w14:textId="77777777" w:rsidR="006A3BC5" w:rsidRDefault="00000000">
            <w:pPr>
              <w:spacing w:before="60" w:after="60" w:line="276" w:lineRule="auto"/>
            </w:pPr>
            <w:r>
              <w:rPr>
                <w:b/>
                <w:sz w:val="18"/>
              </w:rPr>
              <w:t>United States Side Executes</w:t>
            </w:r>
          </w:p>
        </w:tc>
        <w:tc>
          <w:tcPr>
            <w:tcW w:w="2256" w:type="dxa"/>
            <w:shd w:val="clear" w:color="auto" w:fill="ECEFF1"/>
            <w:tcMar>
              <w:left w:w="100" w:type="dxa"/>
              <w:right w:w="100" w:type="dxa"/>
            </w:tcMar>
          </w:tcPr>
          <w:p w14:paraId="4BC14A74" w14:textId="77777777" w:rsidR="006A3BC5" w:rsidRDefault="00000000">
            <w:pPr>
              <w:spacing w:before="60" w:after="60" w:line="276" w:lineRule="auto"/>
            </w:pPr>
            <w:r>
              <w:rPr>
                <w:b/>
                <w:sz w:val="18"/>
              </w:rPr>
              <w:t>Verification</w:t>
            </w:r>
          </w:p>
        </w:tc>
      </w:tr>
      <w:tr w:rsidR="006A3BC5" w14:paraId="4855AA0E" w14:textId="77777777">
        <w:tc>
          <w:tcPr>
            <w:tcW w:w="2256" w:type="dxa"/>
            <w:tcMar>
              <w:left w:w="100" w:type="dxa"/>
              <w:right w:w="100" w:type="dxa"/>
            </w:tcMar>
          </w:tcPr>
          <w:p w14:paraId="57B0C835" w14:textId="77777777" w:rsidR="006A3BC5" w:rsidRDefault="00000000">
            <w:pPr>
              <w:spacing w:before="50" w:after="50" w:line="276" w:lineRule="auto"/>
            </w:pPr>
            <w:r>
              <w:rPr>
                <w:color w:val="546E7A"/>
                <w:sz w:val="18"/>
              </w:rPr>
              <w:t>Down-blend of 50 percent</w:t>
            </w:r>
          </w:p>
        </w:tc>
        <w:tc>
          <w:tcPr>
            <w:tcW w:w="2256" w:type="dxa"/>
            <w:tcMar>
              <w:left w:w="100" w:type="dxa"/>
              <w:right w:w="100" w:type="dxa"/>
            </w:tcMar>
          </w:tcPr>
          <w:p w14:paraId="33FD72B8" w14:textId="77777777" w:rsidR="006A3BC5" w:rsidRDefault="00000000">
            <w:pPr>
              <w:spacing w:before="50" w:after="50" w:line="276" w:lineRule="auto"/>
            </w:pPr>
            <w:r>
              <w:rPr>
                <w:color w:val="546E7A"/>
                <w:sz w:val="18"/>
              </w:rPr>
              <w:t xml:space="preserve">Completes down-blending to 19.75 percent U-235 within 180 days at the certified rate confirmed by </w:t>
            </w:r>
            <w:r>
              <w:rPr>
                <w:color w:val="546E7A"/>
                <w:sz w:val="18"/>
              </w:rPr>
              <w:lastRenderedPageBreak/>
              <w:t>the IAEA Technical Cell</w:t>
            </w:r>
          </w:p>
        </w:tc>
        <w:tc>
          <w:tcPr>
            <w:tcW w:w="2256" w:type="dxa"/>
            <w:tcMar>
              <w:left w:w="100" w:type="dxa"/>
              <w:right w:w="100" w:type="dxa"/>
            </w:tcMar>
          </w:tcPr>
          <w:p w14:paraId="1D26D20A" w14:textId="77777777" w:rsidR="006A3BC5" w:rsidRDefault="00000000">
            <w:pPr>
              <w:spacing w:before="50" w:after="50" w:line="276" w:lineRule="auto"/>
            </w:pPr>
            <w:r>
              <w:rPr>
                <w:color w:val="546E7A"/>
                <w:sz w:val="18"/>
              </w:rPr>
              <w:lastRenderedPageBreak/>
              <w:t>Sustains the Cycle 2 waivers and escrow architecture through the down-blend window</w:t>
            </w:r>
          </w:p>
        </w:tc>
        <w:tc>
          <w:tcPr>
            <w:tcW w:w="2256" w:type="dxa"/>
            <w:tcMar>
              <w:left w:w="100" w:type="dxa"/>
              <w:right w:w="100" w:type="dxa"/>
            </w:tcMar>
          </w:tcPr>
          <w:p w14:paraId="75549143" w14:textId="77777777" w:rsidR="006A3BC5" w:rsidRDefault="00000000">
            <w:pPr>
              <w:spacing w:before="50" w:after="50" w:line="276" w:lineRule="auto"/>
            </w:pPr>
            <w:r>
              <w:rPr>
                <w:color w:val="546E7A"/>
                <w:sz w:val="18"/>
              </w:rPr>
              <w:t>IAEA continuous cameras, mass spectrometry, and seventy-two-hour isotopic sampling</w:t>
            </w:r>
          </w:p>
        </w:tc>
      </w:tr>
      <w:tr w:rsidR="006A3BC5" w14:paraId="71B4C0E5" w14:textId="77777777">
        <w:tc>
          <w:tcPr>
            <w:tcW w:w="2256" w:type="dxa"/>
            <w:tcMar>
              <w:left w:w="100" w:type="dxa"/>
              <w:right w:w="100" w:type="dxa"/>
            </w:tcMar>
          </w:tcPr>
          <w:p w14:paraId="1969B886" w14:textId="77777777" w:rsidR="006A3BC5" w:rsidRDefault="00000000">
            <w:pPr>
              <w:spacing w:before="50" w:after="50" w:line="276" w:lineRule="auto"/>
            </w:pPr>
            <w:r>
              <w:rPr>
                <w:color w:val="546E7A"/>
                <w:sz w:val="18"/>
              </w:rPr>
              <w:t>Joint seals on the remaining 50 percent</w:t>
            </w:r>
          </w:p>
        </w:tc>
        <w:tc>
          <w:tcPr>
            <w:tcW w:w="2256" w:type="dxa"/>
            <w:tcMar>
              <w:left w:w="100" w:type="dxa"/>
              <w:right w:w="100" w:type="dxa"/>
            </w:tcMar>
          </w:tcPr>
          <w:p w14:paraId="07D8B391" w14:textId="77777777" w:rsidR="006A3BC5" w:rsidRDefault="00000000">
            <w:pPr>
              <w:spacing w:before="50" w:after="50" w:line="276" w:lineRule="auto"/>
            </w:pPr>
            <w:r>
              <w:rPr>
                <w:color w:val="546E7A"/>
                <w:sz w:val="18"/>
              </w:rPr>
              <w:t>Consolidates the remainder into the sealed Natanz storage area; participates in the mixed seal teams</w:t>
            </w:r>
          </w:p>
        </w:tc>
        <w:tc>
          <w:tcPr>
            <w:tcW w:w="2256" w:type="dxa"/>
            <w:tcMar>
              <w:left w:w="100" w:type="dxa"/>
              <w:right w:w="100" w:type="dxa"/>
            </w:tcMar>
          </w:tcPr>
          <w:p w14:paraId="1F6D6EB6" w14:textId="77777777" w:rsidR="006A3BC5" w:rsidRDefault="00000000">
            <w:pPr>
              <w:spacing w:before="50" w:after="50" w:line="276" w:lineRule="auto"/>
            </w:pPr>
            <w:r>
              <w:rPr>
                <w:color w:val="546E7A"/>
                <w:sz w:val="18"/>
              </w:rPr>
              <w:t>Participates in roster consultations through the IAEA Director General</w:t>
            </w:r>
          </w:p>
        </w:tc>
        <w:tc>
          <w:tcPr>
            <w:tcW w:w="2256" w:type="dxa"/>
            <w:tcMar>
              <w:left w:w="100" w:type="dxa"/>
              <w:right w:w="100" w:type="dxa"/>
            </w:tcMar>
          </w:tcPr>
          <w:p w14:paraId="443CF5F6" w14:textId="77777777" w:rsidR="006A3BC5" w:rsidRDefault="00000000">
            <w:pPr>
              <w:spacing w:before="50" w:after="50" w:line="276" w:lineRule="auto"/>
            </w:pPr>
            <w:r>
              <w:rPr>
                <w:color w:val="546E7A"/>
                <w:sz w:val="18"/>
              </w:rPr>
              <w:t>Seal recertification at every cycle boundary; dashboard publication</w:t>
            </w:r>
          </w:p>
        </w:tc>
      </w:tr>
      <w:tr w:rsidR="006A3BC5" w14:paraId="56EC1B5D" w14:textId="77777777">
        <w:tc>
          <w:tcPr>
            <w:tcW w:w="2256" w:type="dxa"/>
            <w:tcMar>
              <w:left w:w="100" w:type="dxa"/>
              <w:right w:w="100" w:type="dxa"/>
            </w:tcMar>
          </w:tcPr>
          <w:p w14:paraId="3E590BED" w14:textId="77777777" w:rsidR="006A3BC5" w:rsidRDefault="00000000">
            <w:pPr>
              <w:spacing w:before="50" w:after="50" w:line="276" w:lineRule="auto"/>
            </w:pPr>
            <w:r>
              <w:rPr>
                <w:color w:val="546E7A"/>
                <w:sz w:val="18"/>
              </w:rPr>
              <w:t>Humanitarian release</w:t>
            </w:r>
          </w:p>
        </w:tc>
        <w:tc>
          <w:tcPr>
            <w:tcW w:w="2256" w:type="dxa"/>
            <w:tcMar>
              <w:left w:w="100" w:type="dxa"/>
              <w:right w:w="100" w:type="dxa"/>
            </w:tcMar>
          </w:tcPr>
          <w:p w14:paraId="792B4AF3" w14:textId="77777777" w:rsidR="006A3BC5" w:rsidRDefault="00000000">
            <w:pPr>
              <w:spacing w:before="50" w:after="50" w:line="276" w:lineRule="auto"/>
            </w:pPr>
            <w:r>
              <w:rPr>
                <w:color w:val="546E7A"/>
                <w:sz w:val="18"/>
              </w:rPr>
              <w:t>Designates the Central Bank humanitarian sub-account</w:t>
            </w:r>
          </w:p>
        </w:tc>
        <w:tc>
          <w:tcPr>
            <w:tcW w:w="2256" w:type="dxa"/>
            <w:tcMar>
              <w:left w:w="100" w:type="dxa"/>
              <w:right w:w="100" w:type="dxa"/>
            </w:tcMar>
          </w:tcPr>
          <w:p w14:paraId="0CE753E7" w14:textId="77777777" w:rsidR="006A3BC5" w:rsidRDefault="00000000">
            <w:pPr>
              <w:spacing w:before="50" w:after="50" w:line="276" w:lineRule="auto"/>
            </w:pPr>
            <w:r>
              <w:rPr>
                <w:color w:val="546E7A"/>
                <w:sz w:val="18"/>
              </w:rPr>
              <w:t>Releases the Qatari escrow to the Swiss humanitarian channel for medicine and food purchases only</w:t>
            </w:r>
          </w:p>
        </w:tc>
        <w:tc>
          <w:tcPr>
            <w:tcW w:w="2256" w:type="dxa"/>
            <w:tcMar>
              <w:left w:w="100" w:type="dxa"/>
              <w:right w:w="100" w:type="dxa"/>
            </w:tcMar>
          </w:tcPr>
          <w:p w14:paraId="218A6FB4" w14:textId="77777777" w:rsidR="006A3BC5" w:rsidRDefault="00000000">
            <w:pPr>
              <w:spacing w:before="50" w:after="50" w:line="276" w:lineRule="auto"/>
            </w:pPr>
            <w:r>
              <w:rPr>
                <w:color w:val="546E7A"/>
                <w:sz w:val="18"/>
              </w:rPr>
              <w:t>Swiss channel transaction traceability, end-to-end</w:t>
            </w:r>
          </w:p>
        </w:tc>
      </w:tr>
      <w:tr w:rsidR="006A3BC5" w14:paraId="373CC858" w14:textId="77777777">
        <w:tc>
          <w:tcPr>
            <w:tcW w:w="2256" w:type="dxa"/>
            <w:tcMar>
              <w:left w:w="100" w:type="dxa"/>
              <w:right w:w="100" w:type="dxa"/>
            </w:tcMar>
          </w:tcPr>
          <w:p w14:paraId="3AE2A9DC" w14:textId="77777777" w:rsidR="006A3BC5" w:rsidRDefault="00000000">
            <w:pPr>
              <w:spacing w:before="50" w:after="50" w:line="276" w:lineRule="auto"/>
            </w:pPr>
            <w:r>
              <w:rPr>
                <w:color w:val="546E7A"/>
                <w:sz w:val="18"/>
              </w:rPr>
              <w:t>Centrifuge baseline</w:t>
            </w:r>
          </w:p>
        </w:tc>
        <w:tc>
          <w:tcPr>
            <w:tcW w:w="2256" w:type="dxa"/>
            <w:tcMar>
              <w:left w:w="100" w:type="dxa"/>
              <w:right w:w="100" w:type="dxa"/>
            </w:tcMar>
          </w:tcPr>
          <w:p w14:paraId="249B260E" w14:textId="77777777" w:rsidR="006A3BC5" w:rsidRDefault="00000000">
            <w:pPr>
              <w:spacing w:before="50" w:after="50" w:line="276" w:lineRule="auto"/>
            </w:pPr>
            <w:r>
              <w:rPr>
                <w:color w:val="546E7A"/>
                <w:sz w:val="18"/>
              </w:rPr>
              <w:t>Delivers twelve months of centrifuge performance logs</w:t>
            </w:r>
          </w:p>
        </w:tc>
        <w:tc>
          <w:tcPr>
            <w:tcW w:w="2256" w:type="dxa"/>
            <w:tcMar>
              <w:left w:w="100" w:type="dxa"/>
              <w:right w:w="100" w:type="dxa"/>
            </w:tcMar>
          </w:tcPr>
          <w:p w14:paraId="6F0FA559" w14:textId="77777777" w:rsidR="006A3BC5" w:rsidRDefault="00000000">
            <w:pPr>
              <w:spacing w:before="50" w:after="50" w:line="276" w:lineRule="auto"/>
            </w:pPr>
            <w:r>
              <w:rPr>
                <w:color w:val="546E7A"/>
                <w:sz w:val="18"/>
              </w:rPr>
              <w:t>Receives the logs through the IAEA, not bilaterally</w:t>
            </w:r>
          </w:p>
        </w:tc>
        <w:tc>
          <w:tcPr>
            <w:tcW w:w="2256" w:type="dxa"/>
            <w:tcMar>
              <w:left w:w="100" w:type="dxa"/>
              <w:right w:w="100" w:type="dxa"/>
            </w:tcMar>
          </w:tcPr>
          <w:p w14:paraId="4647455D" w14:textId="77777777" w:rsidR="006A3BC5" w:rsidRDefault="00000000">
            <w:pPr>
              <w:spacing w:before="50" w:after="50" w:line="276" w:lineRule="auto"/>
            </w:pPr>
            <w:r>
              <w:rPr>
                <w:color w:val="546E7A"/>
                <w:sz w:val="18"/>
              </w:rPr>
              <w:t>IAEA chain-of-custody documentation</w:t>
            </w:r>
          </w:p>
        </w:tc>
      </w:tr>
    </w:tbl>
    <w:p w14:paraId="2828F531" w14:textId="77777777" w:rsidR="006A3BC5" w:rsidRDefault="00000000" w:rsidP="00943C26">
      <w:pPr>
        <w:pStyle w:val="Heading1"/>
      </w:pPr>
      <w:bookmarkStart w:id="39" w:name="_Toc235570011"/>
      <w:r>
        <w:t>Article 6: The Reconstruction Track</w:t>
      </w:r>
      <w:bookmarkEnd w:id="39"/>
    </w:p>
    <w:p w14:paraId="4447672D" w14:textId="77777777" w:rsidR="006A3BC5" w:rsidRDefault="00000000">
      <w:pPr>
        <w:pStyle w:val="Heading2"/>
      </w:pPr>
      <w:bookmarkStart w:id="40" w:name="_Toc235570012"/>
      <w:r>
        <w:t>6.1 The Reconstruction and Development Fund</w:t>
      </w:r>
      <w:bookmarkEnd w:id="40"/>
    </w:p>
    <w:p w14:paraId="024E0F41" w14:textId="77777777" w:rsidR="006A3BC5" w:rsidRDefault="00000000">
      <w:r>
        <w:t>The Track establishes a multilateral Reconstruction and Development Fund, administered by the Swiss facilitator as trustee, with technical assessment provided by an internationally recognized financial institution mutually agreed by the Parties. The trustee designation undergoes review at each architecture review, convened every fourth cycle, and amendment occurs by consensus. The Fund pools contributions from Gulf states, the European Union, the People's Republic of China, international financial institutions, and private sources. The architecture channels no direct United States state investment into Iran, consistent with the stated United States position; the United States participates through development-finance guarantees that open project bidding to United States firms, converting Iranian compliance into American commercial opportunity rather than American outlay.</w:t>
      </w:r>
    </w:p>
    <w:p w14:paraId="07ABE54B" w14:textId="77777777" w:rsidR="006A3BC5" w:rsidRDefault="00000000">
      <w:r>
        <w:t>The Fund opens with a first window sized against the verified damage assessment of Section 6.2, and it scales across cycles as compliance holds. Every disbursement travels through the escrow architecture, gates on the same telemetry as every other module, and stays reversible under the step-back ladder of Article 9, with the humanitarian firewall protecting medicine, food, and medical equipment in all scenarios.</w:t>
      </w:r>
    </w:p>
    <w:p w14:paraId="688815F5" w14:textId="77777777" w:rsidR="006A3BC5" w:rsidRDefault="00000000">
      <w:pPr>
        <w:pStyle w:val="Heading2"/>
      </w:pPr>
      <w:bookmarkStart w:id="41" w:name="_Toc235570013"/>
      <w:r>
        <w:t>6.2 The Joint Damage Assessment</w:t>
      </w:r>
      <w:bookmarkEnd w:id="41"/>
    </w:p>
    <w:p w14:paraId="47BF532D" w14:textId="77777777" w:rsidR="006A3BC5" w:rsidRDefault="00000000">
      <w:r>
        <w:t>Within thirty days of Cycle 2 graduation, a joint technical mission under UN coordination, supported by the designated assessment institution and by the IAEA where recovery touches nuclear safety, assesses conflict damage across four categories: civilian power and water infrastructure, health infrastructure, port and maritime infrastructure, and damaged nuclear-related sites where recovery touches safety. The mission publishes a single verified damage register that both capitals accept as the sole factual basis for reconstruction programming. Neither Party disputes the register publicly; disputes route through the governance channel of Article 11.</w:t>
      </w:r>
    </w:p>
    <w:p w14:paraId="11E6C795" w14:textId="77777777" w:rsidR="006A3BC5" w:rsidRDefault="00000000">
      <w:pPr>
        <w:pStyle w:val="Heading2"/>
      </w:pPr>
      <w:bookmarkStart w:id="42" w:name="_Toc235570014"/>
      <w:r>
        <w:lastRenderedPageBreak/>
        <w:t>6.3 Project Categories and Priorities</w:t>
      </w:r>
      <w:bookmarkEnd w:id="42"/>
    </w:p>
    <w:p w14:paraId="5D8357A0" w14:textId="77777777" w:rsidR="006A3BC5" w:rsidRDefault="00000000">
      <w:pPr>
        <w:numPr>
          <w:ilvl w:val="0"/>
          <w:numId w:val="1"/>
        </w:numPr>
        <w:spacing w:after="120" w:line="300" w:lineRule="auto"/>
      </w:pPr>
      <w:r>
        <w:t>Power grid restoration: substations, transmission lines, and generation repair, sequenced by population served per dollar.</w:t>
      </w:r>
    </w:p>
    <w:p w14:paraId="12C56D52" w14:textId="77777777" w:rsidR="006A3BC5" w:rsidRDefault="00000000">
      <w:pPr>
        <w:numPr>
          <w:ilvl w:val="0"/>
          <w:numId w:val="1"/>
        </w:numPr>
        <w:spacing w:after="120" w:line="300" w:lineRule="auto"/>
      </w:pPr>
      <w:r>
        <w:t>Water and desalination: purification plants, pipeline repair, and sanitation systems.</w:t>
      </w:r>
    </w:p>
    <w:p w14:paraId="3AFF8E40" w14:textId="77777777" w:rsidR="006A3BC5" w:rsidRDefault="00000000">
      <w:pPr>
        <w:numPr>
          <w:ilvl w:val="0"/>
          <w:numId w:val="1"/>
        </w:numPr>
        <w:spacing w:after="120" w:line="300" w:lineRule="auto"/>
      </w:pPr>
      <w:r>
        <w:t>Health infrastructure: hospitals, clinics, cold-chain vaccine storage, and medical supply logistics.</w:t>
      </w:r>
    </w:p>
    <w:p w14:paraId="7900EE36" w14:textId="77777777" w:rsidR="006A3BC5" w:rsidRDefault="00000000">
      <w:pPr>
        <w:numPr>
          <w:ilvl w:val="0"/>
          <w:numId w:val="1"/>
        </w:numPr>
        <w:spacing w:after="120" w:line="300" w:lineRule="auto"/>
      </w:pPr>
      <w:r>
        <w:t>Port and maritime repair: Bandar Abbas civilian facilities, navigation aids, and environmental remediation in the Strait area.</w:t>
      </w:r>
    </w:p>
    <w:p w14:paraId="33BF79F7" w14:textId="77777777" w:rsidR="006A3BC5" w:rsidRDefault="00000000">
      <w:pPr>
        <w:numPr>
          <w:ilvl w:val="0"/>
          <w:numId w:val="1"/>
        </w:numPr>
        <w:spacing w:after="120" w:line="300" w:lineRule="auto"/>
      </w:pPr>
      <w:r>
        <w:t>Aviation safety: civilian fleet airworthiness through licensed safety parts, continuing the humanitarian aviation track of the earlier frameworks.</w:t>
      </w:r>
    </w:p>
    <w:p w14:paraId="53B6C562" w14:textId="77777777" w:rsidR="006A3BC5" w:rsidRDefault="00000000">
      <w:pPr>
        <w:numPr>
          <w:ilvl w:val="0"/>
          <w:numId w:val="1"/>
        </w:numPr>
        <w:spacing w:after="120" w:line="300" w:lineRule="auto"/>
      </w:pPr>
      <w:r>
        <w:t>Agriculture and food security: fertilizer, seeds, irrigation equipment, and grain logistics.</w:t>
      </w:r>
    </w:p>
    <w:p w14:paraId="25BF1379" w14:textId="77777777" w:rsidR="006A3BC5" w:rsidRDefault="00000000">
      <w:pPr>
        <w:pStyle w:val="Heading2"/>
      </w:pPr>
      <w:bookmarkStart w:id="43" w:name="_Toc235570015"/>
      <w:r>
        <w:t>6.4 Anti-Inflation and Absorption Controls</w:t>
      </w:r>
      <w:bookmarkEnd w:id="43"/>
    </w:p>
    <w:p w14:paraId="2E5ADEC0" w14:textId="77777777" w:rsidR="006A3BC5" w:rsidRDefault="00000000">
      <w:r>
        <w:t>The Fund releases in quarterly tranches against contracted projects, with payments flowing to contractors rather than to government accounts. Release velocity observes a fixed ceiling per quarter, calibrated by the Swiss Financial Cell against Iranian macroeconomic indicators, with quarterly review by the designated assessment institution. These controls protect the Iranian public from a liquidity shock that erases the value of the reconstruction itself, and they give both capitals a technical answer to domestic critics who call the Fund a cash transfer.</w:t>
      </w:r>
    </w:p>
    <w:p w14:paraId="6F2044C3" w14:textId="77777777" w:rsidR="006A3BC5" w:rsidRDefault="00000000">
      <w:pPr>
        <w:pStyle w:val="Heading2"/>
      </w:pPr>
      <w:bookmarkStart w:id="44" w:name="_Toc235570016"/>
      <w:r>
        <w:t>6.5 The Maritime Maintenance Fund and Service Reimbursement</w:t>
      </w:r>
      <w:bookmarkEnd w:id="44"/>
    </w:p>
    <w:p w14:paraId="43FAE4F3" w14:textId="77777777" w:rsidR="006A3BC5" w:rsidRDefault="00000000">
      <w:r>
        <w:t>A Multilateral Maritime Maintenance Fund, administered by Oman, finances channel maintenance, mine clearance, navigation aids, and environmental response in the Strait. User states contribute voluntarily. Iran invoices the Fund for verified services at pre-approved unit rates benchmarked to regional markets, audited independently in Muscat. The architecture draws a bright line: reimbursement pays for work performed, and no toll, transit charge, or revenue share attaches to passage itself. This construction gives Iran a predictable, honorable income stream for real services while the waterway stays free, resolving the toll dispute that broke the June Memorandum.</w:t>
      </w:r>
    </w:p>
    <w:p w14:paraId="0B2E1EB7" w14:textId="77777777" w:rsidR="006A3BC5" w:rsidRDefault="00000000">
      <w:pPr>
        <w:pStyle w:val="Heading2"/>
      </w:pPr>
      <w:bookmarkStart w:id="45" w:name="_Toc235570017"/>
      <w:r>
        <w:t>6.6 The Compensation Question</w:t>
      </w:r>
      <w:bookmarkEnd w:id="45"/>
    </w:p>
    <w:p w14:paraId="035CFD32" w14:textId="77777777" w:rsidR="006A3BC5" w:rsidRDefault="00000000">
      <w:r>
        <w:t>The Parties record that the question of compensation for past losses falls outside the scope of this Track. Neither Party cites any provision of this Track as an admission, waiver, or precedent regarding any compensation claim. This provision has indefinite effect and stands outside every review cycle. Interim value moves exclusively through the performance-based structures of this Article, and the language of every public document stays technical: reconstruction finance against verified damage, earned through verified compliance.</w:t>
      </w:r>
    </w:p>
    <w:p w14:paraId="07B7473F" w14:textId="77777777" w:rsidR="006A3BC5" w:rsidRDefault="00000000" w:rsidP="00056FC2">
      <w:pPr>
        <w:pStyle w:val="Heading1"/>
      </w:pPr>
      <w:bookmarkStart w:id="46" w:name="_Toc235570018"/>
      <w:r>
        <w:lastRenderedPageBreak/>
        <w:t>Article 7: The Reconciliation Track</w:t>
      </w:r>
      <w:bookmarkEnd w:id="46"/>
    </w:p>
    <w:p w14:paraId="7BE0B607" w14:textId="77777777" w:rsidR="006A3BC5" w:rsidRDefault="00000000">
      <w:pPr>
        <w:pStyle w:val="Heading2"/>
      </w:pPr>
      <w:bookmarkStart w:id="47" w:name="_Toc235570019"/>
      <w:r>
        <w:t>7.1 Purpose and Boundaries</w:t>
      </w:r>
      <w:bookmarkEnd w:id="47"/>
    </w:p>
    <w:p w14:paraId="76B419A9" w14:textId="77777777" w:rsidR="006A3BC5" w:rsidRDefault="00000000">
      <w:r>
        <w:t>Reconciliation under this Track means the restoration of workable relations between two states and two societies, not the adjudication of the past. The Track assigns no guilt, demands no apology, and stages no repentance. It builds five concrete mechanisms that let both societies register loss, recover their people, and lower the temperature of public language, so that the operational tracks survive contact with domestic politics.</w:t>
      </w:r>
    </w:p>
    <w:p w14:paraId="7649509E" w14:textId="77777777" w:rsidR="006A3BC5" w:rsidRDefault="00000000">
      <w:pPr>
        <w:pStyle w:val="Heading2"/>
      </w:pPr>
      <w:bookmarkStart w:id="48" w:name="_Toc235570020"/>
      <w:r>
        <w:t>7.2 The Detainee and Remains Protocol</w:t>
      </w:r>
      <w:bookmarkEnd w:id="48"/>
    </w:p>
    <w:p w14:paraId="75A6B0B6" w14:textId="77777777" w:rsidR="006A3BC5" w:rsidRDefault="00000000">
      <w:r>
        <w:t>Within thirty days of Cycle 1 activation, the Parties execute a reciprocal release of detained persons through the Swiss channel, under ICRC supervision, on a one-list-for-one-list basis agreed in advance. The remains of the deceased on all sides return to their families through the same channel, with full dignity of transport and ceremony. The protocol repeats each cycle for any new cases. Neither Party characterizes the exchange as a prisoner swap of combatants or as a concession; the shared label is humanitarian repatriation.</w:t>
      </w:r>
    </w:p>
    <w:p w14:paraId="16D624F0" w14:textId="77777777" w:rsidR="006A3BC5" w:rsidRDefault="00000000">
      <w:pPr>
        <w:pStyle w:val="Heading2"/>
      </w:pPr>
      <w:bookmarkStart w:id="49" w:name="_Toc235570021"/>
      <w:r>
        <w:t>7.3 The Joint Incident Review</w:t>
      </w:r>
      <w:bookmarkEnd w:id="49"/>
    </w:p>
    <w:p w14:paraId="3053D78A" w14:textId="77777777" w:rsidR="006A3BC5" w:rsidRDefault="00000000">
      <w:r>
        <w:t>A Joint Incident Review, seated in Muscat under Omani chairmanship, examines the maritime incidents of June and July 2026, including the tanker strikes and the attacks on regional bases. The Review establishes facts, not blame. Its charter accepts the dual framing that both capitals already use: Iranian officials characterize the July ship strikes as a mistake by an errant element, while United States officials characterize the response as defensive. The Review publishes a single factual chronology, and each capital attaches its own interpretive statement. The charter prohibits any finding that assigns criminal or state responsibility; such questions belong to forums outside this Track.</w:t>
      </w:r>
    </w:p>
    <w:p w14:paraId="1B80A67F" w14:textId="77777777" w:rsidR="006A3BC5" w:rsidRDefault="00000000">
      <w:pPr>
        <w:pStyle w:val="Heading2"/>
      </w:pPr>
      <w:bookmarkStart w:id="50" w:name="_Toc235570022"/>
      <w:r>
        <w:t>7.4 The Narrative De-Escalation Protocol</w:t>
      </w:r>
      <w:bookmarkEnd w:id="50"/>
    </w:p>
    <w:p w14:paraId="3180160D" w14:textId="77777777" w:rsidR="006A3BC5" w:rsidRDefault="00000000">
      <w:r>
        <w:t>The framework architecture excludes coerced public statements of any kind. The United States demand for a public Iranian statement on open lanes finds its answer inside the architecture: the bulletin board of Article 3 publishes, under both flags, a standing technical notice that all certified lanes are open and that the non-interdiction protocol is in force. Both governments point to the same notice. Tehran reads it as a statement of the framework, not a confession; Washington reads it as the public affirmation it requires. Both readings hold simultaneously, because the notice states facts rather than fault.</w:t>
      </w:r>
    </w:p>
    <w:p w14:paraId="19DAC83E" w14:textId="77777777" w:rsidR="006A3BC5" w:rsidRDefault="00000000">
      <w:r>
        <w:t>Beyond that mechanism, each Party governs its own rhetoric under the non-humiliation doctrine of Article 12. No official communication of either Party characterizes the compliance of the other Party as surrender, capitulation, defeat, or submission. A characterization of that kind constitutes a narrative disruption and routes to the quiet remediation channel of Article 12.4, not to the press.</w:t>
      </w:r>
    </w:p>
    <w:p w14:paraId="7940ABFE" w14:textId="77777777" w:rsidR="006A3BC5" w:rsidRDefault="00000000">
      <w:pPr>
        <w:pStyle w:val="Heading2"/>
      </w:pPr>
      <w:bookmarkStart w:id="51" w:name="_Toc235570023"/>
      <w:r>
        <w:lastRenderedPageBreak/>
        <w:t>7.5 The Muscat Maritime Safety Dedication</w:t>
      </w:r>
      <w:bookmarkEnd w:id="51"/>
    </w:p>
    <w:p w14:paraId="41131553" w14:textId="77777777" w:rsidR="006A3BC5" w:rsidRDefault="00000000">
      <w:r>
        <w:t>The Parties jointly fund a permanent maritime safety and seafarer welfare center in Muscat, dedicated to the civilian mariners of all nations harmed during the 2026 crisis. The center houses the bulletin board operations, the observer corps, and a memorial register. The dedication ceremony carries no political speeches; the Omani host reads a single neutral text. The center gives both societies a shared, depoliticized place where the cost of the crisis has a name and the cooperation has a home.</w:t>
      </w:r>
    </w:p>
    <w:p w14:paraId="1425FA48" w14:textId="77777777" w:rsidR="006A3BC5" w:rsidRDefault="00000000">
      <w:pPr>
        <w:pStyle w:val="Heading2"/>
      </w:pPr>
      <w:bookmarkStart w:id="52" w:name="_Toc235570024"/>
      <w:r>
        <w:t>7.6 The Societal and Education Track</w:t>
      </w:r>
      <w:bookmarkEnd w:id="52"/>
    </w:p>
    <w:p w14:paraId="0FFF4991" w14:textId="77777777" w:rsidR="006A3BC5" w:rsidRDefault="00000000">
      <w:r>
        <w:t>The Track opens quiet societal channels alongside the state channels: academic exchanges in technical fields, religious and humanitarian mediation contacts, and business Track II dialogues. These channels draw on the administrative budget of the framework rather than annual appropriations, so that no legislative cycle starves them. No Party imposes preconditions on the existence, staffing, or agenda of these channels, and participation carries no political meaning beyond contact itself.</w:t>
      </w:r>
    </w:p>
    <w:p w14:paraId="4FB5F600" w14:textId="77777777" w:rsidR="006A3BC5" w:rsidRDefault="00000000">
      <w:pPr>
        <w:pStyle w:val="Heading2"/>
      </w:pPr>
      <w:bookmarkStart w:id="53" w:name="_Toc235570025"/>
      <w:r>
        <w:t>7.7 The Regional Firewall</w:t>
      </w:r>
      <w:bookmarkEnd w:id="53"/>
    </w:p>
    <w:p w14:paraId="12AB2BEE" w14:textId="77777777" w:rsidR="006A3BC5" w:rsidRDefault="00000000">
      <w:r>
        <w:t>The Lebanon file and every other regional file stay legally and operationally separate from this Track. No action by any non-Party, including military operations on any regional front, constitutes a breach by either Party or triggers any consequence under this instrument. A parallel regional track, already underway through Pakistani and Qatari mediation, addresses the Lebanon file on its own calendar. Iran states that this Track opens the door to resolving the wider conflict; the United States states that the Strait and nuclear files stand independent of any regional front. The architecture sustains both statements because it moves the instruments in parallel rather than chaining them.</w:t>
      </w:r>
    </w:p>
    <w:p w14:paraId="4FC8C167" w14:textId="77777777" w:rsidR="006A3BC5" w:rsidRDefault="00000000" w:rsidP="00BF4484">
      <w:pPr>
        <w:pStyle w:val="Heading1"/>
      </w:pPr>
      <w:bookmarkStart w:id="54" w:name="_Toc235570026"/>
      <w:r>
        <w:t>Article 8: Verification Architecture</w:t>
      </w:r>
      <w:bookmarkEnd w:id="54"/>
    </w:p>
    <w:p w14:paraId="452A5B11" w14:textId="77777777" w:rsidR="006A3BC5" w:rsidRDefault="00000000">
      <w:pPr>
        <w:pStyle w:val="Heading2"/>
      </w:pPr>
      <w:bookmarkStart w:id="55" w:name="_Toc235570027"/>
      <w:r>
        <w:t>8.1 Design Philosophy</w:t>
      </w:r>
      <w:bookmarkEnd w:id="55"/>
    </w:p>
    <w:p w14:paraId="04F47A90" w14:textId="77777777" w:rsidR="006A3BC5" w:rsidRDefault="00000000">
      <w:r>
        <w:t>The Track creates three verification bodies and one shared dashboard. That is all. Each body holds one job, reports to both Parties simultaneously, and publishes to the same screen. No joint commission with voting politics, no weighted breach index, no institutional hierarchy.</w:t>
      </w:r>
    </w:p>
    <w:p w14:paraId="320EA28E" w14:textId="77777777" w:rsidR="006A3BC5" w:rsidRDefault="00000000">
      <w:pPr>
        <w:pStyle w:val="Heading2"/>
      </w:pPr>
      <w:bookmarkStart w:id="56" w:name="_Toc235570028"/>
      <w:r>
        <w:t>8.2 The Verification Bodies</w:t>
      </w:r>
      <w:bookmarkEnd w:id="56"/>
    </w:p>
    <w:p w14:paraId="767EFCEC" w14:textId="77777777" w:rsidR="006A3BC5" w:rsidRDefault="00000000">
      <w:pPr>
        <w:pStyle w:val="Caption"/>
        <w:keepNext/>
      </w:pPr>
      <w:r>
        <w:rPr>
          <w:b/>
        </w:rPr>
        <w:t>Table 6: Verification bodies</w:t>
      </w:r>
    </w:p>
    <w:tbl>
      <w:tblPr>
        <w:tblW w:w="5000" w:type="pct"/>
        <w:tblInd w:w="100" w:type="dxa"/>
        <w:tblBorders>
          <w:top w:val="single" w:sz="12" w:space="0" w:color="37474F"/>
          <w:bottom w:val="single" w:sz="12" w:space="0" w:color="37474F"/>
          <w:insideH w:val="single" w:sz="4" w:space="0" w:color="CDD6DB"/>
          <w:insideV w:val="single" w:sz="4" w:space="0" w:color="CDD6DB"/>
        </w:tblBorders>
        <w:tblCellMar>
          <w:left w:w="10" w:type="dxa"/>
          <w:right w:w="10" w:type="dxa"/>
        </w:tblCellMar>
        <w:tblLook w:val="04A0" w:firstRow="1" w:lastRow="0" w:firstColumn="1" w:lastColumn="0" w:noHBand="0" w:noVBand="1"/>
      </w:tblPr>
      <w:tblGrid>
        <w:gridCol w:w="2306"/>
        <w:gridCol w:w="2306"/>
        <w:gridCol w:w="2307"/>
        <w:gridCol w:w="2307"/>
      </w:tblGrid>
      <w:tr w:rsidR="006A3BC5" w14:paraId="12F54B9C" w14:textId="77777777">
        <w:trPr>
          <w:tblHeader/>
        </w:trPr>
        <w:tc>
          <w:tcPr>
            <w:tcW w:w="2256" w:type="dxa"/>
            <w:shd w:val="clear" w:color="auto" w:fill="ECEFF1"/>
            <w:tcMar>
              <w:left w:w="100" w:type="dxa"/>
              <w:right w:w="100" w:type="dxa"/>
            </w:tcMar>
          </w:tcPr>
          <w:p w14:paraId="00B9D3B0" w14:textId="77777777" w:rsidR="006A3BC5" w:rsidRDefault="00000000">
            <w:pPr>
              <w:spacing w:before="60" w:after="60" w:line="276" w:lineRule="auto"/>
            </w:pPr>
            <w:r>
              <w:rPr>
                <w:b/>
                <w:sz w:val="18"/>
              </w:rPr>
              <w:t>Body</w:t>
            </w:r>
          </w:p>
        </w:tc>
        <w:tc>
          <w:tcPr>
            <w:tcW w:w="2256" w:type="dxa"/>
            <w:shd w:val="clear" w:color="auto" w:fill="ECEFF1"/>
            <w:tcMar>
              <w:left w:w="100" w:type="dxa"/>
              <w:right w:w="100" w:type="dxa"/>
            </w:tcMar>
          </w:tcPr>
          <w:p w14:paraId="73FAB46B" w14:textId="77777777" w:rsidR="006A3BC5" w:rsidRDefault="00000000">
            <w:pPr>
              <w:spacing w:before="60" w:after="60" w:line="276" w:lineRule="auto"/>
            </w:pPr>
            <w:r>
              <w:rPr>
                <w:b/>
                <w:sz w:val="18"/>
              </w:rPr>
              <w:t>Seat</w:t>
            </w:r>
          </w:p>
        </w:tc>
        <w:tc>
          <w:tcPr>
            <w:tcW w:w="2256" w:type="dxa"/>
            <w:shd w:val="clear" w:color="auto" w:fill="ECEFF1"/>
            <w:tcMar>
              <w:left w:w="100" w:type="dxa"/>
              <w:right w:w="100" w:type="dxa"/>
            </w:tcMar>
          </w:tcPr>
          <w:p w14:paraId="73E85086" w14:textId="77777777" w:rsidR="006A3BC5" w:rsidRDefault="00000000">
            <w:pPr>
              <w:spacing w:before="60" w:after="60" w:line="276" w:lineRule="auto"/>
            </w:pPr>
            <w:r>
              <w:rPr>
                <w:b/>
                <w:sz w:val="18"/>
              </w:rPr>
              <w:t>Domain</w:t>
            </w:r>
          </w:p>
        </w:tc>
        <w:tc>
          <w:tcPr>
            <w:tcW w:w="2256" w:type="dxa"/>
            <w:shd w:val="clear" w:color="auto" w:fill="ECEFF1"/>
            <w:tcMar>
              <w:left w:w="100" w:type="dxa"/>
              <w:right w:w="100" w:type="dxa"/>
            </w:tcMar>
          </w:tcPr>
          <w:p w14:paraId="32662063" w14:textId="77777777" w:rsidR="006A3BC5" w:rsidRDefault="00000000">
            <w:pPr>
              <w:spacing w:before="60" w:after="60" w:line="276" w:lineRule="auto"/>
            </w:pPr>
            <w:r>
              <w:rPr>
                <w:b/>
                <w:sz w:val="18"/>
              </w:rPr>
              <w:t>Function</w:t>
            </w:r>
          </w:p>
        </w:tc>
      </w:tr>
      <w:tr w:rsidR="006A3BC5" w14:paraId="46B77BF4" w14:textId="77777777">
        <w:tc>
          <w:tcPr>
            <w:tcW w:w="2256" w:type="dxa"/>
            <w:tcMar>
              <w:left w:w="100" w:type="dxa"/>
              <w:right w:w="100" w:type="dxa"/>
            </w:tcMar>
          </w:tcPr>
          <w:p w14:paraId="67626ABF" w14:textId="77777777" w:rsidR="006A3BC5" w:rsidRDefault="00000000">
            <w:pPr>
              <w:spacing w:before="50" w:after="50" w:line="276" w:lineRule="auto"/>
            </w:pPr>
            <w:r>
              <w:rPr>
                <w:color w:val="546E7A"/>
                <w:sz w:val="18"/>
              </w:rPr>
              <w:t>Omani Maritime Cell</w:t>
            </w:r>
          </w:p>
        </w:tc>
        <w:tc>
          <w:tcPr>
            <w:tcW w:w="2256" w:type="dxa"/>
            <w:tcMar>
              <w:left w:w="100" w:type="dxa"/>
              <w:right w:w="100" w:type="dxa"/>
            </w:tcMar>
          </w:tcPr>
          <w:p w14:paraId="45A621BD" w14:textId="77777777" w:rsidR="006A3BC5" w:rsidRDefault="00000000">
            <w:pPr>
              <w:spacing w:before="50" w:after="50" w:line="276" w:lineRule="auto"/>
            </w:pPr>
            <w:r>
              <w:rPr>
                <w:color w:val="546E7A"/>
                <w:sz w:val="18"/>
              </w:rPr>
              <w:t>Muscat</w:t>
            </w:r>
          </w:p>
        </w:tc>
        <w:tc>
          <w:tcPr>
            <w:tcW w:w="2256" w:type="dxa"/>
            <w:tcMar>
              <w:left w:w="100" w:type="dxa"/>
              <w:right w:w="100" w:type="dxa"/>
            </w:tcMar>
          </w:tcPr>
          <w:p w14:paraId="11692F46" w14:textId="77777777" w:rsidR="006A3BC5" w:rsidRDefault="00000000">
            <w:pPr>
              <w:spacing w:before="50" w:after="50" w:line="276" w:lineRule="auto"/>
            </w:pPr>
            <w:r>
              <w:rPr>
                <w:color w:val="546E7A"/>
                <w:sz w:val="18"/>
              </w:rPr>
              <w:t>Maritime</w:t>
            </w:r>
          </w:p>
        </w:tc>
        <w:tc>
          <w:tcPr>
            <w:tcW w:w="2256" w:type="dxa"/>
            <w:tcMar>
              <w:left w:w="100" w:type="dxa"/>
              <w:right w:w="100" w:type="dxa"/>
            </w:tcMar>
          </w:tcPr>
          <w:p w14:paraId="0B473B38" w14:textId="77777777" w:rsidR="006A3BC5" w:rsidRDefault="00000000">
            <w:pPr>
              <w:spacing w:before="50" w:after="50" w:line="276" w:lineRule="auto"/>
            </w:pPr>
            <w:r>
              <w:rPr>
                <w:color w:val="546E7A"/>
                <w:sz w:val="18"/>
              </w:rPr>
              <w:t xml:space="preserve">Patrol and transit observation, observer corps, bulletin board operations, </w:t>
            </w:r>
            <w:r>
              <w:rPr>
                <w:color w:val="546E7A"/>
                <w:sz w:val="18"/>
              </w:rPr>
              <w:lastRenderedPageBreak/>
              <w:t>corridor certification support</w:t>
            </w:r>
          </w:p>
        </w:tc>
      </w:tr>
      <w:tr w:rsidR="006A3BC5" w14:paraId="0F1617FD" w14:textId="77777777">
        <w:tc>
          <w:tcPr>
            <w:tcW w:w="2256" w:type="dxa"/>
            <w:tcMar>
              <w:left w:w="100" w:type="dxa"/>
              <w:right w:w="100" w:type="dxa"/>
            </w:tcMar>
          </w:tcPr>
          <w:p w14:paraId="081B2AB8" w14:textId="77777777" w:rsidR="006A3BC5" w:rsidRDefault="00000000">
            <w:pPr>
              <w:spacing w:before="50" w:after="50" w:line="276" w:lineRule="auto"/>
            </w:pPr>
            <w:r>
              <w:rPr>
                <w:color w:val="546E7A"/>
                <w:sz w:val="18"/>
              </w:rPr>
              <w:t>Swiss Financial Cell</w:t>
            </w:r>
          </w:p>
        </w:tc>
        <w:tc>
          <w:tcPr>
            <w:tcW w:w="2256" w:type="dxa"/>
            <w:tcMar>
              <w:left w:w="100" w:type="dxa"/>
              <w:right w:w="100" w:type="dxa"/>
            </w:tcMar>
          </w:tcPr>
          <w:p w14:paraId="1542779D" w14:textId="77777777" w:rsidR="006A3BC5" w:rsidRDefault="00000000">
            <w:pPr>
              <w:spacing w:before="50" w:after="50" w:line="276" w:lineRule="auto"/>
            </w:pPr>
            <w:r>
              <w:rPr>
                <w:color w:val="546E7A"/>
                <w:sz w:val="18"/>
              </w:rPr>
              <w:t>Geneva</w:t>
            </w:r>
          </w:p>
        </w:tc>
        <w:tc>
          <w:tcPr>
            <w:tcW w:w="2256" w:type="dxa"/>
            <w:tcMar>
              <w:left w:w="100" w:type="dxa"/>
              <w:right w:w="100" w:type="dxa"/>
            </w:tcMar>
          </w:tcPr>
          <w:p w14:paraId="31F3804D" w14:textId="77777777" w:rsidR="006A3BC5" w:rsidRDefault="00000000">
            <w:pPr>
              <w:spacing w:before="50" w:after="50" w:line="276" w:lineRule="auto"/>
            </w:pPr>
            <w:r>
              <w:rPr>
                <w:color w:val="546E7A"/>
                <w:sz w:val="18"/>
              </w:rPr>
              <w:t>Financial</w:t>
            </w:r>
          </w:p>
        </w:tc>
        <w:tc>
          <w:tcPr>
            <w:tcW w:w="2256" w:type="dxa"/>
            <w:tcMar>
              <w:left w:w="100" w:type="dxa"/>
              <w:right w:w="100" w:type="dxa"/>
            </w:tcMar>
          </w:tcPr>
          <w:p w14:paraId="658DE1A3" w14:textId="77777777" w:rsidR="006A3BC5" w:rsidRDefault="00000000">
            <w:pPr>
              <w:spacing w:before="50" w:after="50" w:line="276" w:lineRule="auto"/>
            </w:pPr>
            <w:r>
              <w:rPr>
                <w:color w:val="546E7A"/>
                <w:sz w:val="18"/>
              </w:rPr>
              <w:t>Escrow administration, waiver telemetry, humanitarian channel traceability, Fund disbursement records</w:t>
            </w:r>
          </w:p>
        </w:tc>
      </w:tr>
      <w:tr w:rsidR="006A3BC5" w14:paraId="097D8315" w14:textId="77777777">
        <w:tc>
          <w:tcPr>
            <w:tcW w:w="2256" w:type="dxa"/>
            <w:tcMar>
              <w:left w:w="100" w:type="dxa"/>
              <w:right w:w="100" w:type="dxa"/>
            </w:tcMar>
          </w:tcPr>
          <w:p w14:paraId="5DA2FC5B" w14:textId="77777777" w:rsidR="006A3BC5" w:rsidRDefault="00000000">
            <w:pPr>
              <w:spacing w:before="50" w:after="50" w:line="276" w:lineRule="auto"/>
            </w:pPr>
            <w:r>
              <w:rPr>
                <w:color w:val="546E7A"/>
                <w:sz w:val="18"/>
              </w:rPr>
              <w:t>IAEA Technical Cell</w:t>
            </w:r>
          </w:p>
        </w:tc>
        <w:tc>
          <w:tcPr>
            <w:tcW w:w="2256" w:type="dxa"/>
            <w:tcMar>
              <w:left w:w="100" w:type="dxa"/>
              <w:right w:w="100" w:type="dxa"/>
            </w:tcMar>
          </w:tcPr>
          <w:p w14:paraId="50B818C8" w14:textId="77777777" w:rsidR="006A3BC5" w:rsidRDefault="00000000">
            <w:pPr>
              <w:spacing w:before="50" w:after="50" w:line="276" w:lineRule="auto"/>
            </w:pPr>
            <w:r>
              <w:rPr>
                <w:color w:val="546E7A"/>
                <w:sz w:val="18"/>
              </w:rPr>
              <w:t>Vienna and on-site</w:t>
            </w:r>
          </w:p>
        </w:tc>
        <w:tc>
          <w:tcPr>
            <w:tcW w:w="2256" w:type="dxa"/>
            <w:tcMar>
              <w:left w:w="100" w:type="dxa"/>
              <w:right w:w="100" w:type="dxa"/>
            </w:tcMar>
          </w:tcPr>
          <w:p w14:paraId="419B95CF" w14:textId="77777777" w:rsidR="006A3BC5" w:rsidRDefault="00000000">
            <w:pPr>
              <w:spacing w:before="50" w:after="50" w:line="276" w:lineRule="auto"/>
            </w:pPr>
            <w:r>
              <w:rPr>
                <w:color w:val="546E7A"/>
                <w:sz w:val="18"/>
              </w:rPr>
              <w:t>Nuclear</w:t>
            </w:r>
          </w:p>
        </w:tc>
        <w:tc>
          <w:tcPr>
            <w:tcW w:w="2256" w:type="dxa"/>
            <w:tcMar>
              <w:left w:w="100" w:type="dxa"/>
              <w:right w:w="100" w:type="dxa"/>
            </w:tcMar>
          </w:tcPr>
          <w:p w14:paraId="08CF0849" w14:textId="77777777" w:rsidR="006A3BC5" w:rsidRDefault="00000000">
            <w:pPr>
              <w:spacing w:before="50" w:after="50" w:line="276" w:lineRule="auto"/>
            </w:pPr>
            <w:r>
              <w:rPr>
                <w:color w:val="546E7A"/>
                <w:sz w:val="18"/>
              </w:rPr>
              <w:t>Cameras, seals, mass spectrometry, down-blend certification, centrifuge baseline custody</w:t>
            </w:r>
          </w:p>
        </w:tc>
      </w:tr>
    </w:tbl>
    <w:p w14:paraId="2F1A76B3" w14:textId="77777777" w:rsidR="006A3BC5" w:rsidRDefault="00000000">
      <w:pPr>
        <w:pStyle w:val="Heading2"/>
      </w:pPr>
      <w:bookmarkStart w:id="57" w:name="_Toc235570029"/>
      <w:r>
        <w:t>8.3 The Shared Dashboard</w:t>
      </w:r>
      <w:bookmarkEnd w:id="57"/>
    </w:p>
    <w:p w14:paraId="2548821A" w14:textId="77777777" w:rsidR="006A3BC5" w:rsidRDefault="00000000">
      <w:r>
        <w:t>A single dashboard, hosted in Switzerland with a failover mirror in Muscat, displays every telemetry stream to both Parties simultaneously. Both sides see the same screen. No private data channel exists. Every entry carries a cryptographic timestamp. Either Party flags a concern directly on the dashboard; the flag appears to both sides instantly and opens a 72-hour technical consultation, not a political negotiation.</w:t>
      </w:r>
    </w:p>
    <w:p w14:paraId="69B3E773" w14:textId="77777777" w:rsidR="006A3BC5" w:rsidRDefault="00000000">
      <w:pPr>
        <w:pStyle w:val="Heading2"/>
      </w:pPr>
      <w:bookmarkStart w:id="58" w:name="_Toc235570030"/>
      <w:r>
        <w:t>8.4 Five-Channel Convergence</w:t>
      </w:r>
      <w:bookmarkEnd w:id="58"/>
    </w:p>
    <w:p w14:paraId="35C315F9" w14:textId="77777777" w:rsidR="006A3BC5" w:rsidRDefault="00000000">
      <w:r>
        <w:t>Compliance determinations rest on five independent channels: IAEA technical verification, neutral-state naval observation, commercial AIS and satellite tracking, financial escrow records, and daily hotline reporting. No single channel decides anything. Convergence of at least three channels establishes a compliance determination; two channels trigger enhanced review; one channel triggers inquiry only.</w:t>
      </w:r>
    </w:p>
    <w:p w14:paraId="182EBA37" w14:textId="77777777" w:rsidR="006A3BC5" w:rsidRDefault="00000000">
      <w:pPr>
        <w:pStyle w:val="Heading2"/>
      </w:pPr>
      <w:bookmarkStart w:id="59" w:name="_Toc235570031"/>
      <w:r>
        <w:t>8.5 Human-in-the-Loop</w:t>
      </w:r>
      <w:bookmarkEnd w:id="59"/>
    </w:p>
    <w:p w14:paraId="53AA91C4" w14:textId="77777777" w:rsidR="006A3BC5" w:rsidRDefault="00000000">
      <w:r>
        <w:t>No automated system issues a penalty. Every automated flag passes through human review within twenty-four hours, and every Tier 2 or Tier 3 determination passes through the consultation windows of Article 9 before any consequence activates. An annual independent audit confirms that human judgment sits between every sensor and every consequence.</w:t>
      </w:r>
    </w:p>
    <w:p w14:paraId="51A6F879" w14:textId="77777777" w:rsidR="006A3BC5" w:rsidRDefault="00000000">
      <w:pPr>
        <w:pStyle w:val="Heading2"/>
      </w:pPr>
      <w:bookmarkStart w:id="60" w:name="_Toc235570032"/>
      <w:r>
        <w:t>8.6 Evidence Standards</w:t>
      </w:r>
      <w:bookmarkEnd w:id="60"/>
    </w:p>
    <w:p w14:paraId="0D9725DB" w14:textId="77777777" w:rsidR="006A3BC5" w:rsidRDefault="00000000">
      <w:r>
        <w:t>Incident reports carry time-stamped evidence appropriate to the incident type: AIS tracks and satellite imagery for naval events, OLEM and mass spectrometry records for nuclear events, transaction logs for financial events, and multi-indicator forensic packages for cyber events. A report lacking the required evidence enters the log without triggering any consultation clock; the Secretariat notifies the reporting Party of the deficiency within two hours.</w:t>
      </w:r>
    </w:p>
    <w:p w14:paraId="2EAB5402" w14:textId="77777777" w:rsidR="006A3BC5" w:rsidRDefault="00000000" w:rsidP="00991065">
      <w:pPr>
        <w:pStyle w:val="Heading1"/>
      </w:pPr>
      <w:bookmarkStart w:id="61" w:name="_Toc235570033"/>
      <w:r>
        <w:lastRenderedPageBreak/>
        <w:t>Article 9: Compliance, Step-Back, and Earn-Back</w:t>
      </w:r>
      <w:bookmarkEnd w:id="61"/>
    </w:p>
    <w:p w14:paraId="1C8E63B3" w14:textId="77777777" w:rsidR="006A3BC5" w:rsidRDefault="00000000">
      <w:pPr>
        <w:pStyle w:val="Heading2"/>
      </w:pPr>
      <w:bookmarkStart w:id="62" w:name="_Toc235570034"/>
      <w:r>
        <w:t>9.1 The Three-Category Classification</w:t>
      </w:r>
      <w:bookmarkEnd w:id="62"/>
    </w:p>
    <w:p w14:paraId="1D937F9A" w14:textId="77777777" w:rsidR="006A3BC5" w:rsidRDefault="00000000">
      <w:r>
        <w:t>The Track replaces breach language with three categories. Category A, Deviation: behavior drifts from the expected pattern; no penalty attaches; recalibration dialogue opens. Category B, Disruption: behavior interferes with implementation; a graduated, reversible response follows a 48-hour cooling window. Category C, Deliberate Violation: intentional hostile conduct aimed at the framework; the maximum graduated response follows human review at three levels. Language shapes behavior; the shift from accusation to assessment keeps the Track alive through friction.</w:t>
      </w:r>
    </w:p>
    <w:p w14:paraId="3E930BEA" w14:textId="77777777" w:rsidR="006A3BC5" w:rsidRDefault="00000000">
      <w:pPr>
        <w:pStyle w:val="Heading2"/>
      </w:pPr>
      <w:bookmarkStart w:id="63" w:name="_Toc235570035"/>
      <w:r>
        <w:t>9.2 The Step-Back Ladder</w:t>
      </w:r>
      <w:bookmarkEnd w:id="63"/>
    </w:p>
    <w:p w14:paraId="2A3CE919" w14:textId="77777777" w:rsidR="006A3BC5" w:rsidRDefault="00000000">
      <w:pPr>
        <w:pStyle w:val="Caption"/>
        <w:keepNext/>
      </w:pPr>
      <w:r>
        <w:rPr>
          <w:b/>
        </w:rPr>
        <w:t>Table 7: The step-back ladder</w:t>
      </w:r>
    </w:p>
    <w:tbl>
      <w:tblPr>
        <w:tblW w:w="5000" w:type="pct"/>
        <w:tblInd w:w="100" w:type="dxa"/>
        <w:tblBorders>
          <w:top w:val="single" w:sz="12" w:space="0" w:color="37474F"/>
          <w:bottom w:val="single" w:sz="12" w:space="0" w:color="37474F"/>
          <w:insideH w:val="single" w:sz="4" w:space="0" w:color="CDD6DB"/>
          <w:insideV w:val="single" w:sz="4" w:space="0" w:color="CDD6DB"/>
        </w:tblBorders>
        <w:tblCellMar>
          <w:left w:w="10" w:type="dxa"/>
          <w:right w:w="10" w:type="dxa"/>
        </w:tblCellMar>
        <w:tblLook w:val="04A0" w:firstRow="1" w:lastRow="0" w:firstColumn="1" w:lastColumn="0" w:noHBand="0" w:noVBand="1"/>
      </w:tblPr>
      <w:tblGrid>
        <w:gridCol w:w="2306"/>
        <w:gridCol w:w="2306"/>
        <w:gridCol w:w="2307"/>
        <w:gridCol w:w="2307"/>
      </w:tblGrid>
      <w:tr w:rsidR="006A3BC5" w14:paraId="58419BB9" w14:textId="77777777">
        <w:trPr>
          <w:tblHeader/>
        </w:trPr>
        <w:tc>
          <w:tcPr>
            <w:tcW w:w="2256" w:type="dxa"/>
            <w:shd w:val="clear" w:color="auto" w:fill="ECEFF1"/>
            <w:tcMar>
              <w:left w:w="100" w:type="dxa"/>
              <w:right w:w="100" w:type="dxa"/>
            </w:tcMar>
          </w:tcPr>
          <w:p w14:paraId="7DC73CCB" w14:textId="77777777" w:rsidR="006A3BC5" w:rsidRDefault="00000000">
            <w:pPr>
              <w:spacing w:before="60" w:after="60" w:line="276" w:lineRule="auto"/>
            </w:pPr>
            <w:r>
              <w:rPr>
                <w:b/>
                <w:sz w:val="18"/>
              </w:rPr>
              <w:t>Tier</w:t>
            </w:r>
          </w:p>
        </w:tc>
        <w:tc>
          <w:tcPr>
            <w:tcW w:w="2256" w:type="dxa"/>
            <w:shd w:val="clear" w:color="auto" w:fill="ECEFF1"/>
            <w:tcMar>
              <w:left w:w="100" w:type="dxa"/>
              <w:right w:w="100" w:type="dxa"/>
            </w:tcMar>
          </w:tcPr>
          <w:p w14:paraId="5F743A58" w14:textId="77777777" w:rsidR="006A3BC5" w:rsidRDefault="00000000">
            <w:pPr>
              <w:spacing w:before="60" w:after="60" w:line="276" w:lineRule="auto"/>
            </w:pPr>
            <w:r>
              <w:rPr>
                <w:b/>
                <w:sz w:val="18"/>
              </w:rPr>
              <w:t>Examples</w:t>
            </w:r>
          </w:p>
        </w:tc>
        <w:tc>
          <w:tcPr>
            <w:tcW w:w="2256" w:type="dxa"/>
            <w:shd w:val="clear" w:color="auto" w:fill="ECEFF1"/>
            <w:tcMar>
              <w:left w:w="100" w:type="dxa"/>
              <w:right w:w="100" w:type="dxa"/>
            </w:tcMar>
          </w:tcPr>
          <w:p w14:paraId="08EF32E4" w14:textId="77777777" w:rsidR="006A3BC5" w:rsidRDefault="00000000">
            <w:pPr>
              <w:spacing w:before="60" w:after="60" w:line="276" w:lineRule="auto"/>
            </w:pPr>
            <w:r>
              <w:rPr>
                <w:b/>
                <w:sz w:val="18"/>
              </w:rPr>
              <w:t>Benefit Effect</w:t>
            </w:r>
          </w:p>
        </w:tc>
        <w:tc>
          <w:tcPr>
            <w:tcW w:w="2256" w:type="dxa"/>
            <w:shd w:val="clear" w:color="auto" w:fill="ECEFF1"/>
            <w:tcMar>
              <w:left w:w="100" w:type="dxa"/>
              <w:right w:w="100" w:type="dxa"/>
            </w:tcMar>
          </w:tcPr>
          <w:p w14:paraId="5B7FFE0A" w14:textId="77777777" w:rsidR="006A3BC5" w:rsidRDefault="00000000">
            <w:pPr>
              <w:spacing w:before="60" w:after="60" w:line="276" w:lineRule="auto"/>
            </w:pPr>
            <w:r>
              <w:rPr>
                <w:b/>
                <w:sz w:val="18"/>
              </w:rPr>
              <w:t>Earn-Back</w:t>
            </w:r>
          </w:p>
        </w:tc>
      </w:tr>
      <w:tr w:rsidR="006A3BC5" w14:paraId="3C7E62B4" w14:textId="77777777">
        <w:tc>
          <w:tcPr>
            <w:tcW w:w="2256" w:type="dxa"/>
            <w:tcMar>
              <w:left w:w="100" w:type="dxa"/>
              <w:right w:w="100" w:type="dxa"/>
            </w:tcMar>
          </w:tcPr>
          <w:p w14:paraId="67FFFD18" w14:textId="77777777" w:rsidR="006A3BC5" w:rsidRDefault="00000000">
            <w:pPr>
              <w:spacing w:before="50" w:after="50" w:line="276" w:lineRule="auto"/>
            </w:pPr>
            <w:r>
              <w:rPr>
                <w:color w:val="546E7A"/>
                <w:sz w:val="18"/>
              </w:rPr>
              <w:t>Tier 1: Technical</w:t>
            </w:r>
          </w:p>
        </w:tc>
        <w:tc>
          <w:tcPr>
            <w:tcW w:w="2256" w:type="dxa"/>
            <w:tcMar>
              <w:left w:w="100" w:type="dxa"/>
              <w:right w:w="100" w:type="dxa"/>
            </w:tcMar>
          </w:tcPr>
          <w:p w14:paraId="629D6958" w14:textId="77777777" w:rsidR="006A3BC5" w:rsidRDefault="00000000">
            <w:pPr>
              <w:spacing w:before="50" w:after="50" w:line="276" w:lineRule="auto"/>
            </w:pPr>
            <w:r>
              <w:rPr>
                <w:color w:val="546E7A"/>
                <w:sz w:val="18"/>
              </w:rPr>
              <w:t>Reporting delay under 24 hours; minor positioning variance; brief telemetry gap with confirmed cause</w:t>
            </w:r>
          </w:p>
        </w:tc>
        <w:tc>
          <w:tcPr>
            <w:tcW w:w="2256" w:type="dxa"/>
            <w:tcMar>
              <w:left w:w="100" w:type="dxa"/>
              <w:right w:w="100" w:type="dxa"/>
            </w:tcMar>
          </w:tcPr>
          <w:p w14:paraId="4BDF36D3" w14:textId="77777777" w:rsidR="006A3BC5" w:rsidRDefault="00000000">
            <w:pPr>
              <w:spacing w:before="50" w:after="50" w:line="276" w:lineRule="auto"/>
            </w:pPr>
            <w:r>
              <w:rPr>
                <w:color w:val="546E7A"/>
                <w:sz w:val="18"/>
              </w:rPr>
              <w:t>No reduction; confidential handling; technical assistance</w:t>
            </w:r>
          </w:p>
        </w:tc>
        <w:tc>
          <w:tcPr>
            <w:tcW w:w="2256" w:type="dxa"/>
            <w:tcMar>
              <w:left w:w="100" w:type="dxa"/>
              <w:right w:w="100" w:type="dxa"/>
            </w:tcMar>
          </w:tcPr>
          <w:p w14:paraId="4D471F08" w14:textId="77777777" w:rsidR="006A3BC5" w:rsidRDefault="00000000">
            <w:pPr>
              <w:spacing w:before="50" w:after="50" w:line="276" w:lineRule="auto"/>
            </w:pPr>
            <w:r>
              <w:rPr>
                <w:color w:val="546E7A"/>
                <w:sz w:val="18"/>
              </w:rPr>
              <w:t>Not applicable; no benefit moves</w:t>
            </w:r>
          </w:p>
        </w:tc>
      </w:tr>
      <w:tr w:rsidR="006A3BC5" w14:paraId="60BE2C28" w14:textId="77777777">
        <w:tc>
          <w:tcPr>
            <w:tcW w:w="2256" w:type="dxa"/>
            <w:tcMar>
              <w:left w:w="100" w:type="dxa"/>
              <w:right w:w="100" w:type="dxa"/>
            </w:tcMar>
          </w:tcPr>
          <w:p w14:paraId="579D6357" w14:textId="77777777" w:rsidR="006A3BC5" w:rsidRDefault="00000000">
            <w:pPr>
              <w:spacing w:before="50" w:after="50" w:line="276" w:lineRule="auto"/>
            </w:pPr>
            <w:r>
              <w:rPr>
                <w:color w:val="546E7A"/>
                <w:sz w:val="18"/>
              </w:rPr>
              <w:t>Tier 2: Material</w:t>
            </w:r>
          </w:p>
        </w:tc>
        <w:tc>
          <w:tcPr>
            <w:tcW w:w="2256" w:type="dxa"/>
            <w:tcMar>
              <w:left w:w="100" w:type="dxa"/>
              <w:right w:w="100" w:type="dxa"/>
            </w:tcMar>
          </w:tcPr>
          <w:p w14:paraId="4BF8D32D" w14:textId="77777777" w:rsidR="006A3BC5" w:rsidRDefault="00000000">
            <w:pPr>
              <w:spacing w:before="50" w:after="50" w:line="276" w:lineRule="auto"/>
            </w:pPr>
            <w:r>
              <w:rPr>
                <w:color w:val="546E7A"/>
                <w:sz w:val="18"/>
              </w:rPr>
              <w:t>Unauthorized entry into the corridor; camera outage beyond 48 hours without confirmed cause; fee invoicing outside approved rates</w:t>
            </w:r>
          </w:p>
        </w:tc>
        <w:tc>
          <w:tcPr>
            <w:tcW w:w="2256" w:type="dxa"/>
            <w:tcMar>
              <w:left w:w="100" w:type="dxa"/>
              <w:right w:w="100" w:type="dxa"/>
            </w:tcMar>
          </w:tcPr>
          <w:p w14:paraId="23CA45A2" w14:textId="77777777" w:rsidR="006A3BC5" w:rsidRDefault="00000000">
            <w:pPr>
              <w:spacing w:before="50" w:after="50" w:line="276" w:lineRule="auto"/>
            </w:pPr>
            <w:r>
              <w:rPr>
                <w:color w:val="546E7A"/>
                <w:sz w:val="18"/>
              </w:rPr>
              <w:t>Graduated reduction of non-humanitarian benefits, ten to twenty-five percent by duration; humanitarian flows untouched</w:t>
            </w:r>
          </w:p>
        </w:tc>
        <w:tc>
          <w:tcPr>
            <w:tcW w:w="2256" w:type="dxa"/>
            <w:tcMar>
              <w:left w:w="100" w:type="dxa"/>
              <w:right w:w="100" w:type="dxa"/>
            </w:tcMar>
          </w:tcPr>
          <w:p w14:paraId="21DE1AFD" w14:textId="77777777" w:rsidR="006A3BC5" w:rsidRDefault="00000000">
            <w:pPr>
              <w:spacing w:before="50" w:after="50" w:line="276" w:lineRule="auto"/>
            </w:pPr>
            <w:r>
              <w:rPr>
                <w:color w:val="546E7A"/>
                <w:sz w:val="18"/>
              </w:rPr>
              <w:t>Full restoration after fourteen consecutive clean days plus cell certification</w:t>
            </w:r>
          </w:p>
        </w:tc>
      </w:tr>
      <w:tr w:rsidR="006A3BC5" w14:paraId="20948D92" w14:textId="77777777">
        <w:tc>
          <w:tcPr>
            <w:tcW w:w="2256" w:type="dxa"/>
            <w:tcMar>
              <w:left w:w="100" w:type="dxa"/>
              <w:right w:w="100" w:type="dxa"/>
            </w:tcMar>
          </w:tcPr>
          <w:p w14:paraId="7AB0E8F9" w14:textId="77777777" w:rsidR="006A3BC5" w:rsidRDefault="00000000">
            <w:pPr>
              <w:spacing w:before="50" w:after="50" w:line="276" w:lineRule="auto"/>
            </w:pPr>
            <w:r>
              <w:rPr>
                <w:color w:val="546E7A"/>
                <w:sz w:val="18"/>
              </w:rPr>
              <w:t>Tier 3: Deliberate</w:t>
            </w:r>
          </w:p>
        </w:tc>
        <w:tc>
          <w:tcPr>
            <w:tcW w:w="2256" w:type="dxa"/>
            <w:tcMar>
              <w:left w:w="100" w:type="dxa"/>
              <w:right w:w="100" w:type="dxa"/>
            </w:tcMar>
          </w:tcPr>
          <w:p w14:paraId="6FE68E9E" w14:textId="77777777" w:rsidR="006A3BC5" w:rsidRDefault="00000000">
            <w:pPr>
              <w:spacing w:before="50" w:after="50" w:line="276" w:lineRule="auto"/>
            </w:pPr>
            <w:r>
              <w:rPr>
                <w:color w:val="546E7A"/>
                <w:sz w:val="18"/>
              </w:rPr>
              <w:t>Attack on observers or inspectors; placement of new hazards in a certified lane; diversion of escrowed funds; seal tampering</w:t>
            </w:r>
          </w:p>
        </w:tc>
        <w:tc>
          <w:tcPr>
            <w:tcW w:w="2256" w:type="dxa"/>
            <w:tcMar>
              <w:left w:w="100" w:type="dxa"/>
              <w:right w:w="100" w:type="dxa"/>
            </w:tcMar>
          </w:tcPr>
          <w:p w14:paraId="7AFA2E78" w14:textId="77777777" w:rsidR="006A3BC5" w:rsidRDefault="00000000">
            <w:pPr>
              <w:spacing w:before="50" w:after="50" w:line="276" w:lineRule="auto"/>
            </w:pPr>
            <w:r>
              <w:rPr>
                <w:color w:val="546E7A"/>
                <w:sz w:val="18"/>
              </w:rPr>
              <w:t>Suspension of non-humanitarian benefits of the affected module only; other modules continue</w:t>
            </w:r>
          </w:p>
        </w:tc>
        <w:tc>
          <w:tcPr>
            <w:tcW w:w="2256" w:type="dxa"/>
            <w:tcMar>
              <w:left w:w="100" w:type="dxa"/>
              <w:right w:w="100" w:type="dxa"/>
            </w:tcMar>
          </w:tcPr>
          <w:p w14:paraId="6AD5A129" w14:textId="77777777" w:rsidR="006A3BC5" w:rsidRDefault="00000000">
            <w:pPr>
              <w:spacing w:before="50" w:after="50" w:line="276" w:lineRule="auto"/>
            </w:pPr>
            <w:r>
              <w:rPr>
                <w:color w:val="546E7A"/>
                <w:sz w:val="18"/>
              </w:rPr>
              <w:t>Full restoration after thirty consecutive clean days plus governance confirmation</w:t>
            </w:r>
          </w:p>
        </w:tc>
      </w:tr>
    </w:tbl>
    <w:p w14:paraId="7E07CE43" w14:textId="77777777" w:rsidR="006A3BC5" w:rsidRDefault="00000000">
      <w:pPr>
        <w:pStyle w:val="Heading2"/>
      </w:pPr>
      <w:bookmarkStart w:id="64" w:name="_Toc235570036"/>
      <w:r>
        <w:t>9.3 Earn-Back and Over-Compliance Credit</w:t>
      </w:r>
      <w:bookmarkEnd w:id="64"/>
    </w:p>
    <w:p w14:paraId="0C80D156" w14:textId="77777777" w:rsidR="006A3BC5" w:rsidRDefault="00000000">
      <w:r>
        <w:t>Every reduction reverses in full on verified remediation plus a clean monitoring period. Earn-back never requires an admission of fault, a payment, or a political concession; it requires verified compliance and nothing else. Over-compliance during remediation, meaning performance twenty percent above baseline, shortens the monitoring period by up to twenty-five percent. Completed milestones and released benefits stay in force regardless of later slippage; no Party moves the goalposts after the other side delivers.</w:t>
      </w:r>
    </w:p>
    <w:p w14:paraId="44EB806C" w14:textId="77777777" w:rsidR="006A3BC5" w:rsidRDefault="00000000">
      <w:pPr>
        <w:pStyle w:val="Heading2"/>
      </w:pPr>
      <w:bookmarkStart w:id="65" w:name="_Toc235570037"/>
      <w:r>
        <w:t>9.4 The Humanitarian Firewall</w:t>
      </w:r>
      <w:bookmarkEnd w:id="65"/>
    </w:p>
    <w:p w14:paraId="19AA8135" w14:textId="77777777" w:rsidR="006A3BC5" w:rsidRDefault="00000000">
      <w:r>
        <w:t xml:space="preserve">Humanitarian-badged flows pass a one-way firewall and never reverse: medicine, food, medical equipment, the humanitarian corridor through the Strait, medical-isotope shipments, and UN agency </w:t>
      </w:r>
      <w:r>
        <w:lastRenderedPageBreak/>
        <w:t>operations continue under every classification, every suspension, and every exit scenario. Beyond the firewall, four elements stand as permanent humanitarian continuity, independent of this Track and of its political fortunes: the military deconfliction hotline through the Omani relay, the humanitarian corridor through the Strait at zero cost under UN mandate, the emergency diplomatic channel through the facilitators, and IAEA baseline monitoring together with the continuity of every verified nuclear reduction already executed. These measures continue indefinitely as standing humanitarian measures under UN auspices, not as failure planning with an end date. Only mutual recorded consent of both Parties suspends any of them, and any suspension undergoes review at each cycle boundary.</w:t>
      </w:r>
    </w:p>
    <w:p w14:paraId="3D2B9D27" w14:textId="77777777" w:rsidR="006A3BC5" w:rsidRDefault="00000000">
      <w:pPr>
        <w:pStyle w:val="Heading2"/>
      </w:pPr>
      <w:bookmarkStart w:id="66" w:name="_Toc235570038"/>
      <w:r>
        <w:t>9.5 No Automatic Snapback</w:t>
      </w:r>
      <w:bookmarkEnd w:id="66"/>
    </w:p>
    <w:p w14:paraId="4D38C546" w14:textId="77777777" w:rsidR="006A3BC5" w:rsidRDefault="00000000">
      <w:r>
        <w:t>No compliance event triggers an automatic, irreversible suspension of benefits. The step-back ladder is the exclusive enforcement mechanism. Penalties reduce future tranches in proportion to the violation; they never claw back funds already released. Released value stays released, creating a ratchet that rewards staying in the framework.</w:t>
      </w:r>
    </w:p>
    <w:p w14:paraId="15F4DBAF" w14:textId="77777777" w:rsidR="006A3BC5" w:rsidRDefault="00000000">
      <w:pPr>
        <w:pStyle w:val="Heading2"/>
      </w:pPr>
      <w:bookmarkStart w:id="67" w:name="_Toc235570039"/>
      <w:r>
        <w:t>9.6 Decoupling from Force</w:t>
      </w:r>
      <w:bookmarkEnd w:id="67"/>
    </w:p>
    <w:p w14:paraId="6D9C8676" w14:textId="77777777" w:rsidR="006A3BC5" w:rsidRDefault="00000000">
      <w:r>
        <w:t>No compliance dispute, no classification, and no suspension authorizes, triggers, or justifies the use of military force by either Party. Military action requires a separate, explicit decision by the respective head of government under constitutional procedures. This separation is absolute.</w:t>
      </w:r>
    </w:p>
    <w:p w14:paraId="28DF5E6C" w14:textId="77777777" w:rsidR="006A3BC5" w:rsidRDefault="00000000">
      <w:pPr>
        <w:pStyle w:val="Heading2"/>
      </w:pPr>
      <w:bookmarkStart w:id="68" w:name="_Toc235570040"/>
      <w:r>
        <w:t>9.7 Attribution and the Rogue Actor Pathway</w:t>
      </w:r>
      <w:bookmarkEnd w:id="68"/>
    </w:p>
    <w:p w14:paraId="1C360AF6" w14:textId="77777777" w:rsidR="006A3BC5" w:rsidRDefault="00000000">
      <w:r>
        <w:t>When an incident appears attributable to a rogue or errant element rather than to state direction, the sponsoring Party provides actionable intelligence, including unit identification, communications logs, and chain-of-command records, to the Joint Technical Committee within twenty-four hours. The Committee certifies a rogue-actor finding by consensus within forty-eight hours; absent certification, the incident classifies under the standard ladder of this Article. The Committee's certification undergoes review at each cycle boundary to confirm continued credibility, and a certification that fails review converts to the standard classification pathway. This pathway closes the window in which a Party could otherwise destroy evidence behind a claim of plausible denial.</w:t>
      </w:r>
    </w:p>
    <w:p w14:paraId="37B26DD2" w14:textId="77777777" w:rsidR="006A3BC5" w:rsidRDefault="00000000" w:rsidP="00747E02">
      <w:pPr>
        <w:pStyle w:val="Heading1"/>
      </w:pPr>
      <w:bookmarkStart w:id="69" w:name="_Toc235570041"/>
      <w:r>
        <w:t>Article 10: The Graduated Exit (Eject) Mechanism</w:t>
      </w:r>
      <w:bookmarkEnd w:id="69"/>
    </w:p>
    <w:p w14:paraId="5ABA2A7E" w14:textId="77777777" w:rsidR="006A3BC5" w:rsidRDefault="00000000">
      <w:pPr>
        <w:pStyle w:val="Heading2"/>
      </w:pPr>
      <w:bookmarkStart w:id="70" w:name="_Toc235570042"/>
      <w:r>
        <w:t>10.1 Design Logic</w:t>
      </w:r>
      <w:bookmarkEnd w:id="70"/>
    </w:p>
    <w:p w14:paraId="32FCFD3D" w14:textId="77777777" w:rsidR="006A3BC5" w:rsidRDefault="00000000">
      <w:r>
        <w:t>The Track replaces the cliff-edge exit with a graduated ladder, so that hardliners in both capitals face a price for sudden rupture and negotiators always hold a runway. Every exit path keeps the standing humanitarian measures of Article 9.4 alive. Threatening non-renewal costs nothing and buys negotiating space; sudden withdrawal costs real value.</w:t>
      </w:r>
    </w:p>
    <w:p w14:paraId="2E8BE25B" w14:textId="77777777" w:rsidR="006A3BC5" w:rsidRDefault="00000000">
      <w:pPr>
        <w:pStyle w:val="Heading2"/>
      </w:pPr>
      <w:bookmarkStart w:id="71" w:name="_Toc235570043"/>
      <w:r>
        <w:lastRenderedPageBreak/>
        <w:t>10.2 The Notice Ladder</w:t>
      </w:r>
      <w:bookmarkEnd w:id="71"/>
    </w:p>
    <w:p w14:paraId="477784B1" w14:textId="77777777" w:rsidR="006A3BC5" w:rsidRDefault="00000000">
      <w:pPr>
        <w:pStyle w:val="Caption"/>
        <w:keepNext/>
      </w:pPr>
      <w:r>
        <w:rPr>
          <w:b/>
        </w:rPr>
        <w:t>Table 8: The exit ladder</w:t>
      </w:r>
    </w:p>
    <w:tbl>
      <w:tblPr>
        <w:tblW w:w="5000" w:type="pct"/>
        <w:tblInd w:w="100" w:type="dxa"/>
        <w:tblBorders>
          <w:top w:val="single" w:sz="12" w:space="0" w:color="37474F"/>
          <w:bottom w:val="single" w:sz="12" w:space="0" w:color="37474F"/>
          <w:insideH w:val="single" w:sz="4" w:space="0" w:color="CDD6DB"/>
          <w:insideV w:val="single" w:sz="4" w:space="0" w:color="CDD6DB"/>
        </w:tblBorders>
        <w:tblCellMar>
          <w:left w:w="10" w:type="dxa"/>
          <w:right w:w="10" w:type="dxa"/>
        </w:tblCellMar>
        <w:tblLook w:val="04A0" w:firstRow="1" w:lastRow="0" w:firstColumn="1" w:lastColumn="0" w:noHBand="0" w:noVBand="1"/>
      </w:tblPr>
      <w:tblGrid>
        <w:gridCol w:w="4613"/>
        <w:gridCol w:w="4613"/>
      </w:tblGrid>
      <w:tr w:rsidR="006A3BC5" w14:paraId="2F88BCD2" w14:textId="77777777">
        <w:trPr>
          <w:tblHeader/>
        </w:trPr>
        <w:tc>
          <w:tcPr>
            <w:tcW w:w="4513" w:type="dxa"/>
            <w:shd w:val="clear" w:color="auto" w:fill="ECEFF1"/>
            <w:tcMar>
              <w:left w:w="100" w:type="dxa"/>
              <w:right w:w="100" w:type="dxa"/>
            </w:tcMar>
          </w:tcPr>
          <w:p w14:paraId="4F2A46A7" w14:textId="77777777" w:rsidR="006A3BC5" w:rsidRDefault="00000000">
            <w:pPr>
              <w:spacing w:before="60" w:after="60" w:line="276" w:lineRule="auto"/>
            </w:pPr>
            <w:r>
              <w:rPr>
                <w:b/>
                <w:sz w:val="18"/>
              </w:rPr>
              <w:t>Notice Given</w:t>
            </w:r>
          </w:p>
        </w:tc>
        <w:tc>
          <w:tcPr>
            <w:tcW w:w="4513" w:type="dxa"/>
            <w:shd w:val="clear" w:color="auto" w:fill="ECEFF1"/>
            <w:tcMar>
              <w:left w:w="100" w:type="dxa"/>
              <w:right w:w="100" w:type="dxa"/>
            </w:tcMar>
          </w:tcPr>
          <w:p w14:paraId="23E55208" w14:textId="77777777" w:rsidR="006A3BC5" w:rsidRDefault="00000000">
            <w:pPr>
              <w:spacing w:before="60" w:after="60" w:line="276" w:lineRule="auto"/>
            </w:pPr>
            <w:r>
              <w:rPr>
                <w:b/>
                <w:sz w:val="18"/>
              </w:rPr>
              <w:t>Consequence</w:t>
            </w:r>
          </w:p>
        </w:tc>
      </w:tr>
      <w:tr w:rsidR="006A3BC5" w14:paraId="29E73F2D" w14:textId="77777777">
        <w:tc>
          <w:tcPr>
            <w:tcW w:w="4513" w:type="dxa"/>
            <w:tcMar>
              <w:left w:w="100" w:type="dxa"/>
              <w:right w:w="100" w:type="dxa"/>
            </w:tcMar>
          </w:tcPr>
          <w:p w14:paraId="2BC09BCF" w14:textId="77777777" w:rsidR="006A3BC5" w:rsidRDefault="00000000">
            <w:pPr>
              <w:spacing w:before="50" w:after="50" w:line="276" w:lineRule="auto"/>
            </w:pPr>
            <w:r>
              <w:rPr>
                <w:color w:val="546E7A"/>
                <w:sz w:val="18"/>
              </w:rPr>
              <w:t>Sixty days, full notice</w:t>
            </w:r>
          </w:p>
        </w:tc>
        <w:tc>
          <w:tcPr>
            <w:tcW w:w="4513" w:type="dxa"/>
            <w:tcMar>
              <w:left w:w="100" w:type="dxa"/>
              <w:right w:w="100" w:type="dxa"/>
            </w:tcMar>
          </w:tcPr>
          <w:p w14:paraId="17260DAC" w14:textId="77777777" w:rsidR="006A3BC5" w:rsidRDefault="00000000">
            <w:pPr>
              <w:spacing w:before="50" w:after="50" w:line="276" w:lineRule="auto"/>
            </w:pPr>
            <w:r>
              <w:rPr>
                <w:color w:val="546E7A"/>
                <w:sz w:val="18"/>
              </w:rPr>
              <w:t>All operational protocols continue for the full notice period, then cease gracefully at the boundary. Both Parties revert to their pre-Track status with no penalty. Escrow balances settle per the deposit schedule.</w:t>
            </w:r>
          </w:p>
        </w:tc>
      </w:tr>
      <w:tr w:rsidR="006A3BC5" w14:paraId="69DA7B74" w14:textId="77777777">
        <w:tc>
          <w:tcPr>
            <w:tcW w:w="4513" w:type="dxa"/>
            <w:tcMar>
              <w:left w:w="100" w:type="dxa"/>
              <w:right w:w="100" w:type="dxa"/>
            </w:tcMar>
          </w:tcPr>
          <w:p w14:paraId="276F63F6" w14:textId="77777777" w:rsidR="006A3BC5" w:rsidRDefault="00000000">
            <w:pPr>
              <w:spacing w:before="50" w:after="50" w:line="276" w:lineRule="auto"/>
            </w:pPr>
            <w:r>
              <w:rPr>
                <w:color w:val="546E7A"/>
                <w:sz w:val="18"/>
              </w:rPr>
              <w:t>Forty-five days, short notice</w:t>
            </w:r>
          </w:p>
        </w:tc>
        <w:tc>
          <w:tcPr>
            <w:tcW w:w="4513" w:type="dxa"/>
            <w:tcMar>
              <w:left w:w="100" w:type="dxa"/>
              <w:right w:w="100" w:type="dxa"/>
            </w:tcMar>
          </w:tcPr>
          <w:p w14:paraId="775A9A33" w14:textId="77777777" w:rsidR="006A3BC5" w:rsidRDefault="00000000">
            <w:pPr>
              <w:spacing w:before="50" w:after="50" w:line="276" w:lineRule="auto"/>
            </w:pPr>
            <w:r>
              <w:rPr>
                <w:color w:val="546E7A"/>
                <w:sz w:val="18"/>
              </w:rPr>
              <w:t>A mandatory 72-hour crisis session convenes at the UN Security Council, with neutral mediators empowered to propose an emergency thirty-day cooling extension. All protocols continue through the session and any extension.</w:t>
            </w:r>
          </w:p>
        </w:tc>
      </w:tr>
      <w:tr w:rsidR="006A3BC5" w14:paraId="6B19A57C" w14:textId="77777777">
        <w:tc>
          <w:tcPr>
            <w:tcW w:w="4513" w:type="dxa"/>
            <w:tcMar>
              <w:left w:w="100" w:type="dxa"/>
              <w:right w:w="100" w:type="dxa"/>
            </w:tcMar>
          </w:tcPr>
          <w:p w14:paraId="7DBF04C0" w14:textId="77777777" w:rsidR="006A3BC5" w:rsidRDefault="00000000">
            <w:pPr>
              <w:spacing w:before="50" w:after="50" w:line="276" w:lineRule="auto"/>
            </w:pPr>
            <w:r>
              <w:rPr>
                <w:color w:val="546E7A"/>
                <w:sz w:val="18"/>
              </w:rPr>
              <w:t>Thirty days or less, sudden withdrawal</w:t>
            </w:r>
          </w:p>
        </w:tc>
        <w:tc>
          <w:tcPr>
            <w:tcW w:w="4513" w:type="dxa"/>
            <w:tcMar>
              <w:left w:w="100" w:type="dxa"/>
              <w:right w:w="100" w:type="dxa"/>
            </w:tcMar>
          </w:tcPr>
          <w:p w14:paraId="2426445F" w14:textId="77777777" w:rsidR="006A3BC5" w:rsidRDefault="00000000">
            <w:pPr>
              <w:spacing w:before="50" w:after="50" w:line="276" w:lineRule="auto"/>
            </w:pPr>
            <w:r>
              <w:rPr>
                <w:color w:val="546E7A"/>
                <w:sz w:val="18"/>
              </w:rPr>
              <w:t>The withdrawing Party's escrow deposits, where the optional Annex E arrangement is in effect, enter rolling suspension for twelve cycles: held but inaccessible, lifting automatically upon twelve consecutive cycles of renewed participation, and never touching the humanitarian channel. The withdrawing Party's observer and telemetry access enters suspension on the same rolling terms.</w:t>
            </w:r>
          </w:p>
        </w:tc>
      </w:tr>
    </w:tbl>
    <w:p w14:paraId="51EE6FFF" w14:textId="77777777" w:rsidR="006A3BC5" w:rsidRDefault="00000000">
      <w:pPr>
        <w:pStyle w:val="Heading2"/>
      </w:pPr>
      <w:bookmarkStart w:id="72" w:name="_Toc235570044"/>
      <w:r>
        <w:t>10.3 Financial Guarantees</w:t>
      </w:r>
      <w:bookmarkEnd w:id="72"/>
    </w:p>
    <w:p w14:paraId="434B5D7B" w14:textId="77777777" w:rsidR="006A3BC5" w:rsidRDefault="00000000">
      <w:r>
        <w:t>The core framework carries no mandatory financial deposit of any kind. An optional exit escrow, subject to separate negotiation between the Parties, appears in Annex E. That annex forms no part of the core framework, and the Track enters into force and operates in full without it.</w:t>
      </w:r>
    </w:p>
    <w:p w14:paraId="3D4E1B57" w14:textId="77777777" w:rsidR="006A3BC5" w:rsidRDefault="00000000">
      <w:pPr>
        <w:pStyle w:val="Heading2"/>
      </w:pPr>
      <w:bookmarkStart w:id="73" w:name="_Toc235570045"/>
      <w:r>
        <w:t>10.4 Effects on the Nuclear Bridge</w:t>
      </w:r>
      <w:bookmarkEnd w:id="73"/>
    </w:p>
    <w:p w14:paraId="787BA268" w14:textId="77777777" w:rsidR="006A3BC5" w:rsidRDefault="00000000">
      <w:r>
        <w:t>If the United States withdraws, the seal regime of Article 5 ends at the expiry of the notice period and Iran regains full access to the storage area. If Iran withdraws, the United States invokes the notice ladder and the pre-Track sanctions posture returns in stages matching the ladder, with the final stage landing at the expiry of the notice period. In every scenario, IAEA baseline monitoring continues indefinitely under Article 9.4, and the down-blended material stays down-blended: verified reductions of the stockpile never reverse.</w:t>
      </w:r>
    </w:p>
    <w:p w14:paraId="3A126CC3" w14:textId="77777777" w:rsidR="006A3BC5" w:rsidRDefault="00000000">
      <w:pPr>
        <w:pStyle w:val="Heading2"/>
      </w:pPr>
      <w:bookmarkStart w:id="74" w:name="_Toc235570046"/>
      <w:r>
        <w:t>10.5 Reconstitution</w:t>
      </w:r>
      <w:bookmarkEnd w:id="74"/>
    </w:p>
    <w:p w14:paraId="6FE34DC7" w14:textId="77777777" w:rsidR="006A3BC5" w:rsidRDefault="00000000">
      <w:r>
        <w:t>If the Track enters full suspension, both Parties attend a Reconstitution Conference hosted by the facilitating states within fourteen days, aimed at restoring the minimum viable core. There is no limit on restart attempts, and a restart never carries a penalty for the prior exit beyond the rolling suspension already in effect.</w:t>
      </w:r>
    </w:p>
    <w:p w14:paraId="23C406A1" w14:textId="77777777" w:rsidR="006A3BC5" w:rsidRDefault="00000000" w:rsidP="00922F7D">
      <w:pPr>
        <w:pStyle w:val="Heading1"/>
      </w:pPr>
      <w:bookmarkStart w:id="75" w:name="_Toc235570047"/>
      <w:r>
        <w:lastRenderedPageBreak/>
        <w:t>Article 11: Governance</w:t>
      </w:r>
      <w:bookmarkEnd w:id="75"/>
    </w:p>
    <w:p w14:paraId="6EE8D2F3" w14:textId="77777777" w:rsidR="006A3BC5" w:rsidRDefault="00000000">
      <w:pPr>
        <w:pStyle w:val="Heading2"/>
      </w:pPr>
      <w:bookmarkStart w:id="76" w:name="_Toc235570048"/>
      <w:r>
        <w:t>11.1 Three Bodies Only</w:t>
      </w:r>
      <w:bookmarkEnd w:id="76"/>
    </w:p>
    <w:p w14:paraId="74F1B261" w14:textId="77777777" w:rsidR="006A3BC5" w:rsidRDefault="00000000">
      <w:r>
        <w:t>Governance runs through the three verification cells of Article 8 acting jointly as the Track Secretariat, seated in Geneva with a maritime desk in Muscat. The Secretariat administers the dashboard, convenes consultations, publishes certificates, and keeps the cycle calendar. It holds no power to suspend, penalize, or interpret beyond the operative text.</w:t>
      </w:r>
    </w:p>
    <w:p w14:paraId="7755280C" w14:textId="77777777" w:rsidR="006A3BC5" w:rsidRDefault="00000000">
      <w:pPr>
        <w:pStyle w:val="Heading2"/>
      </w:pPr>
      <w:bookmarkStart w:id="77" w:name="_Toc235570049"/>
      <w:r>
        <w:t>11.2 Decision Rules</w:t>
      </w:r>
      <w:bookmarkEnd w:id="77"/>
    </w:p>
    <w:p w14:paraId="18EE5B75" w14:textId="77777777" w:rsidR="006A3BC5" w:rsidRDefault="00000000">
      <w:r>
        <w:t>Political questions, meaning waivers, scope changes, and amendments, pass by consensus of both Parties. Technical questions, meaning certifications, timelines, and tolerance adjustments, pass by the verification cells through the convergence standard of Article 8.4. Operational deadlocks route to direct co-arbitration: Oman rules on maritime questions and Switzerland on financial questions, each within forty-eight hours, binding on both Parties, grounded purely in the principle of continuity of the framework.</w:t>
      </w:r>
    </w:p>
    <w:p w14:paraId="0B375E2A" w14:textId="77777777" w:rsidR="006A3BC5" w:rsidRDefault="00000000">
      <w:pPr>
        <w:pStyle w:val="Heading2"/>
      </w:pPr>
      <w:bookmarkStart w:id="78" w:name="_Toc235570050"/>
      <w:r>
        <w:t>11.3 Crisis Contacts</w:t>
      </w:r>
      <w:bookmarkEnd w:id="78"/>
    </w:p>
    <w:p w14:paraId="66242FBF" w14:textId="77777777" w:rsidR="006A3BC5" w:rsidRDefault="00000000">
      <w:r>
        <w:t>Each Party designates a primary, a secondary, and a technical crisis contact, reachable around the clock, and keeps the list current with the Secretariat. The Secretariat tests both primary contacts monthly; three consecutive failed tests log as a Tier 1 event, without penalty.</w:t>
      </w:r>
    </w:p>
    <w:p w14:paraId="15489EF6" w14:textId="77777777" w:rsidR="006A3BC5" w:rsidRDefault="00000000">
      <w:pPr>
        <w:pStyle w:val="Heading2"/>
      </w:pPr>
      <w:bookmarkStart w:id="79" w:name="_Toc235570051"/>
      <w:r>
        <w:t>11.4 Cost-Sharing</w:t>
      </w:r>
      <w:bookmarkEnd w:id="79"/>
    </w:p>
    <w:p w14:paraId="1E06FE6A" w14:textId="77777777" w:rsidR="006A3BC5" w:rsidRDefault="00000000">
      <w:r>
        <w:t>The administrative and operational costs of the Secretariat, the Omani Maritime Cell, and the Swiss Financial Cell fall equally on both Parties, with quarterly reconciliation of accounts. The cost-sharing formula undergoes review at each architecture review and adjusts by consensus. Facilitating states retain the option to waive their own costs; no such waiver creates an obligation on any other Party. No cost dispute suspends any verification activity; funding disagreements route to the co-arbitration channel of Section 11.2.</w:t>
      </w:r>
    </w:p>
    <w:p w14:paraId="550778E2" w14:textId="77777777" w:rsidR="006A3BC5" w:rsidRDefault="00000000" w:rsidP="00164BB0">
      <w:pPr>
        <w:pStyle w:val="Heading1"/>
      </w:pPr>
      <w:bookmarkStart w:id="80" w:name="_Toc235570052"/>
      <w:r>
        <w:t>Article 12: Political Sensitivity and Narrative Protocol</w:t>
      </w:r>
      <w:bookmarkEnd w:id="80"/>
    </w:p>
    <w:p w14:paraId="72799B6C" w14:textId="77777777" w:rsidR="006A3BC5" w:rsidRDefault="00000000">
      <w:pPr>
        <w:pStyle w:val="Heading2"/>
      </w:pPr>
      <w:bookmarkStart w:id="81" w:name="_Toc235570053"/>
      <w:r>
        <w:t>12.1 The Non-Humiliation Doctrine</w:t>
      </w:r>
      <w:bookmarkEnd w:id="81"/>
    </w:p>
    <w:p w14:paraId="3E4C724C" w14:textId="77777777" w:rsidR="006A3BC5" w:rsidRDefault="00000000">
      <w:r>
        <w:t>No Party acknowledges defeat, submission, capitulation, or ideological concession as a condition of participation. Compliance constitutes the fulfillment of negotiated commitments between sovereign equals, not domestic political surrender. This doctrine binds all implementation, all public communication, and all ceremony under this Track. Any official communication that frames the other Party's compliance as surrender or defeat constitutes a narrative disruption under Section 12.4.</w:t>
      </w:r>
    </w:p>
    <w:p w14:paraId="15C9B563" w14:textId="77777777" w:rsidR="006A3BC5" w:rsidRDefault="00000000">
      <w:pPr>
        <w:pStyle w:val="Heading2"/>
      </w:pPr>
      <w:bookmarkStart w:id="82" w:name="_Toc235570054"/>
      <w:r>
        <w:lastRenderedPageBreak/>
        <w:t>12.2 Mutual Architecture Framing</w:t>
      </w:r>
      <w:bookmarkEnd w:id="82"/>
    </w:p>
    <w:p w14:paraId="76406064" w14:textId="77777777" w:rsidR="006A3BC5" w:rsidRDefault="00000000">
      <w:r>
        <w:t>Every prohibitive commitment in this instrument reads as a feature of the shared framework, binding both Parties equally, never as a restraint by one Party for the benefit of the other. The framework architecture excludes kinetic enforcement. Commercial transit operates under an absolute non-interdiction protocol. Stockpile thresholds execute automatically under the verification architecture. Sovereign equality holds in the grammar itself.</w:t>
      </w:r>
    </w:p>
    <w:p w14:paraId="1EBEDCD5" w14:textId="77777777" w:rsidR="006A3BC5" w:rsidRDefault="00000000">
      <w:pPr>
        <w:pStyle w:val="Heading2"/>
      </w:pPr>
      <w:bookmarkStart w:id="83" w:name="_Toc235570055"/>
      <w:r>
        <w:t>12.3 Nomenclature Neutrality</w:t>
      </w:r>
      <w:bookmarkEnd w:id="83"/>
    </w:p>
    <w:p w14:paraId="1B2A9EA3" w14:textId="77777777" w:rsidR="006A3BC5" w:rsidRDefault="00000000">
      <w:r>
        <w:t>The designation Strait of Hormuz governs all instruments under this Track and all filings with international bodies. Each Party retains full authority over its own domestic nomenclature for its own domestic communications, and neither Party objects to the other's internal usage. No Party claims publicly that any other Party accepts, endorses, or legitimizes any domestic designation. The Secretariat maintains a neutral nomenclature register for administrative clarity; the register confers no legal status of any kind.</w:t>
      </w:r>
    </w:p>
    <w:p w14:paraId="4D14A317" w14:textId="77777777" w:rsidR="006A3BC5" w:rsidRDefault="00000000">
      <w:pPr>
        <w:pStyle w:val="Heading2"/>
      </w:pPr>
      <w:bookmarkStart w:id="84" w:name="_Toc235570056"/>
      <w:r>
        <w:t>12.4 Synchronized Announcements and Quiet Remediation</w:t>
      </w:r>
      <w:bookmarkEnd w:id="84"/>
    </w:p>
    <w:p w14:paraId="2BC174F6" w14:textId="77777777" w:rsidR="006A3BC5" w:rsidRDefault="00000000">
      <w:r>
        <w:t>Milestone announcements synchronize: both capitals release pre-agreed, fact-identical statements within a six-hour window, and the facilitators host technical briefings without political framing. Photographic documentation of sensitive activities, including seal application and observer embarkation, takes place only with the advance approval of both Parties. A narrative disruption routes to a quiet remediation channel: the Secretariat contacts both capitals privately, the offending statement receives a factual correction within four hours where feasible, and the matter closes without public escalation. Speeches never override telemetry; only dashboard status moves the Track.</w:t>
      </w:r>
    </w:p>
    <w:p w14:paraId="37B0BF69" w14:textId="77777777" w:rsidR="006A3BC5" w:rsidRDefault="00000000">
      <w:pPr>
        <w:pStyle w:val="Heading2"/>
      </w:pPr>
      <w:bookmarkStart w:id="85" w:name="_Toc235570057"/>
      <w:r>
        <w:t>12.5 What Each Side Gains</w:t>
      </w:r>
      <w:bookmarkEnd w:id="85"/>
    </w:p>
    <w:p w14:paraId="12ABE1E9" w14:textId="77777777" w:rsidR="006A3BC5" w:rsidRDefault="00000000">
      <w:pPr>
        <w:pStyle w:val="Caption"/>
        <w:keepNext/>
      </w:pPr>
      <w:r>
        <w:rPr>
          <w:b/>
        </w:rPr>
        <w:t>Table 9: Symmetric gains</w:t>
      </w:r>
    </w:p>
    <w:tbl>
      <w:tblPr>
        <w:tblW w:w="5000" w:type="pct"/>
        <w:tblInd w:w="100" w:type="dxa"/>
        <w:tblBorders>
          <w:top w:val="single" w:sz="12" w:space="0" w:color="37474F"/>
          <w:bottom w:val="single" w:sz="12" w:space="0" w:color="37474F"/>
          <w:insideH w:val="single" w:sz="4" w:space="0" w:color="CDD6DB"/>
          <w:insideV w:val="single" w:sz="4" w:space="0" w:color="CDD6DB"/>
        </w:tblBorders>
        <w:tblCellMar>
          <w:left w:w="10" w:type="dxa"/>
          <w:right w:w="10" w:type="dxa"/>
        </w:tblCellMar>
        <w:tblLook w:val="04A0" w:firstRow="1" w:lastRow="0" w:firstColumn="1" w:lastColumn="0" w:noHBand="0" w:noVBand="1"/>
      </w:tblPr>
      <w:tblGrid>
        <w:gridCol w:w="3076"/>
        <w:gridCol w:w="3075"/>
        <w:gridCol w:w="3075"/>
      </w:tblGrid>
      <w:tr w:rsidR="006A3BC5" w14:paraId="53E4DAC8" w14:textId="77777777">
        <w:trPr>
          <w:tblHeader/>
        </w:trPr>
        <w:tc>
          <w:tcPr>
            <w:tcW w:w="3008" w:type="dxa"/>
            <w:shd w:val="clear" w:color="auto" w:fill="ECEFF1"/>
            <w:tcMar>
              <w:left w:w="100" w:type="dxa"/>
              <w:right w:w="100" w:type="dxa"/>
            </w:tcMar>
          </w:tcPr>
          <w:p w14:paraId="6706550D" w14:textId="77777777" w:rsidR="006A3BC5" w:rsidRDefault="00000000">
            <w:pPr>
              <w:spacing w:before="60" w:after="60" w:line="276" w:lineRule="auto"/>
            </w:pPr>
            <w:r>
              <w:rPr>
                <w:b/>
                <w:sz w:val="18"/>
              </w:rPr>
              <w:t>Dimension</w:t>
            </w:r>
          </w:p>
        </w:tc>
        <w:tc>
          <w:tcPr>
            <w:tcW w:w="3008" w:type="dxa"/>
            <w:shd w:val="clear" w:color="auto" w:fill="ECEFF1"/>
            <w:tcMar>
              <w:left w:w="100" w:type="dxa"/>
              <w:right w:w="100" w:type="dxa"/>
            </w:tcMar>
          </w:tcPr>
          <w:p w14:paraId="78F9B068" w14:textId="77777777" w:rsidR="006A3BC5" w:rsidRDefault="00000000">
            <w:pPr>
              <w:spacing w:before="60" w:after="60" w:line="276" w:lineRule="auto"/>
            </w:pPr>
            <w:r>
              <w:rPr>
                <w:b/>
                <w:sz w:val="18"/>
              </w:rPr>
              <w:t>Iran States</w:t>
            </w:r>
          </w:p>
        </w:tc>
        <w:tc>
          <w:tcPr>
            <w:tcW w:w="3008" w:type="dxa"/>
            <w:shd w:val="clear" w:color="auto" w:fill="ECEFF1"/>
            <w:tcMar>
              <w:left w:w="100" w:type="dxa"/>
              <w:right w:w="100" w:type="dxa"/>
            </w:tcMar>
          </w:tcPr>
          <w:p w14:paraId="1DF17A13" w14:textId="77777777" w:rsidR="006A3BC5" w:rsidRDefault="00000000">
            <w:pPr>
              <w:spacing w:before="60" w:after="60" w:line="276" w:lineRule="auto"/>
            </w:pPr>
            <w:r>
              <w:rPr>
                <w:b/>
                <w:sz w:val="18"/>
              </w:rPr>
              <w:t>The United States States</w:t>
            </w:r>
          </w:p>
        </w:tc>
      </w:tr>
      <w:tr w:rsidR="006A3BC5" w14:paraId="0A1E812E" w14:textId="77777777">
        <w:tc>
          <w:tcPr>
            <w:tcW w:w="3008" w:type="dxa"/>
            <w:tcMar>
              <w:left w:w="100" w:type="dxa"/>
              <w:right w:w="100" w:type="dxa"/>
            </w:tcMar>
          </w:tcPr>
          <w:p w14:paraId="0DAA071F" w14:textId="77777777" w:rsidR="006A3BC5" w:rsidRDefault="00000000">
            <w:pPr>
              <w:spacing w:before="50" w:after="50" w:line="276" w:lineRule="auto"/>
            </w:pPr>
            <w:r>
              <w:rPr>
                <w:color w:val="546E7A"/>
                <w:sz w:val="18"/>
              </w:rPr>
              <w:t>Maritime</w:t>
            </w:r>
          </w:p>
        </w:tc>
        <w:tc>
          <w:tcPr>
            <w:tcW w:w="3008" w:type="dxa"/>
            <w:tcMar>
              <w:left w:w="100" w:type="dxa"/>
              <w:right w:w="100" w:type="dxa"/>
            </w:tcMar>
          </w:tcPr>
          <w:p w14:paraId="4EDFE948" w14:textId="77777777" w:rsidR="006A3BC5" w:rsidRDefault="00000000">
            <w:pPr>
              <w:spacing w:before="50" w:after="50" w:line="276" w:lineRule="auto"/>
            </w:pPr>
            <w:r>
              <w:rPr>
                <w:color w:val="546E7A"/>
                <w:sz w:val="18"/>
              </w:rPr>
              <w:t>Iranian coastal authority operates openly; service income flows for verified work; the blockade lifts with the cycles</w:t>
            </w:r>
          </w:p>
        </w:tc>
        <w:tc>
          <w:tcPr>
            <w:tcW w:w="3008" w:type="dxa"/>
            <w:tcMar>
              <w:left w:w="100" w:type="dxa"/>
              <w:right w:w="100" w:type="dxa"/>
            </w:tcMar>
          </w:tcPr>
          <w:p w14:paraId="7F0551C2" w14:textId="77777777" w:rsidR="006A3BC5" w:rsidRDefault="00000000">
            <w:pPr>
              <w:spacing w:before="50" w:after="50" w:line="276" w:lineRule="auto"/>
            </w:pPr>
            <w:r>
              <w:rPr>
                <w:color w:val="546E7A"/>
                <w:sz w:val="18"/>
              </w:rPr>
              <w:t>Transit is free, toll-free, and verified; both corridors open; insurers normalize rates</w:t>
            </w:r>
          </w:p>
        </w:tc>
      </w:tr>
      <w:tr w:rsidR="006A3BC5" w14:paraId="4D36B156" w14:textId="77777777">
        <w:tc>
          <w:tcPr>
            <w:tcW w:w="3008" w:type="dxa"/>
            <w:tcMar>
              <w:left w:w="100" w:type="dxa"/>
              <w:right w:w="100" w:type="dxa"/>
            </w:tcMar>
          </w:tcPr>
          <w:p w14:paraId="4F4E855F" w14:textId="77777777" w:rsidR="006A3BC5" w:rsidRDefault="00000000">
            <w:pPr>
              <w:spacing w:before="50" w:after="50" w:line="276" w:lineRule="auto"/>
            </w:pPr>
            <w:r>
              <w:rPr>
                <w:color w:val="546E7A"/>
                <w:sz w:val="18"/>
              </w:rPr>
              <w:t>Nuclear</w:t>
            </w:r>
          </w:p>
        </w:tc>
        <w:tc>
          <w:tcPr>
            <w:tcW w:w="3008" w:type="dxa"/>
            <w:tcMar>
              <w:left w:w="100" w:type="dxa"/>
              <w:right w:w="100" w:type="dxa"/>
            </w:tcMar>
          </w:tcPr>
          <w:p w14:paraId="125F682E" w14:textId="77777777" w:rsidR="006A3BC5" w:rsidRDefault="00000000">
            <w:pPr>
              <w:spacing w:before="50" w:after="50" w:line="276" w:lineRule="auto"/>
            </w:pPr>
            <w:r>
              <w:rPr>
                <w:color w:val="546E7A"/>
                <w:sz w:val="18"/>
              </w:rPr>
              <w:t>Sovereign title to the material never transfers; the material never leaves Iranian soil; enrichment rights remain intact</w:t>
            </w:r>
          </w:p>
        </w:tc>
        <w:tc>
          <w:tcPr>
            <w:tcW w:w="3008" w:type="dxa"/>
            <w:tcMar>
              <w:left w:w="100" w:type="dxa"/>
              <w:right w:w="100" w:type="dxa"/>
            </w:tcMar>
          </w:tcPr>
          <w:p w14:paraId="712C57F1" w14:textId="77777777" w:rsidR="006A3BC5" w:rsidRDefault="00000000">
            <w:pPr>
              <w:spacing w:before="50" w:after="50" w:line="276" w:lineRule="auto"/>
            </w:pPr>
            <w:r>
              <w:rPr>
                <w:color w:val="546E7A"/>
                <w:sz w:val="18"/>
              </w:rPr>
              <w:t>Half the sixty percent stockpile blends down on camera; the rest sits under joint seals with United States technical presence; a full centrifuge baseline exists</w:t>
            </w:r>
          </w:p>
        </w:tc>
      </w:tr>
      <w:tr w:rsidR="006A3BC5" w14:paraId="2EC381BC" w14:textId="77777777">
        <w:tc>
          <w:tcPr>
            <w:tcW w:w="3008" w:type="dxa"/>
            <w:tcMar>
              <w:left w:w="100" w:type="dxa"/>
              <w:right w:w="100" w:type="dxa"/>
            </w:tcMar>
          </w:tcPr>
          <w:p w14:paraId="463E0297" w14:textId="77777777" w:rsidR="006A3BC5" w:rsidRDefault="00000000">
            <w:pPr>
              <w:spacing w:before="50" w:after="50" w:line="276" w:lineRule="auto"/>
            </w:pPr>
            <w:r>
              <w:rPr>
                <w:color w:val="546E7A"/>
                <w:sz w:val="18"/>
              </w:rPr>
              <w:t>Economic</w:t>
            </w:r>
          </w:p>
        </w:tc>
        <w:tc>
          <w:tcPr>
            <w:tcW w:w="3008" w:type="dxa"/>
            <w:tcMar>
              <w:left w:w="100" w:type="dxa"/>
              <w:right w:w="100" w:type="dxa"/>
            </w:tcMar>
          </w:tcPr>
          <w:p w14:paraId="53F6263C" w14:textId="77777777" w:rsidR="006A3BC5" w:rsidRDefault="00000000">
            <w:pPr>
              <w:spacing w:before="50" w:after="50" w:line="276" w:lineRule="auto"/>
            </w:pPr>
            <w:r>
              <w:rPr>
                <w:color w:val="546E7A"/>
                <w:sz w:val="18"/>
              </w:rPr>
              <w:t>Escrow releases, oil waivers, and reconstruction finance arrive through performance, not permission</w:t>
            </w:r>
          </w:p>
        </w:tc>
        <w:tc>
          <w:tcPr>
            <w:tcW w:w="3008" w:type="dxa"/>
            <w:tcMar>
              <w:left w:w="100" w:type="dxa"/>
              <w:right w:w="100" w:type="dxa"/>
            </w:tcMar>
          </w:tcPr>
          <w:p w14:paraId="25259B4C" w14:textId="77777777" w:rsidR="006A3BC5" w:rsidRDefault="00000000">
            <w:pPr>
              <w:spacing w:before="50" w:after="50" w:line="276" w:lineRule="auto"/>
            </w:pPr>
            <w:r>
              <w:rPr>
                <w:color w:val="546E7A"/>
                <w:sz w:val="18"/>
              </w:rPr>
              <w:t>No cash moves on Day 1; every tranche is reversible; no sanctions statute changes</w:t>
            </w:r>
          </w:p>
        </w:tc>
      </w:tr>
      <w:tr w:rsidR="006A3BC5" w14:paraId="5783EFD1" w14:textId="77777777">
        <w:tc>
          <w:tcPr>
            <w:tcW w:w="3008" w:type="dxa"/>
            <w:tcMar>
              <w:left w:w="100" w:type="dxa"/>
              <w:right w:w="100" w:type="dxa"/>
            </w:tcMar>
          </w:tcPr>
          <w:p w14:paraId="1D54DBF2" w14:textId="77777777" w:rsidR="006A3BC5" w:rsidRDefault="00000000">
            <w:pPr>
              <w:spacing w:before="50" w:after="50" w:line="276" w:lineRule="auto"/>
            </w:pPr>
            <w:r>
              <w:rPr>
                <w:color w:val="546E7A"/>
                <w:sz w:val="18"/>
              </w:rPr>
              <w:t>Political</w:t>
            </w:r>
          </w:p>
        </w:tc>
        <w:tc>
          <w:tcPr>
            <w:tcW w:w="3008" w:type="dxa"/>
            <w:tcMar>
              <w:left w:w="100" w:type="dxa"/>
              <w:right w:w="100" w:type="dxa"/>
            </w:tcMar>
          </w:tcPr>
          <w:p w14:paraId="5B8693CD" w14:textId="77777777" w:rsidR="006A3BC5" w:rsidRDefault="00000000">
            <w:pPr>
              <w:spacing w:before="50" w:after="50" w:line="276" w:lineRule="auto"/>
            </w:pPr>
            <w:r>
              <w:rPr>
                <w:color w:val="546E7A"/>
                <w:sz w:val="18"/>
              </w:rPr>
              <w:t xml:space="preserve">Resistance diplomacy produced </w:t>
            </w:r>
            <w:r>
              <w:rPr>
                <w:color w:val="546E7A"/>
                <w:sz w:val="18"/>
              </w:rPr>
              <w:lastRenderedPageBreak/>
              <w:t>results; Iran moved as an equal, never as a supplicant</w:t>
            </w:r>
          </w:p>
        </w:tc>
        <w:tc>
          <w:tcPr>
            <w:tcW w:w="3008" w:type="dxa"/>
            <w:tcMar>
              <w:left w:w="100" w:type="dxa"/>
              <w:right w:w="100" w:type="dxa"/>
            </w:tcMar>
          </w:tcPr>
          <w:p w14:paraId="54E104DA" w14:textId="77777777" w:rsidR="006A3BC5" w:rsidRDefault="00000000">
            <w:pPr>
              <w:spacing w:before="50" w:after="50" w:line="276" w:lineRule="auto"/>
            </w:pPr>
            <w:r>
              <w:rPr>
                <w:color w:val="546E7A"/>
                <w:sz w:val="18"/>
              </w:rPr>
              <w:lastRenderedPageBreak/>
              <w:t xml:space="preserve">American leadership set the terms; </w:t>
            </w:r>
            <w:r>
              <w:rPr>
                <w:color w:val="546E7A"/>
                <w:sz w:val="18"/>
              </w:rPr>
              <w:lastRenderedPageBreak/>
              <w:t>verification sits inside Iranian facilities; every option remains intact</w:t>
            </w:r>
          </w:p>
        </w:tc>
      </w:tr>
    </w:tbl>
    <w:p w14:paraId="74F6134E" w14:textId="77777777" w:rsidR="006A3BC5" w:rsidRDefault="00000000" w:rsidP="00426958">
      <w:pPr>
        <w:pStyle w:val="Heading1"/>
      </w:pPr>
      <w:bookmarkStart w:id="86" w:name="_Toc235570058"/>
      <w:r>
        <w:t>Article 13: Final Provisions</w:t>
      </w:r>
      <w:bookmarkEnd w:id="86"/>
    </w:p>
    <w:p w14:paraId="7A30D963" w14:textId="77777777" w:rsidR="006A3BC5" w:rsidRDefault="00000000">
      <w:pPr>
        <w:pStyle w:val="Heading2"/>
      </w:pPr>
      <w:bookmarkStart w:id="87" w:name="_Toc235570059"/>
      <w:r>
        <w:t>13.1 Entry into Force</w:t>
      </w:r>
      <w:bookmarkEnd w:id="87"/>
    </w:p>
    <w:p w14:paraId="3F1097FC" w14:textId="77777777" w:rsidR="006A3BC5" w:rsidRDefault="00000000">
      <w:r>
        <w:t>This Track enters into force upon the exchange of signed Letters of Intent through the facilitator channel, confirmed on the shared dashboard. Executive authority suffices for entry into force in both systems, consistent with the precedent of the 1981 Algiers Accords. The depositary is the Swiss Federal Council.</w:t>
      </w:r>
    </w:p>
    <w:p w14:paraId="7AA38379" w14:textId="77777777" w:rsidR="006A3BC5" w:rsidRDefault="00000000">
      <w:pPr>
        <w:pStyle w:val="Heading2"/>
      </w:pPr>
      <w:bookmarkStart w:id="88" w:name="_Toc235570060"/>
      <w:r>
        <w:t>13.2 No Precedent</w:t>
      </w:r>
      <w:bookmarkEnd w:id="88"/>
    </w:p>
    <w:p w14:paraId="6DF7AC7E" w14:textId="77777777" w:rsidR="006A3BC5" w:rsidRDefault="00000000">
      <w:r>
        <w:t>This instrument establishes no legal or political precedent for any other dispute, waterway, sanctions regime, or bilateral relationship. It is sui generis, tailored to the circumstances of July 2026. No provision creates an inference regarding any matter the text does not expressly address.</w:t>
      </w:r>
    </w:p>
    <w:p w14:paraId="51A16192" w14:textId="77777777" w:rsidR="006A3BC5" w:rsidRDefault="00000000">
      <w:pPr>
        <w:pStyle w:val="Heading2"/>
      </w:pPr>
      <w:bookmarkStart w:id="89" w:name="_Toc235570061"/>
      <w:r>
        <w:t>13.3 Severability</w:t>
      </w:r>
      <w:bookmarkEnd w:id="89"/>
    </w:p>
    <w:p w14:paraId="37290B5C" w14:textId="77777777" w:rsidR="006A3BC5" w:rsidRDefault="00000000">
      <w:r>
        <w:t>If any provision proves unenforceable in any jurisdiction, every other provision continues unchanged. No single clause carries the framework.</w:t>
      </w:r>
    </w:p>
    <w:p w14:paraId="3CA5A2C9" w14:textId="77777777" w:rsidR="006A3BC5" w:rsidRDefault="00000000">
      <w:pPr>
        <w:pStyle w:val="Heading2"/>
      </w:pPr>
      <w:bookmarkStart w:id="90" w:name="_Toc235570062"/>
      <w:r>
        <w:t>13.4 Good Faith and Non-Weaponization</w:t>
      </w:r>
      <w:bookmarkEnd w:id="90"/>
    </w:p>
    <w:p w14:paraId="3962D51B" w14:textId="77777777" w:rsidR="006A3BC5" w:rsidRDefault="00000000">
      <w:r>
        <w:t>Neither Party exploits drafting gaps or technical ambiguities to manufacture breaches, accelerate escalation, or extract concessions unrelated to compliance. A patterned exploitation of procedure routes to governance review of the exploiting Party's own conduct.</w:t>
      </w:r>
    </w:p>
    <w:p w14:paraId="1F964FB7" w14:textId="77777777" w:rsidR="006A3BC5" w:rsidRDefault="00000000">
      <w:pPr>
        <w:pStyle w:val="Heading2"/>
      </w:pPr>
      <w:bookmarkStart w:id="91" w:name="_Toc235570063"/>
      <w:r>
        <w:t>13.5 No Goalpost Moving</w:t>
      </w:r>
      <w:bookmarkEnd w:id="91"/>
    </w:p>
    <w:p w14:paraId="647CF054" w14:textId="77777777" w:rsidR="006A3BC5" w:rsidRDefault="00000000">
      <w:r>
        <w:t>Neither Party unilaterally redefines a certified compliance criterion, verification standard, or threshold after certification. Completed milestones and released benefits stand regardless of later developments.</w:t>
      </w:r>
    </w:p>
    <w:p w14:paraId="281C9FFB" w14:textId="77777777" w:rsidR="006A3BC5" w:rsidRDefault="00000000">
      <w:pPr>
        <w:pStyle w:val="Heading2"/>
      </w:pPr>
      <w:bookmarkStart w:id="92" w:name="_Toc235570064"/>
      <w:r>
        <w:t>13.6 Legal Character</w:t>
      </w:r>
      <w:bookmarkEnd w:id="92"/>
    </w:p>
    <w:p w14:paraId="6D323560" w14:textId="77777777" w:rsidR="006A3BC5" w:rsidRDefault="00000000">
      <w:r>
        <w:t>Implementation occurs through existing lawful authorities in both systems. Nothing in this instrument compels either Party to violate its constitution, its law, or its binding international obligations. Sovereign immunity remains intact. No private right of action arises.</w:t>
      </w:r>
    </w:p>
    <w:p w14:paraId="3A3691DF" w14:textId="77777777" w:rsidR="006A3BC5" w:rsidRDefault="00000000">
      <w:pPr>
        <w:pStyle w:val="Heading2"/>
      </w:pPr>
      <w:bookmarkStart w:id="93" w:name="_Toc235570065"/>
      <w:r>
        <w:lastRenderedPageBreak/>
        <w:t>13.7 Languages</w:t>
      </w:r>
      <w:bookmarkEnd w:id="93"/>
    </w:p>
    <w:p w14:paraId="5A86E45D" w14:textId="77777777" w:rsidR="006A3BC5" w:rsidRDefault="00000000">
      <w:r>
        <w:t>This instrument exists in English, Persian, and French, all texts equally authentic. The English text governs interpretation, and the Swiss Federal Council provides certified translations.</w:t>
      </w:r>
    </w:p>
    <w:p w14:paraId="03F3A126" w14:textId="77777777" w:rsidR="006A3BC5" w:rsidRDefault="00000000">
      <w:pPr>
        <w:pStyle w:val="Heading2"/>
      </w:pPr>
      <w:bookmarkStart w:id="94" w:name="_Toc235570066"/>
      <w:r>
        <w:t>13.8 Rolling Review of Annexes</w:t>
      </w:r>
      <w:bookmarkEnd w:id="94"/>
    </w:p>
    <w:p w14:paraId="3479EEB8" w14:textId="77777777" w:rsidR="006A3BC5" w:rsidRDefault="00000000">
      <w:r>
        <w:t>All annexes undergo review at each architecture review, convened every fourth cycle, and amendment occurs by consensus. An annex left unreviewed for six consecutive cycles stands automatically confirmed for a further six cycles, with review continuing on the same rolling schedule. No annex expires by silence, and no annex fossilizes beyond the reach of consensus.</w:t>
      </w:r>
    </w:p>
    <w:p w14:paraId="0F111012" w14:textId="77777777" w:rsidR="006A3BC5" w:rsidRDefault="00000000" w:rsidP="00734B07">
      <w:pPr>
        <w:pStyle w:val="Heading1"/>
      </w:pPr>
      <w:bookmarkStart w:id="95" w:name="_Toc235570067"/>
      <w:r>
        <w:t>Annex A: Technical Definitions (Operative)</w:t>
      </w:r>
      <w:bookmarkEnd w:id="95"/>
    </w:p>
    <w:p w14:paraId="42F70941" w14:textId="77777777" w:rsidR="006A3BC5" w:rsidRDefault="00000000">
      <w:r>
        <w:t>The following definitions bind every article of this Track.</w:t>
      </w:r>
    </w:p>
    <w:p w14:paraId="1A2AE8AB" w14:textId="77777777" w:rsidR="006A3BC5" w:rsidRDefault="00000000">
      <w:pPr>
        <w:numPr>
          <w:ilvl w:val="0"/>
          <w:numId w:val="1"/>
        </w:numPr>
        <w:spacing w:after="120" w:line="300" w:lineRule="auto"/>
      </w:pPr>
      <w:r>
        <w:t>Major incident: any intentional act that causes significant structural damage to a vessel, incapacitates a vessel, endangers its crew, or results in loss of life within the Strait area, confirmed through at least two independent verification channels. The definition covers projectile fire, explosive devices including limpet mines, cyberattacks on navigation systems, and deliberate spoofing that results in a collision or grounding, and its reach is not limited to those categories. Technical malfunction, navigational accident, and force majeure do not qualify. The definition undergoes review at each architecture review.</w:t>
      </w:r>
    </w:p>
    <w:p w14:paraId="7B2CAABB" w14:textId="77777777" w:rsidR="006A3BC5" w:rsidRDefault="00000000">
      <w:pPr>
        <w:numPr>
          <w:ilvl w:val="0"/>
          <w:numId w:val="1"/>
        </w:numPr>
        <w:spacing w:after="120" w:line="300" w:lineRule="auto"/>
      </w:pPr>
      <w:r>
        <w:t>Material breach: a Category C event confirmed through the convergence standard of Article 8.4 and affirmed by the technical committees of both Parties, or a pattern of three Category B events of the same type within sixty days.</w:t>
      </w:r>
    </w:p>
    <w:p w14:paraId="7B9EB420" w14:textId="77777777" w:rsidR="006A3BC5" w:rsidRDefault="00000000">
      <w:pPr>
        <w:numPr>
          <w:ilvl w:val="0"/>
          <w:numId w:val="1"/>
        </w:numPr>
        <w:spacing w:after="120" w:line="300" w:lineRule="auto"/>
      </w:pPr>
      <w:r>
        <w:t>Highly enriched uranium: uranium enriched to twenty percent U-235 or above, in any chemical form. The working baseline figure at signature stands at approximately 440 kilograms at sixty percent U-235, per the most recent IAEA reporting.</w:t>
      </w:r>
    </w:p>
    <w:p w14:paraId="12713AEB" w14:textId="77777777" w:rsidR="006A3BC5" w:rsidRDefault="00000000">
      <w:pPr>
        <w:numPr>
          <w:ilvl w:val="0"/>
          <w:numId w:val="1"/>
        </w:numPr>
        <w:spacing w:after="120" w:line="300" w:lineRule="auto"/>
      </w:pPr>
      <w:r>
        <w:t>Down-blend: the verified reduction of enrichment level to no more than 19.75 percent U-235, certified by mass spectrometry.</w:t>
      </w:r>
    </w:p>
    <w:p w14:paraId="1CEE16A0" w14:textId="77777777" w:rsidR="006A3BC5" w:rsidRDefault="00000000">
      <w:pPr>
        <w:numPr>
          <w:ilvl w:val="0"/>
          <w:numId w:val="1"/>
        </w:numPr>
        <w:spacing w:after="120" w:line="300" w:lineRule="auto"/>
      </w:pPr>
      <w:r>
        <w:t>Joint seal: a tamper-evident seal applied and replaced by mixed IAEA and Iranian teams, including IAEA-designated experts seconded to Vienna, with no unilateral access by either Party.</w:t>
      </w:r>
    </w:p>
    <w:p w14:paraId="74E6B603" w14:textId="77777777" w:rsidR="006A3BC5" w:rsidRDefault="00000000">
      <w:pPr>
        <w:numPr>
          <w:ilvl w:val="0"/>
          <w:numId w:val="1"/>
        </w:numPr>
        <w:spacing w:after="120" w:line="300" w:lineRule="auto"/>
      </w:pPr>
      <w:r>
        <w:t>Written notice: a diplomatic note verbale addressed to the depositary and both facilitators, signed at foreign minister level or above, received during business hours at the depositary mission; receipt outside business hours counts as receipt at 09:00 the next business day.</w:t>
      </w:r>
    </w:p>
    <w:p w14:paraId="51E192A4" w14:textId="77777777" w:rsidR="006A3BC5" w:rsidRDefault="00000000">
      <w:pPr>
        <w:numPr>
          <w:ilvl w:val="0"/>
          <w:numId w:val="1"/>
        </w:numPr>
        <w:spacing w:after="120" w:line="300" w:lineRule="auto"/>
      </w:pPr>
      <w:r>
        <w:t>Escrow: an account administered by the designated neutral agent under pre-agreed contractual terms, insulated from unilateral action by either Party.</w:t>
      </w:r>
    </w:p>
    <w:p w14:paraId="55C379AA" w14:textId="77777777" w:rsidR="006A3BC5" w:rsidRDefault="00000000">
      <w:pPr>
        <w:numPr>
          <w:ilvl w:val="0"/>
          <w:numId w:val="1"/>
        </w:numPr>
        <w:spacing w:after="120" w:line="300" w:lineRule="auto"/>
      </w:pPr>
      <w:r>
        <w:lastRenderedPageBreak/>
        <w:t>Humanitarian categories: medicines and pharmaceuticals; medical equipment and supplies; food and agricultural inputs; civilian aviation safety components; water and sanitation equipment, consistent with the tariff codification of the earlier frameworks.</w:t>
      </w:r>
    </w:p>
    <w:p w14:paraId="471F51AA" w14:textId="77777777" w:rsidR="006A3BC5" w:rsidRDefault="00000000">
      <w:pPr>
        <w:numPr>
          <w:ilvl w:val="0"/>
          <w:numId w:val="1"/>
        </w:numPr>
        <w:spacing w:after="120" w:line="300" w:lineRule="auto"/>
      </w:pPr>
      <w:r>
        <w:t>Dashboard: the Swiss-hosted, cryptographically timestamped, mirrored display system of Article 8.3, visible identically to both Parties.</w:t>
      </w:r>
    </w:p>
    <w:p w14:paraId="178CB79C" w14:textId="77777777" w:rsidR="006A3BC5" w:rsidRDefault="00000000">
      <w:pPr>
        <w:numPr>
          <w:ilvl w:val="0"/>
          <w:numId w:val="1"/>
        </w:numPr>
        <w:spacing w:after="120" w:line="300" w:lineRule="auto"/>
      </w:pPr>
      <w:r>
        <w:t>Architecture review: a comprehensive review of the Track's structure, annexes, trustee designations, definitions, and cost-sharing formula, convened at every fourth cycle boundary, with amendment by consensus only.</w:t>
      </w:r>
    </w:p>
    <w:p w14:paraId="0C6C8EC7" w14:textId="77777777" w:rsidR="006A3BC5" w:rsidRDefault="00000000">
      <w:pPr>
        <w:numPr>
          <w:ilvl w:val="0"/>
          <w:numId w:val="1"/>
        </w:numPr>
        <w:spacing w:after="120" w:line="300" w:lineRule="auto"/>
      </w:pPr>
      <w:r>
        <w:t>Joint Technical Committee: the technical committees of both Parties acting jointly, with the verification cells in attendance, convened for attribution findings and material-breach determinations.</w:t>
      </w:r>
    </w:p>
    <w:p w14:paraId="3BAE1720" w14:textId="77777777" w:rsidR="006A3BC5" w:rsidRDefault="00000000">
      <w:pPr>
        <w:numPr>
          <w:ilvl w:val="0"/>
          <w:numId w:val="1"/>
        </w:numPr>
        <w:spacing w:after="120" w:line="300" w:lineRule="auto"/>
      </w:pPr>
      <w:r>
        <w:t>Cycle boundary: hour zero of any ninety-day cycle, published by the Secretariat.</w:t>
      </w:r>
    </w:p>
    <w:p w14:paraId="6BEAE73D" w14:textId="77777777" w:rsidR="006A3BC5" w:rsidRDefault="00000000" w:rsidP="00740E7B">
      <w:pPr>
        <w:pStyle w:val="Heading1"/>
      </w:pPr>
      <w:bookmarkStart w:id="96" w:name="_Toc235570068"/>
      <w:r>
        <w:t>Annex B: Consolidated Implementation Timeline</w:t>
      </w:r>
      <w:bookmarkEnd w:id="96"/>
    </w:p>
    <w:p w14:paraId="17F62655" w14:textId="77777777" w:rsidR="006A3BC5" w:rsidRDefault="00000000">
      <w:pPr>
        <w:pStyle w:val="Caption"/>
        <w:keepNext/>
      </w:pPr>
      <w:r>
        <w:rPr>
          <w:b/>
        </w:rPr>
        <w:t>Table 10: Timeline from signature through Cycle 3</w:t>
      </w:r>
    </w:p>
    <w:tbl>
      <w:tblPr>
        <w:tblW w:w="5000" w:type="pct"/>
        <w:tblInd w:w="100" w:type="dxa"/>
        <w:tblBorders>
          <w:top w:val="single" w:sz="12" w:space="0" w:color="37474F"/>
          <w:bottom w:val="single" w:sz="12" w:space="0" w:color="37474F"/>
          <w:insideH w:val="single" w:sz="4" w:space="0" w:color="CDD6DB"/>
          <w:insideV w:val="single" w:sz="4" w:space="0" w:color="CDD6DB"/>
        </w:tblBorders>
        <w:tblCellMar>
          <w:left w:w="10" w:type="dxa"/>
          <w:right w:w="10" w:type="dxa"/>
        </w:tblCellMar>
        <w:tblLook w:val="04A0" w:firstRow="1" w:lastRow="0" w:firstColumn="1" w:lastColumn="0" w:noHBand="0" w:noVBand="1"/>
      </w:tblPr>
      <w:tblGrid>
        <w:gridCol w:w="2306"/>
        <w:gridCol w:w="2306"/>
        <w:gridCol w:w="2307"/>
        <w:gridCol w:w="2307"/>
      </w:tblGrid>
      <w:tr w:rsidR="006A3BC5" w14:paraId="3B7E5E56" w14:textId="77777777">
        <w:trPr>
          <w:tblHeader/>
        </w:trPr>
        <w:tc>
          <w:tcPr>
            <w:tcW w:w="2256" w:type="dxa"/>
            <w:shd w:val="clear" w:color="auto" w:fill="ECEFF1"/>
            <w:tcMar>
              <w:left w:w="100" w:type="dxa"/>
              <w:right w:w="100" w:type="dxa"/>
            </w:tcMar>
          </w:tcPr>
          <w:p w14:paraId="592941E0" w14:textId="77777777" w:rsidR="006A3BC5" w:rsidRDefault="00000000">
            <w:pPr>
              <w:spacing w:before="60" w:after="60" w:line="276" w:lineRule="auto"/>
            </w:pPr>
            <w:r>
              <w:rPr>
                <w:b/>
                <w:sz w:val="18"/>
              </w:rPr>
              <w:t>Window</w:t>
            </w:r>
          </w:p>
        </w:tc>
        <w:tc>
          <w:tcPr>
            <w:tcW w:w="2256" w:type="dxa"/>
            <w:shd w:val="clear" w:color="auto" w:fill="ECEFF1"/>
            <w:tcMar>
              <w:left w:w="100" w:type="dxa"/>
              <w:right w:w="100" w:type="dxa"/>
            </w:tcMar>
          </w:tcPr>
          <w:p w14:paraId="1ED114A8" w14:textId="77777777" w:rsidR="006A3BC5" w:rsidRDefault="00000000">
            <w:pPr>
              <w:spacing w:before="60" w:after="60" w:line="276" w:lineRule="auto"/>
            </w:pPr>
            <w:r>
              <w:rPr>
                <w:b/>
                <w:sz w:val="18"/>
              </w:rPr>
              <w:t>Iranian Side</w:t>
            </w:r>
          </w:p>
        </w:tc>
        <w:tc>
          <w:tcPr>
            <w:tcW w:w="2256" w:type="dxa"/>
            <w:shd w:val="clear" w:color="auto" w:fill="ECEFF1"/>
            <w:tcMar>
              <w:left w:w="100" w:type="dxa"/>
              <w:right w:w="100" w:type="dxa"/>
            </w:tcMar>
          </w:tcPr>
          <w:p w14:paraId="5612222F" w14:textId="77777777" w:rsidR="006A3BC5" w:rsidRDefault="00000000">
            <w:pPr>
              <w:spacing w:before="60" w:after="60" w:line="276" w:lineRule="auto"/>
            </w:pPr>
            <w:r>
              <w:rPr>
                <w:b/>
                <w:sz w:val="18"/>
              </w:rPr>
              <w:t>United States Side</w:t>
            </w:r>
          </w:p>
        </w:tc>
        <w:tc>
          <w:tcPr>
            <w:tcW w:w="2256" w:type="dxa"/>
            <w:shd w:val="clear" w:color="auto" w:fill="ECEFF1"/>
            <w:tcMar>
              <w:left w:w="100" w:type="dxa"/>
              <w:right w:w="100" w:type="dxa"/>
            </w:tcMar>
          </w:tcPr>
          <w:p w14:paraId="10B644E9" w14:textId="77777777" w:rsidR="006A3BC5" w:rsidRDefault="00000000">
            <w:pPr>
              <w:spacing w:before="60" w:after="60" w:line="276" w:lineRule="auto"/>
            </w:pPr>
            <w:r>
              <w:rPr>
                <w:b/>
                <w:sz w:val="18"/>
              </w:rPr>
              <w:t>Verification</w:t>
            </w:r>
          </w:p>
        </w:tc>
      </w:tr>
      <w:tr w:rsidR="006A3BC5" w14:paraId="7ECB599A" w14:textId="77777777">
        <w:tc>
          <w:tcPr>
            <w:tcW w:w="2256" w:type="dxa"/>
            <w:tcMar>
              <w:left w:w="100" w:type="dxa"/>
              <w:right w:w="100" w:type="dxa"/>
            </w:tcMar>
          </w:tcPr>
          <w:p w14:paraId="79F5CBDA" w14:textId="77777777" w:rsidR="006A3BC5" w:rsidRDefault="00000000">
            <w:pPr>
              <w:spacing w:before="50" w:after="50" w:line="276" w:lineRule="auto"/>
            </w:pPr>
            <w:r>
              <w:rPr>
                <w:color w:val="546E7A"/>
                <w:sz w:val="18"/>
              </w:rPr>
              <w:t>Day 0</w:t>
            </w:r>
          </w:p>
        </w:tc>
        <w:tc>
          <w:tcPr>
            <w:tcW w:w="2256" w:type="dxa"/>
            <w:tcMar>
              <w:left w:w="100" w:type="dxa"/>
              <w:right w:w="100" w:type="dxa"/>
            </w:tcMar>
          </w:tcPr>
          <w:p w14:paraId="659A5664" w14:textId="77777777" w:rsidR="006A3BC5" w:rsidRDefault="00000000">
            <w:pPr>
              <w:spacing w:before="50" w:after="50" w:line="276" w:lineRule="auto"/>
            </w:pPr>
            <w:r>
              <w:rPr>
                <w:color w:val="546E7A"/>
                <w:sz w:val="18"/>
              </w:rPr>
              <w:t>Signs the Letter of Intent via the facilitator</w:t>
            </w:r>
          </w:p>
        </w:tc>
        <w:tc>
          <w:tcPr>
            <w:tcW w:w="2256" w:type="dxa"/>
            <w:tcMar>
              <w:left w:w="100" w:type="dxa"/>
              <w:right w:w="100" w:type="dxa"/>
            </w:tcMar>
          </w:tcPr>
          <w:p w14:paraId="6CF11F41" w14:textId="77777777" w:rsidR="006A3BC5" w:rsidRDefault="00000000">
            <w:pPr>
              <w:spacing w:before="50" w:after="50" w:line="276" w:lineRule="auto"/>
            </w:pPr>
            <w:r>
              <w:rPr>
                <w:color w:val="546E7A"/>
                <w:sz w:val="18"/>
              </w:rPr>
              <w:t>Signs the Letter of Intent via the facilitator</w:t>
            </w:r>
          </w:p>
        </w:tc>
        <w:tc>
          <w:tcPr>
            <w:tcW w:w="2256" w:type="dxa"/>
            <w:tcMar>
              <w:left w:w="100" w:type="dxa"/>
              <w:right w:w="100" w:type="dxa"/>
            </w:tcMar>
          </w:tcPr>
          <w:p w14:paraId="7948F426" w14:textId="77777777" w:rsidR="006A3BC5" w:rsidRDefault="00000000">
            <w:pPr>
              <w:spacing w:before="50" w:after="50" w:line="276" w:lineRule="auto"/>
            </w:pPr>
            <w:r>
              <w:rPr>
                <w:color w:val="546E7A"/>
                <w:sz w:val="18"/>
              </w:rPr>
              <w:t>Dashboard logs both signatures; Cycle 1 clock starts</w:t>
            </w:r>
          </w:p>
        </w:tc>
      </w:tr>
      <w:tr w:rsidR="006A3BC5" w14:paraId="2739BFF0" w14:textId="77777777">
        <w:tc>
          <w:tcPr>
            <w:tcW w:w="2256" w:type="dxa"/>
            <w:tcMar>
              <w:left w:w="100" w:type="dxa"/>
              <w:right w:w="100" w:type="dxa"/>
            </w:tcMar>
          </w:tcPr>
          <w:p w14:paraId="5A395644" w14:textId="77777777" w:rsidR="006A3BC5" w:rsidRDefault="00000000">
            <w:pPr>
              <w:spacing w:before="50" w:after="50" w:line="276" w:lineRule="auto"/>
            </w:pPr>
            <w:r>
              <w:rPr>
                <w:color w:val="546E7A"/>
                <w:sz w:val="18"/>
              </w:rPr>
              <w:t>Days 1-14</w:t>
            </w:r>
          </w:p>
        </w:tc>
        <w:tc>
          <w:tcPr>
            <w:tcW w:w="2256" w:type="dxa"/>
            <w:tcMar>
              <w:left w:w="100" w:type="dxa"/>
              <w:right w:w="100" w:type="dxa"/>
            </w:tcMar>
          </w:tcPr>
          <w:p w14:paraId="64AF4924" w14:textId="77777777" w:rsidR="006A3BC5" w:rsidRDefault="00000000">
            <w:pPr>
              <w:spacing w:before="50" w:after="50" w:line="276" w:lineRule="auto"/>
            </w:pPr>
            <w:r>
              <w:rPr>
                <w:color w:val="546E7A"/>
                <w:sz w:val="18"/>
              </w:rPr>
              <w:t>Halts naval exercises within ten nautical miles of the shipping lane</w:t>
            </w:r>
          </w:p>
        </w:tc>
        <w:tc>
          <w:tcPr>
            <w:tcW w:w="2256" w:type="dxa"/>
            <w:tcMar>
              <w:left w:w="100" w:type="dxa"/>
              <w:right w:w="100" w:type="dxa"/>
            </w:tcMar>
          </w:tcPr>
          <w:p w14:paraId="3395CD22" w14:textId="77777777" w:rsidR="006A3BC5" w:rsidRDefault="00000000">
            <w:pPr>
              <w:spacing w:before="50" w:after="50" w:line="276" w:lineRule="auto"/>
            </w:pPr>
            <w:r>
              <w:rPr>
                <w:color w:val="546E7A"/>
                <w:sz w:val="18"/>
              </w:rPr>
              <w:t>Repositions one carrier group outside the immediate Gulf</w:t>
            </w:r>
          </w:p>
        </w:tc>
        <w:tc>
          <w:tcPr>
            <w:tcW w:w="2256" w:type="dxa"/>
            <w:tcMar>
              <w:left w:w="100" w:type="dxa"/>
              <w:right w:w="100" w:type="dxa"/>
            </w:tcMar>
          </w:tcPr>
          <w:p w14:paraId="14EB7024" w14:textId="77777777" w:rsidR="006A3BC5" w:rsidRDefault="00000000">
            <w:pPr>
              <w:spacing w:before="50" w:after="50" w:line="276" w:lineRule="auto"/>
            </w:pPr>
            <w:r>
              <w:rPr>
                <w:color w:val="546E7A"/>
                <w:sz w:val="18"/>
              </w:rPr>
              <w:t>Omani observation; satellite and AIS confirmation</w:t>
            </w:r>
          </w:p>
        </w:tc>
      </w:tr>
      <w:tr w:rsidR="006A3BC5" w14:paraId="5243AE01" w14:textId="77777777">
        <w:tc>
          <w:tcPr>
            <w:tcW w:w="2256" w:type="dxa"/>
            <w:tcMar>
              <w:left w:w="100" w:type="dxa"/>
              <w:right w:w="100" w:type="dxa"/>
            </w:tcMar>
          </w:tcPr>
          <w:p w14:paraId="6D853021" w14:textId="77777777" w:rsidR="006A3BC5" w:rsidRDefault="00000000">
            <w:pPr>
              <w:spacing w:before="50" w:after="50" w:line="276" w:lineRule="auto"/>
            </w:pPr>
            <w:r>
              <w:rPr>
                <w:color w:val="546E7A"/>
                <w:sz w:val="18"/>
              </w:rPr>
              <w:t>Day 1 of Cycle 1</w:t>
            </w:r>
          </w:p>
        </w:tc>
        <w:tc>
          <w:tcPr>
            <w:tcW w:w="2256" w:type="dxa"/>
            <w:tcMar>
              <w:left w:w="100" w:type="dxa"/>
              <w:right w:w="100" w:type="dxa"/>
            </w:tcMar>
          </w:tcPr>
          <w:p w14:paraId="299448F1" w14:textId="77777777" w:rsidR="006A3BC5" w:rsidRDefault="00000000">
            <w:pPr>
              <w:spacing w:before="50" w:after="50" w:line="276" w:lineRule="auto"/>
            </w:pPr>
            <w:r>
              <w:rPr>
                <w:color w:val="546E7A"/>
                <w:sz w:val="18"/>
              </w:rPr>
              <w:t>First 48-hour patrol notice posts; observer embarkation begins; hazard declaration within 72 hours</w:t>
            </w:r>
          </w:p>
        </w:tc>
        <w:tc>
          <w:tcPr>
            <w:tcW w:w="2256" w:type="dxa"/>
            <w:tcMar>
              <w:left w:w="100" w:type="dxa"/>
              <w:right w:w="100" w:type="dxa"/>
            </w:tcMar>
          </w:tcPr>
          <w:p w14:paraId="38BF0F35" w14:textId="77777777" w:rsidR="006A3BC5" w:rsidRDefault="00000000">
            <w:pPr>
              <w:spacing w:before="50" w:after="50" w:line="276" w:lineRule="auto"/>
            </w:pPr>
            <w:r>
              <w:rPr>
                <w:color w:val="546E7A"/>
                <w:sz w:val="18"/>
              </w:rPr>
              <w:t>First 48-hour transit notice posts; observer embarkation begins</w:t>
            </w:r>
          </w:p>
        </w:tc>
        <w:tc>
          <w:tcPr>
            <w:tcW w:w="2256" w:type="dxa"/>
            <w:tcMar>
              <w:left w:w="100" w:type="dxa"/>
              <w:right w:w="100" w:type="dxa"/>
            </w:tcMar>
          </w:tcPr>
          <w:p w14:paraId="14B72CF0" w14:textId="77777777" w:rsidR="006A3BC5" w:rsidRDefault="00000000">
            <w:pPr>
              <w:spacing w:before="50" w:after="50" w:line="276" w:lineRule="auto"/>
            </w:pPr>
            <w:r>
              <w:rPr>
                <w:color w:val="546E7A"/>
                <w:sz w:val="18"/>
              </w:rPr>
              <w:t>Bulletin board live; Omani weekly reports begin</w:t>
            </w:r>
          </w:p>
        </w:tc>
      </w:tr>
      <w:tr w:rsidR="006A3BC5" w14:paraId="5D13B538" w14:textId="77777777">
        <w:tc>
          <w:tcPr>
            <w:tcW w:w="2256" w:type="dxa"/>
            <w:tcMar>
              <w:left w:w="100" w:type="dxa"/>
              <w:right w:w="100" w:type="dxa"/>
            </w:tcMar>
          </w:tcPr>
          <w:p w14:paraId="09774CC2" w14:textId="77777777" w:rsidR="006A3BC5" w:rsidRDefault="00000000">
            <w:pPr>
              <w:spacing w:before="50" w:after="50" w:line="276" w:lineRule="auto"/>
            </w:pPr>
            <w:r>
              <w:rPr>
                <w:color w:val="546E7A"/>
                <w:sz w:val="18"/>
              </w:rPr>
              <w:t>Days 1-21</w:t>
            </w:r>
          </w:p>
        </w:tc>
        <w:tc>
          <w:tcPr>
            <w:tcW w:w="2256" w:type="dxa"/>
            <w:tcMar>
              <w:left w:w="100" w:type="dxa"/>
              <w:right w:w="100" w:type="dxa"/>
            </w:tcMar>
          </w:tcPr>
          <w:p w14:paraId="40C873A3" w14:textId="77777777" w:rsidR="006A3BC5" w:rsidRDefault="00000000">
            <w:pPr>
              <w:spacing w:before="50" w:after="50" w:line="276" w:lineRule="auto"/>
            </w:pPr>
            <w:r>
              <w:rPr>
                <w:color w:val="546E7A"/>
                <w:sz w:val="18"/>
              </w:rPr>
              <w:t>Cooperates with corridor survey</w:t>
            </w:r>
          </w:p>
        </w:tc>
        <w:tc>
          <w:tcPr>
            <w:tcW w:w="2256" w:type="dxa"/>
            <w:tcMar>
              <w:left w:w="100" w:type="dxa"/>
              <w:right w:w="100" w:type="dxa"/>
            </w:tcMar>
          </w:tcPr>
          <w:p w14:paraId="650900CA" w14:textId="77777777" w:rsidR="006A3BC5" w:rsidRDefault="00000000">
            <w:pPr>
              <w:spacing w:before="50" w:after="50" w:line="276" w:lineRule="auto"/>
            </w:pPr>
            <w:r>
              <w:rPr>
                <w:color w:val="546E7A"/>
                <w:sz w:val="18"/>
              </w:rPr>
              <w:t>Cooperates with corridor survey</w:t>
            </w:r>
          </w:p>
        </w:tc>
        <w:tc>
          <w:tcPr>
            <w:tcW w:w="2256" w:type="dxa"/>
            <w:tcMar>
              <w:left w:w="100" w:type="dxa"/>
              <w:right w:w="100" w:type="dxa"/>
            </w:tcMar>
          </w:tcPr>
          <w:p w14:paraId="257037A7" w14:textId="77777777" w:rsidR="006A3BC5" w:rsidRDefault="00000000">
            <w:pPr>
              <w:spacing w:before="50" w:after="50" w:line="276" w:lineRule="auto"/>
            </w:pPr>
            <w:r>
              <w:rPr>
                <w:color w:val="546E7A"/>
                <w:sz w:val="18"/>
              </w:rPr>
              <w:t>UN mine action certification per zone; IMO broadcasts</w:t>
            </w:r>
          </w:p>
        </w:tc>
      </w:tr>
      <w:tr w:rsidR="006A3BC5" w14:paraId="4E2E172A" w14:textId="77777777">
        <w:tc>
          <w:tcPr>
            <w:tcW w:w="2256" w:type="dxa"/>
            <w:tcMar>
              <w:left w:w="100" w:type="dxa"/>
              <w:right w:w="100" w:type="dxa"/>
            </w:tcMar>
          </w:tcPr>
          <w:p w14:paraId="581BFDFC" w14:textId="77777777" w:rsidR="006A3BC5" w:rsidRDefault="00000000">
            <w:pPr>
              <w:spacing w:before="50" w:after="50" w:line="276" w:lineRule="auto"/>
            </w:pPr>
            <w:r>
              <w:rPr>
                <w:color w:val="546E7A"/>
                <w:sz w:val="18"/>
              </w:rPr>
              <w:t>Day 90</w:t>
            </w:r>
          </w:p>
        </w:tc>
        <w:tc>
          <w:tcPr>
            <w:tcW w:w="2256" w:type="dxa"/>
            <w:tcMar>
              <w:left w:w="100" w:type="dxa"/>
              <w:right w:w="100" w:type="dxa"/>
            </w:tcMar>
          </w:tcPr>
          <w:p w14:paraId="44EB81D1" w14:textId="77777777" w:rsidR="006A3BC5" w:rsidRDefault="00000000">
            <w:pPr>
              <w:spacing w:before="50" w:after="50" w:line="276" w:lineRule="auto"/>
            </w:pPr>
            <w:r>
              <w:rPr>
                <w:color w:val="546E7A"/>
                <w:sz w:val="18"/>
              </w:rPr>
              <w:t>Clean maritime record</w:t>
            </w:r>
          </w:p>
        </w:tc>
        <w:tc>
          <w:tcPr>
            <w:tcW w:w="2256" w:type="dxa"/>
            <w:tcMar>
              <w:left w:w="100" w:type="dxa"/>
              <w:right w:w="100" w:type="dxa"/>
            </w:tcMar>
          </w:tcPr>
          <w:p w14:paraId="19DFFD87" w14:textId="77777777" w:rsidR="006A3BC5" w:rsidRDefault="00000000">
            <w:pPr>
              <w:spacing w:before="50" w:after="50" w:line="276" w:lineRule="auto"/>
            </w:pPr>
            <w:r>
              <w:rPr>
                <w:color w:val="546E7A"/>
                <w:sz w:val="18"/>
              </w:rPr>
              <w:t>Clean maritime record</w:t>
            </w:r>
          </w:p>
        </w:tc>
        <w:tc>
          <w:tcPr>
            <w:tcW w:w="2256" w:type="dxa"/>
            <w:tcMar>
              <w:left w:w="100" w:type="dxa"/>
              <w:right w:w="100" w:type="dxa"/>
            </w:tcMar>
          </w:tcPr>
          <w:p w14:paraId="410DEC46" w14:textId="77777777" w:rsidR="006A3BC5" w:rsidRDefault="00000000">
            <w:pPr>
              <w:spacing w:before="50" w:after="50" w:line="276" w:lineRule="auto"/>
            </w:pPr>
            <w:r>
              <w:rPr>
                <w:color w:val="546E7A"/>
                <w:sz w:val="18"/>
              </w:rPr>
              <w:t>Zero major incidents; dashboard issues Cycle 2 certificate</w:t>
            </w:r>
          </w:p>
        </w:tc>
      </w:tr>
      <w:tr w:rsidR="006A3BC5" w14:paraId="66D60F04" w14:textId="77777777">
        <w:tc>
          <w:tcPr>
            <w:tcW w:w="2256" w:type="dxa"/>
            <w:tcMar>
              <w:left w:w="100" w:type="dxa"/>
              <w:right w:w="100" w:type="dxa"/>
            </w:tcMar>
          </w:tcPr>
          <w:p w14:paraId="593B8903" w14:textId="77777777" w:rsidR="006A3BC5" w:rsidRDefault="00000000">
            <w:pPr>
              <w:spacing w:before="50" w:after="50" w:line="276" w:lineRule="auto"/>
            </w:pPr>
            <w:r>
              <w:rPr>
                <w:color w:val="546E7A"/>
                <w:sz w:val="18"/>
              </w:rPr>
              <w:t>Days 91-180</w:t>
            </w:r>
          </w:p>
        </w:tc>
        <w:tc>
          <w:tcPr>
            <w:tcW w:w="2256" w:type="dxa"/>
            <w:tcMar>
              <w:left w:w="100" w:type="dxa"/>
              <w:right w:w="100" w:type="dxa"/>
            </w:tcMar>
          </w:tcPr>
          <w:p w14:paraId="5C04215D" w14:textId="77777777" w:rsidR="006A3BC5" w:rsidRDefault="00000000">
            <w:pPr>
              <w:spacing w:before="50" w:after="50" w:line="276" w:lineRule="auto"/>
            </w:pPr>
            <w:r>
              <w:rPr>
                <w:color w:val="546E7A"/>
                <w:sz w:val="18"/>
              </w:rPr>
              <w:t>Service fee invoicing via Qatar; IAEA cameras live at two facilities; public proxy pause call</w:t>
            </w:r>
          </w:p>
        </w:tc>
        <w:tc>
          <w:tcPr>
            <w:tcW w:w="2256" w:type="dxa"/>
            <w:tcMar>
              <w:left w:w="100" w:type="dxa"/>
              <w:right w:w="100" w:type="dxa"/>
            </w:tcMar>
          </w:tcPr>
          <w:p w14:paraId="2580CE7E" w14:textId="77777777" w:rsidR="006A3BC5" w:rsidRDefault="00000000">
            <w:pPr>
              <w:spacing w:before="50" w:after="50" w:line="276" w:lineRule="auto"/>
            </w:pPr>
            <w:r>
              <w:rPr>
                <w:color w:val="546E7A"/>
                <w:sz w:val="18"/>
              </w:rPr>
              <w:t>120-day oil waiver active for China, India, Japan; escrow administration</w:t>
            </w:r>
          </w:p>
        </w:tc>
        <w:tc>
          <w:tcPr>
            <w:tcW w:w="2256" w:type="dxa"/>
            <w:tcMar>
              <w:left w:w="100" w:type="dxa"/>
              <w:right w:w="100" w:type="dxa"/>
            </w:tcMar>
          </w:tcPr>
          <w:p w14:paraId="597E8C37" w14:textId="77777777" w:rsidR="006A3BC5" w:rsidRDefault="00000000">
            <w:pPr>
              <w:spacing w:before="50" w:after="50" w:line="276" w:lineRule="auto"/>
            </w:pPr>
            <w:r>
              <w:rPr>
                <w:color w:val="546E7A"/>
                <w:sz w:val="18"/>
              </w:rPr>
              <w:t>Escrow records; camera telemetry; satellite and insurer logs</w:t>
            </w:r>
          </w:p>
        </w:tc>
      </w:tr>
      <w:tr w:rsidR="006A3BC5" w14:paraId="6439C59B" w14:textId="77777777">
        <w:tc>
          <w:tcPr>
            <w:tcW w:w="2256" w:type="dxa"/>
            <w:tcMar>
              <w:left w:w="100" w:type="dxa"/>
              <w:right w:w="100" w:type="dxa"/>
            </w:tcMar>
          </w:tcPr>
          <w:p w14:paraId="3D0B0204" w14:textId="77777777" w:rsidR="006A3BC5" w:rsidRDefault="00000000">
            <w:pPr>
              <w:spacing w:before="50" w:after="50" w:line="276" w:lineRule="auto"/>
            </w:pPr>
            <w:r>
              <w:rPr>
                <w:color w:val="546E7A"/>
                <w:sz w:val="18"/>
              </w:rPr>
              <w:t>Day 180</w:t>
            </w:r>
          </w:p>
        </w:tc>
        <w:tc>
          <w:tcPr>
            <w:tcW w:w="2256" w:type="dxa"/>
            <w:tcMar>
              <w:left w:w="100" w:type="dxa"/>
              <w:right w:w="100" w:type="dxa"/>
            </w:tcMar>
          </w:tcPr>
          <w:p w14:paraId="6A592D11" w14:textId="77777777" w:rsidR="006A3BC5" w:rsidRDefault="00000000">
            <w:pPr>
              <w:spacing w:before="50" w:after="50" w:line="276" w:lineRule="auto"/>
            </w:pPr>
            <w:r>
              <w:rPr>
                <w:color w:val="546E7A"/>
                <w:sz w:val="18"/>
              </w:rPr>
              <w:t>Clean escrow and camera record</w:t>
            </w:r>
          </w:p>
        </w:tc>
        <w:tc>
          <w:tcPr>
            <w:tcW w:w="2256" w:type="dxa"/>
            <w:tcMar>
              <w:left w:w="100" w:type="dxa"/>
              <w:right w:w="100" w:type="dxa"/>
            </w:tcMar>
          </w:tcPr>
          <w:p w14:paraId="7A22C84D" w14:textId="77777777" w:rsidR="006A3BC5" w:rsidRDefault="00000000">
            <w:pPr>
              <w:spacing w:before="50" w:after="50" w:line="276" w:lineRule="auto"/>
            </w:pPr>
            <w:r>
              <w:rPr>
                <w:color w:val="546E7A"/>
                <w:sz w:val="18"/>
              </w:rPr>
              <w:t>Clean waiver record</w:t>
            </w:r>
          </w:p>
        </w:tc>
        <w:tc>
          <w:tcPr>
            <w:tcW w:w="2256" w:type="dxa"/>
            <w:tcMar>
              <w:left w:w="100" w:type="dxa"/>
              <w:right w:w="100" w:type="dxa"/>
            </w:tcMar>
          </w:tcPr>
          <w:p w14:paraId="236B3E17" w14:textId="77777777" w:rsidR="006A3BC5" w:rsidRDefault="00000000">
            <w:pPr>
              <w:spacing w:before="50" w:after="50" w:line="276" w:lineRule="auto"/>
            </w:pPr>
            <w:r>
              <w:rPr>
                <w:color w:val="546E7A"/>
                <w:sz w:val="18"/>
              </w:rPr>
              <w:t>Dashboard issues Cycle 3 certificate</w:t>
            </w:r>
          </w:p>
        </w:tc>
      </w:tr>
      <w:tr w:rsidR="006A3BC5" w14:paraId="2A205D03" w14:textId="77777777">
        <w:tc>
          <w:tcPr>
            <w:tcW w:w="2256" w:type="dxa"/>
            <w:tcMar>
              <w:left w:w="100" w:type="dxa"/>
              <w:right w:w="100" w:type="dxa"/>
            </w:tcMar>
          </w:tcPr>
          <w:p w14:paraId="175EAF91" w14:textId="77777777" w:rsidR="006A3BC5" w:rsidRDefault="00000000">
            <w:pPr>
              <w:spacing w:before="50" w:after="50" w:line="276" w:lineRule="auto"/>
            </w:pPr>
            <w:r>
              <w:rPr>
                <w:color w:val="546E7A"/>
                <w:sz w:val="18"/>
              </w:rPr>
              <w:t>Days 181-270</w:t>
            </w:r>
          </w:p>
        </w:tc>
        <w:tc>
          <w:tcPr>
            <w:tcW w:w="2256" w:type="dxa"/>
            <w:tcMar>
              <w:left w:w="100" w:type="dxa"/>
              <w:right w:w="100" w:type="dxa"/>
            </w:tcMar>
          </w:tcPr>
          <w:p w14:paraId="26820281" w14:textId="77777777" w:rsidR="006A3BC5" w:rsidRDefault="00000000">
            <w:pPr>
              <w:spacing w:before="50" w:after="50" w:line="276" w:lineRule="auto"/>
            </w:pPr>
            <w:r>
              <w:rPr>
                <w:color w:val="546E7A"/>
                <w:sz w:val="18"/>
              </w:rPr>
              <w:t>Down-blend at certified rate; joint seal installation; centrifuge log transfer</w:t>
            </w:r>
          </w:p>
        </w:tc>
        <w:tc>
          <w:tcPr>
            <w:tcW w:w="2256" w:type="dxa"/>
            <w:tcMar>
              <w:left w:w="100" w:type="dxa"/>
              <w:right w:w="100" w:type="dxa"/>
            </w:tcMar>
          </w:tcPr>
          <w:p w14:paraId="64A6C483" w14:textId="77777777" w:rsidR="006A3BC5" w:rsidRDefault="00000000">
            <w:pPr>
              <w:spacing w:before="50" w:after="50" w:line="276" w:lineRule="auto"/>
            </w:pPr>
            <w:r>
              <w:rPr>
                <w:color w:val="546E7A"/>
                <w:sz w:val="18"/>
              </w:rPr>
              <w:t>Escrow release for medicine and food via the Swiss channel</w:t>
            </w:r>
          </w:p>
        </w:tc>
        <w:tc>
          <w:tcPr>
            <w:tcW w:w="2256" w:type="dxa"/>
            <w:tcMar>
              <w:left w:w="100" w:type="dxa"/>
              <w:right w:w="100" w:type="dxa"/>
            </w:tcMar>
          </w:tcPr>
          <w:p w14:paraId="6CCDB186" w14:textId="77777777" w:rsidR="006A3BC5" w:rsidRDefault="00000000">
            <w:pPr>
              <w:spacing w:before="50" w:after="50" w:line="276" w:lineRule="auto"/>
            </w:pPr>
            <w:r>
              <w:rPr>
                <w:color w:val="546E7A"/>
                <w:sz w:val="18"/>
              </w:rPr>
              <w:t>IAEA certification; seal recertification at each boundary</w:t>
            </w:r>
          </w:p>
        </w:tc>
      </w:tr>
      <w:tr w:rsidR="006A3BC5" w14:paraId="3A1F3D0D" w14:textId="77777777">
        <w:tc>
          <w:tcPr>
            <w:tcW w:w="2256" w:type="dxa"/>
            <w:tcMar>
              <w:left w:w="100" w:type="dxa"/>
              <w:right w:w="100" w:type="dxa"/>
            </w:tcMar>
          </w:tcPr>
          <w:p w14:paraId="369D1555" w14:textId="77777777" w:rsidR="006A3BC5" w:rsidRDefault="00000000">
            <w:pPr>
              <w:spacing w:before="50" w:after="50" w:line="276" w:lineRule="auto"/>
            </w:pPr>
            <w:r>
              <w:rPr>
                <w:color w:val="546E7A"/>
                <w:sz w:val="18"/>
              </w:rPr>
              <w:lastRenderedPageBreak/>
              <w:t>Day 270 onward</w:t>
            </w:r>
          </w:p>
        </w:tc>
        <w:tc>
          <w:tcPr>
            <w:tcW w:w="2256" w:type="dxa"/>
            <w:tcMar>
              <w:left w:w="100" w:type="dxa"/>
              <w:right w:w="100" w:type="dxa"/>
            </w:tcMar>
          </w:tcPr>
          <w:p w14:paraId="43481E2B" w14:textId="77777777" w:rsidR="006A3BC5" w:rsidRDefault="00000000">
            <w:pPr>
              <w:spacing w:before="50" w:after="50" w:line="276" w:lineRule="auto"/>
            </w:pPr>
            <w:r>
              <w:rPr>
                <w:color w:val="546E7A"/>
                <w:sz w:val="18"/>
              </w:rPr>
              <w:t>Reconstruction and reconciliation tracks scale per Articles 6 and 7</w:t>
            </w:r>
          </w:p>
        </w:tc>
        <w:tc>
          <w:tcPr>
            <w:tcW w:w="2256" w:type="dxa"/>
            <w:tcMar>
              <w:left w:w="100" w:type="dxa"/>
              <w:right w:w="100" w:type="dxa"/>
            </w:tcMar>
          </w:tcPr>
          <w:p w14:paraId="40BA2B9E" w14:textId="77777777" w:rsidR="006A3BC5" w:rsidRDefault="00000000">
            <w:pPr>
              <w:spacing w:before="50" w:after="50" w:line="276" w:lineRule="auto"/>
            </w:pPr>
            <w:r>
              <w:rPr>
                <w:color w:val="546E7A"/>
                <w:sz w:val="18"/>
              </w:rPr>
              <w:t>Same</w:t>
            </w:r>
          </w:p>
        </w:tc>
        <w:tc>
          <w:tcPr>
            <w:tcW w:w="2256" w:type="dxa"/>
            <w:tcMar>
              <w:left w:w="100" w:type="dxa"/>
              <w:right w:w="100" w:type="dxa"/>
            </w:tcMar>
          </w:tcPr>
          <w:p w14:paraId="412817A0" w14:textId="77777777" w:rsidR="006A3BC5" w:rsidRDefault="00000000">
            <w:pPr>
              <w:spacing w:before="50" w:after="50" w:line="276" w:lineRule="auto"/>
            </w:pPr>
            <w:r>
              <w:rPr>
                <w:color w:val="546E7A"/>
                <w:sz w:val="18"/>
              </w:rPr>
              <w:t>Quarterly reviews; unlimited rolling renewal</w:t>
            </w:r>
          </w:p>
        </w:tc>
      </w:tr>
    </w:tbl>
    <w:p w14:paraId="0C314D5F" w14:textId="77777777" w:rsidR="006A3BC5" w:rsidRDefault="00000000" w:rsidP="000E13CD">
      <w:pPr>
        <w:pStyle w:val="Heading1"/>
      </w:pPr>
      <w:bookmarkStart w:id="97" w:name="_Toc235570069"/>
      <w:r>
        <w:t>Annex E: Financial Guarantees (Optional)</w:t>
      </w:r>
      <w:bookmarkEnd w:id="97"/>
    </w:p>
    <w:tbl>
      <w:tblPr>
        <w:tblW w:w="5000" w:type="pct"/>
        <w:tblInd w:w="220" w:type="dxa"/>
        <w:tblBorders>
          <w:top w:val="nil"/>
          <w:left w:val="single" w:sz="18" w:space="0" w:color="B8860B"/>
          <w:bottom w:val="nil"/>
          <w:right w:val="nil"/>
          <w:insideH w:val="nil"/>
          <w:insideV w:val="nil"/>
        </w:tblBorders>
        <w:tblCellMar>
          <w:left w:w="10" w:type="dxa"/>
          <w:right w:w="10" w:type="dxa"/>
        </w:tblCellMar>
        <w:tblLook w:val="04A0" w:firstRow="1" w:lastRow="0" w:firstColumn="1" w:lastColumn="0" w:noHBand="0" w:noVBand="1"/>
      </w:tblPr>
      <w:tblGrid>
        <w:gridCol w:w="9466"/>
      </w:tblGrid>
      <w:tr w:rsidR="006A3BC5" w14:paraId="0B1A048C" w14:textId="77777777">
        <w:tc>
          <w:tcPr>
            <w:tcW w:w="9026" w:type="dxa"/>
            <w:shd w:val="clear" w:color="auto" w:fill="EDF1F2"/>
            <w:tcMar>
              <w:left w:w="220" w:type="dxa"/>
              <w:right w:w="220" w:type="dxa"/>
            </w:tcMar>
          </w:tcPr>
          <w:p w14:paraId="56FB8B40" w14:textId="77777777" w:rsidR="006A3BC5" w:rsidRDefault="00000000">
            <w:pPr>
              <w:spacing w:before="120" w:after="120" w:line="300" w:lineRule="auto"/>
            </w:pPr>
            <w:r>
              <w:rPr>
                <w:i/>
                <w:sz w:val="20"/>
              </w:rPr>
              <w:t>This annex is subject to separate negotiation and does not form part of the core framework. The Track enters into force and operates in full without it.</w:t>
            </w:r>
          </w:p>
        </w:tc>
      </w:tr>
    </w:tbl>
    <w:p w14:paraId="002D30BA" w14:textId="77777777" w:rsidR="006A3BC5" w:rsidRDefault="00000000">
      <w:r>
        <w:t>If both Parties adopt this annex, each Party deposits two hundred and fifty million dollars into a segregated Exit Escrow at the Swiss-Omani agent, held apart from every other account. The escrow deposits stay in custody for the duration of the Track.</w:t>
      </w:r>
    </w:p>
    <w:p w14:paraId="60B2F615" w14:textId="77777777" w:rsidR="006A3BC5" w:rsidRDefault="00000000">
      <w:r>
        <w:t>Upon the fifth anniversary of continuous operation, either Party requests the return of its deposit subject to a ninety-day notice period. Absent such notice, the deposits continue to roll under the same custody terms. No forfeiture provision exists anywhere in this framework: a sudden withdrawal under Article 10 triggers only the rolling suspension of Section 10.2, under which the deposits remain held but inaccessible for twelve cycles and release automatically upon twelve consecutive cycles of renewed participation.</w:t>
      </w:r>
    </w:p>
    <w:p w14:paraId="4C976B68" w14:textId="77777777" w:rsidR="006A3BC5" w:rsidRDefault="00000000">
      <w:r>
        <w:t>The humanitarian channel never touches this escrow, and no escrow event ever touches the humanitarian channel.</w:t>
      </w:r>
    </w:p>
    <w:p w14:paraId="2402C888" w14:textId="77777777" w:rsidR="006A3BC5" w:rsidRDefault="00000000" w:rsidP="00B56849">
      <w:pPr>
        <w:pStyle w:val="Heading1"/>
      </w:pPr>
      <w:bookmarkStart w:id="98" w:name="_Toc235570070"/>
      <w:r>
        <w:t>Instruments of Acceptance</w:t>
      </w:r>
      <w:bookmarkEnd w:id="98"/>
    </w:p>
    <w:p w14:paraId="6E875EEC" w14:textId="77777777" w:rsidR="006A3BC5" w:rsidRDefault="00000000">
      <w:r>
        <w:t>This Track enters into force upon the exchange of signed Letters of Intent through the facilitator channel and their confirmation on the shared dashboard. The Parties execute this instrument in the English, Persian, and French languages.</w:t>
      </w: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718"/>
        <w:gridCol w:w="4718"/>
      </w:tblGrid>
      <w:tr w:rsidR="006A3BC5" w14:paraId="0138DC6F" w14:textId="77777777">
        <w:tc>
          <w:tcPr>
            <w:tcW w:w="4513" w:type="dxa"/>
            <w:tcMar>
              <w:right w:w="400" w:type="dxa"/>
            </w:tcMar>
          </w:tcPr>
          <w:p w14:paraId="5A517FAA" w14:textId="77777777" w:rsidR="006A3BC5" w:rsidRDefault="00000000">
            <w:pPr>
              <w:spacing w:before="120" w:after="240"/>
            </w:pPr>
            <w:r>
              <w:rPr>
                <w:b/>
                <w:sz w:val="20"/>
              </w:rPr>
              <w:t>For the United States of America:</w:t>
            </w:r>
          </w:p>
          <w:p w14:paraId="039B8763" w14:textId="77777777" w:rsidR="006A3BC5" w:rsidRDefault="00000000">
            <w:r>
              <w:rPr>
                <w:color w:val="546E7A"/>
                <w:sz w:val="20"/>
              </w:rPr>
              <w:t>Name: ____________________________</w:t>
            </w:r>
          </w:p>
          <w:p w14:paraId="00A5804A" w14:textId="77777777" w:rsidR="006A3BC5" w:rsidRDefault="00000000">
            <w:r>
              <w:rPr>
                <w:color w:val="546E7A"/>
                <w:sz w:val="20"/>
              </w:rPr>
              <w:t>Title: ____________________________</w:t>
            </w:r>
          </w:p>
          <w:p w14:paraId="68374782" w14:textId="77777777" w:rsidR="006A3BC5" w:rsidRDefault="00000000">
            <w:r>
              <w:rPr>
                <w:color w:val="546E7A"/>
                <w:sz w:val="20"/>
              </w:rPr>
              <w:t>Date: ____________________________</w:t>
            </w:r>
          </w:p>
          <w:p w14:paraId="2BBF4203" w14:textId="77777777" w:rsidR="006A3BC5" w:rsidRDefault="00000000">
            <w:r>
              <w:rPr>
                <w:color w:val="546E7A"/>
                <w:sz w:val="20"/>
              </w:rPr>
              <w:t>Place: ____________________________</w:t>
            </w:r>
          </w:p>
        </w:tc>
        <w:tc>
          <w:tcPr>
            <w:tcW w:w="4513" w:type="dxa"/>
            <w:tcMar>
              <w:right w:w="400" w:type="dxa"/>
            </w:tcMar>
          </w:tcPr>
          <w:p w14:paraId="63542EBA" w14:textId="77777777" w:rsidR="006A3BC5" w:rsidRDefault="00000000">
            <w:pPr>
              <w:spacing w:before="120" w:after="240"/>
            </w:pPr>
            <w:r>
              <w:rPr>
                <w:b/>
                <w:sz w:val="20"/>
              </w:rPr>
              <w:t>For the Islamic Republic of Iran:</w:t>
            </w:r>
          </w:p>
          <w:p w14:paraId="2F9173E8" w14:textId="77777777" w:rsidR="006A3BC5" w:rsidRDefault="00000000">
            <w:r>
              <w:rPr>
                <w:color w:val="546E7A"/>
                <w:sz w:val="20"/>
              </w:rPr>
              <w:t>Name: ____________________________</w:t>
            </w:r>
          </w:p>
          <w:p w14:paraId="7A18590E" w14:textId="77777777" w:rsidR="006A3BC5" w:rsidRDefault="00000000">
            <w:r>
              <w:rPr>
                <w:color w:val="546E7A"/>
                <w:sz w:val="20"/>
              </w:rPr>
              <w:t>Title: ____________________________</w:t>
            </w:r>
          </w:p>
          <w:p w14:paraId="131D5CC2" w14:textId="77777777" w:rsidR="006A3BC5" w:rsidRDefault="00000000">
            <w:r>
              <w:rPr>
                <w:color w:val="546E7A"/>
                <w:sz w:val="20"/>
              </w:rPr>
              <w:t>Date: ____________________________</w:t>
            </w:r>
          </w:p>
          <w:p w14:paraId="687C3CE4" w14:textId="77777777" w:rsidR="006A3BC5" w:rsidRDefault="00000000">
            <w:r>
              <w:rPr>
                <w:color w:val="546E7A"/>
                <w:sz w:val="20"/>
              </w:rPr>
              <w:t>Place: ____________________________</w:t>
            </w:r>
          </w:p>
        </w:tc>
      </w:tr>
    </w:tbl>
    <w:p w14:paraId="7D6D4D7C" w14:textId="77777777" w:rsidR="006A3BC5" w:rsidRDefault="00000000">
      <w:pPr>
        <w:spacing w:before="400" w:after="120"/>
      </w:pPr>
      <w:r>
        <w:rPr>
          <w:b/>
          <w:sz w:val="20"/>
        </w:rPr>
        <w:t>Witnesses (Facilitating States and International Organization):</w:t>
      </w:r>
    </w:p>
    <w:p w14:paraId="654292F8" w14:textId="77777777" w:rsidR="006A3BC5" w:rsidRDefault="00000000">
      <w:pPr>
        <w:spacing w:after="160"/>
      </w:pPr>
      <w:r>
        <w:rPr>
          <w:color w:val="546E7A"/>
          <w:sz w:val="20"/>
        </w:rPr>
        <w:t>Sultanate of Oman (Primary Maritime Facilitator)   Name/Title/Date: ____________________________</w:t>
      </w:r>
    </w:p>
    <w:p w14:paraId="460D2250" w14:textId="77777777" w:rsidR="006A3BC5" w:rsidRDefault="00000000">
      <w:pPr>
        <w:spacing w:after="160"/>
      </w:pPr>
      <w:r>
        <w:rPr>
          <w:color w:val="546E7A"/>
          <w:sz w:val="20"/>
        </w:rPr>
        <w:lastRenderedPageBreak/>
        <w:t>Swiss Confederation (Financial Facilitator and Depositary)   Name/Title/Date: ____________________________</w:t>
      </w:r>
    </w:p>
    <w:p w14:paraId="00EA3853" w14:textId="77777777" w:rsidR="006A3BC5" w:rsidRDefault="00000000">
      <w:pPr>
        <w:spacing w:after="160"/>
      </w:pPr>
      <w:r>
        <w:rPr>
          <w:color w:val="546E7A"/>
          <w:sz w:val="20"/>
        </w:rPr>
        <w:t>State of Qatar (Escrow and Crisis Mediator)   Name/Title/Date: ____________________________</w:t>
      </w:r>
    </w:p>
    <w:p w14:paraId="347F72CA" w14:textId="77777777" w:rsidR="006A3BC5" w:rsidRDefault="00000000">
      <w:pPr>
        <w:spacing w:after="160"/>
      </w:pPr>
      <w:r>
        <w:rPr>
          <w:color w:val="546E7A"/>
          <w:sz w:val="20"/>
        </w:rPr>
        <w:t>Islamic Republic of Pakistan (Convening Mediator)   Name/Title/Date: ____________________________</w:t>
      </w:r>
    </w:p>
    <w:p w14:paraId="1863706D" w14:textId="77777777" w:rsidR="006A3BC5" w:rsidRDefault="00000000">
      <w:pPr>
        <w:spacing w:after="160"/>
      </w:pPr>
      <w:r>
        <w:rPr>
          <w:color w:val="546E7A"/>
          <w:sz w:val="20"/>
        </w:rPr>
        <w:t>International Atomic Energy Agency (Verification)   Name/Title/Date: ____________________________</w:t>
      </w:r>
    </w:p>
    <w:p w14:paraId="39DCB7B0" w14:textId="77777777" w:rsidR="006A3BC5" w:rsidRDefault="006A3BC5">
      <w:pPr>
        <w:sectPr w:rsidR="006A3BC5">
          <w:headerReference w:type="default" r:id="rId13"/>
          <w:footerReference w:type="default" r:id="rId14"/>
          <w:pgSz w:w="11906" w:h="16838"/>
          <w:pgMar w:top="1800" w:right="1440" w:bottom="1440" w:left="1440" w:header="720" w:footer="720" w:gutter="0"/>
          <w:cols w:space="720"/>
        </w:sectPr>
      </w:pPr>
    </w:p>
    <w:p w14:paraId="00B01883" w14:textId="77777777" w:rsidR="006A3BC5" w:rsidRDefault="00000000">
      <w:pPr>
        <w:spacing w:before="1600" w:after="160"/>
        <w:jc w:val="center"/>
      </w:pPr>
      <w:r w:rsidRPr="00CE41E2">
        <w:rPr>
          <w:b/>
          <w:color w:val="37474F"/>
          <w:sz w:val="36"/>
          <w:szCs w:val="36"/>
        </w:rPr>
        <w:lastRenderedPageBreak/>
        <w:t>Post-Crisis Reconstruction &amp; Reconciliation Track</w:t>
      </w:r>
    </w:p>
    <w:p w14:paraId="34DB3CC7" w14:textId="77777777" w:rsidR="006A3BC5" w:rsidRDefault="006A3BC5">
      <w:pPr>
        <w:pBdr>
          <w:bottom w:val="single" w:sz="8" w:space="1" w:color="B8860B"/>
        </w:pBdr>
        <w:spacing w:before="120" w:after="120"/>
        <w:ind w:left="3600" w:right="3600"/>
      </w:pPr>
    </w:p>
    <w:p w14:paraId="59B77549" w14:textId="77777777" w:rsidR="006A3BC5" w:rsidRDefault="00000000">
      <w:pPr>
        <w:spacing w:before="160" w:after="80"/>
        <w:jc w:val="center"/>
      </w:pPr>
      <w:r>
        <w:rPr>
          <w:color w:val="546E7A"/>
          <w:sz w:val="20"/>
        </w:rPr>
        <w:t>The Auto-Renewal Bridge  ·  PCRRT-2026-v2.0  ·  22 July 2026</w:t>
      </w:r>
    </w:p>
    <w:p w14:paraId="6E1B46EF" w14:textId="77777777" w:rsidR="006A3BC5" w:rsidRDefault="00000000">
      <w:pPr>
        <w:spacing w:before="80" w:after="80"/>
        <w:jc w:val="center"/>
      </w:pPr>
      <w:r>
        <w:rPr>
          <w:color w:val="78909C"/>
          <w:sz w:val="18"/>
        </w:rPr>
        <w:t>Supersedes PCRRT v1.0 of 21 July 2026  ·  Negotiation Draft, Subject to Revision</w:t>
      </w:r>
    </w:p>
    <w:p w14:paraId="277D41BA" w14:textId="77777777" w:rsidR="006A3BC5" w:rsidRDefault="00000000">
      <w:pPr>
        <w:spacing w:after="80"/>
        <w:jc w:val="center"/>
      </w:pPr>
      <w:r>
        <w:rPr>
          <w:color w:val="78909C"/>
          <w:sz w:val="18"/>
        </w:rPr>
        <w:t>Authorized Negotiators Only  ·  Not for Public Distribution</w:t>
      </w:r>
    </w:p>
    <w:p w14:paraId="0B4F3CA3" w14:textId="77777777" w:rsidR="006A3BC5" w:rsidRDefault="00000000">
      <w:pPr>
        <w:spacing w:after="0"/>
        <w:jc w:val="center"/>
      </w:pPr>
      <w:r>
        <w:rPr>
          <w:color w:val="78909C"/>
          <w:sz w:val="18"/>
        </w:rPr>
        <w:t>Depositary: Swiss Federal Council</w:t>
      </w:r>
    </w:p>
    <w:sectPr w:rsidR="006A3BC5">
      <w:pgSz w:w="11906" w:h="16838"/>
      <w:pgMar w:top="1440" w:right="1440" w:bottom="1440" w:left="1440" w:header="720" w:footer="720" w:gutter="0"/>
      <w:pgBorders w:offsetFrom="page">
        <w:top w:val="double" w:sz="12" w:space="24" w:color="37474F"/>
        <w:left w:val="double" w:sz="12" w:space="24" w:color="37474F"/>
        <w:bottom w:val="double" w:sz="12" w:space="24" w:color="37474F"/>
        <w:right w:val="double" w:sz="12" w:space="24" w:color="37474F"/>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7BF4C" w14:textId="77777777" w:rsidR="007F4310" w:rsidRDefault="007F4310">
      <w:pPr>
        <w:spacing w:after="0" w:line="240" w:lineRule="auto"/>
      </w:pPr>
      <w:r>
        <w:separator/>
      </w:r>
    </w:p>
  </w:endnote>
  <w:endnote w:type="continuationSeparator" w:id="0">
    <w:p w14:paraId="73F037AE" w14:textId="77777777" w:rsidR="007F4310" w:rsidRDefault="007F4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19695" w14:textId="77777777" w:rsidR="007A1526" w:rsidRDefault="007A15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EC34" w14:textId="77777777" w:rsidR="007A1526" w:rsidRDefault="007A15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C9CF" w14:textId="77777777" w:rsidR="007A1526" w:rsidRDefault="007A15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179F" w14:textId="77777777" w:rsidR="006A3BC5" w:rsidRDefault="00000000">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r>
      <w:rPr>
        <w:color w:val="78909C"/>
        <w:sz w:val="18"/>
      </w:rPr>
      <w:t xml:space="preserve">  /  </w:t>
    </w:r>
    <w:r>
      <w:rPr>
        <w:color w:val="78909C"/>
        <w:sz w:val="18"/>
      </w:rPr>
      <w:fldChar w:fldCharType="begin"/>
    </w:r>
    <w:r>
      <w:rPr>
        <w:color w:val="78909C"/>
        <w:sz w:val="18"/>
      </w:rPr>
      <w:instrText xml:space="preserve"> NUMPAGES </w:instrText>
    </w:r>
    <w:r>
      <w:rPr>
        <w:color w:val="78909C"/>
        <w:sz w:val="18"/>
      </w:rPr>
      <w:fldChar w:fldCharType="separate"/>
    </w:r>
    <w:r>
      <w:rPr>
        <w:color w:val="78909C"/>
        <w:sz w:val="18"/>
      </w:rPr>
      <w:t>1</w:t>
    </w:r>
    <w:r>
      <w:rPr>
        <w:color w:val="78909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04E8F" w14:textId="77777777" w:rsidR="007F4310" w:rsidRDefault="007F4310">
      <w:pPr>
        <w:spacing w:after="0" w:line="240" w:lineRule="auto"/>
      </w:pPr>
      <w:r>
        <w:separator/>
      </w:r>
    </w:p>
  </w:footnote>
  <w:footnote w:type="continuationSeparator" w:id="0">
    <w:p w14:paraId="6F785E21" w14:textId="77777777" w:rsidR="007F4310" w:rsidRDefault="007F4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FBEB9" w14:textId="77777777" w:rsidR="007A1526" w:rsidRDefault="007A15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0769" w14:textId="77777777" w:rsidR="007A1526" w:rsidRDefault="007A15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2084" w14:textId="77777777" w:rsidR="007A1526" w:rsidRDefault="007A15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C37A" w14:textId="77777777" w:rsidR="006A3BC5" w:rsidRDefault="00000000">
    <w:pPr>
      <w:jc w:val="right"/>
    </w:pPr>
    <w:r>
      <w:rPr>
        <w:color w:val="78909C"/>
        <w:sz w:val="16"/>
      </w:rPr>
      <w:t>Post-Crisis Reconstruction &amp; Reconciliation Track (PCRRT) v2.0  |  Authorized Negotiators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34AC5"/>
    <w:multiLevelType w:val="multilevel"/>
    <w:tmpl w:val="C270CC7E"/>
    <w:lvl w:ilvl="0">
      <w:numFmt w:val="bullet"/>
      <w:lvlText w:val="•"/>
      <w:lvlJc w:val="left"/>
      <w:pPr>
        <w:ind w:left="460" w:hanging="260"/>
      </w:pPr>
      <w:rPr>
        <w:rFonts w:ascii="Calibri" w:hAnsi="Calibr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84180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A3BC5"/>
    <w:rsid w:val="00056FC2"/>
    <w:rsid w:val="000E13CD"/>
    <w:rsid w:val="001211AB"/>
    <w:rsid w:val="00164BB0"/>
    <w:rsid w:val="0024146A"/>
    <w:rsid w:val="00340C20"/>
    <w:rsid w:val="003D1551"/>
    <w:rsid w:val="00426958"/>
    <w:rsid w:val="00452E01"/>
    <w:rsid w:val="0045325F"/>
    <w:rsid w:val="006A3BC5"/>
    <w:rsid w:val="00734B07"/>
    <w:rsid w:val="00740E7B"/>
    <w:rsid w:val="00747E02"/>
    <w:rsid w:val="007A1526"/>
    <w:rsid w:val="007A33C2"/>
    <w:rsid w:val="007F4310"/>
    <w:rsid w:val="00922F7D"/>
    <w:rsid w:val="00943C26"/>
    <w:rsid w:val="00953F39"/>
    <w:rsid w:val="00991065"/>
    <w:rsid w:val="009B4014"/>
    <w:rsid w:val="009C6A25"/>
    <w:rsid w:val="00A22B0E"/>
    <w:rsid w:val="00B56849"/>
    <w:rsid w:val="00BF4484"/>
    <w:rsid w:val="00C57FB3"/>
    <w:rsid w:val="00CE41E2"/>
    <w:rsid w:val="00EA3486"/>
    <w:rsid w:val="00F71F29"/>
    <w:rsid w:val="00FB71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96FE"/>
  <w15:docId w15:val="{A72DA63B-F214-49A5-AEF3-13AD4E5C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12" w:lineRule="auto"/>
      <w:jc w:val="both"/>
    </w:pPr>
    <w:rPr>
      <w:rFonts w:ascii="Calibri" w:eastAsia="Microsoft YaHei" w:hAnsi="Calibri"/>
      <w:color w:val="263238"/>
      <w:sz w:val="21"/>
    </w:rPr>
  </w:style>
  <w:style w:type="paragraph" w:styleId="Heading1">
    <w:name w:val="heading 1"/>
    <w:basedOn w:val="Normal"/>
    <w:uiPriority w:val="9"/>
    <w:qFormat/>
    <w:pPr>
      <w:keepNext/>
      <w:keepLines/>
      <w:spacing w:before="560" w:after="200"/>
      <w:outlineLvl w:val="0"/>
    </w:pPr>
    <w:rPr>
      <w:b/>
      <w:color w:val="37474F"/>
      <w:sz w:val="30"/>
    </w:rPr>
  </w:style>
  <w:style w:type="paragraph" w:styleId="Heading2">
    <w:name w:val="heading 2"/>
    <w:basedOn w:val="Normal"/>
    <w:uiPriority w:val="9"/>
    <w:unhideWhenUsed/>
    <w:qFormat/>
    <w:pPr>
      <w:keepNext/>
      <w:keepLines/>
      <w:spacing w:before="360" w:after="140"/>
      <w:outlineLvl w:val="1"/>
    </w:pPr>
    <w:rPr>
      <w:b/>
      <w:sz w:val="24"/>
    </w:rPr>
  </w:style>
  <w:style w:type="paragraph" w:styleId="Heading3">
    <w:name w:val="heading 3"/>
    <w:basedOn w:val="Normal"/>
    <w:uiPriority w:val="9"/>
    <w:unhideWhenUsed/>
    <w:qFormat/>
    <w:pPr>
      <w:keepNext/>
      <w:keepLines/>
      <w:spacing w:before="260" w:after="120"/>
      <w:outlineLvl w:val="2"/>
    </w:pPr>
    <w:rPr>
      <w:b/>
      <w:color w:val="546E7A"/>
      <w:sz w:val="22"/>
    </w:rPr>
  </w:style>
  <w:style w:type="paragraph" w:styleId="Heading4">
    <w:name w:val="heading 4"/>
    <w:basedOn w:val="Normal"/>
    <w:next w:val="Normal"/>
    <w:link w:val="Heading4Char"/>
    <w:uiPriority w:val="9"/>
    <w:semiHidden/>
    <w:unhideWhenUsed/>
    <w:qFormat/>
    <w:rsid w:val="007A1526"/>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152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A1526"/>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A1526"/>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A152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7A152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80"/>
      <w:jc w:val="center"/>
    </w:pPr>
    <w:rPr>
      <w:color w:val="78909C"/>
      <w:sz w:val="18"/>
    </w:rPr>
  </w:style>
  <w:style w:type="paragraph" w:styleId="TOC1">
    <w:name w:val="toc 1"/>
    <w:basedOn w:val="Normal"/>
    <w:uiPriority w:val="39"/>
    <w:pPr>
      <w:tabs>
        <w:tab w:val="right" w:leader="dot" w:pos="9026"/>
      </w:tabs>
      <w:spacing w:before="90" w:after="60"/>
    </w:pPr>
    <w:rPr>
      <w:b/>
    </w:rPr>
  </w:style>
  <w:style w:type="paragraph" w:styleId="TOC2">
    <w:name w:val="toc 2"/>
    <w:basedOn w:val="Normal"/>
    <w:uiPriority w:val="39"/>
    <w:pPr>
      <w:tabs>
        <w:tab w:val="right" w:leader="dot" w:pos="9026"/>
      </w:tabs>
      <w:spacing w:before="60" w:after="60"/>
      <w:ind w:left="360"/>
    </w:pPr>
    <w:rPr>
      <w:color w:val="546E7A"/>
    </w:rPr>
  </w:style>
  <w:style w:type="paragraph" w:styleId="Header">
    <w:name w:val="header"/>
    <w:basedOn w:val="Normal"/>
    <w:link w:val="HeaderChar"/>
    <w:uiPriority w:val="99"/>
    <w:unhideWhenUsed/>
    <w:rsid w:val="007A15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526"/>
    <w:rPr>
      <w:rFonts w:ascii="Calibri" w:eastAsia="Microsoft YaHei" w:hAnsi="Calibri"/>
      <w:color w:val="263238"/>
      <w:sz w:val="21"/>
    </w:rPr>
  </w:style>
  <w:style w:type="paragraph" w:styleId="Footer">
    <w:name w:val="footer"/>
    <w:basedOn w:val="Normal"/>
    <w:link w:val="FooterChar"/>
    <w:uiPriority w:val="99"/>
    <w:unhideWhenUsed/>
    <w:rsid w:val="007A15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526"/>
    <w:rPr>
      <w:rFonts w:ascii="Calibri" w:eastAsia="Microsoft YaHei" w:hAnsi="Calibri"/>
      <w:color w:val="263238"/>
      <w:sz w:val="21"/>
    </w:rPr>
  </w:style>
  <w:style w:type="character" w:styleId="BookTitle">
    <w:name w:val="Book Title"/>
    <w:basedOn w:val="DefaultParagraphFont"/>
    <w:uiPriority w:val="33"/>
    <w:qFormat/>
    <w:rsid w:val="007A1526"/>
    <w:rPr>
      <w:b/>
      <w:bCs/>
      <w:i/>
      <w:iCs/>
      <w:spacing w:val="5"/>
    </w:rPr>
  </w:style>
  <w:style w:type="character" w:styleId="Emphasis">
    <w:name w:val="Emphasis"/>
    <w:basedOn w:val="DefaultParagraphFont"/>
    <w:uiPriority w:val="20"/>
    <w:qFormat/>
    <w:rsid w:val="007A1526"/>
    <w:rPr>
      <w:i/>
      <w:iCs/>
    </w:rPr>
  </w:style>
  <w:style w:type="character" w:customStyle="1" w:styleId="Heading4Char">
    <w:name w:val="Heading 4 Char"/>
    <w:basedOn w:val="DefaultParagraphFont"/>
    <w:link w:val="Heading4"/>
    <w:uiPriority w:val="9"/>
    <w:semiHidden/>
    <w:rsid w:val="007A1526"/>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7A1526"/>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7A1526"/>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7A1526"/>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7A15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152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7A1526"/>
    <w:rPr>
      <w:i/>
      <w:iCs/>
      <w:color w:val="156082" w:themeColor="accent1"/>
    </w:rPr>
  </w:style>
  <w:style w:type="paragraph" w:styleId="IntenseQuote">
    <w:name w:val="Intense Quote"/>
    <w:basedOn w:val="Normal"/>
    <w:next w:val="Normal"/>
    <w:link w:val="IntenseQuoteChar"/>
    <w:uiPriority w:val="30"/>
    <w:qFormat/>
    <w:rsid w:val="007A1526"/>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A1526"/>
    <w:rPr>
      <w:rFonts w:ascii="Calibri" w:eastAsia="Microsoft YaHei" w:hAnsi="Calibri"/>
      <w:i/>
      <w:iCs/>
      <w:color w:val="156082" w:themeColor="accent1"/>
      <w:sz w:val="21"/>
    </w:rPr>
  </w:style>
  <w:style w:type="character" w:styleId="IntenseReference">
    <w:name w:val="Intense Reference"/>
    <w:basedOn w:val="DefaultParagraphFont"/>
    <w:uiPriority w:val="32"/>
    <w:qFormat/>
    <w:rsid w:val="007A1526"/>
    <w:rPr>
      <w:b/>
      <w:bCs/>
      <w:smallCaps/>
      <w:color w:val="156082" w:themeColor="accent1"/>
      <w:spacing w:val="5"/>
    </w:rPr>
  </w:style>
  <w:style w:type="paragraph" w:styleId="ListParagraph">
    <w:name w:val="List Paragraph"/>
    <w:basedOn w:val="Normal"/>
    <w:uiPriority w:val="34"/>
    <w:qFormat/>
    <w:rsid w:val="007A1526"/>
    <w:pPr>
      <w:ind w:left="720"/>
      <w:contextualSpacing/>
    </w:pPr>
  </w:style>
  <w:style w:type="paragraph" w:styleId="NoSpacing">
    <w:name w:val="No Spacing"/>
    <w:uiPriority w:val="1"/>
    <w:qFormat/>
    <w:rsid w:val="007A1526"/>
    <w:pPr>
      <w:spacing w:after="0" w:line="240" w:lineRule="auto"/>
      <w:jc w:val="both"/>
    </w:pPr>
    <w:rPr>
      <w:rFonts w:ascii="Calibri" w:eastAsia="Microsoft YaHei" w:hAnsi="Calibri"/>
      <w:color w:val="263238"/>
      <w:sz w:val="21"/>
    </w:rPr>
  </w:style>
  <w:style w:type="paragraph" w:styleId="Quote">
    <w:name w:val="Quote"/>
    <w:basedOn w:val="Normal"/>
    <w:next w:val="Normal"/>
    <w:link w:val="QuoteChar"/>
    <w:uiPriority w:val="29"/>
    <w:qFormat/>
    <w:rsid w:val="007A152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A1526"/>
    <w:rPr>
      <w:rFonts w:ascii="Calibri" w:eastAsia="Microsoft YaHei" w:hAnsi="Calibri"/>
      <w:i/>
      <w:iCs/>
      <w:color w:val="404040" w:themeColor="text1" w:themeTint="BF"/>
      <w:sz w:val="21"/>
    </w:rPr>
  </w:style>
  <w:style w:type="character" w:styleId="Strong">
    <w:name w:val="Strong"/>
    <w:basedOn w:val="DefaultParagraphFont"/>
    <w:uiPriority w:val="22"/>
    <w:qFormat/>
    <w:rsid w:val="007A1526"/>
    <w:rPr>
      <w:b/>
      <w:bCs/>
    </w:rPr>
  </w:style>
  <w:style w:type="paragraph" w:styleId="Subtitle">
    <w:name w:val="Subtitle"/>
    <w:basedOn w:val="Normal"/>
    <w:next w:val="Normal"/>
    <w:link w:val="SubtitleChar"/>
    <w:uiPriority w:val="11"/>
    <w:qFormat/>
    <w:rsid w:val="007A1526"/>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7A1526"/>
    <w:rPr>
      <w:color w:val="5A5A5A" w:themeColor="text1" w:themeTint="A5"/>
      <w:spacing w:val="15"/>
      <w:sz w:val="22"/>
      <w:szCs w:val="22"/>
    </w:rPr>
  </w:style>
  <w:style w:type="character" w:styleId="SubtleEmphasis">
    <w:name w:val="Subtle Emphasis"/>
    <w:basedOn w:val="DefaultParagraphFont"/>
    <w:uiPriority w:val="19"/>
    <w:qFormat/>
    <w:rsid w:val="007A1526"/>
    <w:rPr>
      <w:i/>
      <w:iCs/>
      <w:color w:val="404040" w:themeColor="text1" w:themeTint="BF"/>
    </w:rPr>
  </w:style>
  <w:style w:type="character" w:styleId="SubtleReference">
    <w:name w:val="Subtle Reference"/>
    <w:basedOn w:val="DefaultParagraphFont"/>
    <w:uiPriority w:val="31"/>
    <w:qFormat/>
    <w:rsid w:val="007A1526"/>
    <w:rPr>
      <w:smallCaps/>
      <w:color w:val="5A5A5A" w:themeColor="text1" w:themeTint="A5"/>
    </w:rPr>
  </w:style>
  <w:style w:type="paragraph" w:styleId="Title">
    <w:name w:val="Title"/>
    <w:basedOn w:val="Normal"/>
    <w:next w:val="Normal"/>
    <w:link w:val="TitleChar"/>
    <w:uiPriority w:val="10"/>
    <w:qFormat/>
    <w:rsid w:val="007A1526"/>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A1526"/>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7A1526"/>
    <w:pPr>
      <w:spacing w:before="240" w:after="0"/>
      <w:outlineLvl w:val="9"/>
    </w:pPr>
    <w:rPr>
      <w:rFonts w:asciiTheme="majorHAnsi" w:eastAsiaTheme="majorEastAsia" w:hAnsiTheme="majorHAnsi" w:cstheme="majorBidi"/>
      <w:b w:val="0"/>
      <w:color w:val="0F4761" w:themeColor="accent1" w:themeShade="BF"/>
      <w:sz w:val="32"/>
      <w:szCs w:val="32"/>
    </w:rPr>
  </w:style>
  <w:style w:type="paragraph" w:styleId="TOC3">
    <w:name w:val="toc 3"/>
    <w:basedOn w:val="Normal"/>
    <w:next w:val="Normal"/>
    <w:autoRedefine/>
    <w:uiPriority w:val="39"/>
    <w:unhideWhenUsed/>
    <w:rsid w:val="0024146A"/>
    <w:pPr>
      <w:spacing w:after="100" w:line="278" w:lineRule="auto"/>
      <w:ind w:left="480"/>
      <w:jc w:val="left"/>
    </w:pPr>
    <w:rPr>
      <w:rFonts w:asciiTheme="minorHAnsi" w:eastAsiaTheme="minorEastAsia" w:hAnsiTheme="minorHAnsi"/>
      <w:color w:val="auto"/>
      <w:sz w:val="24"/>
    </w:rPr>
  </w:style>
  <w:style w:type="paragraph" w:styleId="TOC4">
    <w:name w:val="toc 4"/>
    <w:basedOn w:val="Normal"/>
    <w:next w:val="Normal"/>
    <w:autoRedefine/>
    <w:uiPriority w:val="39"/>
    <w:unhideWhenUsed/>
    <w:rsid w:val="0024146A"/>
    <w:pPr>
      <w:spacing w:after="100" w:line="278" w:lineRule="auto"/>
      <w:ind w:left="72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24146A"/>
    <w:pPr>
      <w:spacing w:after="100" w:line="278" w:lineRule="auto"/>
      <w:ind w:left="96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24146A"/>
    <w:pPr>
      <w:spacing w:after="100" w:line="278" w:lineRule="auto"/>
      <w:ind w:left="120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24146A"/>
    <w:pPr>
      <w:spacing w:after="100" w:line="278" w:lineRule="auto"/>
      <w:ind w:left="144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24146A"/>
    <w:pPr>
      <w:spacing w:after="100" w:line="278" w:lineRule="auto"/>
      <w:ind w:left="168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24146A"/>
    <w:pPr>
      <w:spacing w:after="100" w:line="278" w:lineRule="auto"/>
      <w:ind w:left="1920"/>
      <w:jc w:val="left"/>
    </w:pPr>
    <w:rPr>
      <w:rFonts w:asciiTheme="minorHAnsi" w:eastAsiaTheme="minorEastAsia" w:hAnsiTheme="minorHAnsi"/>
      <w:color w:val="auto"/>
      <w:sz w:val="24"/>
    </w:rPr>
  </w:style>
  <w:style w:type="character" w:styleId="Hyperlink">
    <w:name w:val="Hyperlink"/>
    <w:basedOn w:val="DefaultParagraphFont"/>
    <w:uiPriority w:val="99"/>
    <w:unhideWhenUsed/>
    <w:rsid w:val="0024146A"/>
    <w:rPr>
      <w:color w:val="467886" w:themeColor="hyperlink"/>
      <w:u w:val="single"/>
    </w:rPr>
  </w:style>
  <w:style w:type="character" w:styleId="UnresolvedMention">
    <w:name w:val="Unresolved Mention"/>
    <w:basedOn w:val="DefaultParagraphFont"/>
    <w:uiPriority w:val="99"/>
    <w:semiHidden/>
    <w:unhideWhenUsed/>
    <w:rsid w:val="00241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10697</Words>
  <Characters>62259</Characters>
  <Application>Microsoft Office Word</Application>
  <DocSecurity>0</DocSecurity>
  <Lines>1324</Lines>
  <Paragraphs>701</Paragraphs>
  <ScaleCrop>false</ScaleCrop>
  <Company/>
  <LinksUpToDate>false</LinksUpToDate>
  <CharactersWithSpaces>72255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5</cp:revision>
  <dcterms:created xsi:type="dcterms:W3CDTF">2026-07-22T03:43:00Z</dcterms:created>
  <dcterms:modified xsi:type="dcterms:W3CDTF">2026-07-22T05:00:00Z</dcterms:modified>
</cp:coreProperties>
</file>