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bidi w:val="0"/>
        <w:rPr/>
      </w:pPr>
      <w:r>
        <w:rPr/>
        <w:drawing>
          <wp:anchor behindDoc="1" distT="0" distB="0" distL="0" distR="0" simplePos="0" locked="0" layoutInCell="0" allowOverlap="1" relativeHeight="20">
            <wp:simplePos x="0" y="0"/>
            <wp:positionH relativeFrom="page">
              <wp:posOffset>0</wp:posOffset>
            </wp:positionH>
            <wp:positionV relativeFrom="page">
              <wp:posOffset>0</wp:posOffset>
            </wp:positionV>
            <wp:extent cx="7560310" cy="10692130"/>
            <wp:effectExtent l="0" t="0" r="0" b="0"/>
            <wp:wrapNone/>
            <wp:docPr id="1" name="CoverBg" descr="" title=""/>
            <wp:cNvGraphicFramePr>
              <a:graphicFrameLocks noChangeAspect="1"/>
            </wp:cNvGraphicFramePr>
            <a:graphic>
              <a:graphicData uri="http://schemas.openxmlformats.org/drawingml/2006/picture">
                <pic:pic>
                  <pic:nvPicPr>
                    <pic:cNvPr id="1" name="CoverBg" descr="" title=""/>
                    <pic:cNvPicPr>
                      <a:picLocks noChangeAspect="1" noChangeArrowheads="1"/>
                    </pic:cNvPicPr>
                  </pic:nvPicPr>
                  <pic:blipFill>
                    <a:blip r:embed="rId2"/>
                    <a:stretch>
                      <a:fillRect/>
                    </a:stretch>
                  </pic:blipFill>
                  <pic:spPr bwMode="auto">
                    <a:xfrm>
                      <a:off x="0" y="0"/>
                      <a:ext cx="7560310" cy="10692130"/>
                    </a:xfrm>
                    <a:prstGeom prst="rect">
                      <a:avLst/>
                    </a:prstGeom>
                  </pic:spPr>
                </pic:pic>
              </a:graphicData>
            </a:graphic>
          </wp:anchor>
        </w:drawing>
      </w:r>
    </w:p>
    <w:p>
      <w:pPr>
        <w:pStyle w:val="Normal"/>
        <w:bidi w:val="0"/>
        <w:spacing w:before="5200" w:after="160"/>
        <w:rPr/>
      </w:pPr>
    </w:p>
    <w:p>
      <w:pPr>
        <w:pStyle w:val="Normal"/>
        <w:bidi w:val="0"/>
        <w:spacing w:lineRule="auto" w:line="240" w:before="0" w:after="60"/>
        <w:jc w:val="center"/>
        <w:rPr/>
      </w:pPr>
      <w:r>
        <w:rPr>
          <w:rFonts w:eastAsia="Microsoft YaHei" w:cs="Cambria" w:ascii="Microsoft YaHei" w:hAnsi="Microsoft YaHei"/>
          <w:b/>
          <w:color w:val="000000"/>
          <w:sz w:val="88"/>
          <w:szCs w:val="88"/>
          <w:lang w:val="en-US" w:eastAsia="zh-CN" w:bidi="hi-IN"/>
          <w:spacing w:val="60"/>
        </w:rPr>
        <w:t>The Hormuz</w:t>
      </w:r>
    </w:p>
    <w:p>
      <w:pPr>
        <w:pStyle w:val="Normal"/>
        <w:bidi w:val="0"/>
        <w:spacing w:lineRule="auto" w:line="240" w:before="0" w:after="60"/>
        <w:jc w:val="center"/>
        <w:rPr/>
      </w:pPr>
      <w:r>
        <w:rPr>
          <w:rFonts w:eastAsia="Microsoft YaHei" w:cs="Cambria" w:ascii="Microsoft YaHei" w:hAnsi="Microsoft YaHei"/>
          <w:b/>
          <w:color w:val="000000"/>
          <w:sz w:val="88"/>
          <w:szCs w:val="88"/>
          <w:lang w:val="en-US" w:eastAsia="zh-CN" w:bidi="hi-IN"/>
          <w:spacing w:val="60"/>
        </w:rPr>
        <w:t>Synchronization</w:t>
      </w:r>
    </w:p>
    <w:p>
      <w:pPr>
        <w:pStyle w:val="Normal"/>
        <w:bidi w:val="0"/>
        <w:spacing w:lineRule="auto" w:line="240" w:before="0" w:after="400"/>
        <w:jc w:val="center"/>
        <w:rPr/>
      </w:pPr>
      <w:r>
        <w:rPr>
          <w:rFonts w:eastAsia="Microsoft YaHei" w:cs="Cambria" w:ascii="Microsoft YaHei" w:hAnsi="Microsoft YaHei"/>
          <w:b/>
          <w:color w:val="000000"/>
          <w:sz w:val="88"/>
          <w:szCs w:val="88"/>
          <w:lang w:val="en-US" w:eastAsia="zh-CN" w:bidi="hi-IN"/>
          <w:spacing w:val="60"/>
        </w:rPr>
        <w:t>Compact</w:t>
      </w:r>
    </w:p>
    <w:p>
      <w:pPr>
        <w:pStyle w:val="Normal"/>
        <w:bidi w:val="0"/>
        <w:spacing w:before="200" w:after="200"/>
        <w:jc w:val="center"/>
        <w:rPr/>
      </w:pPr>
      <w:r>
        <w:rPr>
          <w:rFonts w:eastAsia="Microsoft YaHei" w:cs="Cambria" w:ascii="Microsoft YaHei" w:hAnsi="Microsoft YaHei"/>
          <w:color w:val="000000"/>
          <w:sz w:val="24"/>
          <w:szCs w:val="24"/>
          <w:lang w:val="en-US" w:eastAsia="zh-CN" w:bidi="hi-IN"/>
          <w:spacing w:val="30"/>
        </w:rPr>
        <w:t>A Reciprocal Framework for Peace, Verification, and Regional Stability</w:t>
      </w:r>
    </w:p>
    <w:p>
      <w:pPr>
        <w:pStyle w:val="Normal"/>
        <w:bidi w:val="0"/>
        <w:spacing w:before="2200" w:after="160"/>
        <w:jc w:val="center"/>
        <w:rPr/>
      </w:pPr>
      <w:r>
        <w:rPr>
          <w:rFonts w:eastAsia="Microsoft YaHei" w:cs="Cambria" w:ascii="Microsoft YaHei" w:hAnsi="Microsoft YaHei"/>
          <w:color w:val="000000"/>
          <w:sz w:val="22"/>
          <w:szCs w:val="22"/>
          <w:lang w:val="en-US" w:eastAsia="zh-CN" w:bidi="hi-IN"/>
        </w:rPr>
        <w:t>June 2026 — v5.0</w:t>
      </w:r>
    </w:p>
    <w:p>
      <w:pPr>
        <w:pStyle w:val="Normal"/>
        <w:bidi w:val="0"/>
        <w:spacing w:before="120" w:after="160"/>
        <w:jc w:val="center"/>
        <w:rPr/>
        <w:sectPr>
          <w:type w:val="nextPage"/>
          <w:pgSz w:w="11906" w:h="16838"/>
          <w:pgMar w:left="0" w:right="0" w:gutter="0" w:header="0" w:top="0" w:footer="0" w:bottom="0"/>
          <w:pgNumType w:fmt="decimal"/>
          <w:formProt w:val="false"/>
          <w:textDirection w:val="lrTb"/>
          <w:docGrid w:type="default" w:linePitch="100" w:charSpace="0"/>
        </w:sectPr>
      </w:pPr>
      <w:r>
        <w:rPr>
          <w:rFonts w:eastAsia="Microsoft YaHei" w:cs="Cambria" w:ascii="Microsoft YaHei" w:hAnsi="Microsoft YaHei"/>
          <w:i/>
          <w:color w:val="000000"/>
          <w:sz w:val="18"/>
          <w:szCs w:val="18"/>
          <w:lang w:val="en-US" w:eastAsia="zh-CN" w:bidi="hi-IN"/>
        </w:rPr>
        <w:t>Draft Memorandum of Understanding</w:t>
      </w:r>
    </w:p>
    <w:p>
      <w:pPr>
        <w:pStyle w:val="Heading1"/>
        <w:bidi w:val="0"/>
        <w:rPr/>
      </w:pPr>
      <w:bookmarkStart w:id="0" w:name="_Toc000"/>
      <w:r>
        <w:rPr>
          <w:rFonts w:eastAsia="Microsoft YaHei" w:cs="Cambria" w:ascii="Microsoft YaHei" w:hAnsi="Microsoft YaHei"/>
          <w:b/>
          <w:color w:val="1A2744"/>
          <w:sz w:val="40"/>
          <w:szCs w:val="40"/>
          <w:lang w:val="en-US" w:eastAsia="zh-CN" w:bidi="hi-IN"/>
        </w:rPr>
        <w:t>Table of Contents</w:t>
      </w:r>
      <w:bookmarkEnd w:id="0"/>
    </w:p>
    <w:p>
      <w:pPr>
        <w:pStyle w:val="Normal"/>
        <w:bidi w:val="0"/>
        <w:spacing w:before="0" w:after="300"/>
        <w:rPr/>
      </w:pPr>
      <w:r>
        <w:rPr>
          <w:rFonts w:eastAsia="Microsoft YaHei" w:cs="Cambria" w:ascii="Microsoft YaHei" w:hAnsi="Microsoft YaHei"/>
          <w:color w:val="7A8288"/>
          <w:sz w:val="18"/>
          <w:szCs w:val="18"/>
          <w:lang w:val="en-US" w:eastAsia="zh-CN" w:bidi="hi-IN"/>
        </w:rPr>
        <w:t>This Compact contains 11 articles and 9 annexes. The Table of Contents reflects the complete document structure. Update the TOC field to refresh page numbers after printing.</w:t>
      </w:r>
    </w:p>
    <w:sdt>
      <w:sdtPr>
        <w:docPartObj>
          <w:docPartGallery w:val="Table of Contents"/>
          <w:docPartUnique w:val="true"/>
        </w:docPartObj>
      </w:sdtPr>
      <w:sdtContent>
        <w:p>
          <w:pPr>
            <w:pStyle w:val="Normal"/>
            <w:bidi w:val="0"/>
            <w:spacing w:lineRule="auto" w:line="300" w:before="0" w:after="160"/>
            <w:jc w:val="both"/>
            <w:rPr>
              <w:rFonts w:ascii="Cambria" w:hAnsi="Cambria" w:eastAsia="Microsoft YaHei"/>
              <w:color w:val="1E2530"/>
              <w:sz w:val="22"/>
            </w:rPr>
          </w:pPr>
          <w:r>
            <w:fldChar w:fldCharType="begin" w:dirty="true"/>
          </w:r>
          <w:r>
            <w:rPr>
              <w:sz w:val="22"/>
              <w:rFonts w:eastAsia="Microsoft YaHei"/>
              <w:color w:val="1E2530"/>
            </w:rPr>
            <w:instrText xml:space="preserve"> TOC \z \o "1-3" \u \h</w:instrText>
            <w:fldChar w:fldCharType="separate"/>
          </w:r>
          <w:r>
            <w:rPr>
              <w:rFonts w:eastAsia="Microsoft YaHei"/>
              <w:color w:val="1E2530"/>
              <w:sz w:val="22"/>
            </w:rPr>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Preamble and Governing Principles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 Synchronization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II: Phase One - Immediate Steps (Days 1-7)</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4</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III: Phase Two - 60-Day Reciprocal Commitments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6</w:t>
          </w:r>
        </w:p>
        <w:p>
          <w:pPr>
            <w:pStyle w:val="Contents2"/>
            <w:bidi w:val="0"/>
            <w:spacing w:before="60" w:after="60"/>
            <w:ind w:start="360" w:hanging="0"/>
            <w:rPr/>
          </w:pPr>
          <w:r>
            <w:rPr>
              <w:rFonts w:eastAsia="Microsoft YaHei" w:cs="Cambria" w:ascii="Microsoft YaHei" w:hAnsi="Microsoft YaHei"/>
              <w:color w:val="4A5568"/>
              <w:sz w:val="22"/>
              <w:szCs w:val="22"/>
              <w:lang w:val="en-US" w:eastAsia="zh-CN" w:bidi="hi-IN"/>
            </w:rPr>
            <w:t>Nuclear Material Custody and Disposition</w:t>
          </w:r>
          <w:r>
            <w:rPr>
              <w:rFonts w:eastAsia="Microsoft YaHei"/>
              <w:color w:val="4A5568"/>
              <w:sz w:val="22"/>
              <w:szCs w:val="24"/>
              <w:lang w:val="en-US" w:eastAsia="zh-CN" w:bidi="hi-IN"/>
            </w:rPr>
            <w:tab/>
          </w:r>
          <w:r>
            <w:rPr>
              <w:rFonts w:eastAsia="Microsoft YaHei" w:cs="Cambria" w:ascii="Microsoft YaHei" w:hAnsi="Microsoft YaHei"/>
              <w:color w:val="4A5568"/>
              <w:sz w:val="22"/>
              <w:szCs w:val="22"/>
              <w:lang w:val="en-US" w:eastAsia="zh-CN" w:bidi="hi-IN"/>
            </w:rPr>
            <w:t>6</w:t>
          </w:r>
        </w:p>
        <w:p>
          <w:pPr>
            <w:pStyle w:val="Contents2"/>
            <w:bidi w:val="0"/>
            <w:spacing w:before="60" w:after="60"/>
            <w:ind w:start="360" w:hanging="0"/>
            <w:rPr/>
          </w:pPr>
          <w:r>
            <w:rPr>
              <w:rFonts w:eastAsia="Microsoft YaHei" w:cs="Cambria" w:ascii="Microsoft YaHei" w:hAnsi="Microsoft YaHei"/>
              <w:color w:val="4A5568"/>
              <w:sz w:val="22"/>
              <w:szCs w:val="22"/>
              <w:lang w:val="en-US" w:eastAsia="zh-CN" w:bidi="hi-IN"/>
            </w:rPr>
            <w:t>Strait of Hormuz Reopening Protocol</w:t>
          </w:r>
          <w:r>
            <w:rPr>
              <w:rFonts w:eastAsia="Microsoft YaHei"/>
              <w:color w:val="4A5568"/>
              <w:sz w:val="22"/>
              <w:szCs w:val="24"/>
              <w:lang w:val="en-US" w:eastAsia="zh-CN" w:bidi="hi-IN"/>
            </w:rPr>
            <w:tab/>
          </w:r>
          <w:r>
            <w:rPr>
              <w:rFonts w:eastAsia="Microsoft YaHei" w:cs="Cambria" w:ascii="Microsoft YaHei" w:hAnsi="Microsoft YaHei"/>
              <w:color w:val="4A5568"/>
              <w:sz w:val="22"/>
              <w:szCs w:val="22"/>
              <w:lang w:val="en-US" w:eastAsia="zh-CN" w:bidi="hi-IN"/>
            </w:rPr>
            <w:t>8</w:t>
          </w:r>
        </w:p>
        <w:p>
          <w:pPr>
            <w:pStyle w:val="Contents2"/>
            <w:bidi w:val="0"/>
            <w:spacing w:before="60" w:after="60"/>
            <w:ind w:start="360" w:hanging="0"/>
            <w:rPr/>
          </w:pPr>
          <w:r>
            <w:rPr>
              <w:rFonts w:eastAsia="Microsoft YaHei" w:cs="Cambria" w:ascii="Microsoft YaHei" w:hAnsi="Microsoft YaHei"/>
              <w:color w:val="4A5568"/>
              <w:sz w:val="22"/>
              <w:szCs w:val="22"/>
              <w:lang w:val="en-US" w:eastAsia="zh-CN" w:bidi="hi-IN"/>
            </w:rPr>
            <w:t>Sanctions Relief Sequencing</w:t>
          </w:r>
          <w:r>
            <w:rPr>
              <w:rFonts w:eastAsia="Microsoft YaHei"/>
              <w:color w:val="4A5568"/>
              <w:sz w:val="22"/>
              <w:szCs w:val="24"/>
              <w:lang w:val="en-US" w:eastAsia="zh-CN" w:bidi="hi-IN"/>
            </w:rPr>
            <w:tab/>
          </w:r>
          <w:r>
            <w:rPr>
              <w:rFonts w:eastAsia="Microsoft YaHei" w:cs="Cambria" w:ascii="Microsoft YaHei" w:hAnsi="Microsoft YaHei"/>
              <w:color w:val="4A5568"/>
              <w:sz w:val="22"/>
              <w:szCs w:val="22"/>
              <w:lang w:val="en-US" w:eastAsia="zh-CN" w:bidi="hi-IN"/>
            </w:rPr>
            <w:t>9</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IV: Phase Three - Transition to Follow-on Negotiations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11</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 Verification and Telemetry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13</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VI: Compliance Framework - Step-Back, Earn-Back, and Exit</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15</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VII: The Human-in-the-Loop Review</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18</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VIII: Neutral Guarantor Structure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19</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A: Implementation Timelines and Reciprocity Matrix</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20</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B: Lebanon Ceasefire and Firewall Protocol</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22</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C: Frozen Asset Release Schedule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24</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D: Definitions and Interpretive Notes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26</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Signature Blocks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28</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IX: Trigger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29</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X: Public Wins and Domestic Framing Architecture</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31</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Article XI: Prisoner Exchange and Humanitarian Protocol</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34</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E: Nuclear Reciprocity Matrix and Sequencing Map</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36</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F: Verification Sequencing Map and Telemetry Protocol</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38</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G: Public Messaging Annex</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40</w:t>
          </w:r>
        </w:p>
        <w:p>
          <w:pPr>
            <w:pStyle w:val="Contents1"/>
            <w:bidi w:val="0"/>
            <w:spacing w:before="200" w:after="60"/>
            <w:ind w:start="0" w:hanging="0"/>
            <w:rPr/>
          </w:pPr>
          <w:r>
            <w:rPr>
              <w:rFonts w:eastAsia="Microsoft YaHei" w:cs="Cambria" w:ascii="Microsoft YaHei" w:hAnsi="Microsoft YaHei"/>
              <w:b/>
              <w:color w:val="1E2530"/>
              <w:sz w:val="22"/>
              <w:szCs w:val="22"/>
              <w:lang w:val="en-US" w:eastAsia="zh-CN" w:bidi="hi-IN"/>
            </w:rPr>
            <w:t>Annex H: Operational One-Page Tools</w:t>
          </w:r>
          <w:r>
            <w:rPr>
              <w:rFonts w:eastAsia="Microsoft YaHei"/>
              <w:b/>
              <w:color w:val="1E2530"/>
              <w:sz w:val="22"/>
              <w:szCs w:val="24"/>
              <w:lang w:val="en-US" w:eastAsia="zh-CN" w:bidi="hi-IN"/>
            </w:rPr>
            <w:tab/>
          </w:r>
          <w:r>
            <w:rPr>
              <w:rFonts w:eastAsia="Microsoft YaHei" w:cs="Cambria" w:ascii="Microsoft YaHei" w:hAnsi="Microsoft YaHei"/>
              <w:b/>
              <w:color w:val="1E2530"/>
              <w:sz w:val="22"/>
              <w:szCs w:val="22"/>
              <w:lang w:val="en-US" w:eastAsia="zh-CN" w:bidi="hi-IN"/>
            </w:rPr>
            <w:t>43</w:t>
          </w:r>
        </w:p>
        <w:p>
          <w:pPr>
            <w:pStyle w:val="Contents1"/>
            <w:bidi w:val="0"/>
            <w:spacing w:before="200" w:after="60"/>
            <w:ind w:start="0" w:hanging="0"/>
            <w:rPr/>
          </w:pPr>
          <w:r>
            <w:rPr>
              <w:rFonts w:eastAsia="Microsoft YaHei" w:cs="Cambria"/>
              <w:b/>
              <w:color w:val="1E2530"/>
              <w:sz w:val="22"/>
              <w:szCs w:val="22"/>
            </w:rPr>
            <w:t>Annex I: Crisis Communication and Guarantor Messaging</w:t>
          </w:r>
          <w:r>
            <w:rPr>
              <w:rFonts w:eastAsia="Microsoft YaHei"/>
              <w:b/>
              <w:color w:val="1E2530"/>
              <w:sz w:val="22"/>
            </w:rPr>
            <w:tab/>
          </w:r>
          <w:r>
            <w:rPr>
              <w:rFonts w:eastAsia="Microsoft YaHei" w:cs="Cambria"/>
              <w:b/>
              <w:color w:val="1E2530"/>
              <w:sz w:val="22"/>
              <w:szCs w:val="22"/>
            </w:rPr>
            <w:t>47</w:t>
          </w:r>
          <w:r>
            <w:rPr>
              <w:sz w:val="22"/>
              <w:b/>
              <w:szCs w:val="22"/>
              <w:rFonts w:eastAsia="Microsoft YaHei" w:cs="Cambria"/>
              <w:color w:val="1E2530"/>
            </w:rPr>
            <w:fldChar w:fldCharType="end"/>
          </w:r>
        </w:p>
      </w:sdtContent>
    </w:sdt>
    <w:p>
      <w:pPr>
        <w:pStyle w:val="Normal"/>
        <w:bidi w:val="0"/>
        <w:spacing w:lineRule="auto" w:line="300" w:before="0" w:after="160"/>
        <w:jc w:val="both"/>
        <w:rPr>
          <w:rFonts w:ascii="Cambria" w:hAnsi="Cambria" w:eastAsia="Microsoft YaHei"/>
          <w:color w:val="1E2530"/>
          <w:sz w:val="22"/>
        </w:rPr>
        <w:sectPr>
          <w:type w:val="nextPage"/>
          <w:pgSz w:w="11906" w:h="16838"/>
          <w:pgMar w:left="1440" w:right="1440" w:gutter="0" w:header="0" w:top="1800" w:footer="0" w:bottom="1440"/>
          <w:pgNumType w:fmt="decimal"/>
          <w:formProt w:val="false"/>
          <w:textDirection w:val="lrTb"/>
          <w:docGrid w:type="default" w:linePitch="100" w:charSpace="0"/>
        </w:sectPr>
      </w:pPr>
    </w:p>
    <w:p>
      <w:pPr>
        <w:pStyle w:val="Heading1"/>
        <w:bidi w:val="0"/>
        <w:rPr/>
      </w:pPr>
      <w:bookmarkStart w:id="1" w:name="_Toc001"/>
      <w:r>
        <w:rPr>
          <w:rFonts w:eastAsia="Microsoft YaHei" w:cs="Cambria" w:ascii="Microsoft YaHei" w:hAnsi="Microsoft YaHei"/>
          <w:b/>
          <w:color w:val="1A2744"/>
          <w:sz w:val="40"/>
          <w:szCs w:val="40"/>
          <w:lang w:val="en-US" w:eastAsia="zh-CN" w:bidi="hi-IN"/>
        </w:rPr>
        <w:t>Preamble and Governing Principles</w:t>
      </w:r>
      <w:bookmarkEnd w:id="1"/>
    </w:p>
    <w:p>
      <w:pPr>
        <w:pStyle w:val="Normal"/>
        <w:bidi w:val="0"/>
        <w:spacing w:before="0" w:after="180"/>
        <w:rPr/>
      </w:pPr>
      <w:r>
        <w:rPr>
          <w:rFonts w:eastAsia="Microsoft YaHei" w:cs="Cambria" w:ascii="Microsoft YaHei" w:hAnsi="Microsoft YaHei"/>
          <w:color w:val="1E2530"/>
          <w:sz w:val="22"/>
          <w:szCs w:val="22"/>
          <w:lang w:val="en-US" w:eastAsia="zh-CN" w:bidi="hi-IN"/>
        </w:rPr>
        <w:t>The United States of America and the Islamic Republic of Iran enter this Memorandum of Understanding with the shared recognition that sustainable peace between their nations demands a framework rooted in reciprocity, mutual dignity, and synchronized action. This document establishes the architecture for a phased transition from confrontation to normalized relations through verifiable commitments that activate simultaneously.</w:t>
      </w:r>
    </w:p>
    <w:p>
      <w:pPr>
        <w:pStyle w:val="Normal"/>
        <w:bidi w:val="0"/>
        <w:spacing w:before="0" w:after="180"/>
        <w:rPr/>
      </w:pPr>
      <w:r>
        <w:rPr>
          <w:rFonts w:eastAsia="Microsoft YaHei" w:cs="Cambria" w:ascii="Microsoft YaHei" w:hAnsi="Microsoft YaHei"/>
          <w:color w:val="1E2530"/>
          <w:sz w:val="22"/>
          <w:szCs w:val="22"/>
          <w:lang w:val="en-US" w:eastAsia="zh-CN" w:bidi="hi-IN"/>
        </w:rPr>
        <w:t>Both Parties acknowledge that neither side holds a unilateral obligation to move first. Every commitment described within this Compact pairs with a corresponding commitment from the other side, and both commitments activate at the same moment. This principle of synchronized reciprocal motion governs every operational provision.</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Fundamental Principles</w:t>
      </w:r>
    </w:p>
    <w:p>
      <w:pPr>
        <w:pStyle w:val="Normal"/>
        <w:bidi w:val="0"/>
        <w:spacing w:before="0" w:after="180"/>
        <w:rPr/>
      </w:pPr>
      <w:r>
        <w:rPr>
          <w:rFonts w:eastAsia="Microsoft YaHei" w:cs="Cambria" w:ascii="Microsoft YaHei" w:hAnsi="Microsoft YaHei"/>
          <w:color w:val="1E2530"/>
          <w:sz w:val="22"/>
          <w:szCs w:val="22"/>
          <w:lang w:val="en-US" w:eastAsia="zh-CN" w:bidi="hi-IN"/>
        </w:rPr>
        <w:t>The following principles apply throughout this Compact and all its annexes: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Synchronized Reciprocal Motion - </w:t>
      </w:r>
      <w:r>
        <w:rPr>
          <w:rFonts w:eastAsia="Microsoft YaHei" w:cs="Cambria" w:ascii="Microsoft YaHei" w:hAnsi="Microsoft YaHei"/>
          <w:color w:val="1E2530"/>
          <w:sz w:val="22"/>
          <w:szCs w:val="22"/>
          <w:lang w:val="en-US" w:eastAsia="zh-CN" w:bidi="hi-IN"/>
        </w:rPr>
        <w:t>Neither Party moves alone. Every commitment pairs with a reciprocal commitment, and both commitments activate simultaneously. No provision creates a sequential obligation where one side acts before the other.</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No-Precedent Clause - </w:t>
      </w:r>
      <w:r>
        <w:rPr>
          <w:rFonts w:eastAsia="Microsoft YaHei" w:cs="Cambria" w:ascii="Microsoft YaHei" w:hAnsi="Microsoft YaHei"/>
          <w:color w:val="1E2530"/>
          <w:sz w:val="22"/>
          <w:szCs w:val="22"/>
          <w:lang w:val="en-US" w:eastAsia="zh-CN" w:bidi="hi-IN"/>
        </w:rPr>
        <w:t>This MOU creates no legal or political precedent for any future negotiation. This document addresses the specific circumstances of June 2026 and the immediate requirements for peace between the Parties. Nothing in this Compact binds either side in future diplomatic engagements.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Domestic Framing Autonomy - </w:t>
      </w:r>
      <w:r>
        <w:rPr>
          <w:rFonts w:eastAsia="Microsoft YaHei" w:cs="Cambria" w:ascii="Microsoft YaHei" w:hAnsi="Microsoft YaHei"/>
          <w:color w:val="1E2530"/>
          <w:sz w:val="22"/>
          <w:szCs w:val="22"/>
          <w:lang w:val="en-US" w:eastAsia="zh-CN" w:bidi="hi-IN"/>
        </w:rPr>
        <w:t>Each Party describes this Compact to its own public in its own terminology. Neither Party dictates the narrative language the other uses. Both Parties possess full freedom to characterize the agreement according to their respective domestic political requirements.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Telemetry-First Verification - </w:t>
      </w:r>
      <w:r>
        <w:rPr>
          <w:rFonts w:eastAsia="Microsoft YaHei" w:cs="Cambria" w:ascii="Microsoft YaHei" w:hAnsi="Microsoft YaHei"/>
          <w:color w:val="1E2530"/>
          <w:sz w:val="22"/>
          <w:szCs w:val="22"/>
          <w:lang w:val="en-US" w:eastAsia="zh-CN" w:bidi="hi-IN"/>
        </w:rPr>
        <w:t>Commitments achieve verification through sensor readings, financial records, physical lock confirmations, IAEA reports, and other objective telemetry data. Human judgment supplements but does not override mechanical confirmation.</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Respect for Sovereign Red Lines - </w:t>
      </w:r>
      <w:r>
        <w:rPr>
          <w:rFonts w:eastAsia="Microsoft YaHei" w:cs="Cambria" w:ascii="Microsoft YaHei" w:hAnsi="Microsoft YaHei"/>
          <w:color w:val="1E2530"/>
          <w:sz w:val="22"/>
          <w:szCs w:val="22"/>
          <w:lang w:val="en-US" w:eastAsia="zh-CN" w:bidi="hi-IN"/>
        </w:rPr>
        <w:t>Each Party retains non-negotiable positions that this Compact does not address. The United States maintains its position that Iran does not possess, develop, or acquire nuclear weapons. Iran retains its right to peaceful nuclear technology and its position as a coastal state under international maritime law with attendant rights and responsibilities in the Strait of Hormuz.</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Firewalled Provisions - </w:t>
      </w:r>
      <w:r>
        <w:rPr>
          <w:rFonts w:eastAsia="Microsoft YaHei" w:cs="Cambria" w:ascii="Microsoft YaHei" w:hAnsi="Microsoft YaHei"/>
          <w:color w:val="1E2530"/>
          <w:sz w:val="22"/>
          <w:szCs w:val="22"/>
          <w:lang w:val="en-US" w:eastAsia="zh-CN" w:bidi="hi-IN"/>
        </w:rPr>
        <w:t>Annexes exist as standalone modules. A breach in one annex does not automatically terminate provisions in another annex or in the core body of this Compact. Each annex carries its own compliance and remedy mechanisms.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No Missile Limits - </w:t>
      </w:r>
      <w:r>
        <w:rPr>
          <w:rFonts w:eastAsia="Microsoft YaHei" w:cs="Cambria" w:ascii="Microsoft YaHei" w:hAnsi="Microsoft YaHei"/>
          <w:color w:val="1E2530"/>
          <w:sz w:val="22"/>
          <w:szCs w:val="22"/>
          <w:lang w:val="en-US" w:eastAsia="zh-CN" w:bidi="hi-IN"/>
        </w:rPr>
        <w:t>Ballistic missile programs are not within the scope of this Compact. Any future discussion of missile issues proceeds on a voluntary basis and is not linked to sanctions relief or nuclear commitments.</w:t>
      </w:r>
    </w:p>
    <w:p>
      <w:pPr>
        <w:pStyle w:val="Normal"/>
        <w:bidi w:val="0"/>
        <w:spacing w:before="0" w:after="180"/>
        <w:rPr/>
      </w:pPr>
      <w:r>
        <w:rPr>
          <w:rFonts w:eastAsia="Microsoft YaHei" w:cs="Cambria" w:ascii="Microsoft YaHei" w:hAnsi="Microsoft YaHei"/>
          <w:color w:val="1E2530"/>
          <w:sz w:val="22"/>
          <w:szCs w:val="22"/>
          <w:lang w:val="en-US" w:eastAsia="zh-CN" w:bidi="hi-IN"/>
        </w:rPr>
        <w:t>This Compact consists of eleven articles and nine annexes. The articles establish the operational framework. The annexes provide detailed implementation protocols. In the event of any inconsistency between an annex and the core articles, the core articles govern.</w:t>
      </w:r>
    </w:p>
    <w:p>
      <w:pPr>
        <w:pStyle w:val="Heading1"/>
        <w:keepNext w:val="true"/>
        <w:keepLines/>
        <w:bidi w:val="0"/>
        <w:spacing w:before="480" w:after="240"/>
        <w:rPr/>
      </w:pPr>
      <w:bookmarkStart w:id="2" w:name="_Toc002"/>
      <w:r>
        <w:rPr>
          <w:rFonts w:eastAsia="Microsoft YaHei" w:cs="Cambria" w:ascii="Microsoft YaHei" w:hAnsi="Microsoft YaHei"/>
          <w:b/>
          <w:color w:val="1A2744"/>
          <w:sz w:val="40"/>
          <w:szCs w:val="40"/>
          <w:lang w:val="en-US" w:eastAsia="zh-CN" w:bidi="hi-IN"/>
        </w:rPr>
        <w:t>Article I: Synchronization Architecture</w:t>
      </w:r>
      <w:bookmarkEnd w:id="2"/>
    </w:p>
    <w:p>
      <w:pPr>
        <w:pStyle w:val="Normal"/>
        <w:bidi w:val="0"/>
        <w:spacing w:before="0" w:after="180"/>
        <w:rPr/>
      </w:pPr>
      <w:r>
        <w:rPr>
          <w:rFonts w:eastAsia="Microsoft YaHei" w:cs="Cambria" w:ascii="Microsoft YaHei" w:hAnsi="Microsoft YaHei"/>
          <w:color w:val="1E2530"/>
          <w:sz w:val="22"/>
          <w:szCs w:val="22"/>
          <w:lang w:val="en-US" w:eastAsia="zh-CN" w:bidi="hi-IN"/>
        </w:rPr>
        <w:t>This article establishes the mechanical rules that govern how commitments activate, how the Parties verify each other's performance, and how the framework maintains equilibrium throughout the 60-day implementation window.</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1.1 - Reciprocal Activation Engine</w:t>
      </w:r>
    </w:p>
    <w:p>
      <w:pPr>
        <w:pStyle w:val="Normal"/>
        <w:bidi w:val="0"/>
        <w:spacing w:before="0" w:after="180"/>
        <w:rPr/>
      </w:pPr>
      <w:r>
        <w:rPr>
          <w:rFonts w:ascii="Cambria" w:hAnsi="Cambria" w:eastAsia="Microsoft YaHei" w:cs="FreeSans"/>
          <w:color w:val="1E2530"/>
          <w:sz w:val="22"/>
          <w:szCs w:val="24"/>
          <w:lang w:val="en-US" w:eastAsia="zh-CN" w:bidi="hi-IN"/>
        </w:rPr>
        <w:t>Every commitment in this Compact operates through the following mechanics:</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Pairing -</w:t>
      </w:r>
      <w:r>
        <w:rPr>
          <w:rFonts w:ascii="Cambria" w:hAnsi="Cambria" w:eastAsia="Microsoft YaHei" w:cs="FreeSans"/>
          <w:color w:val="1E2530"/>
          <w:sz w:val="22"/>
          <w:szCs w:val="24"/>
          <w:lang w:val="en-US" w:eastAsia="zh-CN" w:bidi="hi-IN"/>
        </w:rPr>
        <w:t>Each commitment from one Party matches with a corresponding commitment from the other Party. The pairing creates a single reciprocity unit.</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Simultaneous Activation -</w:t>
      </w:r>
      <w:r>
        <w:rPr>
          <w:rFonts w:ascii="Cambria" w:hAnsi="Cambria" w:eastAsia="Microsoft YaHei" w:cs="FreeSans"/>
          <w:color w:val="1E2530"/>
          <w:sz w:val="22"/>
          <w:szCs w:val="24"/>
          <w:lang w:val="en-US" w:eastAsia="zh-CN" w:bidi="hi-IN"/>
        </w:rPr>
        <w:t>Both commitments in a reciprocity unit activate at the same moment. Neither side activates its commitment before the other side activates the corresponding commitment.</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Joint Confirmation -</w:t>
      </w:r>
      <w:r>
        <w:rPr>
          <w:rFonts w:ascii="Cambria" w:hAnsi="Cambria" w:eastAsia="Microsoft YaHei" w:cs="FreeSans"/>
          <w:color w:val="1E2530"/>
          <w:sz w:val="22"/>
          <w:szCs w:val="24"/>
          <w:lang w:val="en-US" w:eastAsia="zh-CN" w:bidi="hi-IN"/>
        </w:rPr>
        <w:t>The Neutral Guarantor (described in Article VIII) confirms simultaneous activation. Either Party holds veto power over unilateral activation.</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1.2 - Veto Architecture</w:t>
      </w:r>
    </w:p>
    <w:p>
      <w:pPr>
        <w:pStyle w:val="Normal"/>
        <w:bidi w:val="0"/>
        <w:spacing w:before="0" w:after="180"/>
        <w:rPr/>
      </w:pPr>
      <w:r>
        <w:rPr>
          <w:rFonts w:ascii="Cambria" w:hAnsi="Cambria" w:eastAsia="Microsoft YaHei" w:cs="FreeSans"/>
          <w:color w:val="1E2530"/>
          <w:sz w:val="22"/>
          <w:szCs w:val="24"/>
          <w:lang w:val="en-US" w:eastAsia="zh-CN" w:bidi="hi-IN"/>
        </w:rPr>
        <w:t>Each Party possesses one veto per week during the 60-day implementation period. A Party exercises its veto by submitting a written objection to the Neutral Guarantor within 24 hours of a proposed activation. The veto suspends the specific reciprocity unit under dispute while all other reciprocity units continue operating. The Parties resolve suspended units through the Human-in-the-Loop Review process described in Article VII.</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1.3 - Communication Protocols</w:t>
      </w:r>
    </w:p>
    <w:p>
      <w:pPr>
        <w:pStyle w:val="Normal"/>
        <w:bidi w:val="0"/>
        <w:spacing w:before="0" w:after="180"/>
        <w:rPr/>
      </w:pPr>
      <w:r>
        <w:rPr>
          <w:rFonts w:ascii="Cambria" w:hAnsi="Cambria" w:eastAsia="Microsoft YaHei" w:cs="FreeSans"/>
          <w:color w:val="1E2530"/>
          <w:sz w:val="22"/>
          <w:szCs w:val="24"/>
          <w:lang w:val="en-US" w:eastAsia="zh-CN" w:bidi="hi-IN"/>
        </w:rPr>
        <w:t>The Parties communicate through the following channels: the Joint Coordination Center in Muscat, Oman serves as the primary liaison hub; the Neutral Guarantor maintains secure diplomatic backchannels for sensitive matters; and both Parties retain the right to public statements provided such statements do not disclose classified operational details.</w:t>
      </w:r>
    </w:p>
    <w:p>
      <w:pPr>
        <w:pStyle w:val="Heading1"/>
        <w:keepNext w:val="true"/>
        <w:keepLines/>
        <w:bidi w:val="0"/>
        <w:spacing w:before="480" w:after="240"/>
        <w:rPr/>
      </w:pPr>
      <w:bookmarkStart w:id="3" w:name="_Toc003"/>
      <w:r>
        <w:rPr>
          <w:szCs w:val="24"/>
          <w:lang w:val="en-US" w:eastAsia="zh-CN" w:bidi="hi-IN"/>
          <w:rFonts w:ascii="Cambria" w:hAnsi="Cambria" w:eastAsia="Microsoft YaHei" w:cs="Cambria"/>
          <w:b/>
          <w:color w:val="1A2744"/>
          <w:sz w:val="40"/>
        </w:rPr>
        <w:t>Article II: Phase One - Immediate Steps (Days 1-7)</w:t>
      </w:r>
      <w:bookmarkEnd w:id="3"/>
    </w:p>
    <w:p>
      <w:pPr>
        <w:pStyle w:val="Normal"/>
        <w:bidi w:val="0"/>
        <w:spacing w:before="0" w:after="180"/>
        <w:rPr/>
      </w:pPr>
      <w:r>
        <w:rPr>
          <w:rFonts w:ascii="Cambria" w:hAnsi="Cambria" w:eastAsia="Microsoft YaHei" w:cs="FreeSans"/>
          <w:color w:val="1E2530"/>
          <w:sz w:val="22"/>
          <w:szCs w:val="24"/>
          <w:lang w:val="en-US" w:eastAsia="zh-CN" w:bidi="hi-IN"/>
        </w:rPr>
        <w:t>Phase One establishes the foundation for all subsequent cooperation. The steps in this phase create the conditions of trust and operational security that enable the more complex commitments of Phase Two.</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2.1 - Immediate Ceasefire</w:t>
      </w:r>
    </w:p>
    <w:p>
      <w:pPr>
        <w:pStyle w:val="Normal"/>
        <w:bidi w:val="0"/>
        <w:spacing w:before="0" w:after="180"/>
        <w:rPr/>
      </w:pPr>
      <w:r>
        <w:rPr>
          <w:rFonts w:ascii="Cambria" w:hAnsi="Cambria" w:eastAsia="Microsoft YaHei" w:cs="FreeSans"/>
          <w:color w:val="1E2530"/>
          <w:sz w:val="22"/>
          <w:szCs w:val="24"/>
          <w:lang w:val="en-US" w:eastAsia="zh-CN" w:bidi="hi-IN"/>
        </w:rPr>
        <w:t>Within 24 hours of signature, both Parties implement a complete cessation of all offensive military operations against each other's territory, forces, and interests. This ceasefire encompasses all domains and all fronts: land, air, sea, cyber, and proxy operations, including the Lebanon front explicitly. On the Lebanon front, the United States exercises its influence toward an Israeli halt of offensive operations and Iran exercises its influence toward a Hezbollah halt of offensive operations; defensive positions continue, and a spontaneous local clash routes to the crisis-communication consultation rather than to breach. The Lebanon ceasefire operates as a firewalled reciprocity unit under Annex B, so that a lapse on the Lebanon front suspends only the Lebanon unit while the nuclear, maritime, and economic tracks continue operating.</w:t>
      </w:r>
    </w:p>
    <w:p>
      <w:pPr>
        <w:pStyle w:val="Normal"/>
        <w:bidi w:val="0"/>
        <w:spacing w:before="0" w:after="180"/>
        <w:rPr/>
      </w:pPr>
      <w:r>
        <w:rPr>
          <w:rFonts w:ascii="Cambria" w:hAnsi="Cambria" w:eastAsia="Microsoft YaHei" w:cs="FreeSans"/>
          <w:color w:val="1E2530"/>
          <w:sz w:val="22"/>
          <w:szCs w:val="24"/>
          <w:lang w:val="en-US" w:eastAsia="zh-CN" w:bidi="hi-IN"/>
        </w:rPr>
        <w:t>The ceasefire operates as a self-renewing 72-hour module. If both Parties confirm compliance at Hour 71, the ceasefire automatically renews for another 72 hours. This process continues indefinitely unless either Party provides 48 hours' written notice of non-renewal. Written notice triggers the Step-Back procedures in Article VI but does not automatically terminate the entire Compact. Silence at the renewal point constitutes confirmation of continuation.</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2.2 - Strait of Hormuz Immediate Reopening</w:t>
      </w:r>
    </w:p>
    <w:p>
      <w:pPr>
        <w:pStyle w:val="Normal"/>
        <w:bidi w:val="0"/>
        <w:spacing w:before="0" w:after="180"/>
        <w:rPr/>
      </w:pPr>
      <w:r>
        <w:rPr>
          <w:rFonts w:ascii="Cambria" w:hAnsi="Cambria" w:eastAsia="Microsoft YaHei" w:cs="FreeSans"/>
          <w:color w:val="1E2530"/>
          <w:sz w:val="22"/>
          <w:szCs w:val="24"/>
          <w:lang w:val="en-US" w:eastAsia="zh-CN" w:bidi="hi-IN"/>
        </w:rPr>
        <w:t>Beginning Day 1, Iran permits the unrestricted transit of all commercial vessels through the Strait of Hormuz. The Strait reopens without transit tolls or inspection delays, and a capped, transparent, non-discriminatory service-fee schedule for defined marine services operates under Joint Maritime Coordination Center oversight, as Annex M, Section M.1.4 specifies. The United States simultaneously lifts its naval blockade of Iranian commercial ports. Both Parties acknowledge that a return to pre-conflict shipping volumes requires a phased recovery period not exceeding 30 days for logistical coordination, maritime traffic scheduling, and the resumption of commercial shipping lines.</w:t>
      </w:r>
    </w:p>
    <w:p>
      <w:pPr>
        <w:pStyle w:val="Normal"/>
        <w:bidi w:val="0"/>
        <w:spacing w:before="0" w:after="180"/>
        <w:rPr/>
      </w:pPr>
      <w:r>
        <w:rPr>
          <w:rFonts w:ascii="Cambria" w:hAnsi="Cambria" w:eastAsia="Microsoft YaHei" w:cs="FreeSans"/>
          <w:color w:val="1E2530"/>
          <w:sz w:val="22"/>
          <w:szCs w:val="24"/>
          <w:lang w:val="en-US" w:eastAsia="zh-CN" w:bidi="hi-IN"/>
        </w:rPr>
        <w:t>During the 30-day recovery period, the Joint Maritime Coordination Center in Bandar Abbas coordinates traffic management and maintains a real-time public dashboard of transit volumes. The Neutral Guarantor publishes weekly reports on recovery progress. The framework architecture excludes new transit tolls, inspection requirements, and additional transit restrictions; the published service-fee schedule of Section M.1.4 operates as the only authorized charge on transit, and it applies equally to all vessels.</w:t>
      </w:r>
    </w:p>
    <w:p>
      <w:pPr>
        <w:pStyle w:val="Normal"/>
        <w:bidi w:val="0"/>
        <w:spacing w:before="0" w:after="180"/>
        <w:rPr/>
      </w:pPr>
      <w:r>
        <w:rPr>
          <w:rFonts w:ascii="Cambria" w:hAnsi="Cambria" w:eastAsia="Microsoft YaHei" w:cs="FreeSans"/>
          <w:color w:val="1E2530"/>
          <w:sz w:val="22"/>
          <w:szCs w:val="24"/>
          <w:lang w:val="en-US" w:eastAsia="zh-CN" w:bidi="hi-IN"/>
        </w:rPr>
        <w:t>In reciprocity, beginning Day 1, the United States halts all offensive naval operations in the Persian Gulf and Strait of Hormuz. US forces maintain defensive positions only.</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2.3 - Prisoner and Detainee Exchange</w:t>
      </w:r>
    </w:p>
    <w:p>
      <w:pPr>
        <w:pStyle w:val="Normal"/>
        <w:bidi w:val="0"/>
        <w:spacing w:before="0" w:after="180"/>
        <w:rPr/>
      </w:pPr>
      <w:r>
        <w:rPr>
          <w:rFonts w:ascii="Cambria" w:hAnsi="Cambria" w:eastAsia="Microsoft YaHei" w:cs="FreeSans"/>
          <w:color w:val="1E2530"/>
          <w:sz w:val="22"/>
          <w:szCs w:val="24"/>
          <w:lang w:val="en-US" w:eastAsia="zh-CN" w:bidi="hi-IN"/>
        </w:rPr>
        <w:t>Within 72 hours of signature, both Parties exchange all prisoners and civilian detainees held in connection with the current conflict. The Neutral Guarantor verifies the roster and facilitates the physical transfer at a neutral location designated by mutual agreement.</w:t>
      </w:r>
    </w:p>
    <w:p>
      <w:pPr>
        <w:pStyle w:val="Heading2"/>
        <w:keepNext w:val="true"/>
        <w:keepLines/>
        <w:bidi w:val="0"/>
        <w:spacing w:before="360" w:after="160"/>
        <w:rPr/>
      </w:pPr>
      <w:r>
        <w:rPr/>
        <w:t>Section 2.4 - Humanitarian Tranche Release</w:t>
      </w:r>
    </w:p>
    <w:p>
      <w:pPr>
        <w:pStyle w:val="Normal"/>
        <w:bidi w:val="0"/>
        <w:spacing w:before="0" w:after="180"/>
        <w:rPr/>
      </w:pPr>
      <w:r>
        <w:rPr/>
        <w:t>Within 48 hours of signature, the United States releases $250 million in frozen Iranian assets designated exclusively for humanitarian purposes: medical supplies, food security, and civilian infrastructure repair. This release is non-reversible.</w:t>
      </w:r>
    </w:p>
    <w:p>
      <w:pPr>
        <w:pStyle w:val="Normal"/>
        <w:bidi w:val="0"/>
        <w:spacing w:before="0" w:after="180"/>
        <w:rPr/>
      </w:pPr>
      <w:r>
        <w:rPr/>
        <w:t>In reciprocity, within the same 48-hour window, Iran provides the IAEA with full access to all declared nuclear facilities for baseline verification readings. This access does not constitute a full inspection regime; it establishes the telemetry baseline from which Phase Two operates.</w:t>
      </w:r>
    </w:p>
    <w:p>
      <w:pPr>
        <w:pStyle w:val="Heading2"/>
        <w:keepNext w:val="true"/>
        <w:keepLines/>
        <w:bidi w:val="0"/>
        <w:spacing w:before="360" w:after="160"/>
        <w:rPr/>
      </w:pPr>
      <w:r>
        <w:rPr/>
        <w:t>Section 2.5 - Confidence-Building Measure: Fuel Swap</w:t>
      </w:r>
    </w:p>
    <w:p>
      <w:pPr>
        <w:pStyle w:val="Normal"/>
        <w:bidi w:val="0"/>
        <w:spacing w:before="0" w:after="180"/>
        <w:rPr/>
      </w:pPr>
      <w:r>
        <w:rPr/>
        <w:t>By Day 7, Iran transfers 50 kilograms of uranium enriched to 60 percent to a secure facility in Oman under IAEA custody with Iranian observer access. No US personnel enter the facility without Iran's explicit, revocable, per-visit consent. US personnel do not maintain a presence at the Oman facility under any routine circumstances; any exception requires a separate written agreement between the Parties.</w:t>
      </w:r>
    </w:p>
    <w:p>
      <w:pPr>
        <w:pStyle w:val="Normal"/>
        <w:bidi w:val="0"/>
        <w:spacing w:before="0" w:after="180"/>
        <w:rPr/>
      </w:pPr>
      <w:r>
        <w:rPr/>
        <w:t>Simultaneously, the United States provides Iran with 200 kilograms of 19.75 percent enriched uranium fuel rods suitable for the Tehran Research Reactor.</w:t>
      </w:r>
    </w:p>
    <w:p>
      <w:pPr>
        <w:pStyle w:val="Normal"/>
        <w:bidi w:val="0"/>
        <w:spacing w:before="0" w:after="180"/>
        <w:rPr/>
      </w:pPr>
      <w:r>
        <w:rPr/>
        <w:t>This fuel swap demonstrates the reciprocal principle in action: Iran reduces its stockpile of near-weapons-grade material by a defined amount while receiving material it needs for civilian nuclear medicine and research. The 60 percent material remains under IAEA custody in Oman pending final disposition in Phase Three.</w:t>
      </w:r>
    </w:p>
    <w:p>
      <w:pPr>
        <w:pStyle w:val="Normal"/>
        <w:bidi w:val="0"/>
        <w:spacing w:before="0" w:after="180"/>
        <w:rPr/>
      </w:pPr>
      <w:r>
        <w:rPr/>
        <w:t>All remaining enriched uranium stockpiled above 5 percent stays in Iran under IAEA seals at declared facilities. No additional material leaves Iranian territory during the 60-day period.</w:t>
      </w:r>
    </w:p>
    <w:p>
      <w:pPr>
        <w:pStyle w:val="Heading1"/>
        <w:keepNext w:val="true"/>
        <w:keepLines/>
        <w:bidi w:val="0"/>
        <w:spacing w:before="480" w:after="240"/>
        <w:rPr/>
      </w:pPr>
      <w:r>
        <w:rPr/>
        <w:t>Article III: Phase Two - 60-Day Reciprocal Commitments (Days 8-60)</w:t>
      </w:r>
      <w:bookmarkStart w:id="4" w:name="_Toc004"/>
      <w:bookmarkEnd w:id="4"/>
    </w:p>
    <w:p>
      <w:pPr>
        <w:pStyle w:val="Normal"/>
        <w:bidi w:val="0"/>
        <w:spacing w:before="0" w:after="180"/>
        <w:rPr/>
      </w:pPr>
      <w:r>
        <w:rPr/>
        <w:t>Phase Two contains the core operational commitments of this Compact. The three subsections - Nuclear Material Custody, Strait Reopening, and Sanctions Relief - operate as parallel reciprocity tracks. Progress in one track does not depend on progress in another track, though simultaneous progress across all three tracks accelerates the overall stabilization.</w:t>
      </w:r>
    </w:p>
    <w:p>
      <w:pPr>
        <w:pStyle w:val="Heading2"/>
        <w:keepNext w:val="true"/>
        <w:keepLines/>
        <w:bidi w:val="0"/>
        <w:spacing w:before="360" w:after="160"/>
        <w:rPr/>
      </w:pPr>
      <w:r>
        <w:rPr/>
        <w:t>Section 3.1 - Nuclear Material Custody and Disposition</w:t>
      </w:r>
    </w:p>
    <w:p>
      <w:pPr>
        <w:pStyle w:val="Normal"/>
        <w:bidi w:val="0"/>
        <w:spacing w:before="0" w:after="180"/>
        <w:rPr/>
      </w:pPr>
      <w:r>
        <w:rPr/>
        <w:t>This section addresses the status of Iran's enriched uranium stockpile in a manner that respects both the United States' red line against Iranian nuclear weapons capability and Iran's red line against the forced export of its nuclear material from Iranian territory.</w:t>
      </w:r>
    </w:p>
    <w:p>
      <w:pPr>
        <w:pStyle w:val="Heading3"/>
        <w:keepNext w:val="true"/>
        <w:keepLines/>
        <w:bidi w:val="0"/>
        <w:spacing w:before="280" w:after="120"/>
        <w:rPr/>
      </w:pPr>
      <w:r>
        <w:rPr/>
        <w:t>3.1.1 - In-Country IAEA Seals on Enriched Uranium</w:t>
      </w:r>
    </w:p>
    <w:p>
      <w:pPr>
        <w:pStyle w:val="Normal"/>
        <w:bidi w:val="0"/>
        <w:spacing w:before="0" w:after="180"/>
        <w:rPr/>
      </w:pPr>
      <w:r>
        <w:rPr/>
        <w:t>By Day 14, Iran places all uranium enriched above 5 percent - approximately 400 kilograms of material enriched to 60 percent and 800 kilograms of material enriched to 20 percent - under IAEA seals at declared facilities inside Iran. No material leaves Iranian territory except the 50 kilograms designated for the fuel swap in Section 2.5.</w:t>
      </w:r>
    </w:p>
    <w:p>
      <w:pPr>
        <w:pStyle w:val="Normal"/>
        <w:bidi w:val="0"/>
        <w:spacing w:before="0" w:after="180"/>
        <w:rPr/>
      </w:pPr>
      <w:r>
        <w:rPr/>
        <w:t>The sealed stockpile undergoes real-time IAEA monitoring through online enrichment monitors, remote camera surveillance, and regular inspector access. Iran cooperates with the IAEA to apply tamper-indicating seals and to install continuous monitoring equipment. Iran retains ownership of all sealed material. Iran retains physical possession of all sealed material.</w:t>
      </w:r>
    </w:p>
    <w:p>
      <w:pPr>
        <w:pStyle w:val="Heading3"/>
        <w:keepNext w:val="true"/>
        <w:keepLines/>
        <w:bidi w:val="0"/>
        <w:spacing w:before="280" w:after="120"/>
        <w:rPr/>
      </w:pPr>
      <w:r>
        <w:rPr/>
        <w:t>3.1.2 - Fuel Swap Custody in Oman</w:t>
      </w:r>
    </w:p>
    <w:p>
      <w:pPr>
        <w:pStyle w:val="Normal"/>
        <w:bidi w:val="0"/>
        <w:spacing w:before="0" w:after="180"/>
        <w:rPr/>
      </w:pPr>
      <w:r>
        <w:rPr/>
        <w:t>The 50 kilograms of 60 percent enriched uranium transferred under Section 2.5 resides in a secure facility in Oman under IAEA custody with Iranian observer access. No US personnel enter the facility without Iran's explicit, revocable, per-visit consent. The Neutral Guarantor facilitates physical security at the facility perimeter.</w:t>
      </w:r>
    </w:p>
    <w:p>
      <w:pPr>
        <w:pStyle w:val="Heading3"/>
        <w:keepNext w:val="true"/>
        <w:keepLines/>
        <w:bidi w:val="0"/>
        <w:spacing w:before="280" w:after="120"/>
        <w:rPr/>
      </w:pPr>
      <w:r>
        <w:rPr/>
        <w:t>3.1.3 - Disposition Deferred to Phase Three</w:t>
      </w:r>
    </w:p>
    <w:p>
      <w:pPr>
        <w:pStyle w:val="Normal"/>
        <w:bidi w:val="0"/>
        <w:spacing w:before="0" w:after="180"/>
        <w:rPr/>
      </w:pPr>
      <w:r>
        <w:rPr/>
        <w:t>The Parties agree to negotiate the final disposition of all enriched uranium above 5 percent in Phase Three. During the 60-day Phase Two period, the material remains under IAEA seals in Iran. No disposition pathway is pre-decided.</w:t>
      </w:r>
    </w:p>
    <w:p>
      <w:pPr>
        <w:pStyle w:val="Normal"/>
        <w:bidi w:val="0"/>
        <w:spacing w:before="0" w:after="180"/>
        <w:rPr/>
      </w:pPr>
      <w:r>
        <w:rPr/>
        <w:t>The Parties enter Phase Three negotiations with three reference options under discussion: downblending to 3.67 percent for civilian reactors; establishment of a regional fuel consortium with Iranian participation; and a verified buyback arrangement for reactor fuel. Selection among these options occurs through mutual agreement in Phase Three, not through unilateral determination by either Party.</w:t>
      </w:r>
    </w:p>
    <w:p>
      <w:pPr>
        <w:pStyle w:val="Heading3"/>
        <w:keepNext w:val="true"/>
        <w:keepLines/>
        <w:bidi w:val="0"/>
        <w:spacing w:before="280" w:after="120"/>
        <w:rPr/>
      </w:pPr>
      <w:r>
        <w:rPr/>
        <w:t>3.1.4 - No-Dismantlement Guarantee</w:t>
      </w:r>
    </w:p>
    <w:p>
      <w:pPr>
        <w:pStyle w:val="Normal"/>
        <w:bidi w:val="0"/>
        <w:spacing w:before="0" w:after="180"/>
        <w:rPr/>
      </w:pPr>
      <w:r>
        <w:rPr/>
        <w:t>This Compact explicitly excludes any requirement for Iran to dismantle its enrichment infrastructure. Iran retains its enrichment facilities at Natanz and Fordow. Iran retains the right to enrich uranium to 3.67 percent for civilian purposes. IAEA monitors all enrichment activities through continuous surveillance.</w:t>
      </w:r>
    </w:p>
    <w:p>
      <w:pPr>
        <w:pStyle w:val="Heading3"/>
        <w:keepNext w:val="true"/>
        <w:keepLines/>
        <w:bidi w:val="0"/>
        <w:spacing w:before="280" w:after="120"/>
        <w:rPr/>
      </w:pPr>
      <w:r>
        <w:rPr/>
        <w:t>3.1.5 - Research and Development Continuity</w:t>
      </w:r>
    </w:p>
    <w:p>
      <w:pPr>
        <w:pStyle w:val="Normal"/>
        <w:bidi w:val="0"/>
        <w:spacing w:before="0" w:after="180"/>
        <w:rPr/>
      </w:pPr>
      <w:r>
        <w:rPr/>
        <w:t>Iran continues research and development on advanced centrifuges at the Pilot Fuel Enrichment Plant at Natanz. All R&amp;D activities occur under IAEA monitoring. No cascade configuration exceeds 164 centrifuges. No enrichment above 3.67 percent occurs during the 60-day period.</w:t>
      </w:r>
    </w:p>
    <w:p>
      <w:pPr>
        <w:pStyle w:val="Heading2"/>
        <w:keepNext w:val="true"/>
        <w:keepLines/>
        <w:bidi w:val="0"/>
        <w:spacing w:before="360" w:after="160"/>
        <w:rPr/>
      </w:pPr>
      <w:r>
        <w:rPr/>
        <w:t>Section 3.2 - Strait of Hormuz Reopening Protocol</w:t>
      </w:r>
    </w:p>
    <w:p>
      <w:pPr>
        <w:pStyle w:val="Normal"/>
        <w:bidi w:val="0"/>
        <w:spacing w:before="0" w:after="180"/>
        <w:rPr/>
      </w:pPr>
      <w:r>
        <w:rPr/>
        <w:t>This section establishes the synchronized process for full reopening of the Strait of Hormuz to international commercial shipping.</w:t>
      </w:r>
    </w:p>
    <w:p>
      <w:pPr>
        <w:pStyle w:val="Heading3"/>
        <w:keepNext w:val="true"/>
        <w:keepLines/>
        <w:bidi w:val="0"/>
        <w:spacing w:before="280" w:after="120"/>
        <w:rPr/>
      </w:pPr>
      <w:r>
        <w:rPr/>
        <w:t>3.2.1 - Immediate Reopening and Gradual Volume Recovery</w:t>
      </w:r>
    </w:p>
    <w:p>
      <w:pPr>
        <w:pStyle w:val="Normal"/>
        <w:bidi w:val="0"/>
        <w:spacing w:before="0" w:after="180"/>
        <w:rPr/>
      </w:pPr>
      <w:r>
        <w:rPr/>
        <w:t>The Strait of Hormuz reopens to commercial shipping immediately upon signature of this Compact, without transit tolls or inspection delays; the capped service-fee schedule of Annex M, Section M.1.4 operates as the only authorized charge on transit. The United States simultaneously lifts its naval blockade of Iranian commercial ports.</w:t>
      </w:r>
    </w:p>
    <w:p>
      <w:pPr>
        <w:pStyle w:val="Normal"/>
        <w:bidi w:val="0"/>
        <w:spacing w:before="0" w:after="180"/>
        <w:rPr/>
      </w:pPr>
      <w:r>
        <w:rPr/>
        <w:t>Both Parties acknowledge that a return to pre-conflict shipping volumes requires a phased recovery period not exceeding 30 days. This recovery period addresses logistical coordination, maritime traffic scheduling, and the resumption of commercial shipping lines.</w:t>
      </w:r>
    </w:p>
    <w:p>
      <w:pPr>
        <w:pStyle w:val="Normal"/>
        <w:bidi w:val="0"/>
        <w:spacing w:before="0" w:after="180"/>
        <w:rPr/>
      </w:pPr>
      <w:r>
        <w:rPr/>
        <w:t>During the 30-day recovery period, Iran permits the unrestricted transit of all commercial vessels through the Strait. The Joint Maritime Coordination Center in Bandar Abbas coordinates traffic management and maintains a real-time public dashboard of transit volumes. The Neutral Guarantor publishes weekly reports on recovery progress. The 30-day clock begins on Day 1. The framework architecture excludes new transit tolls, inspection requirements, and additional transit restrictions; the published service-fee schedule of Section M.1.4 operates as the only authorized charge on transit.</w:t>
      </w:r>
    </w:p>
    <w:p>
      <w:pPr>
        <w:pStyle w:val="Heading3"/>
        <w:keepNext w:val="true"/>
        <w:keepLines/>
        <w:bidi w:val="0"/>
        <w:spacing w:before="280" w:after="120"/>
        <w:rPr/>
      </w:pPr>
      <w:r>
        <w:rPr/>
        <w:t>3.2.2 - Coastal State Rights Recognition</w:t>
      </w:r>
    </w:p>
    <w:p>
      <w:pPr>
        <w:pStyle w:val="Normal"/>
        <w:bidi w:val="0"/>
        <w:spacing w:before="0" w:after="180"/>
        <w:rPr/>
      </w:pPr>
      <w:r>
        <w:rPr/>
        <w:t>The United States acknowledges Iran's position as a coastal state with legitimate rights and responsibilities under international maritime law for vessels transiting the Strait of Hormuz. This acknowledgment does not constitute a legal determination; it reflects the factual reality that Iran's territorial waters abut the strait.</w:t>
      </w:r>
    </w:p>
    <w:p>
      <w:pPr>
        <w:pStyle w:val="Normal"/>
        <w:bidi w:val="0"/>
        <w:spacing w:before="0" w:after="180"/>
        <w:rPr/>
      </w:pPr>
      <w:r>
        <w:rPr/>
        <w:t>Iran exercises its coastal state rights through the Joint Maritime Coordination Center, not through unilateral interdiction. All vessels undergo standardized inspection protocols applied uniformly regardless of nationality, cargo, or destination.</w:t>
      </w:r>
    </w:p>
    <w:p>
      <w:pPr>
        <w:pStyle w:val="Heading3"/>
        <w:keepNext w:val="true"/>
        <w:keepLines/>
        <w:bidi w:val="0"/>
        <w:spacing w:before="280" w:after="120"/>
        <w:rPr/>
      </w:pPr>
      <w:r>
        <w:rPr/>
        <w:t>3.2.3 - Escrow Transit Fee Mechanism</w:t>
      </w:r>
    </w:p>
    <w:p>
      <w:pPr>
        <w:pStyle w:val="Normal"/>
        <w:bidi w:val="0"/>
        <w:spacing w:before="0" w:after="180"/>
        <w:rPr/>
      </w:pPr>
      <w:r>
        <w:rPr/>
        <w:t>Commercial vessels transiting the Strait pay a standardized transit fee into an escrow account held by the Neutral Guarantor. Fifty percent of escrowed funds release to Iran on Day 60 if Iran maintains compliance with the reopening protocol. The remaining fifty percent release upon completion of Phase Three milestones.</w:t>
      </w:r>
    </w:p>
    <w:p>
      <w:pPr>
        <w:pStyle w:val="Heading2"/>
        <w:keepNext w:val="true"/>
        <w:keepLines/>
        <w:bidi w:val="0"/>
        <w:spacing w:before="360" w:after="160"/>
        <w:rPr/>
      </w:pPr>
      <w:r>
        <w:rPr/>
        <w:t>Section 3.3 - Sanctions Relief Sequencing</w:t>
      </w:r>
    </w:p>
    <w:p>
      <w:pPr>
        <w:pStyle w:val="Normal"/>
        <w:bidi w:val="0"/>
        <w:spacing w:before="0" w:after="180"/>
        <w:rPr/>
      </w:pPr>
      <w:r>
        <w:rPr/>
        <w:t>This section establishes the synchronized, verifiable sanctions relief mechanism that unlocks as Iran meets specific, transparent milestones.</w:t>
      </w:r>
    </w:p>
    <w:p>
      <w:pPr>
        <w:pStyle w:val="Heading3"/>
        <w:keepNext w:val="true"/>
        <w:keepLines/>
        <w:bidi w:val="0"/>
        <w:spacing w:before="280" w:after="120"/>
        <w:rPr/>
      </w:pPr>
      <w:r>
        <w:rPr/>
        <w:t>3.3.1 - Relief Architecture</w:t>
      </w:r>
    </w:p>
    <w:p>
      <w:pPr>
        <w:pStyle w:val="Normal"/>
        <w:bidi w:val="0"/>
        <w:spacing w:before="0" w:after="180"/>
        <w:rPr/>
      </w:pPr>
      <w:r>
        <w:rPr/>
        <w:t>Sanctions relief operates through a three-tier unlock system:</w:t>
      </w:r>
    </w:p>
    <w:p>
      <w:pPr>
        <w:pStyle w:val="Normal"/>
        <w:numPr>
          <w:ilvl w:val="0"/>
          <w:numId w:val="1"/>
        </w:numPr>
        <w:bidi w:val="0"/>
        <w:spacing w:before="0" w:after="160"/>
        <w:rPr/>
      </w:pPr>
      <w:r>
        <w:rPr>
          <w:b/>
          <w:color w:val="1E2530"/>
        </w:rPr>
        <w:t>Tier One Unlock (Day 1) -</w:t>
      </w:r>
      <w:r>
        <w:rPr/>
        <w:t>The United States issues general licenses permitting the sale of food, medicine, medical devices, and civilian aircraft parts to Iran. Simultaneously, Iran provides IAEA baseline access per Section 2.4.</w:t>
      </w:r>
    </w:p>
    <w:p>
      <w:pPr>
        <w:pStyle w:val="Normal"/>
        <w:numPr>
          <w:ilvl w:val="0"/>
          <w:numId w:val="1"/>
        </w:numPr>
        <w:bidi w:val="0"/>
        <w:spacing w:before="0" w:after="160"/>
        <w:rPr/>
      </w:pPr>
      <w:r>
        <w:rPr>
          <w:b/>
          <w:color w:val="1E2530"/>
        </w:rPr>
        <w:t>Tier Two Unlock (Day 14) -</w:t>
      </w:r>
      <w:r>
        <w:rPr/>
        <w:t>The United States suspends enforcement of secondary sanctions on purchasers of Iranian crude oil for 60 days, up to 1.0 million barrels per day. This suspension is renewable for additional 30-day periods upon IAEA certification of sustained compliance. Expansion to 1.5 million barrels per day follows 30 consecutive days of verified compliance. Simultaneously, Iran places enriched uranium under IAEA seals per Section 3.1.1.</w:t>
      </w:r>
    </w:p>
    <w:p>
      <w:pPr>
        <w:pStyle w:val="Normal"/>
        <w:numPr>
          <w:ilvl w:val="0"/>
          <w:numId w:val="1"/>
        </w:numPr>
        <w:bidi w:val="0"/>
        <w:spacing w:before="0" w:after="160"/>
        <w:rPr/>
      </w:pPr>
      <w:r>
        <w:rPr>
          <w:b/>
          <w:color w:val="1E2530"/>
        </w:rPr>
        <w:t>Tier Three Unlock (Day 45) -</w:t>
      </w:r>
      <w:r>
        <w:rPr/>
        <w:t>The United States waives additional sanctions on Iranian financial institutions and supports reconnection to SWIFT for humanitarian and commercial transactions. Simultaneously, Iran confirms sustained compliance with the IAEA seal regime and the enrichment pause.</w:t>
      </w:r>
    </w:p>
    <w:p>
      <w:pPr>
        <w:pStyle w:val="Heading3"/>
        <w:keepNext w:val="true"/>
        <w:keepLines/>
        <w:bidi w:val="0"/>
        <w:spacing w:before="280" w:after="120"/>
        <w:rPr/>
      </w:pPr>
      <w:r>
        <w:rPr/>
        <w:t>3.3.2 - Banking Channel Restoration</w:t>
      </w:r>
    </w:p>
    <w:p>
      <w:pPr>
        <w:pStyle w:val="Normal"/>
        <w:bidi w:val="0"/>
        <w:spacing w:before="0" w:after="180"/>
        <w:rPr/>
      </w:pPr>
      <w:r>
        <w:rPr/>
        <w:t>By Day 30, the United States supports the reconnection of Iranian banks to the SWIFT system for humanitarian and commercial transactions. The reconnection covers designated Iranian banks that meet FATF compliance standards. The United States does not block this reconnection.</w:t>
      </w:r>
    </w:p>
    <w:p>
      <w:pPr>
        <w:pStyle w:val="Heading3"/>
        <w:keepNext w:val="true"/>
        <w:keepLines/>
        <w:bidi w:val="0"/>
        <w:spacing w:before="280" w:after="120"/>
        <w:rPr/>
      </w:pPr>
      <w:r>
        <w:rPr/>
        <w:t>3.3.3 - No Snapback - Step-Back Only</w:t>
      </w:r>
    </w:p>
    <w:p>
      <w:pPr>
        <w:pStyle w:val="Normal"/>
        <w:bidi w:val="0"/>
        <w:spacing w:before="0" w:after="180"/>
        <w:rPr/>
      </w:pPr>
      <w:r>
        <w:rPr/>
        <w:t>This Compact explicitly excludes any automatic snapback mechanism. Sanctions relief, once delivered, does not reimpose except through the Step-Back process in Article VI, which requires a Human-in-the-Loop finding of material breach. No unilateral snapback by executive order or legislative action is permitted under this Compact.</w:t>
      </w:r>
    </w:p>
    <w:p>
      <w:pPr>
        <w:pStyle w:val="Normal"/>
        <w:bidi w:val="0"/>
        <w:spacing w:before="0" w:after="180"/>
        <w:rPr/>
      </w:pPr>
      <w:r>
        <w:rPr/>
        <w:t>Either Party triggers a Step-Back through written notice to the Neutral Guarantor, and both Parties negotiate the proportional response through the Human-in-the-Loop Review. Sanctions relief remains in effect during any Step-Back consultation period unless the Review Panel orders a specific suspension.</w:t>
      </w:r>
    </w:p>
    <w:p>
      <w:pPr>
        <w:pStyle w:val="Heading1"/>
        <w:keepNext w:val="true"/>
        <w:keepLines/>
        <w:bidi w:val="0"/>
        <w:spacing w:before="480" w:after="240"/>
        <w:rPr/>
      </w:pPr>
      <w:r>
        <w:rPr/>
        <w:t>Article IV: Phase Three - Transition to Follow-on Negotiations</w:t>
      </w:r>
      <w:bookmarkStart w:id="5" w:name="_Toc005"/>
      <w:bookmarkEnd w:id="5"/>
    </w:p>
    <w:p>
      <w:pPr>
        <w:pStyle w:val="Normal"/>
        <w:bidi w:val="0"/>
        <w:spacing w:before="0" w:after="180"/>
        <w:rPr/>
      </w:pPr>
      <w:r>
        <w:rPr/>
        <w:t>Phase Three begins on Day 60 and continues for an initial period of 180 days unless extended by mutual agreement. This phase transitions the interim commitments of Phase Two into a permanent, comprehensive arrangement.</w:t>
      </w:r>
    </w:p>
    <w:p>
      <w:pPr>
        <w:pStyle w:val="Heading2"/>
        <w:keepNext w:val="true"/>
        <w:keepLines/>
        <w:bidi w:val="0"/>
        <w:spacing w:before="360" w:after="160"/>
        <w:rPr/>
      </w:pPr>
      <w:r>
        <w:rPr/>
        <w:t>Section 4.1 - Permanent Nuclear Framework</w:t>
      </w:r>
    </w:p>
    <w:p>
      <w:pPr>
        <w:pStyle w:val="Normal"/>
        <w:bidi w:val="0"/>
        <w:spacing w:before="0" w:after="180"/>
        <w:rPr/>
      </w:pPr>
      <w:r>
        <w:rPr>
          <w:rFonts w:ascii="Cambria" w:hAnsi="Cambria" w:eastAsia="Microsoft YaHei" w:cs="FreeSans"/>
          <w:color w:val="1E2530"/>
          <w:sz w:val="22"/>
          <w:szCs w:val="24"/>
          <w:lang w:val="en-US" w:eastAsia="zh-CN" w:bidi="hi-IN"/>
        </w:rPr>
        <w:t>The Parties negotiate a Comprehensive Nuclear Cooperation Agreement that achieves the following objectives: Iran maintains a civilian nuclear program under full IAEA safeguards; Iran does not enrich uranium above 3.67 percent; both Parties aspire to a future arrangement that ensures any Iranian breakout timeline is measured in months and remains detectable; and the international community supports Iran's civilian nuclear energy development including construction of new power reactors.</w:t>
      </w:r>
    </w:p>
    <w:p>
      <w:pPr>
        <w:pStyle w:val="Normal"/>
        <w:bidi w:val="0"/>
        <w:spacing w:before="0" w:after="180"/>
        <w:rPr/>
      </w:pPr>
      <w:r>
        <w:rPr>
          <w:rFonts w:ascii="Cambria" w:hAnsi="Cambria" w:eastAsia="Microsoft YaHei" w:cs="FreeSans"/>
          <w:color w:val="1E2530"/>
          <w:sz w:val="22"/>
          <w:szCs w:val="24"/>
          <w:lang w:val="en-US" w:eastAsia="zh-CN" w:bidi="hi-IN"/>
        </w:rPr>
        <w:t>This Compact does not itself impose a fixed breakout timeline guarantee. The Parties negotiate specific technical constraints in Phase Three that balance verification depth with Iran's sovereign right to civilian nuclear technology.</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4.2 - Regional Security Dialogue</w:t>
      </w:r>
    </w:p>
    <w:p>
      <w:pPr>
        <w:pStyle w:val="Normal"/>
        <w:bidi w:val="0"/>
        <w:spacing w:before="0" w:after="180"/>
        <w:rPr/>
      </w:pPr>
      <w:r>
        <w:rPr>
          <w:rFonts w:ascii="Cambria" w:hAnsi="Cambria" w:eastAsia="Microsoft YaHei" w:cs="FreeSans"/>
          <w:color w:val="1E2530"/>
          <w:sz w:val="22"/>
          <w:szCs w:val="24"/>
          <w:lang w:val="en-US" w:eastAsia="zh-CN" w:bidi="hi-IN"/>
        </w:rPr>
        <w:t>The Parties establish a permanent Regional Security Dialogue that includes all Gulf states. The Dialogue addresses maritime security, missile proliferation, proxy force de-escalation, and counter-terrorism cooperation. The Dialogue operates independently of the nuclear track.</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4.3 - Economic Normalization Pathway</w:t>
      </w:r>
    </w:p>
    <w:p>
      <w:pPr>
        <w:pStyle w:val="Normal"/>
        <w:bidi w:val="0"/>
        <w:spacing w:before="0" w:after="180"/>
        <w:rPr/>
      </w:pPr>
      <w:r>
        <w:rPr>
          <w:rFonts w:ascii="Cambria" w:hAnsi="Cambria" w:eastAsia="Microsoft YaHei" w:cs="FreeSans"/>
          <w:color w:val="1E2530"/>
          <w:sz w:val="22"/>
          <w:szCs w:val="24"/>
          <w:lang w:val="en-US" w:eastAsia="zh-CN" w:bidi="hi-IN"/>
        </w:rPr>
        <w:t>The United States supports Iran's economic reintegration into the global economy through phased removal of remaining sanctions, access to international financial institutions, and technical assistance for economic modernization. Iran implements financial transparency reforms consistent with international standards.</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4.4 - Diplomatic Relations</w:t>
      </w:r>
    </w:p>
    <w:p>
      <w:pPr>
        <w:pStyle w:val="Normal"/>
        <w:bidi w:val="0"/>
        <w:spacing w:before="0" w:after="180"/>
        <w:rPr/>
      </w:pPr>
      <w:r>
        <w:rPr>
          <w:rFonts w:ascii="Cambria" w:hAnsi="Cambria" w:eastAsia="Microsoft YaHei" w:cs="FreeSans"/>
          <w:color w:val="1E2530"/>
          <w:sz w:val="22"/>
          <w:szCs w:val="24"/>
          <w:lang w:val="en-US" w:eastAsia="zh-CN" w:bidi="hi-IN"/>
        </w:rPr>
        <w:t>By Day 90 of Phase Three, both Parties establish Interests Sections in third-country embassies in each other's capitals. These Sections provide consular services and diplomatic liaison. By Day 180, the Parties evaluate upgrading to full diplomatic relations based on overall Compact performance.</w:t>
      </w:r>
    </w:p>
    <w:p>
      <w:pPr>
        <w:pStyle w:val="Heading1"/>
        <w:keepNext w:val="true"/>
        <w:keepLines/>
        <w:bidi w:val="0"/>
        <w:spacing w:before="480" w:after="240"/>
        <w:rPr/>
      </w:pPr>
      <w:bookmarkStart w:id="6" w:name="_Toc006"/>
      <w:r>
        <w:rPr>
          <w:szCs w:val="24"/>
          <w:lang w:val="en-US" w:eastAsia="zh-CN" w:bidi="hi-IN"/>
          <w:rFonts w:ascii="Cambria" w:hAnsi="Cambria" w:eastAsia="Microsoft YaHei" w:cs="Cambria"/>
          <w:b/>
          <w:color w:val="1A2744"/>
          <w:sz w:val="40"/>
        </w:rPr>
        <w:t>Article V: Verification and Telemetry Architecture</w:t>
      </w:r>
      <w:bookmarkEnd w:id="6"/>
    </w:p>
    <w:p>
      <w:pPr>
        <w:pStyle w:val="Normal"/>
        <w:bidi w:val="0"/>
        <w:spacing w:before="0" w:after="180"/>
        <w:rPr/>
      </w:pPr>
      <w:r>
        <w:rPr>
          <w:rFonts w:ascii="Cambria" w:hAnsi="Cambria" w:eastAsia="Microsoft YaHei" w:cs="FreeSans"/>
          <w:color w:val="1E2530"/>
          <w:sz w:val="22"/>
          <w:szCs w:val="24"/>
          <w:lang w:val="en-US" w:eastAsia="zh-CN" w:bidi="hi-IN"/>
        </w:rPr>
        <w:t>This article establishes the verification system that confirms every commitment in this Compact through objective, tamper-resistant telemetry supplemented by human observation.</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5.1 - Swiss-Hosted Digital Dashboard</w:t>
      </w:r>
    </w:p>
    <w:p>
      <w:pPr>
        <w:pStyle w:val="Normal"/>
        <w:bidi w:val="0"/>
        <w:spacing w:before="0" w:after="180"/>
        <w:rPr/>
      </w:pPr>
      <w:r>
        <w:rPr>
          <w:rFonts w:ascii="Cambria" w:hAnsi="Cambria" w:eastAsia="Microsoft YaHei" w:cs="FreeSans"/>
          <w:color w:val="1E2530"/>
          <w:sz w:val="22"/>
          <w:szCs w:val="24"/>
          <w:lang w:val="en-US" w:eastAsia="zh-CN" w:bidi="hi-IN"/>
        </w:rPr>
        <w:t>All telemetry data, compliance confirmations, and dispute flags are displayed on a single Swiss-hosted digital dashboard accessible to both Parties in real time. No commitment activates or suspends without dashboard confirmation. The dashboard serves as the sole authoritative interface for tracking Compact implementation status.</w:t>
      </w:r>
    </w:p>
    <w:p>
      <w:pPr>
        <w:pStyle w:val="Normal"/>
        <w:bidi w:val="0"/>
        <w:spacing w:before="0" w:after="180"/>
        <w:rPr/>
      </w:pPr>
      <w:r>
        <w:rPr>
          <w:rFonts w:ascii="Cambria" w:hAnsi="Cambria" w:eastAsia="Microsoft YaHei" w:cs="FreeSans"/>
          <w:color w:val="1E2530"/>
          <w:sz w:val="22"/>
          <w:szCs w:val="24"/>
          <w:lang w:val="en-US" w:eastAsia="zh-CN" w:bidi="hi-IN"/>
        </w:rPr>
        <w:t>The dashboard displays: IAEA verification status for all sealed material; maritime traffic data through the Strait of Hormuz; sanctions relief implementation status; asset release confirmations; and any active dispute flags or Step-Back notifications. Both Parties receive automated alerts for any status change.</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5.2 - Telemetry Types by Commitment</w:t>
      </w:r>
    </w:p>
    <w:tbl>
      <w:tblPr>
        <w:tblW w:w="5000" w:type="pct"/>
        <w:jc w:val="start"/>
        <w:tblInd w:w="0" w:type="dxa"/>
        <w:tblLayout w:type="fixed"/>
        <w:tblCellMar>
          <w:top w:w="0" w:type="dxa"/>
          <w:start w:w="108" w:type="dxa"/>
          <w:bottom w:w="0" w:type="dxa"/>
          <w:end w:w="108" w:type="dxa"/>
        </w:tblCellMar>
      </w:tblPr>
      <w:tblGrid>
        <w:gridCol w:w="2407"/>
        <w:gridCol w:w="2607"/>
        <w:gridCol w:w="4012"/>
      </w:tblGrid>
      <w:tr>
        <w:trPr>
          <w:tblHeader w:val="1"/>
        </w:trPr>
        <w:tc>
          <w:tcPr>
            <w:tcW w:w="2407" w:type="dxa"/>
            <w:tcBorders>
              <w:top w:val="single" w:sz="12" w:space="0" w:color="1A2744"/>
              <w:bottom w:val="single" w:sz="4" w:space="0" w:color="C8C4B8"/>
            </w:tcBorders>
            <w:shd w:fill="E8E6E0" w:val="clear" w:color="auto"/>
          </w:tcPr>
          <w:p>
            <w:pPr>
              <w:pStyle w:val="Normal"/>
              <w:widowControl w:val="false"/>
              <w:bidi w:val="0"/>
              <w:spacing w:before="60" w:after="60"/>
              <w:rPr/>
            </w:pPr>
            <w:r>
              <w:rPr>
                <w:b/>
                <w:color w:val="1E2530"/>
                <w:sz w:val="20"/>
                <w:rFonts w:ascii="Cambria" w:hAnsi="Cambria" w:eastAsia="Microsoft YaHei" w:cs="FreeSans"/>
                <w:szCs w:val="24"/>
                <w:lang w:val="en-US" w:eastAsia="zh-CN" w:bidi="hi-IN"/>
              </w:rPr>
              <w:t>Commitment</w:t>
            </w:r>
          </w:p>
        </w:tc>
        <w:tc>
          <w:tcPr>
            <w:tcW w:w="2607" w:type="dxa"/>
            <w:tcBorders>
              <w:top w:val="single" w:sz="12" w:space="0" w:color="1A2744"/>
              <w:bottom w:val="single" w:sz="4" w:space="0" w:color="C8C4B8"/>
            </w:tcBorders>
            <w:shd w:fill="E8E6E0" w:val="clear" w:color="auto"/>
          </w:tcPr>
          <w:p>
            <w:pPr>
              <w:pStyle w:val="Normal"/>
              <w:widowControl w:val="false"/>
              <w:bidi w:val="0"/>
              <w:spacing w:before="60" w:after="60"/>
              <w:rPr/>
            </w:pPr>
            <w:r>
              <w:rPr>
                <w:b/>
                <w:color w:val="1E2530"/>
                <w:sz w:val="20"/>
                <w:rFonts w:ascii="Cambria" w:hAnsi="Cambria" w:eastAsia="Microsoft YaHei" w:cs="FreeSans"/>
                <w:szCs w:val="24"/>
                <w:lang w:val="en-US" w:eastAsia="zh-CN" w:bidi="hi-IN"/>
              </w:rPr>
              <w:t>Telemetry Type</w:t>
            </w:r>
          </w:p>
        </w:tc>
        <w:tc>
          <w:tcPr>
            <w:tcW w:w="4012" w:type="dxa"/>
            <w:tcBorders>
              <w:top w:val="single" w:sz="12" w:space="0" w:color="1A2744"/>
              <w:bottom w:val="single" w:sz="4" w:space="0" w:color="C8C4B8"/>
            </w:tcBorders>
            <w:shd w:fill="E8E6E0" w:val="clear" w:color="auto"/>
          </w:tcPr>
          <w:p>
            <w:pPr>
              <w:pStyle w:val="Normal"/>
              <w:widowControl w:val="false"/>
              <w:bidi w:val="0"/>
              <w:spacing w:before="60" w:after="60"/>
              <w:rPr/>
            </w:pPr>
            <w:r>
              <w:rPr>
                <w:b/>
                <w:color w:val="1E2530"/>
                <w:sz w:val="20"/>
                <w:rFonts w:ascii="Cambria" w:hAnsi="Cambria" w:eastAsia="Microsoft YaHei" w:cs="FreeSans"/>
                <w:szCs w:val="24"/>
                <w:lang w:val="en-US" w:eastAsia="zh-CN" w:bidi="hi-IN"/>
              </w:rPr>
              <w:t>Verification Method</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Uranium IAEA Seals</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Sensor + Physical</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IAEA seals, online monitors, chain-of-custody logs</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Enrichment Level</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Sensor</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Online enrichment monitors, IAEA remote surveillance</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Strait Reopening</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Maritime AIS + Visual</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Neutral vessel tracking, port authority records</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Sanctions Relief</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Financial Records</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SWIFT transaction logs, bank reconciliation</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Asset Release</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Financial Records</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Escrow account statements, dashboard confirmation</w:t>
            </w:r>
          </w:p>
        </w:tc>
      </w:tr>
      <w:tr>
        <w:trPr/>
        <w:tc>
          <w:tcPr>
            <w:tcW w:w="24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Ceasefire Compliance</w:t>
            </w:r>
          </w:p>
        </w:tc>
        <w:tc>
          <w:tcPr>
            <w:tcW w:w="2607"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Satellite + Ground</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Commercial SAR imagery, JCC patrol reports</w:t>
            </w:r>
          </w:p>
        </w:tc>
      </w:tr>
      <w:tr>
        <w:trPr/>
        <w:tc>
          <w:tcPr>
            <w:tcW w:w="2407" w:type="dxa"/>
            <w:tcBorders>
              <w:top w:val="single" w:sz="4" w:space="0" w:color="C8C4B8"/>
              <w:bottom w:val="single" w:sz="12" w:space="0" w:color="1A2744"/>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Prisoner Exchange</w:t>
            </w:r>
          </w:p>
        </w:tc>
        <w:tc>
          <w:tcPr>
            <w:tcW w:w="2607" w:type="dxa"/>
            <w:tcBorders>
              <w:top w:val="single" w:sz="4" w:space="0" w:color="C8C4B8"/>
              <w:bottom w:val="single" w:sz="12" w:space="0" w:color="1A2744"/>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Physical Count</w:t>
            </w:r>
          </w:p>
        </w:tc>
        <w:tc>
          <w:tcPr>
            <w:tcW w:w="4012" w:type="dxa"/>
            <w:tcBorders>
              <w:top w:val="single" w:sz="4" w:space="0" w:color="C8C4B8"/>
              <w:bottom w:val="single" w:sz="12" w:space="0" w:color="1A2744"/>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ICRC witness certification, roster cross-check</w:t>
            </w:r>
          </w:p>
        </w:tc>
      </w:tr>
    </w:tbl>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5.3 - IAEA Role and Mandate</w:t>
      </w:r>
    </w:p>
    <w:p>
      <w:pPr>
        <w:pStyle w:val="Normal"/>
        <w:bidi w:val="0"/>
        <w:spacing w:before="0" w:after="180"/>
        <w:rPr/>
      </w:pPr>
      <w:r>
        <w:rPr>
          <w:rFonts w:ascii="Cambria" w:hAnsi="Cambria" w:eastAsia="Microsoft YaHei" w:cs="FreeSans"/>
          <w:color w:val="1E2530"/>
          <w:sz w:val="22"/>
          <w:szCs w:val="24"/>
          <w:lang w:val="en-US" w:eastAsia="zh-CN" w:bidi="hi-IN"/>
        </w:rPr>
        <w:t>The IAEA serves as the primary technical verification body for all nuclear-related commitments. Iran grants the IAEA continuous monitoring access at all declared facilities. IAEA inspectors operate under standard safeguards protocols. Iran cooperates with the IAEA to resolve all outstanding questions regarding past nuclear activities through a structured, time-bound process.</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5.4 - Neutral Verification Teams</w:t>
      </w:r>
    </w:p>
    <w:p>
      <w:pPr>
        <w:pStyle w:val="Normal"/>
        <w:bidi w:val="0"/>
        <w:spacing w:before="0" w:after="180"/>
        <w:rPr/>
      </w:pPr>
      <w:r>
        <w:rPr>
          <w:rFonts w:ascii="Cambria" w:hAnsi="Cambria" w:eastAsia="Microsoft YaHei" w:cs="FreeSans"/>
          <w:color w:val="1E2530"/>
          <w:sz w:val="22"/>
          <w:szCs w:val="24"/>
          <w:lang w:val="en-US" w:eastAsia="zh-CN" w:bidi="hi-IN"/>
        </w:rPr>
        <w:t>For non-nuclear commitments, the Neutral Guarantor deploys verification teams comprising personnel from neutral nations with relevant technical expertise. These teams monitor: maritime traffic through the Strait, sanctions relief implementation, asset release transfers, and ceasefire compliance.</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5.5 - Data Sharing Protocol</w:t>
      </w:r>
    </w:p>
    <w:p>
      <w:pPr>
        <w:pStyle w:val="Normal"/>
        <w:bidi w:val="0"/>
        <w:spacing w:before="0" w:after="180"/>
        <w:rPr/>
      </w:pPr>
      <w:r>
        <w:rPr>
          <w:rFonts w:ascii="Cambria" w:hAnsi="Cambria" w:eastAsia="Microsoft YaHei" w:cs="FreeSans"/>
          <w:color w:val="1E2530"/>
          <w:sz w:val="22"/>
          <w:szCs w:val="24"/>
          <w:lang w:val="en-US" w:eastAsia="zh-CN" w:bidi="hi-IN"/>
        </w:rPr>
        <w:t>All telemetry data flows to the Joint Coordination Center in Muscat and to the Swiss-hosted dashboard in real time. Both Parties possess equal access to all data. Neither Party unilaterally classifies or withholds data from the other. Disputes over data interpretation proceed to the Human-in-the-Loop Review.</w:t>
      </w:r>
    </w:p>
    <w:p>
      <w:pPr>
        <w:pStyle w:val="Heading1"/>
        <w:keepNext w:val="true"/>
        <w:keepLines/>
        <w:bidi w:val="0"/>
        <w:spacing w:before="480" w:after="240"/>
        <w:rPr/>
      </w:pPr>
      <w:bookmarkStart w:id="7" w:name="_Toc007"/>
      <w:r>
        <w:rPr>
          <w:szCs w:val="24"/>
          <w:lang w:val="en-US" w:eastAsia="zh-CN" w:bidi="hi-IN"/>
          <w:rFonts w:ascii="Cambria" w:hAnsi="Cambria" w:eastAsia="Microsoft YaHei" w:cs="Cambria"/>
          <w:b/>
          <w:color w:val="1A2744"/>
          <w:sz w:val="40"/>
        </w:rPr>
        <w:t>Article VI: Compliance Framework - Step-Back, Earn-Back, and Exit</w:t>
      </w:r>
      <w:bookmarkEnd w:id="7"/>
    </w:p>
    <w:p>
      <w:pPr>
        <w:pStyle w:val="Normal"/>
        <w:bidi w:val="0"/>
        <w:spacing w:before="0" w:after="180"/>
        <w:rPr/>
      </w:pPr>
      <w:r>
        <w:rPr>
          <w:rFonts w:ascii="Cambria" w:hAnsi="Cambria" w:eastAsia="Microsoft YaHei" w:cs="FreeSans"/>
          <w:color w:val="1E2530"/>
          <w:sz w:val="22"/>
          <w:szCs w:val="24"/>
          <w:lang w:val="en-US" w:eastAsia="zh-CN" w:bidi="hi-IN"/>
        </w:rPr>
        <w:t>This article replaces the snapback mechanism with a graduated, human-mediated compliance system that incentivizes correction rather than punishment. It also provides a clean break exit ramp that removes fear of entrapment.</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6.1 - Step-Back Mechanics</w:t>
      </w:r>
    </w:p>
    <w:p>
      <w:pPr>
        <w:pStyle w:val="Normal"/>
        <w:bidi w:val="0"/>
        <w:spacing w:before="0" w:after="180"/>
        <w:rPr/>
      </w:pPr>
      <w:r>
        <w:rPr>
          <w:rFonts w:ascii="Cambria" w:hAnsi="Cambria" w:eastAsia="Microsoft YaHei" w:cs="FreeSans"/>
          <w:color w:val="1E2530"/>
          <w:sz w:val="22"/>
          <w:szCs w:val="24"/>
          <w:lang w:val="en-US" w:eastAsia="zh-CN" w:bidi="hi-IN"/>
        </w:rPr>
        <w:t>When either Party identifies a concern regarding compliance, the following sequence activates:</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Step One: Consultation -</w:t>
      </w:r>
      <w:r>
        <w:rPr>
          <w:rFonts w:ascii="Cambria" w:hAnsi="Cambria" w:eastAsia="Microsoft YaHei" w:cs="FreeSans"/>
          <w:color w:val="1E2530"/>
          <w:sz w:val="22"/>
          <w:szCs w:val="24"/>
          <w:lang w:val="en-US" w:eastAsia="zh-CN" w:bidi="hi-IN"/>
        </w:rPr>
        <w:t>The concerned Party submits a written notice to the Joint Coordination Center describing the specific concern and citing the relevant Compact provision. The other Party responds within 48 hours.</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Step Two: Human-in-the-Loop Review -</w:t>
      </w:r>
      <w:r>
        <w:rPr>
          <w:rFonts w:ascii="Cambria" w:hAnsi="Cambria" w:eastAsia="Microsoft YaHei" w:cs="FreeSans"/>
          <w:color w:val="1E2530"/>
          <w:sz w:val="22"/>
          <w:szCs w:val="24"/>
          <w:lang w:val="en-US" w:eastAsia="zh-CN" w:bidi="hi-IN"/>
        </w:rPr>
        <w:t>If the consultation does not resolve the concern, the matter proceeds to the Human-in-the-Loop Review described in Article VII. The Review Panel convenes within 72 hours.</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Step Three: Proportional Step-Back -</w:t>
      </w:r>
      <w:r>
        <w:rPr>
          <w:rFonts w:ascii="Cambria" w:hAnsi="Cambria" w:eastAsia="Microsoft YaHei" w:cs="FreeSans"/>
          <w:color w:val="1E2530"/>
          <w:sz w:val="22"/>
          <w:szCs w:val="24"/>
          <w:lang w:val="en-US" w:eastAsia="zh-CN" w:bidi="hi-IN"/>
        </w:rPr>
        <w:t>If the Review Panel confirms a breach, the aggrieved Party implements a proportional step-back: suspension of one or more reciprocity units commensurate with the severity of the breach. The step-back affects only the relevant annex or subsection; other Compact provisions continue operating.</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Step Four: Correction Window -</w:t>
      </w:r>
      <w:r>
        <w:rPr>
          <w:rFonts w:ascii="Cambria" w:hAnsi="Cambria" w:eastAsia="Microsoft YaHei" w:cs="FreeSans"/>
          <w:color w:val="1E2530"/>
          <w:sz w:val="22"/>
          <w:szCs w:val="24"/>
          <w:lang w:val="en-US" w:eastAsia="zh-CN" w:bidi="hi-IN"/>
        </w:rPr>
        <w:t>The breaching Party possesses 14 days to correct the deficiency. During this window, both Parties continue all other Compact operations.</w:t>
      </w:r>
    </w:p>
    <w:p>
      <w:pPr>
        <w:pStyle w:val="Normal"/>
        <w:numPr>
          <w:ilvl w:val="0"/>
          <w:numId w:val="1"/>
        </w:numPr>
        <w:bidi w:val="0"/>
        <w:spacing w:before="0" w:after="160"/>
        <w:rPr/>
      </w:pPr>
      <w:r>
        <w:rPr>
          <w:b/>
          <w:color w:val="1E2530"/>
          <w:rFonts w:ascii="Cambria" w:hAnsi="Cambria" w:eastAsia="Microsoft YaHei" w:cs="FreeSans"/>
          <w:sz w:val="22"/>
          <w:szCs w:val="24"/>
          <w:lang w:val="en-US" w:eastAsia="zh-CN" w:bidi="hi-IN"/>
        </w:rPr>
        <w:t>Step Five: Earn-Back -</w:t>
      </w:r>
      <w:r>
        <w:rPr>
          <w:rFonts w:ascii="Cambria" w:hAnsi="Cambria" w:eastAsia="Microsoft YaHei" w:cs="FreeSans"/>
          <w:color w:val="1E2530"/>
          <w:sz w:val="22"/>
          <w:szCs w:val="24"/>
          <w:lang w:val="en-US" w:eastAsia="zh-CN" w:bidi="hi-IN"/>
        </w:rPr>
        <w:t>Upon correction of the deficiency, the suspended reciprocity units reactivate automatically. No additional negotiation or compensation payment is required. The earn-back restores the status quo ante.</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6.2 - Graduated Response Scale</w:t>
      </w:r>
    </w:p>
    <w:p>
      <w:pPr>
        <w:pStyle w:val="Normal"/>
        <w:bidi w:val="0"/>
        <w:spacing w:before="0" w:after="180"/>
        <w:rPr/>
      </w:pPr>
      <w:r>
        <w:rPr>
          <w:rFonts w:ascii="Cambria" w:hAnsi="Cambria" w:eastAsia="Microsoft YaHei" w:cs="FreeSans"/>
          <w:color w:val="1E2530"/>
          <w:sz w:val="22"/>
          <w:szCs w:val="24"/>
          <w:lang w:val="en-US" w:eastAsia="zh-CN" w:bidi="hi-IN"/>
        </w:rPr>
        <w:t>The Review Panel selects the step-back level based on the following graduated scale:</w:t>
      </w:r>
    </w:p>
    <w:p>
      <w:pPr>
        <w:pStyle w:val="Normal"/>
        <w:bidi w:val="0"/>
        <w:spacing w:before="0" w:after="180"/>
        <w:rPr/>
      </w:pPr>
      <w:r>
        <w:rPr>
          <w:rFonts w:ascii="Cambria" w:hAnsi="Cambria" w:eastAsia="Microsoft YaHei" w:cs="FreeSans"/>
          <w:color w:val="1E2530"/>
          <w:sz w:val="22"/>
          <w:szCs w:val="24"/>
          <w:lang w:val="en-US" w:eastAsia="zh-CN" w:bidi="hi-IN"/>
        </w:rPr>
        <w:t>Level One - Technical Delay: A delay of up to 72 hours in implementing a commitment due to logistical or administrative factors. No step-back occurs. The Joint Coordination Center documents the delay and adjusts timelines.</w:t>
      </w:r>
    </w:p>
    <w:p>
      <w:pPr>
        <w:pStyle w:val="Normal"/>
        <w:bidi w:val="0"/>
        <w:spacing w:before="0" w:after="180"/>
        <w:rPr/>
      </w:pPr>
      <w:r>
        <w:rPr>
          <w:rFonts w:ascii="Cambria" w:hAnsi="Cambria" w:eastAsia="Microsoft YaHei" w:cs="FreeSans"/>
          <w:color w:val="1E2530"/>
          <w:sz w:val="22"/>
          <w:szCs w:val="24"/>
          <w:lang w:val="en-US" w:eastAsia="zh-CN" w:bidi="hi-IN"/>
        </w:rPr>
        <w:t>Level Two - Partial Non-Performance: Failure to implement one or more specific elements of a commitment. The step-back suspends the corresponding reciprocity unit until correction.</w:t>
      </w:r>
    </w:p>
    <w:p>
      <w:pPr>
        <w:pStyle w:val="Normal"/>
        <w:bidi w:val="0"/>
        <w:spacing w:before="0" w:after="180"/>
        <w:rPr/>
      </w:pPr>
      <w:r>
        <w:rPr>
          <w:rFonts w:ascii="Cambria" w:hAnsi="Cambria" w:eastAsia="Microsoft YaHei" w:cs="FreeSans"/>
          <w:color w:val="1E2530"/>
          <w:sz w:val="22"/>
          <w:szCs w:val="24"/>
          <w:lang w:val="en-US" w:eastAsia="zh-CN" w:bidi="hi-IN"/>
        </w:rPr>
        <w:t>Level Three - Systemic Breach: A pattern of non-performance across multiple commitments or a single material breach that fundamentally alters the equilibrium of the Compact. The step-back suspends all reciprocity units in the affected annex. The Parties convene an emergency session within 72 hours.</w:t>
      </w:r>
    </w:p>
    <w:p>
      <w:pPr>
        <w:pStyle w:val="Normal"/>
        <w:bidi w:val="0"/>
        <w:spacing w:before="0" w:after="180"/>
        <w:rPr/>
      </w:pPr>
      <w:r>
        <w:rPr>
          <w:rFonts w:ascii="Cambria" w:hAnsi="Cambria" w:eastAsia="Microsoft YaHei" w:cs="FreeSans"/>
          <w:color w:val="1E2530"/>
          <w:sz w:val="22"/>
          <w:szCs w:val="24"/>
          <w:lang w:val="en-US" w:eastAsia="zh-CN" w:bidi="hi-IN"/>
        </w:rPr>
        <w:t>Level Four - Fundamental Violation: A breach that strikes at the core purpose of the Compact, such as renewed weapons-grade enrichment or military attack. This level terminates the Compact unless both Parties agree to emergency remediation within 48 hours.</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6.3 - Clean Break Exit Ramp</w:t>
      </w:r>
    </w:p>
    <w:p>
      <w:pPr>
        <w:pStyle w:val="Normal"/>
        <w:bidi w:val="0"/>
        <w:spacing w:before="0" w:after="180"/>
        <w:rPr/>
      </w:pPr>
      <w:r>
        <w:rPr>
          <w:rFonts w:ascii="Cambria" w:hAnsi="Cambria" w:eastAsia="Microsoft YaHei" w:cs="FreeSans"/>
          <w:color w:val="1E2530"/>
          <w:sz w:val="22"/>
          <w:szCs w:val="24"/>
          <w:lang w:val="en-US" w:eastAsia="zh-CN" w:bidi="hi-IN"/>
        </w:rPr>
        <w:t>Either Party withdraws from this Compact with 14 days' written notice to the Neutral Guarantor. Withdrawal does not constitute a breach and does not trigger any penalty.</w:t>
      </w:r>
    </w:p>
    <w:p>
      <w:pPr>
        <w:pStyle w:val="Normal"/>
        <w:bidi w:val="0"/>
        <w:spacing w:before="0" w:after="180"/>
        <w:rPr/>
      </w:pPr>
      <w:r>
        <w:rPr>
          <w:rFonts w:ascii="Cambria" w:hAnsi="Cambria" w:eastAsia="Microsoft YaHei" w:cs="FreeSans"/>
          <w:color w:val="1E2530"/>
          <w:sz w:val="22"/>
          <w:szCs w:val="24"/>
          <w:lang w:val="en-US" w:eastAsia="zh-CN" w:bidi="hi-IN"/>
        </w:rPr>
        <w:t>Upon withdrawal, the following provisions remain in effect for 180 days under UN mandate: the Strait of Hormuz remains open for all commercial and humanitarian vessels; all funds already released from escrow are retained by the receiving Party; sanctions relief already delivered before the withdrawal notice - including oil waivers, general licenses, and banking reconnections - does not reimpose; and both Parties refrain from military escalation for the 180-day transition period.</w:t>
      </w:r>
    </w:p>
    <w:p>
      <w:pPr>
        <w:pStyle w:val="Normal"/>
        <w:bidi w:val="0"/>
        <w:spacing w:before="0" w:after="180"/>
        <w:rPr/>
      </w:pPr>
      <w:r>
        <w:rPr>
          <w:rFonts w:ascii="Cambria" w:hAnsi="Cambria" w:eastAsia="Microsoft YaHei" w:cs="FreeSans"/>
          <w:color w:val="1E2530"/>
          <w:sz w:val="22"/>
          <w:szCs w:val="24"/>
          <w:lang w:val="en-US" w:eastAsia="zh-CN" w:bidi="hi-IN"/>
        </w:rPr>
        <w:t>Withdrawal does not preclude future negotiations. Either Party re-enters the Compact at any time by providing written notice of intent to resume, subject to mutual agreement on any adjustments to reciprocity units.</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6.4 - Lebanon-Only Exit</w:t>
      </w:r>
    </w:p>
    <w:p>
      <w:pPr>
        <w:pStyle w:val="Normal"/>
        <w:bidi w:val="0"/>
        <w:spacing w:before="0" w:after="180"/>
        <w:rPr/>
      </w:pPr>
      <w:r>
        <w:rPr>
          <w:rFonts w:ascii="Cambria" w:hAnsi="Cambria" w:eastAsia="Microsoft YaHei" w:cs="FreeSans"/>
          <w:color w:val="1E2530"/>
          <w:sz w:val="22"/>
          <w:szCs w:val="24"/>
          <w:lang w:val="en-US" w:eastAsia="zh-CN" w:bidi="hi-IN"/>
        </w:rPr>
        <w:t>Notwithstanding the general exit provisions, either Party invokes a Lebanon-only exit by giving 14 days' notice to the Neutral Guarantor. Upon such notice, the Lebanon unit (Annex B) terminates, but all other articles and annexes remain in full force. The Party invoking the Lebanon-only exit retains full participation rights in the nuclear, maritime, and economic tracks. The Lebanon-only exit does not constitute a breach of the Compact.</w:t>
      </w:r>
    </w:p>
    <w:p>
      <w:pPr>
        <w:pStyle w:val="Heading1"/>
        <w:keepNext w:val="true"/>
        <w:keepLines/>
        <w:bidi w:val="0"/>
        <w:spacing w:before="480" w:after="240"/>
        <w:rPr/>
      </w:pPr>
      <w:bookmarkStart w:id="8" w:name="_Toc008"/>
      <w:r>
        <w:rPr>
          <w:szCs w:val="24"/>
          <w:lang w:val="en-US" w:eastAsia="zh-CN" w:bidi="hi-IN"/>
          <w:rFonts w:ascii="Cambria" w:hAnsi="Cambria" w:eastAsia="Microsoft YaHei" w:cs="Cambria"/>
          <w:b/>
          <w:color w:val="1A2744"/>
          <w:sz w:val="40"/>
        </w:rPr>
        <w:t>Article VII: The Human-in-the-Loop Review</w:t>
      </w:r>
      <w:bookmarkEnd w:id="8"/>
    </w:p>
    <w:p>
      <w:pPr>
        <w:pStyle w:val="Normal"/>
        <w:bidi w:val="0"/>
        <w:spacing w:before="0" w:after="180"/>
        <w:rPr/>
      </w:pPr>
      <w:r>
        <w:rPr>
          <w:rFonts w:ascii="Cambria" w:hAnsi="Cambria" w:eastAsia="Microsoft YaHei" w:cs="FreeSans"/>
          <w:color w:val="1E2530"/>
          <w:sz w:val="22"/>
          <w:szCs w:val="24"/>
          <w:lang w:val="en-US" w:eastAsia="zh-CN" w:bidi="hi-IN"/>
        </w:rPr>
        <w:t>This article establishes the dispute resolution mechanism that replaces automated penalties with human judgment, diplomacy, and proportional response calibration.</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7.1 - Review Panel Composition</w:t>
      </w:r>
    </w:p>
    <w:p>
      <w:pPr>
        <w:pStyle w:val="Normal"/>
        <w:bidi w:val="0"/>
        <w:spacing w:before="0" w:after="180"/>
        <w:rPr/>
      </w:pPr>
      <w:r>
        <w:rPr>
          <w:rFonts w:ascii="Cambria" w:hAnsi="Cambria" w:eastAsia="Microsoft YaHei" w:cs="FreeSans"/>
          <w:color w:val="1E2530"/>
          <w:sz w:val="22"/>
          <w:szCs w:val="24"/>
          <w:lang w:val="en-US" w:eastAsia="zh-CN" w:bidi="hi-IN"/>
        </w:rPr>
        <w:t>The Human-in-the-Loop Review Panel comprises five members: one representative appointed by the United States, one representative appointed by Iran, and three neutral members appointed by the Neutral Guarantor from nations acceptable to both Parties. The neutral members include one legal expert, one technical expert, and one diplomatic expert.</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7.2 - Review Process</w:t>
      </w:r>
    </w:p>
    <w:p>
      <w:pPr>
        <w:pStyle w:val="Normal"/>
        <w:bidi w:val="0"/>
        <w:spacing w:before="0" w:after="180"/>
        <w:rPr/>
      </w:pPr>
      <w:r>
        <w:rPr>
          <w:rFonts w:ascii="Cambria" w:hAnsi="Cambria" w:eastAsia="Microsoft YaHei" w:cs="FreeSans"/>
          <w:color w:val="1E2530"/>
          <w:sz w:val="22"/>
          <w:szCs w:val="24"/>
          <w:lang w:val="en-US" w:eastAsia="zh-CN" w:bidi="hi-IN"/>
        </w:rPr>
        <w:t>Upon referral from the Joint Coordination Center, the Review Panel convenes within 72 hours. The Panel examines all telemetry data, hears presentations from both Parties, and issues a binding determination within 10 days. The determination identifies the factual status of the dispute, classifies the concern under the graduated scale in Article VI, and prescribes the proportional response.</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7.3 - Emergency Review</w:t>
      </w:r>
    </w:p>
    <w:p>
      <w:pPr>
        <w:pStyle w:val="Normal"/>
        <w:bidi w:val="0"/>
        <w:spacing w:before="0" w:after="180"/>
        <w:rPr/>
      </w:pPr>
      <w:r>
        <w:rPr>
          <w:rFonts w:ascii="Cambria" w:hAnsi="Cambria" w:eastAsia="Microsoft YaHei" w:cs="FreeSans"/>
          <w:color w:val="1E2530"/>
          <w:sz w:val="22"/>
          <w:szCs w:val="24"/>
          <w:lang w:val="en-US" w:eastAsia="zh-CN" w:bidi="hi-IN"/>
        </w:rPr>
        <w:t>Either Party triggers an emergency review by providing credible evidence of an imminent threat to regional security or Compact integrity. Emergency reviews convene within 24 hours. The Panel possesses authority to order immediate temporary measures pending full review.</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7.4 - Binding Nature</w:t>
      </w:r>
    </w:p>
    <w:p>
      <w:pPr>
        <w:pStyle w:val="Normal"/>
        <w:bidi w:val="0"/>
        <w:spacing w:before="0" w:after="180"/>
        <w:rPr/>
      </w:pPr>
      <w:r>
        <w:rPr>
          <w:rFonts w:ascii="Cambria" w:hAnsi="Cambria" w:eastAsia="Microsoft YaHei" w:cs="FreeSans"/>
          <w:color w:val="1E2530"/>
          <w:sz w:val="22"/>
          <w:szCs w:val="24"/>
          <w:lang w:val="en-US" w:eastAsia="zh-CN" w:bidi="hi-IN"/>
        </w:rPr>
        <w:t>All parties to this Compact accept the determinations of the Review Panel as binding. Either Party holds the right to appeal a determination to the full Compact Council - comprising senior representatives from both Parties and the Neutral Guarantor - within 7 days. The Council renders a final decision within 14 days of appeal.</w:t>
      </w:r>
    </w:p>
    <w:p>
      <w:pPr>
        <w:pStyle w:val="Heading1"/>
        <w:keepNext w:val="true"/>
        <w:keepLines/>
        <w:bidi w:val="0"/>
        <w:spacing w:before="480" w:after="240"/>
        <w:rPr/>
      </w:pPr>
      <w:bookmarkStart w:id="9" w:name="_Toc009"/>
      <w:r>
        <w:rPr>
          <w:szCs w:val="24"/>
          <w:lang w:val="en-US" w:eastAsia="zh-CN" w:bidi="hi-IN"/>
          <w:rFonts w:ascii="Cambria" w:hAnsi="Cambria" w:eastAsia="Microsoft YaHei" w:cs="Cambria"/>
          <w:b/>
          <w:color w:val="1A2744"/>
          <w:sz w:val="40"/>
        </w:rPr>
        <w:t>Article VIII: Neutral Guarantor Structure</w:t>
      </w:r>
      <w:bookmarkEnd w:id="9"/>
    </w:p>
    <w:p>
      <w:pPr>
        <w:pStyle w:val="Normal"/>
        <w:bidi w:val="0"/>
        <w:spacing w:before="0" w:after="180"/>
        <w:rPr/>
      </w:pPr>
      <w:r>
        <w:rPr>
          <w:rFonts w:ascii="Cambria" w:hAnsi="Cambria" w:eastAsia="Microsoft YaHei" w:cs="FreeSans"/>
          <w:color w:val="1E2530"/>
          <w:sz w:val="22"/>
          <w:szCs w:val="24"/>
          <w:lang w:val="en-US" w:eastAsia="zh-CN" w:bidi="hi-IN"/>
        </w:rPr>
        <w:t>This article establishes the institutional framework for neutral third-party facilitation of this Compact.</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8.1 - Guarantor Selection</w:t>
      </w:r>
    </w:p>
    <w:p>
      <w:pPr>
        <w:pStyle w:val="Normal"/>
        <w:bidi w:val="0"/>
        <w:spacing w:before="0" w:after="180"/>
        <w:rPr/>
      </w:pPr>
      <w:r>
        <w:rPr>
          <w:rFonts w:ascii="Cambria" w:hAnsi="Cambria" w:eastAsia="Microsoft YaHei" w:cs="FreeSans"/>
          <w:color w:val="1E2530"/>
          <w:sz w:val="22"/>
          <w:szCs w:val="24"/>
          <w:lang w:val="en-US" w:eastAsia="zh-CN" w:bidi="hi-IN"/>
        </w:rPr>
        <w:t>The Sultanate of Oman serves as the primary Neutral Guarantor. Oman hosts the Joint Coordination Center in Muscat, provides diplomatic backchannels, and facilitates all neutral verification activities. Oman accepts this role based on its history of constructive engagement with both Parties and its established credibility as a regional mediator.</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8.2 - Guarantor Responsibilities</w:t>
      </w:r>
    </w:p>
    <w:p>
      <w:pPr>
        <w:pStyle w:val="Normal"/>
        <w:bidi w:val="0"/>
        <w:spacing w:before="0" w:after="180"/>
        <w:rPr/>
      </w:pPr>
      <w:r>
        <w:rPr>
          <w:rFonts w:ascii="Cambria" w:hAnsi="Cambria" w:eastAsia="Microsoft YaHei" w:cs="FreeSans"/>
          <w:color w:val="1E2530"/>
          <w:sz w:val="22"/>
          <w:szCs w:val="24"/>
          <w:lang w:val="en-US" w:eastAsia="zh-CN" w:bidi="hi-IN"/>
        </w:rPr>
        <w:t>The Neutral Guarantor performs the following functions: operates the Joint Coordination Center; deploys and manages verification teams; holds escrow accounts for transit fees and asset releases; convenes the Human-in-the-Loop Review Panel; maintains secure communication channels between the Parties; and publishes monthly public reports on Compact implementation status.</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8.3 - Secondary Guarantors</w:t>
      </w:r>
    </w:p>
    <w:p>
      <w:pPr>
        <w:pStyle w:val="Normal"/>
        <w:bidi w:val="0"/>
        <w:spacing w:before="0" w:after="180"/>
        <w:rPr/>
      </w:pPr>
      <w:r>
        <w:rPr>
          <w:rFonts w:ascii="Cambria" w:hAnsi="Cambria" w:eastAsia="Microsoft YaHei" w:cs="FreeSans"/>
          <w:color w:val="1E2530"/>
          <w:sz w:val="22"/>
          <w:szCs w:val="24"/>
          <w:lang w:val="en-US" w:eastAsia="zh-CN" w:bidi="hi-IN"/>
        </w:rPr>
        <w:t>The Parties jointly invite Qatar and Switzerland to serve as secondary guarantors. Qatar provides additional regional diplomatic support and hosts emergency meetings. Switzerland manages financial escrow accounts, hosts the digital dashboard described in Article V, and provides legal expertise for sanctions relief implementation.</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8.4 - Guarantor Replacement</w:t>
      </w:r>
    </w:p>
    <w:p>
      <w:pPr>
        <w:pStyle w:val="Normal"/>
        <w:bidi w:val="0"/>
        <w:spacing w:before="0" w:after="180"/>
        <w:rPr/>
      </w:pPr>
      <w:r>
        <w:rPr>
          <w:rFonts w:ascii="Cambria" w:hAnsi="Cambria" w:eastAsia="Microsoft YaHei" w:cs="FreeSans"/>
          <w:color w:val="1E2530"/>
          <w:sz w:val="22"/>
          <w:szCs w:val="24"/>
          <w:lang w:val="en-US" w:eastAsia="zh-CN" w:bidi="hi-IN"/>
        </w:rPr>
        <w:t>Either Party proposes replacement of a guarantor by submitting written justification to the Joint Coordination Center. Replacement requires mutual consent. The Parties complete any transition to a replacement guarantor within 30 days to prevent operational gaps.</w:t>
      </w:r>
    </w:p>
    <w:p>
      <w:pPr>
        <w:pStyle w:val="Heading1"/>
        <w:keepNext w:val="true"/>
        <w:keepLines/>
        <w:bidi w:val="0"/>
        <w:spacing w:before="480" w:after="240"/>
        <w:rPr/>
      </w:pPr>
      <w:bookmarkStart w:id="10" w:name="_Toc010"/>
      <w:r>
        <w:rPr>
          <w:szCs w:val="24"/>
          <w:lang w:val="en-US" w:eastAsia="zh-CN" w:bidi="hi-IN"/>
          <w:rFonts w:ascii="Cambria" w:hAnsi="Cambria" w:eastAsia="Microsoft YaHei" w:cs="Cambria"/>
          <w:b/>
          <w:color w:val="1A2744"/>
          <w:sz w:val="40"/>
        </w:rPr>
        <w:t>Annex A: Implementation Timelines and Reciprocity Matrix</w:t>
      </w:r>
      <w:bookmarkEnd w:id="10"/>
    </w:p>
    <w:p>
      <w:pPr>
        <w:pStyle w:val="Normal"/>
        <w:bidi w:val="0"/>
        <w:spacing w:before="0" w:after="180"/>
        <w:rPr/>
      </w:pPr>
      <w:r>
        <w:rPr>
          <w:rFonts w:ascii="Cambria" w:hAnsi="Cambria" w:eastAsia="Microsoft YaHei" w:cs="FreeSans"/>
          <w:color w:val="1E2530"/>
          <w:sz w:val="22"/>
          <w:szCs w:val="24"/>
          <w:lang w:val="en-US" w:eastAsia="zh-CN" w:bidi="hi-IN"/>
        </w:rPr>
        <w:t>This annex provides the detailed timeline for every commitment in this Compact, organized by day and paired by reciprocity unit.</w:t>
      </w:r>
    </w:p>
    <w:tbl>
      <w:tblPr>
        <w:tblW w:w="5000" w:type="pct"/>
        <w:jc w:val="start"/>
        <w:tblInd w:w="0" w:type="dxa"/>
        <w:tblLayout w:type="fixed"/>
        <w:tblCellMar>
          <w:top w:w="0" w:type="dxa"/>
          <w:start w:w="108" w:type="dxa"/>
          <w:bottom w:w="0" w:type="dxa"/>
          <w:end w:w="108" w:type="dxa"/>
        </w:tblCellMar>
      </w:tblPr>
      <w:tblGrid>
        <w:gridCol w:w="1102"/>
        <w:gridCol w:w="4012"/>
        <w:gridCol w:w="3912"/>
      </w:tblGrid>
      <w:tr>
        <w:trPr>
          <w:tblHeader w:val="1"/>
        </w:trPr>
        <w:tc>
          <w:tcPr>
            <w:tcW w:w="1102" w:type="dxa"/>
            <w:tcBorders>
              <w:top w:val="single" w:sz="12" w:space="0" w:color="1A2744"/>
              <w:bottom w:val="single" w:sz="4" w:space="0" w:color="C8C4B8"/>
            </w:tcBorders>
            <w:shd w:fill="E8E6E0" w:val="clear" w:color="auto"/>
          </w:tcPr>
          <w:p>
            <w:pPr>
              <w:pStyle w:val="Normal"/>
              <w:widowControl w:val="false"/>
              <w:bidi w:val="0"/>
              <w:spacing w:before="60" w:after="60"/>
              <w:rPr/>
            </w:pPr>
            <w:r>
              <w:rPr>
                <w:b/>
                <w:color w:val="1E2530"/>
                <w:sz w:val="20"/>
                <w:rFonts w:ascii="Cambria" w:hAnsi="Cambria" w:eastAsia="Microsoft YaHei" w:cs="FreeSans"/>
                <w:szCs w:val="24"/>
                <w:lang w:val="en-US" w:eastAsia="zh-CN" w:bidi="hi-IN"/>
              </w:rPr>
              <w:t>Day</w:t>
            </w:r>
          </w:p>
        </w:tc>
        <w:tc>
          <w:tcPr>
            <w:tcW w:w="4012" w:type="dxa"/>
            <w:tcBorders>
              <w:top w:val="single" w:sz="12" w:space="0" w:color="1A2744"/>
              <w:bottom w:val="single" w:sz="4" w:space="0" w:color="C8C4B8"/>
            </w:tcBorders>
            <w:shd w:fill="E8E6E0" w:val="clear" w:color="auto"/>
          </w:tcPr>
          <w:p>
            <w:pPr>
              <w:pStyle w:val="Normal"/>
              <w:widowControl w:val="false"/>
              <w:bidi w:val="0"/>
              <w:spacing w:before="60" w:after="60"/>
              <w:rPr/>
            </w:pPr>
            <w:r>
              <w:rPr>
                <w:b/>
                <w:color w:val="1E2530"/>
                <w:sz w:val="20"/>
                <w:rFonts w:ascii="Cambria" w:hAnsi="Cambria" w:eastAsia="Microsoft YaHei" w:cs="FreeSans"/>
                <w:szCs w:val="24"/>
                <w:lang w:val="en-US" w:eastAsia="zh-CN" w:bidi="hi-IN"/>
              </w:rPr>
              <w:t>US Commitment</w:t>
            </w:r>
          </w:p>
        </w:tc>
        <w:tc>
          <w:tcPr>
            <w:tcW w:w="3912" w:type="dxa"/>
            <w:tcBorders>
              <w:top w:val="single" w:sz="12" w:space="0" w:color="1A2744"/>
              <w:bottom w:val="single" w:sz="4" w:space="0" w:color="C8C4B8"/>
            </w:tcBorders>
            <w:shd w:fill="E8E6E0" w:val="clear" w:color="auto"/>
          </w:tcPr>
          <w:p>
            <w:pPr>
              <w:pStyle w:val="Normal"/>
              <w:widowControl w:val="false"/>
              <w:bidi w:val="0"/>
              <w:spacing w:before="60" w:after="60"/>
              <w:rPr/>
            </w:pPr>
            <w:r>
              <w:rPr>
                <w:b/>
                <w:color w:val="1E2530"/>
                <w:sz w:val="20"/>
                <w:rFonts w:ascii="Cambria" w:hAnsi="Cambria" w:eastAsia="Microsoft YaHei" w:cs="FreeSans"/>
                <w:szCs w:val="24"/>
                <w:lang w:val="en-US" w:eastAsia="zh-CN" w:bidi="hi-IN"/>
              </w:rPr>
              <w:t>Iran Commitment</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1</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Ceasefire + General licenses (humanitarian)</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Ceasefire + IAEA baseline access</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1</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$250M humanitarian asset release</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Humanitarian Hormuz transit</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2</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Halt offensive naval operations</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Full prisoner exchange</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7</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Fuel rod delivery (19.75% LEU, 200kg)</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60% HEU transfer to Oman (50kg, IAEA custody)</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14</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60-day oil waiver suspension (1.0 mb/d)</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All HEU + 20% LEU under IAEA seals in Iran</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30</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SWIFT reconnection support</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Tier Two Hormuz reopening</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45</w:t>
            </w:r>
          </w:p>
        </w:tc>
        <w:tc>
          <w:tcPr>
            <w:tcW w:w="40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Additional financial institution waivers</w:t>
            </w:r>
          </w:p>
        </w:tc>
        <w:tc>
          <w:tcPr>
            <w:tcW w:w="3912" w:type="dxa"/>
            <w:tcBorders>
              <w:top w:val="single" w:sz="4" w:space="0" w:color="C8C4B8"/>
              <w:bottom w:val="single" w:sz="4" w:space="0" w:color="C8C4B8"/>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Sustained compliance confirmation</w:t>
            </w:r>
          </w:p>
        </w:tc>
      </w:tr>
      <w:tr>
        <w:trPr/>
        <w:tc>
          <w:tcPr>
            <w:tcW w:w="1102" w:type="dxa"/>
            <w:tcBorders>
              <w:top w:val="single" w:sz="4" w:space="0" w:color="C8C4B8"/>
              <w:bottom w:val="single" w:sz="12" w:space="0" w:color="1A2744"/>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60</w:t>
            </w:r>
          </w:p>
        </w:tc>
        <w:tc>
          <w:tcPr>
            <w:tcW w:w="4012" w:type="dxa"/>
            <w:tcBorders>
              <w:top w:val="single" w:sz="4" w:space="0" w:color="C8C4B8"/>
              <w:bottom w:val="single" w:sz="12" w:space="0" w:color="1A2744"/>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Phase Three launch</w:t>
            </w:r>
          </w:p>
        </w:tc>
        <w:tc>
          <w:tcPr>
            <w:tcW w:w="3912" w:type="dxa"/>
            <w:tcBorders>
              <w:top w:val="single" w:sz="4" w:space="0" w:color="C8C4B8"/>
              <w:bottom w:val="single" w:sz="12" w:space="0" w:color="1A2744"/>
            </w:tcBorders>
          </w:tcPr>
          <w:p>
            <w:pPr>
              <w:pStyle w:val="Normal"/>
              <w:widowControl w:val="false"/>
              <w:bidi w:val="0"/>
              <w:spacing w:before="60" w:after="60"/>
              <w:rPr/>
            </w:pPr>
            <w:r>
              <w:rPr>
                <w:color w:val="4A5568"/>
                <w:sz w:val="19"/>
                <w:rFonts w:ascii="Cambria" w:hAnsi="Cambria" w:eastAsia="Microsoft YaHei" w:cs="FreeSans"/>
                <w:szCs w:val="24"/>
                <w:lang w:val="en-US" w:eastAsia="zh-CN" w:bidi="hi-IN"/>
              </w:rPr>
              <w:t>Phase Three launch</w:t>
            </w:r>
          </w:p>
        </w:tc>
      </w:tr>
    </w:tbl>
    <w:p>
      <w:pPr>
        <w:pStyle w:val="Normal"/>
        <w:bidi w:val="0"/>
        <w:spacing w:before="0" w:after="180"/>
        <w:rPr/>
      </w:pPr>
      <w:r>
        <w:rPr>
          <w:rFonts w:ascii="Cambria" w:hAnsi="Cambria" w:eastAsia="Microsoft YaHei" w:cs="FreeSans"/>
          <w:color w:val="1E2530"/>
          <w:sz w:val="22"/>
          <w:szCs w:val="24"/>
          <w:lang w:val="en-US" w:eastAsia="zh-CN" w:bidi="hi-IN"/>
        </w:rPr>
        <w:t>All material above 5% enrichment remains in Iran under IAEA seals throughout the 60-day period except the 50kg fuel swap quantity held under IAEA custody in Oman. No US personnel access the Oman facility without Iran's explicit, revocable, per-visit consent.</w:t>
      </w:r>
    </w:p>
    <w:p>
      <w:pPr>
        <w:pStyle w:val="Heading1"/>
        <w:keepNext w:val="true"/>
        <w:keepLines/>
        <w:bidi w:val="0"/>
        <w:spacing w:before="480" w:after="240"/>
        <w:rPr/>
      </w:pPr>
      <w:bookmarkStart w:id="11" w:name="_Toc011"/>
      <w:r>
        <w:rPr>
          <w:szCs w:val="24"/>
          <w:lang w:val="en-US" w:eastAsia="zh-CN" w:bidi="hi-IN"/>
          <w:rFonts w:ascii="Cambria" w:hAnsi="Cambria" w:eastAsia="Microsoft YaHei" w:cs="Cambria"/>
          <w:b/>
          <w:color w:val="1A2744"/>
          <w:sz w:val="40"/>
        </w:rPr>
        <w:t>Annex B: Lebanon Ceasefire and Firewall Protocol</w:t>
      </w:r>
      <w:bookmarkEnd w:id="11"/>
    </w:p>
    <w:p>
      <w:pPr>
        <w:pStyle w:val="Normal"/>
        <w:bidi w:val="0"/>
        <w:spacing w:before="0" w:after="180"/>
        <w:rPr/>
      </w:pPr>
      <w:r>
        <w:rPr>
          <w:rFonts w:ascii="Cambria" w:hAnsi="Cambria" w:eastAsia="Microsoft YaHei" w:cs="FreeSans"/>
          <w:color w:val="1E2530"/>
          <w:sz w:val="22"/>
          <w:szCs w:val="24"/>
          <w:lang w:val="en-US" w:eastAsia="zh-CN" w:bidi="hi-IN"/>
        </w:rPr>
        <w:t>This annex establishes a Day 1 ceasefire on the Lebanon front as a commitment of this Compact and firewalls it so that a lapse on the Lebanon front never cascades into the nuclear, maritime, or economic tracks. The framework includes Lebanon, and the firewall keeps the Lebanon commitment non-cascading.</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B.1 - Firewall Principle</w:t>
      </w:r>
    </w:p>
    <w:p>
      <w:pPr>
        <w:pStyle w:val="Normal"/>
        <w:bidi w:val="0"/>
        <w:spacing w:before="0" w:after="180"/>
        <w:rPr/>
      </w:pPr>
      <w:r>
        <w:rPr>
          <w:rFonts w:ascii="Cambria" w:hAnsi="Cambria" w:eastAsia="Microsoft YaHei" w:cs="FreeSans"/>
          <w:color w:val="1E2530"/>
          <w:sz w:val="22"/>
          <w:szCs w:val="24"/>
          <w:lang w:val="en-US" w:eastAsia="zh-CN" w:bidi="hi-IN"/>
        </w:rPr>
        <w:t>The Lebanon ceasefire operates as a firewalled reciprocity unit inside this Compact. A lapse on the Lebanon front suspends only the Lebanon unit under the proportionality scale of Annex N; the nuclear, maritime, and economic tracks continue operating without interruption. This firewall preserves the whole framework against a single regional incident, and it gives both Parties the confidence to include Lebanon rather than exclude it.</w:t>
      </w:r>
    </w:p>
    <w:p>
      <w:pPr>
        <w:pStyle w:val="Normal"/>
        <w:bidi w:val="0"/>
        <w:spacing w:before="0" w:after="180"/>
        <w:rPr/>
      </w:pPr>
      <w:r>
        <w:rPr>
          <w:rFonts w:ascii="Cambria" w:hAnsi="Cambria" w:eastAsia="Microsoft YaHei" w:cs="FreeSans"/>
          <w:color w:val="1E2530"/>
          <w:sz w:val="22"/>
          <w:szCs w:val="24"/>
          <w:lang w:val="en-US" w:eastAsia="zh-CN" w:bidi="hi-IN"/>
        </w:rPr>
        <w:t>A spontaneous local clash on the Israeli-Lebanese border does not constitute a breach. Such an incident routes to the crisis-communication consultation of Annex I, where the verification record and the no-surprise commitment establish the facts. Only a sustained, attributed, offensive resumption that the consultation confirms suspends the Lebanon unit, and verified de-escalation restores it through Earn-Back.</w:t>
      </w:r>
    </w:p>
    <w:p>
      <w:pPr>
        <w:pStyle w:val="Normal"/>
        <w:bidi w:val="0"/>
        <w:spacing w:before="0" w:after="180"/>
        <w:rPr/>
      </w:pPr>
      <w:r>
        <w:rPr>
          <w:rFonts w:ascii="Cambria" w:hAnsi="Cambria" w:eastAsia="Microsoft YaHei" w:cs="FreeSans"/>
          <w:color w:val="1E2530"/>
          <w:sz w:val="22"/>
          <w:szCs w:val="24"/>
          <w:lang w:val="en-US" w:eastAsia="zh-CN" w:bidi="hi-IN"/>
        </w:rPr>
        <w:t>Three quantitative thresholds define a sustained, attributed, offensive resumption under this Compact: a single military operation causes more than 10 documented fatalities on either side; ground operations expand beyond a 5-kilometer buffer zone from the current line of contact; or three or more cross-border attacks occur within 24 hours. Confirmation by the Joint Coordination Center triggers an emergency Human-in-the-Loop Review within 24 hours.</w:t>
      </w:r>
    </w:p>
    <w:p>
      <w:pPr>
        <w:pStyle w:val="Normal"/>
        <w:bidi w:val="0"/>
        <w:spacing w:before="0" w:after="180"/>
        <w:rPr/>
      </w:pPr>
      <w:r>
        <w:rPr>
          <w:rFonts w:ascii="Cambria" w:hAnsi="Cambria" w:eastAsia="Microsoft YaHei" w:cs="FreeSans"/>
          <w:color w:val="1E2530"/>
          <w:sz w:val="22"/>
          <w:szCs w:val="24"/>
          <w:lang w:val="en-US" w:eastAsia="zh-CN" w:bidi="hi-IN"/>
        </w:rPr>
        <w:t>A finding of sustained, attributed, offensive resumption on the Lebanon front is not final unless at least three independent sources confirm it. The three sources come from the following categories: IAEA-type telemetry or sensor data where applicable; at least two neutral-nation ground observer reports coordinated by the Neutral Guarantor; satellite imagery analyzed by a neutral technical team; or intelligence shared voluntarily by either Party that another source corroborates. A single-source finding, including unilateral national intelligence, does not trigger Step-Back or suspension of the Lebanon unit.</w:t>
      </w:r>
    </w:p>
    <w:p>
      <w:pPr>
        <w:pStyle w:val="Normal"/>
        <w:bidi w:val="0"/>
        <w:spacing w:before="0" w:after="180"/>
        <w:rPr/>
      </w:pPr>
      <w:r>
        <w:rPr>
          <w:rFonts w:ascii="Cambria" w:hAnsi="Cambria" w:eastAsia="Microsoft YaHei" w:cs="FreeSans"/>
          <w:color w:val="1E2530"/>
          <w:sz w:val="22"/>
          <w:szCs w:val="24"/>
          <w:lang w:val="en-US" w:eastAsia="zh-CN" w:bidi="hi-IN"/>
        </w:rPr>
        <w:t>Within 72 hours of any Lebanon-related incident that triggers the crisis protocol, the Joint Coordination Center issues a confidential factual report to both Parties, attributing responsibility based on telemetry, open-source intelligence, and any shared national data. The report itself does not constitute a finding of breach but serves as evidence in subsequent Step-Back or Earn-Back proceedings. The report's attribution section binds neither Party unless both Parties agree to elevate it to the Human-in-the-Loop Review.</w:t>
      </w:r>
    </w:p>
    <w:p>
      <w:pPr>
        <w:pStyle w:val="Normal"/>
        <w:bidi w:val="0"/>
        <w:spacing w:before="0" w:after="180"/>
        <w:rPr/>
      </w:pPr>
      <w:r>
        <w:rPr>
          <w:rFonts w:ascii="Cambria" w:hAnsi="Cambria" w:eastAsia="Microsoft YaHei" w:cs="FreeSans"/>
          <w:color w:val="1E2530"/>
          <w:sz w:val="22"/>
          <w:szCs w:val="24"/>
          <w:lang w:val="en-US" w:eastAsia="zh-CN" w:bidi="hi-IN"/>
        </w:rPr>
        <w:t>The Lebanon ceasefire and firewalled architecture address only the circumstances of June 2026 and the unique relationship between Hezbollah and Iran. The framework architecture creates no precedent and establishes no expectation for any similar arrangement concerning Iranian influence over any other non-state actor in the region, including but not limited to groups in Iraq, Syria, or Yemen. Future discussions of such actors proceed on a voluntary basis, and the framework architecture links no such discussions to compliance with this Compact.</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B.2 - Day 1 Ceasefire Commitment</w:t>
      </w:r>
    </w:p>
    <w:p>
      <w:pPr>
        <w:pStyle w:val="Normal"/>
        <w:bidi w:val="0"/>
        <w:spacing w:before="0" w:after="180"/>
        <w:rPr/>
      </w:pPr>
      <w:r>
        <w:rPr>
          <w:rFonts w:ascii="Cambria" w:hAnsi="Cambria" w:eastAsia="Microsoft YaHei" w:cs="FreeSans"/>
          <w:color w:val="1E2530"/>
          <w:sz w:val="22"/>
          <w:szCs w:val="24"/>
          <w:lang w:val="en-US" w:eastAsia="zh-CN" w:bidi="hi-IN"/>
        </w:rPr>
        <w:t>Within 24 hours of signature, both Parties commit to a ceasefire on the Lebanon front. Offensive operations halt, and defensive positions continue. The United States transmits a formal request through established military-to-military channels to the Government of Israel to cease all offensive operations in Lebanon. Iran commits to communicating with Hezbollah through its established channels to achieve a cessation of offensive operations. The Joint Coordination Center may request, on a confidential and non-attributable basis, a general confirmation that such communication has occurred. The framework architecture excludes the documentation or sharing of the communication's content or the identity of any recipient. Neither Party guarantees the conduct of its respective partner; the framework measures Iran's compliance by the observable outcome on the ground, verified by telemetry and neutral observers, not by the production of internal communications. Each Party commits to the action it undertakes and to the verification record that documents the outcome. The Lebanon ceasefire renews on the same self-renewing 72-hour module that governs the core ceasefire in Section 2.1.</w:t>
      </w:r>
    </w:p>
    <w:p>
      <w:pPr>
        <w:pStyle w:val="Normal"/>
        <w:bidi w:val="0"/>
        <w:spacing w:before="0" w:after="180"/>
        <w:rPr/>
      </w:pPr>
      <w:r>
        <w:rPr>
          <w:rFonts w:ascii="Cambria" w:hAnsi="Cambria" w:eastAsia="Microsoft YaHei" w:cs="FreeSans"/>
          <w:color w:val="1E2530"/>
          <w:sz w:val="22"/>
          <w:szCs w:val="24"/>
          <w:lang w:val="en-US" w:eastAsia="zh-CN" w:bidi="hi-IN"/>
        </w:rPr>
        <w:t>During Phase Two, the United States notifies the Joint Coordination Center within 72 hours of approving any new transfer of major offensive ground weapons systems to Israel that are specifically intended for use in Lebanon. The framework architecture treats such notification as confidential and excludes public disclosure without the consent of the United States. Notification does not constitute a commitment to halt or modify the transfer. The United States retains sole discretion over its weapons transfers. A notification delay beyond the 72-hour window triggers the Step-Back mechanism proportionate to the delay, not to the value or nature of the transferred systems. The framework excludes this notification commitment for defensive systems, ammunition, spare parts, or systems not specifically configured for ground operations in Lebanon.</w:t>
      </w:r>
    </w:p>
    <w:p>
      <w:pPr>
        <w:pStyle w:val="Normal"/>
        <w:bidi w:val="0"/>
        <w:spacing w:before="0" w:after="180"/>
        <w:rPr/>
      </w:pPr>
      <w:r>
        <w:rPr>
          <w:rFonts w:ascii="Cambria" w:hAnsi="Cambria" w:eastAsia="Microsoft YaHei" w:cs="FreeSans"/>
          <w:color w:val="1E2530"/>
          <w:sz w:val="22"/>
          <w:szCs w:val="24"/>
          <w:lang w:val="en-US" w:eastAsia="zh-CN" w:bidi="hi-IN"/>
        </w:rPr>
        <w:t>A delay in notification does not constitute a breach of the ceasefire itself and does not affect the status of any other reciprocity unit. The Step-Back for late notification suspends only the notification requirement itself for a period equal to the delay, and the framework architecture excludes any suspension of other Annex B provisions.</w:t>
      </w:r>
    </w:p>
    <w:p>
      <w:pPr>
        <w:pStyle w:val="Normal"/>
        <w:bidi w:val="0"/>
        <w:spacing w:before="0" w:after="180"/>
        <w:rPr/>
      </w:pPr>
      <w:r>
        <w:rPr>
          <w:rFonts w:ascii="Cambria" w:hAnsi="Cambria" w:eastAsia="Microsoft YaHei" w:cs="FreeSans"/>
          <w:color w:val="1E2530"/>
          <w:sz w:val="22"/>
          <w:szCs w:val="24"/>
          <w:lang w:val="en-US" w:eastAsia="zh-CN" w:bidi="hi-IN"/>
        </w:rPr>
        <w:t>The framework architecture permits the Joint Coordination Center to request, on a confidential basis, a brief written explanation of the intended operational purpose of any notified transfer. The United States provides or declines such an explanation at its discretion. The absence of an explanation does not constitute a breach.</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B.3 - Non-Interference</w:t>
      </w:r>
    </w:p>
    <w:p>
      <w:pPr>
        <w:pStyle w:val="Normal"/>
        <w:bidi w:val="0"/>
        <w:spacing w:before="0" w:after="180"/>
        <w:rPr/>
      </w:pPr>
      <w:r>
        <w:rPr>
          <w:rFonts w:ascii="Cambria" w:hAnsi="Cambria" w:eastAsia="Microsoft YaHei" w:cs="FreeSans"/>
          <w:color w:val="1E2530"/>
          <w:sz w:val="22"/>
          <w:szCs w:val="24"/>
          <w:lang w:val="en-US" w:eastAsia="zh-CN" w:bidi="hi-IN"/>
        </w:rPr>
        <w:t>During the 60-day Phase Two period, neither Party introduces new military assets or personnel into Lebanon beyond existing deployments. Both Parties support a UN-facilitated dialogue between Lebanese factions. The Neutral Guarantor reports monthly on Lebanese developments without these reports affecting core Compact operations.</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B.4 - Good Faith Mediation for Lebanon-Specific Disputes</w:t>
      </w:r>
    </w:p>
    <w:p>
      <w:pPr>
        <w:pStyle w:val="Normal"/>
        <w:bidi w:val="0"/>
        <w:spacing w:before="0" w:after="180"/>
        <w:rPr/>
      </w:pPr>
      <w:r>
        <w:rPr>
          <w:rFonts w:ascii="Cambria" w:hAnsi="Cambria" w:eastAsia="Microsoft YaHei" w:cs="FreeSans"/>
          <w:color w:val="1E2530"/>
          <w:sz w:val="22"/>
          <w:szCs w:val="24"/>
          <w:lang w:val="en-US" w:eastAsia="zh-CN" w:bidi="hi-IN"/>
        </w:rPr>
        <w:t>Any dispute solely concerning interpretation or implementation of the Lebanon ceasefire routes first to the Neutral Guarantor for facilitated mediation for up to 14 days. During mediation, the Lebanon unit remains in its current status (active or suspended) unless both Parties agree otherwise. Mediation does not toll any deadlines for other reciprocity units. If mediation fails, the dispute routes to the Human-in-the-Loop Review, which treats the Lebanon dispute as a separate track.</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B.5 - Lebanon Status Dashboard</w:t>
      </w:r>
    </w:p>
    <w:p>
      <w:pPr>
        <w:pStyle w:val="Normal"/>
        <w:bidi w:val="0"/>
        <w:spacing w:before="0" w:after="180"/>
        <w:rPr/>
      </w:pPr>
      <w:r>
        <w:rPr>
          <w:rFonts w:ascii="Cambria" w:hAnsi="Cambria" w:eastAsia="Microsoft YaHei" w:cs="FreeSans"/>
          <w:color w:val="1E2530"/>
          <w:sz w:val="22"/>
          <w:szCs w:val="24"/>
          <w:lang w:val="en-US" w:eastAsia="zh-CN" w:bidi="hi-IN"/>
        </w:rPr>
        <w:t>The Joint Coordination Center maintains a distinct Lebanon Status Dashboard accessible to both Parties and the Neutral Guarantor. A suspension of the Lebanon unit appears only on this secondary dashboard. The framework architecture isolates the Lebanon dashboard from the main verification dashboard for nuclear, maritime, or economic tracks. Only a separate finding of material breach by the Human-in-the-Loop Review activates cascade beyond the Lebanon unit.</w:t>
      </w:r>
    </w:p>
    <w:p>
      <w:pPr>
        <w:pStyle w:val="Heading2"/>
        <w:keepNext w:val="true"/>
        <w:keepLines/>
        <w:bidi w:val="0"/>
        <w:spacing w:before="360" w:after="160"/>
        <w:rPr/>
      </w:pPr>
      <w:r>
        <w:rPr>
          <w:szCs w:val="24"/>
          <w:lang w:val="en-US" w:eastAsia="zh-CN" w:bidi="hi-IN"/>
          <w:rFonts w:ascii="Cambria" w:hAnsi="Cambria" w:eastAsia="Microsoft YaHei" w:cs="Cambria"/>
          <w:b/>
          <w:color w:val="2C3E5E"/>
          <w:sz w:val="30"/>
        </w:rPr>
        <w:t>Section B.6 - Partial Earn-Back for Lebanon</w:t>
      </w:r>
    </w:p>
    <w:p>
      <w:pPr>
        <w:pStyle w:val="Normal"/>
        <w:bidi w:val="0"/>
        <w:spacing w:before="0" w:after="180"/>
        <w:rPr/>
      </w:pPr>
      <w:r>
        <w:rPr>
          <w:rFonts w:ascii="Cambria" w:hAnsi="Cambria" w:eastAsia="Microsoft YaHei" w:cs="FreeSans"/>
          <w:color w:val="1E2530"/>
          <w:sz w:val="22"/>
          <w:szCs w:val="24"/>
          <w:lang w:val="en-US" w:eastAsia="zh-CN" w:bidi="hi-IN"/>
        </w:rPr>
        <w:t>A three-stage Earn-Back ladder restores a Step-Back of the Lebanon unit. Stage One: a 24-hour probationary cessation of fire lifts immediate sanctions suspensions. Stage Two: a 72-hour sustained halt restores full diplomatic liaison access. Stage Three: seven consecutive days of verified compliance restores the unit to full status. The Joint Coordination Center verifies each stage and posts the result to the Lebanon Dashboard.</w:t>
      </w:r>
    </w:p>
    <w:p>
      <w:pPr>
        <w:pStyle w:val="Heading2"/>
        <w:keepNext w:val="true"/>
        <w:keepLines/>
        <w:bidi w:val="0"/>
        <w:spacing w:before="360" w:after="160"/>
        <w:rPr/>
      </w:pPr>
      <w:r>
        <w:rPr>
          <w:szCs w:val="24"/>
          <w:lang w:val="en-US" w:eastAsia="zh-CN" w:bidi="hi-IN"/>
          <w:rFonts w:ascii="Microsoft YaHei" w:hAnsi="Microsoft YaHei" w:eastAsia="Microsoft YaHei" w:cs="Cambria"/>
          <w:b/>
          <w:color w:val="1E2530"/>
          <w:sz w:val="22"/>
          <w:i/>
        </w:rPr>
        <w:t>Section B.7 - Oman-Facilitated De-escalation Channel</w:t>
      </w:r>
    </w:p>
    <w:p>
      <w:pPr>
        <w:pStyle w:val="Normal"/>
        <w:bidi w:val="0"/>
        <w:spacing w:before="0" w:after="180"/>
        <w:rPr/>
      </w:pPr>
      <w:r>
        <w:rPr>
          <w:rFonts w:ascii="Cambria" w:hAnsi="Cambria" w:eastAsia="Microsoft YaHei" w:cs="FreeSans"/>
          <w:color w:val="1E2530"/>
          <w:sz w:val="22"/>
          <w:szCs w:val="24"/>
          <w:lang w:val="en-US" w:eastAsia="zh-CN" w:bidi="hi-IN"/>
        </w:rPr>
        <w:t>The Neutral Guarantor establishes a confidential de-escalation channel and makes it available to both Israel and Hezbollah. The United States commits to encouraging Israel to use the channel voluntarily. Iran commits to encouraging Hezbollah to use the channel voluntarily. No Party to this Compact forces its partner to participate. Use of the channel is at the sole discretion of Israel and Hezbollah respectively. Oman serves as the neutral relay. The channel addresses only: notification of an imminent military operation to avoid unintended escalation; clarification of ambiguous movements or signals; and requests for a temporary local ceasefire to extract wounded or de-conflict an area. Use of the channel does not constitute recognition or negotiation; the channel operates purely for operational purposes. Neither Party to this Compact discloses the content of channel communications, but both Parties commit to encouraging their respective partners to use the channel in good faith.</w:t>
      </w:r>
    </w:p>
    <w:p>
      <w:pPr>
        <w:pStyle w:val="Heading2"/>
        <w:keepNext w:val="true"/>
        <w:keepLines/>
        <w:bidi w:val="0"/>
        <w:spacing w:before="360" w:after="160"/>
        <w:rPr/>
      </w:pPr>
      <w:r>
        <w:rPr>
          <w:szCs w:val="24"/>
          <w:lang w:val="en-US" w:eastAsia="zh-CN" w:bidi="hi-IN"/>
          <w:rFonts w:ascii="Microsoft YaHei" w:hAnsi="Microsoft YaHei" w:eastAsia="Microsoft YaHei" w:cs="Cambria"/>
          <w:b/>
          <w:color w:val="1E2530"/>
          <w:sz w:val="22"/>
          <w:i/>
        </w:rPr>
        <w:t>Section B.8 - Lebanon Compliance Credits</w:t>
      </w:r>
    </w:p>
    <w:p>
      <w:pPr>
        <w:pStyle w:val="Normal"/>
        <w:bidi w:val="0"/>
        <w:spacing w:before="0" w:after="180"/>
        <w:rPr/>
      </w:pPr>
      <w:r>
        <w:rPr>
          <w:rFonts w:ascii="Cambria" w:hAnsi="Cambria" w:eastAsia="Microsoft YaHei" w:cs="FreeSans"/>
          <w:color w:val="1E2530"/>
          <w:sz w:val="22"/>
          <w:szCs w:val="24"/>
          <w:lang w:val="en-US" w:eastAsia="zh-CN" w:bidi="hi-IN"/>
        </w:rPr>
        <w:t>For every 30 consecutive days that the Lebanon front remains free of any dashboard-verified sustained, attributed, offensive resumption, the Joint Coordination Center registers a Lebanon Compliance Credit. A requesting Party applies such credits at its discretion to: extend any verification window for a nuclear milestone by up to 5 days without penalty; reduce the notice period for a humanitarian asset release by 24 hours; or accumulate credits for conversion into a one-time, non-reversible release of an additional $50 million from frozen assets held in escrow, capped at $250 million total over the life of the Compact. Credits are non-transferable to other compliance areas but may be used by either Party independently.</w:t>
      </w:r>
    </w:p>
    <w:p>
      <w:pPr>
        <w:pStyle w:val="Heading1"/>
        <w:keepNext w:val="true"/>
        <w:keepLines/>
        <w:bidi w:val="0"/>
        <w:spacing w:before="480" w:after="240"/>
        <w:rPr/>
      </w:pPr>
      <w:bookmarkStart w:id="12" w:name="_Toc012"/>
      <w:r>
        <w:rPr>
          <w:rFonts w:eastAsia="Microsoft YaHei" w:cs="Cambria" w:ascii="Microsoft YaHei" w:hAnsi="Microsoft YaHei"/>
          <w:b/>
          <w:color w:val="1A2744"/>
          <w:sz w:val="40"/>
          <w:szCs w:val="40"/>
          <w:lang w:val="en-US" w:eastAsia="zh-CN" w:bidi="hi-IN"/>
        </w:rPr>
        <w:t>Annex C: Frozen Asset Release Schedule</w:t>
      </w:r>
      <w:bookmarkEnd w:id="12"/>
    </w:p>
    <w:p>
      <w:pPr>
        <w:pStyle w:val="Normal"/>
        <w:bidi w:val="0"/>
        <w:spacing w:before="0" w:after="180"/>
        <w:rPr/>
      </w:pPr>
      <w:r>
        <w:rPr>
          <w:rFonts w:eastAsia="Microsoft YaHei" w:cs="Cambria" w:ascii="Microsoft YaHei" w:hAnsi="Microsoft YaHei"/>
          <w:color w:val="1E2530"/>
          <w:sz w:val="22"/>
          <w:szCs w:val="22"/>
          <w:lang w:val="en-US" w:eastAsia="zh-CN" w:bidi="hi-IN"/>
        </w:rPr>
        <w:t>This annex resolves the status of approximately $24 billion in frozen Iranian sovereign assets through a clear, time-bound, milestone-based release schedule that mirrors the phased reciprocal logic of the core Compact.</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C.1 - Inventory and Total Amount</w:t>
      </w:r>
    </w:p>
    <w:p>
      <w:pPr>
        <w:pStyle w:val="Normal"/>
        <w:bidi w:val="0"/>
        <w:spacing w:before="0" w:after="180"/>
        <w:rPr/>
      </w:pPr>
      <w:r>
        <w:rPr>
          <w:rFonts w:eastAsia="Microsoft YaHei" w:cs="Cambria" w:ascii="Microsoft YaHei" w:hAnsi="Microsoft YaHei"/>
          <w:color w:val="1E2530"/>
          <w:sz w:val="22"/>
          <w:szCs w:val="22"/>
          <w:lang w:val="en-US" w:eastAsia="zh-CN" w:bidi="hi-IN"/>
        </w:rPr>
        <w:t>The Parties acknowledge that Iranian sovereign assets frozen under US sanctions total approximately $24 billion. The exact amount and location of all assets are subject to joint verification by the Swiss-facilitated working group established in Section C.5 within 45 days of this Compact's signature.</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C.2 - The Two-Tranche Structure</w:t>
      </w:r>
    </w:p>
    <w:p>
      <w:pPr>
        <w:pStyle w:val="Normal"/>
        <w:bidi w:val="0"/>
        <w:spacing w:before="0" w:after="180"/>
        <w:rPr/>
      </w:pPr>
      <w:r>
        <w:rPr>
          <w:rFonts w:eastAsia="Microsoft YaHei" w:cs="Cambria" w:ascii="Microsoft YaHei" w:hAnsi="Microsoft YaHei"/>
          <w:color w:val="1E2530"/>
          <w:sz w:val="22"/>
          <w:szCs w:val="22"/>
          <w:lang w:val="en-US" w:eastAsia="zh-CN" w:bidi="hi-IN"/>
        </w:rPr>
        <w:t>The $24 billion divides into a Phase-Two Initial Compliance Unlock and two Phase-Three tranches:</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Initial Compliance Unlock (Phase Two) - </w:t>
      </w:r>
      <w:r>
        <w:rPr>
          <w:rFonts w:eastAsia="Microsoft YaHei" w:cs="Cambria" w:ascii="Microsoft YaHei" w:hAnsi="Microsoft YaHei"/>
          <w:color w:val="1E2530"/>
          <w:sz w:val="22"/>
          <w:szCs w:val="22"/>
          <w:lang w:val="en-US" w:eastAsia="zh-CN" w:bidi="hi-IN"/>
        </w:rPr>
        <w:t>$2 billion of Iran’s own frozen assets releases through neutral Swiss escrow upon the verified Day 14 sealing of all material above 5 percent. No signing event triggers this release. This unlock gives Iran a tangible near-term return on a concrete, dashboard-verified compliance step, and it frames the movement as Iran’s own assets that respond to verified performance rather than as a payment for signing.</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Tranche A (Verified-Milestone Release) - </w:t>
      </w:r>
      <w:r>
        <w:rPr>
          <w:rFonts w:eastAsia="Microsoft YaHei" w:cs="Cambria" w:ascii="Microsoft YaHei" w:hAnsi="Microsoft YaHei"/>
          <w:color w:val="1E2530"/>
          <w:sz w:val="22"/>
          <w:szCs w:val="22"/>
          <w:lang w:val="en-US" w:eastAsia="zh-CN" w:bidi="hi-IN"/>
        </w:rPr>
        <w:t>$10 billion releases in Phase Three upon a verified nuclear milestone — the IAEA-certified execution of the agreed disposition pathway — and no signing event triggers it. This structure delivers a substantial test-of-trust release while the United States receives verified nuclear performance first.</w:t>
      </w:r>
    </w:p>
    <w:p>
      <w:pPr>
        <w:pStyle w:val="Normal"/>
        <w:numPr>
          <w:ilvl w:val="0"/>
          <w:numId w:val="1"/>
        </w:numPr>
        <w:bidi w:val="0"/>
        <w:spacing w:before="0" w:after="160"/>
        <w:rPr/>
      </w:pPr>
      <w:r>
        <w:rPr>
          <w:rFonts w:eastAsia="Microsoft YaHei" w:cs="Cambria" w:ascii="Microsoft YaHei" w:hAnsi="Microsoft YaHei"/>
          <w:b/>
          <w:color w:val="1E2530"/>
          <w:sz w:val="22"/>
          <w:szCs w:val="22"/>
          <w:lang w:val="en-US" w:eastAsia="zh-CN" w:bidi="hi-IN"/>
        </w:rPr>
        <w:t xml:space="preserve">Tranche B (Milestone-Based Phased Release) - </w:t>
      </w:r>
      <w:r>
        <w:rPr>
          <w:rFonts w:eastAsia="Microsoft YaHei" w:cs="Cambria" w:ascii="Microsoft YaHei" w:hAnsi="Microsoft YaHei"/>
          <w:color w:val="1E2530"/>
          <w:sz w:val="22"/>
          <w:szCs w:val="22"/>
          <w:lang w:val="en-US" w:eastAsia="zh-CN" w:bidi="hi-IN"/>
        </w:rPr>
        <w:t>$12 billion releases in four equal installments of $3 billion each, tied to specific, verifiable milestones in Phase Three.</w:t>
      </w:r>
    </w:p>
    <w:p>
      <w:pPr>
        <w:pStyle w:val="Normal"/>
        <w:bidi w:val="0"/>
        <w:spacing w:before="0" w:after="180"/>
        <w:rPr/>
      </w:pPr>
      <w:r>
        <w:rPr>
          <w:rFonts w:eastAsia="Microsoft YaHei" w:cs="Cambria" w:ascii="Microsoft YaHei" w:hAnsi="Microsoft YaHei"/>
          <w:color w:val="1E2530"/>
          <w:sz w:val="22"/>
          <w:szCs w:val="22"/>
          <w:lang w:val="en-US" w:eastAsia="zh-CN" w:bidi="hi-IN"/>
        </w:rPr>
        <w:t>Only the Initial Compliance Unlock releases during the 60-day Phase Two period, and only upon the verified Day 14 sealing milestone. No other tranche releases during Phase Two. The humanitarian and working capital releases described in Articles II and III of this Compact proceed on their own timelines and do not count against the $24 billion total.</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C.3 - Release Schedule for Tranche A ($12 Billion)</w:t>
      </w:r>
    </w:p>
    <w:p>
      <w:pPr>
        <w:pStyle w:val="Normal"/>
        <w:bidi w:val="0"/>
        <w:spacing w:before="0" w:after="180"/>
        <w:rPr/>
      </w:pPr>
      <w:r>
        <w:rPr>
          <w:rFonts w:eastAsia="Microsoft YaHei" w:cs="Cambria" w:ascii="Microsoft YaHei" w:hAnsi="Microsoft YaHei"/>
          <w:color w:val="1E2530"/>
          <w:sz w:val="22"/>
          <w:szCs w:val="22"/>
          <w:lang w:val="en-US" w:eastAsia="zh-CN" w:bidi="hi-IN"/>
        </w:rPr>
        <w:t>Tranche A releases in Phase Three upon a verified nuclear milestone — the IAEA-certified execution of the agreed disposition pathway — and no signing event triggers it. Funds transfer to a neutral escrow account at the Central Bank of Oman and then to the Central Bank of Iran within 30 days of certification.</w:t>
      </w:r>
    </w:p>
    <w:tbl>
      <w:tblPr>
        <w:tblW w:w="5000" w:type="pct"/>
        <w:jc w:val="start"/>
        <w:tblInd w:w="0" w:type="dxa"/>
        <w:tblLayout w:type="fixed"/>
        <w:tblCellMar>
          <w:top w:w="0" w:type="dxa"/>
          <w:start w:w="108" w:type="dxa"/>
          <w:bottom w:w="0" w:type="dxa"/>
          <w:end w:w="108" w:type="dxa"/>
        </w:tblCellMar>
      </w:tblPr>
      <w:tblGrid>
        <w:gridCol w:w="3610"/>
        <w:gridCol w:w="1404"/>
        <w:gridCol w:w="4012"/>
      </w:tblGrid>
      <w:tr>
        <w:trPr>
          <w:tblHeader w:val="1"/>
        </w:trPr>
        <w:tc>
          <w:tcPr>
            <w:tcW w:w="361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Milestone</w:t>
            </w:r>
          </w:p>
        </w:tc>
        <w:tc>
          <w:tcPr>
            <w:tcW w:w="140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Amount</w:t>
            </w:r>
          </w:p>
        </w:tc>
        <w:tc>
          <w:tcPr>
            <w:tcW w:w="40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Verification</w:t>
            </w:r>
          </w:p>
        </w:tc>
      </w:tr>
      <w:tr>
        <w:trPr/>
        <w:tc>
          <w:tcPr>
            <w:tcW w:w="361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IAEA-certified execution of the disposition pathway (Phase Three)</w:t>
            </w:r>
          </w:p>
        </w:tc>
        <w:tc>
          <w:tcPr>
            <w:tcW w:w="1404"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$10 billion</w:t>
            </w:r>
          </w:p>
        </w:tc>
        <w:tc>
          <w:tcPr>
            <w:tcW w:w="40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Joint certification by the Neutral Guarantor and IAEA Director General that the agreement is signed and its core nuclear commitments are formally accepted by both Parties</w:t>
            </w:r>
          </w:p>
        </w:tc>
      </w:tr>
    </w:tbl>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C.4 - Release Schedule for Tranche B ($12 Billion)</w:t>
      </w:r>
    </w:p>
    <w:p>
      <w:pPr>
        <w:pStyle w:val="Normal"/>
        <w:bidi w:val="0"/>
        <w:spacing w:before="0" w:after="180"/>
        <w:rPr/>
      </w:pPr>
      <w:r>
        <w:rPr>
          <w:rFonts w:eastAsia="Microsoft YaHei" w:cs="Cambria" w:ascii="Microsoft YaHei" w:hAnsi="Microsoft YaHei"/>
          <w:color w:val="1E2530"/>
          <w:sz w:val="22"/>
          <w:szCs w:val="22"/>
          <w:lang w:val="en-US" w:eastAsia="zh-CN" w:bidi="hi-IN"/>
        </w:rPr>
        <w:t>The remaining $12 billion releases in four equal installments of $3 billion each, linked to verified milestones in Phase Three.</w:t>
      </w:r>
    </w:p>
    <w:tbl>
      <w:tblPr>
        <w:tblW w:w="5000" w:type="pct"/>
        <w:jc w:val="start"/>
        <w:tblInd w:w="0" w:type="dxa"/>
        <w:tblLayout w:type="fixed"/>
        <w:tblCellMar>
          <w:top w:w="0" w:type="dxa"/>
          <w:start w:w="108" w:type="dxa"/>
          <w:bottom w:w="0" w:type="dxa"/>
          <w:end w:w="108" w:type="dxa"/>
        </w:tblCellMar>
      </w:tblPr>
      <w:tblGrid>
        <w:gridCol w:w="802"/>
        <w:gridCol w:w="3610"/>
        <w:gridCol w:w="4614"/>
      </w:tblGrid>
      <w:tr>
        <w:trPr>
          <w:tblHeader w:val="1"/>
        </w:trPr>
        <w:tc>
          <w:tcPr>
            <w:tcW w:w="80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Installment</w:t>
            </w:r>
          </w:p>
        </w:tc>
        <w:tc>
          <w:tcPr>
            <w:tcW w:w="361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Milestone</w:t>
            </w:r>
          </w:p>
        </w:tc>
        <w:tc>
          <w:tcPr>
            <w:tcW w:w="461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Verification</w:t>
            </w:r>
          </w:p>
        </w:tc>
      </w:tr>
      <w:tr>
        <w:trPr/>
        <w:tc>
          <w:tcPr>
            <w:tcW w:w="8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B-1</w:t>
            </w:r>
          </w:p>
        </w:tc>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 certification that Iran has placed all enriched uranium above 5% under continuous IAEA seals at declared facilities inside Iran</w:t>
            </w:r>
          </w:p>
        </w:tc>
        <w:tc>
          <w:tcPr>
            <w:tcW w:w="461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 Director General report to the Joint Commission</w:t>
            </w:r>
          </w:p>
        </w:tc>
      </w:tr>
      <w:tr>
        <w:trPr/>
        <w:tc>
          <w:tcPr>
            <w:tcW w:w="8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B-2</w:t>
            </w:r>
          </w:p>
        </w:tc>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 certification that Iran has completed downblending of all 60% enriched uranium to 20% or below (or has transferred it to the agreed disposition pathway)</w:t>
            </w:r>
          </w:p>
        </w:tc>
        <w:tc>
          <w:tcPr>
            <w:tcW w:w="461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 mass spectrometry and continuous monitoring</w:t>
            </w:r>
          </w:p>
        </w:tc>
      </w:tr>
      <w:tr>
        <w:trPr/>
        <w:tc>
          <w:tcPr>
            <w:tcW w:w="8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B-3</w:t>
            </w:r>
          </w:p>
        </w:tc>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Fordow conversion to a medical isotope research center under IAEA supervision (or alternative agreed disposition)</w:t>
            </w:r>
          </w:p>
        </w:tc>
        <w:tc>
          <w:tcPr>
            <w:tcW w:w="461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 certification + Joint Commission confirmation</w:t>
            </w:r>
          </w:p>
        </w:tc>
      </w:tr>
      <w:tr>
        <w:trPr/>
        <w:tc>
          <w:tcPr>
            <w:tcW w:w="80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B-4</w:t>
            </w:r>
          </w:p>
        </w:tc>
        <w:tc>
          <w:tcPr>
            <w:tcW w:w="361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12 consecutive months of sustained compliance with all core nuclear commitments: enrichment at or below 3.67%, no undeclared activities, full IAEA access</w:t>
            </w:r>
          </w:p>
        </w:tc>
        <w:tc>
          <w:tcPr>
            <w:tcW w:w="4614"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 quarterly reports + Joint Commission annual review</w:t>
            </w:r>
          </w:p>
        </w:tc>
      </w:tr>
    </w:tbl>
    <w:p>
      <w:pPr>
        <w:pStyle w:val="Normal"/>
        <w:bidi w:val="0"/>
        <w:spacing w:before="0" w:after="180"/>
        <w:rPr/>
      </w:pPr>
      <w:r>
        <w:rPr>
          <w:rFonts w:eastAsia="Microsoft YaHei" w:cs="Cambria" w:ascii="Microsoft YaHei" w:hAnsi="Microsoft YaHei"/>
          <w:color w:val="1E2530"/>
          <w:sz w:val="22"/>
          <w:szCs w:val="22"/>
          <w:lang w:val="en-US" w:eastAsia="zh-CN" w:bidi="hi-IN"/>
        </w:rPr>
        <w:t>The order of B-2, B-3, and B-4 is adjustable by mutual written agreement of the Parties through the Joint Commission. The total amount of Tranche B ($12 billion) is fixed. If any installment is delayed due to Iranian non-compliance, the remaining installments remain in escrow until compliance is restored through the Earn-Back process in Article VI.</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C.5 - Escrow and Transparency Mechanism</w:t>
      </w:r>
    </w:p>
    <w:p>
      <w:pPr>
        <w:pStyle w:val="Normal"/>
        <w:bidi w:val="0"/>
        <w:spacing w:before="0" w:after="180"/>
        <w:rPr/>
      </w:pPr>
      <w:r>
        <w:rPr>
          <w:rFonts w:eastAsia="Microsoft YaHei" w:cs="Cambria" w:ascii="Microsoft YaHei" w:hAnsi="Microsoft YaHei"/>
          <w:color w:val="1E2530"/>
          <w:sz w:val="22"/>
          <w:szCs w:val="22"/>
          <w:lang w:val="en-US" w:eastAsia="zh-CN" w:bidi="hi-IN"/>
        </w:rPr>
        <w:t>All funds released under this Annex transfer through the Swiss-hosted escrow account described in Article VIII. The Swiss facilitator executes each release automatically upon IAEA and Joint Commission certification. No further political approval is required.</w:t>
      </w:r>
    </w:p>
    <w:p>
      <w:pPr>
        <w:pStyle w:val="Normal"/>
        <w:bidi w:val="0"/>
        <w:spacing w:before="0" w:after="180"/>
        <w:rPr/>
      </w:pPr>
      <w:r>
        <w:rPr>
          <w:rFonts w:eastAsia="Microsoft YaHei" w:cs="Cambria" w:ascii="Microsoft YaHei" w:hAnsi="Microsoft YaHei"/>
          <w:color w:val="1E2530"/>
          <w:sz w:val="22"/>
          <w:szCs w:val="22"/>
          <w:lang w:val="en-US" w:eastAsia="zh-CN" w:bidi="hi-IN"/>
        </w:rPr>
        <w:t>The Parties establish a Joint Working Group on Frozen Assets, facilitated by Switzerland, with the following mandate: verify the exact total and location of all $24 billion in frozen assets within 45 days; resolve any disputes over asset valuation or accessibility; and report quarterly to the Joint Commission.</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C.6 - Safeguards Against Re-Freezing</w:t>
      </w:r>
    </w:p>
    <w:p>
      <w:pPr>
        <w:pStyle w:val="Normal"/>
        <w:bidi w:val="0"/>
        <w:spacing w:before="0" w:after="180"/>
        <w:rPr/>
      </w:pPr>
      <w:r>
        <w:rPr>
          <w:rFonts w:eastAsia="Microsoft YaHei" w:cs="Cambria" w:ascii="Microsoft YaHei" w:hAnsi="Microsoft YaHei"/>
          <w:color w:val="1E2530"/>
          <w:sz w:val="22"/>
          <w:szCs w:val="22"/>
          <w:lang w:val="en-US" w:eastAsia="zh-CN" w:bidi="hi-IN"/>
        </w:rPr>
        <w:t>Funds released under this Annex are not subject to re-freezing, re-designation, or new sanctions except through the Step-Back process in Article VI, which requires a Human-in-the-Loop finding of material breach. No unilateral executive order or legislative action claws back released funds.</w:t>
      </w:r>
    </w:p>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Section C.7 - Summary Table</w:t>
      </w:r>
    </w:p>
    <w:tbl>
      <w:tblPr>
        <w:tblW w:w="5000" w:type="pct"/>
        <w:jc w:val="start"/>
        <w:tblInd w:w="0" w:type="dxa"/>
        <w:tblLayout w:type="fixed"/>
        <w:tblCellMar>
          <w:top w:w="0" w:type="dxa"/>
          <w:start w:w="108" w:type="dxa"/>
          <w:bottom w:w="0" w:type="dxa"/>
          <w:end w:w="108" w:type="dxa"/>
        </w:tblCellMar>
      </w:tblPr>
      <w:tblGrid>
        <w:gridCol w:w="1404"/>
        <w:gridCol w:w="1403"/>
        <w:gridCol w:w="3611"/>
        <w:gridCol w:w="2607"/>
      </w:tblGrid>
      <w:tr>
        <w:trPr>
          <w:tblHeader w:val="1"/>
        </w:trPr>
        <w:tc>
          <w:tcPr>
            <w:tcW w:w="140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Tranche</w:t>
            </w:r>
          </w:p>
        </w:tc>
        <w:tc>
          <w:tcPr>
            <w:tcW w:w="1403"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Amount</w:t>
            </w:r>
          </w:p>
        </w:tc>
        <w:tc>
          <w:tcPr>
            <w:tcW w:w="3611"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Trigger</w:t>
            </w:r>
          </w:p>
        </w:tc>
        <w:tc>
          <w:tcPr>
            <w:tcW w:w="260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Timing</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Init</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$2B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Verified Day 14 sealing of all material above 5 percent (Phase Two)</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Phase Two, on verified sealing</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A</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$10B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IAEA-certified execution of the disposition pathway (Phase Three)</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On verified milestone</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B-1</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IAEA seals on all HEU/LEU in Iran</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Phase Three, early</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B-2</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60% HEU downblended or transferred to disposition pathway</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Phase Three, within 12 months</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B-3</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Fordow conversion (or agreed alternative)</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Phase Three, within 24 months</w:t>
            </w:r>
          </w:p>
        </w:tc>
      </w:tr>
      <w:tr>
        <w:trPr/>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B-4</w:t>
            </w:r>
          </w:p>
        </w:tc>
        <w:tc>
          <w:tcPr>
            <w:tcW w:w="1403"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$3B</w:t>
            </w:r>
          </w:p>
        </w:tc>
        <w:tc>
          <w:tcPr>
            <w:tcW w:w="361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12 months sustained compliance</w:t>
            </w:r>
          </w:p>
        </w:tc>
        <w:tc>
          <w:tcPr>
            <w:tcW w:w="26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Phase Three, after 12 months</w:t>
            </w:r>
          </w:p>
        </w:tc>
      </w:tr>
      <w:tr>
        <w:trPr/>
        <w:tc>
          <w:tcPr>
            <w:tcW w:w="1404" w:type="dxa"/>
            <w:tcBorders>
              <w:top w:val="single" w:sz="4" w:space="0" w:color="C8C4B8"/>
              <w:bottom w:val="single" w:sz="12" w:space="0" w:color="1A2744"/>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Total</w:t>
            </w:r>
          </w:p>
        </w:tc>
        <w:tc>
          <w:tcPr>
            <w:tcW w:w="1403" w:type="dxa"/>
            <w:tcBorders>
              <w:top w:val="single" w:sz="4" w:space="0" w:color="C8C4B8"/>
              <w:bottom w:val="single" w:sz="12" w:space="0" w:color="1A2744"/>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$24B</w:t>
            </w:r>
          </w:p>
        </w:tc>
        <w:tc>
          <w:tcPr>
            <w:tcW w:w="3611" w:type="dxa"/>
            <w:tcBorders>
              <w:top w:val="single" w:sz="4" w:space="0" w:color="C8C4B8"/>
              <w:bottom w:val="single" w:sz="12" w:space="0" w:color="1A2744"/>
            </w:tcBorders>
            <w:shd w:color="auto" w:fill="E8E6E0" w:val="clear"/>
          </w:tcPr>
          <w:p>
            <w:pPr>
              <w:pStyle w:val="Normal"/>
              <w:widowControl w:val="false"/>
              <w:bidi w:val="0"/>
              <w:spacing w:before="60" w:after="60"/>
              <w:rPr/>
            </w:pPr>
          </w:p>
        </w:tc>
        <w:tc>
          <w:tcPr>
            <w:tcW w:w="2607" w:type="dxa"/>
            <w:tcBorders>
              <w:top w:val="single" w:sz="4" w:space="0" w:color="C8C4B8"/>
              <w:bottom w:val="single" w:sz="12" w:space="0" w:color="1A2744"/>
            </w:tcBorders>
            <w:shd w:color="auto" w:fill="E8E6E0" w:val="clear"/>
          </w:tcPr>
          <w:p>
            <w:pPr>
              <w:pStyle w:val="Normal"/>
              <w:widowControl w:val="false"/>
              <w:bidi w:val="0"/>
              <w:spacing w:before="60" w:after="60"/>
              <w:rPr/>
            </w:pPr>
          </w:p>
        </w:tc>
      </w:tr>
    </w:tbl>
    <w:p>
      <w:pPr>
        <w:pStyle w:val="Heading1"/>
        <w:keepNext w:val="true"/>
        <w:keepLines/>
        <w:bidi w:val="0"/>
        <w:spacing w:before="480" w:after="240"/>
        <w:rPr/>
      </w:pPr>
      <w:bookmarkStart w:id="13" w:name="_Toc013"/>
      <w:r>
        <w:rPr>
          <w:rFonts w:eastAsia="Microsoft YaHei" w:cs="Cambria" w:ascii="Microsoft YaHei" w:hAnsi="Microsoft YaHei"/>
          <w:b/>
          <w:color w:val="1A2744"/>
          <w:sz w:val="40"/>
          <w:szCs w:val="40"/>
          <w:lang w:val="en-US" w:eastAsia="zh-CN" w:bidi="hi-IN"/>
        </w:rPr>
        <w:t>Annex D: Definitions and Interpretive Notes</w:t>
      </w:r>
      <w:bookmarkEnd w:id="13"/>
    </w:p>
    <w:p>
      <w:pPr>
        <w:pStyle w:val="Normal"/>
        <w:bidi w:val="0"/>
        <w:spacing w:before="0" w:after="180"/>
        <w:rPr/>
      </w:pPr>
      <w:r>
        <w:rPr>
          <w:rFonts w:eastAsia="Microsoft YaHei" w:cs="Cambria" w:ascii="Microsoft YaHei" w:hAnsi="Microsoft YaHei"/>
          <w:color w:val="1E2530"/>
          <w:sz w:val="22"/>
          <w:szCs w:val="22"/>
          <w:lang w:val="en-US" w:eastAsia="zh-CN" w:bidi="hi-IN"/>
        </w:rPr>
        <w:t>This annex provides definitions for terms used throughout this Compact to prevent interpretive disputes.</w:t>
      </w:r>
    </w:p>
    <w:tbl>
      <w:tblPr>
        <w:tblW w:w="5000" w:type="pct"/>
        <w:jc w:val="start"/>
        <w:tblInd w:w="0" w:type="dxa"/>
        <w:tblLayout w:type="fixed"/>
        <w:tblCellMar>
          <w:top w:w="0" w:type="dxa"/>
          <w:start w:w="108" w:type="dxa"/>
          <w:bottom w:w="0" w:type="dxa"/>
          <w:end w:w="108" w:type="dxa"/>
        </w:tblCellMar>
      </w:tblPr>
      <w:tblGrid>
        <w:gridCol w:w="2807"/>
        <w:gridCol w:w="6218"/>
      </w:tblGrid>
      <w:tr>
        <w:trPr>
          <w:tblHeader w:val="1"/>
        </w:trPr>
        <w:tc>
          <w:tcPr>
            <w:tcW w:w="280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Term</w:t>
            </w:r>
          </w:p>
        </w:tc>
        <w:tc>
          <w:tcPr>
            <w:tcW w:w="6218"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1E2530"/>
                <w:sz w:val="20"/>
                <w:szCs w:val="20"/>
                <w:lang w:val="en-US" w:eastAsia="zh-CN" w:bidi="hi-IN"/>
              </w:rPr>
              <w:t>Definition</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Transit Toll</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A charge that a coastal state places on a vessel for the act of passage itself. The framework architecture excludes transit tolls.</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Service Fee</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A capped, transparent, non-discriminatory charge that compensates a defined marine service the coastal state renders. The framework permits it under Annex M, Section M.1.4, and the charge never conditions passage.</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Reciprocity Unit</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A paired set of commitments, one from each Party, that activate simultaneously.</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Synchronized Activation</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The process by which both commitments in a reciprocity unit begin implementation at the same moment.</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Step-Back</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A proportional suspension of reciprocity units in response to a confirmed breach, excluding snapback.</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Earn-Back</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The automatic restoration of suspended reciprocity units upon correction of the underlying deficiency.</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Neutral Guarantor</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The Sultanate of Oman and designated secondary guarantors providing impartial facilitation.</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Telemetry</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Objective, mechanical data including sensor readings, financial records, and physical confirmations.</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Human-in-the-Loop</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The dispute resolution process involving human judgment rather than automated penalties.</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Coastal State Rights</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Iran's rights and responsibilities under international maritime law regarding the Strait of Hormuz.</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Firewall</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The operational separation between the core Compact and standalone annexes such as the Lebanon Protocol.</w:t>
            </w:r>
          </w:p>
        </w:tc>
      </w:tr>
      <w:tr>
        <w:trPr/>
        <w:tc>
          <w:tcPr>
            <w:tcW w:w="280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Breakout Timeline</w:t>
            </w:r>
          </w:p>
        </w:tc>
        <w:tc>
          <w:tcPr>
            <w:tcW w:w="621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The estimated time required for Iran to produce sufficient fissile material for a nuclear weapon. Not fixed by this Compact.</w:t>
            </w:r>
          </w:p>
        </w:tc>
      </w:tr>
      <w:tr>
        <w:trPr/>
        <w:tc>
          <w:tcPr>
            <w:tcW w:w="2807"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Swiss Dashboard</w:t>
            </w:r>
          </w:p>
        </w:tc>
        <w:tc>
          <w:tcPr>
            <w:tcW w:w="6218"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color w:val="4A5568"/>
                <w:sz w:val="19"/>
                <w:szCs w:val="19"/>
                <w:lang w:val="en-US" w:eastAsia="zh-CN" w:bidi="hi-IN"/>
              </w:rPr>
              <w:t>The single Swiss-hosted digital interface displaying all Compact telemetry and compliance status.</w:t>
            </w:r>
          </w:p>
        </w:tc>
      </w:tr>
    </w:tbl>
    <w:p>
      <w:pPr>
        <w:sectPr>
          <w:headerReference w:type="default" r:id="rId3"/>
          <w:footerReference w:type="default" r:id="rId4"/>
          <w:type w:val="nextPage"/>
          <w:pgSz w:w="11906" w:h="16838"/>
          <w:pgMar w:left="1440" w:right="1440" w:gutter="0" w:header="720" w:top="1800" w:footer="720" w:bottom="1440"/>
          <w:pgNumType w:fmt="decimal"/>
          <w:formProt w:val="false"/>
          <w:textDirection w:val="lrTb"/>
          <w:docGrid w:type="default" w:linePitch="100" w:charSpace="0"/>
        </w:sectPr>
      </w:pPr>
    </w:p>
    <w:p>
      <w:pPr>
        <w:pStyle w:val="Heading1"/>
        <w:bidi w:val="0"/>
        <w:rPr/>
      </w:pPr>
      <w:r>
        <w:rPr>
          <w:rFonts w:eastAsia="Microsoft YaHei" w:cs="Cambria"/>
          <w:b/>
          <w:color w:val="1A2744"/>
          <w:sz w:val="40"/>
          <w:szCs w:val="40"/>
        </w:rPr>
        <w:t>Article IX: Trigger Architecture</w:t>
      </w:r>
    </w:p>
    <w:p>
      <w:pPr>
        <w:pStyle w:val="Normal"/>
        <w:bidi w:val="0"/>
        <w:spacing w:before="0" w:after="180"/>
        <w:rPr/>
      </w:pPr>
      <w:r>
        <w:rPr>
          <w:rFonts w:eastAsia="Microsoft YaHei" w:cs="Cambria"/>
          <w:color w:val="1E2530"/>
          <w:sz w:val="22"/>
          <w:szCs w:val="22"/>
        </w:rPr>
        <w:t>This article establishes the exact moment when deferred commitments activate. Without this trigger architecture, the sequencing loop remains unresolved and neither side moves. This article solves the single biggest obstacle to agreement: the trigger point.</w:t>
      </w:r>
    </w:p>
    <w:p>
      <w:pPr>
        <w:pStyle w:val="Heading2"/>
        <w:keepNext w:val="true"/>
        <w:keepLines/>
        <w:bidi w:val="0"/>
        <w:spacing w:before="360" w:after="160"/>
        <w:rPr/>
      </w:pPr>
      <w:r>
        <w:rPr>
          <w:rFonts w:eastAsia="Microsoft YaHei" w:cs="Cambria"/>
          <w:b/>
          <w:color w:val="2C3E5E"/>
          <w:sz w:val="30"/>
          <w:szCs w:val="30"/>
        </w:rPr>
        <w:t>Section 9.1 - The Single-Sentence Trigger Point</w:t>
      </w:r>
    </w:p>
    <w:p>
      <w:pPr>
        <w:pStyle w:val="Normal"/>
        <w:bidi w:val="0"/>
        <w:spacing w:before="0" w:after="180"/>
        <w:rPr/>
      </w:pPr>
      <w:r>
        <w:rPr>
          <w:rFonts w:eastAsia="Microsoft YaHei" w:cs="Cambria"/>
          <w:color w:val="1E2530"/>
          <w:sz w:val="22"/>
          <w:szCs w:val="22"/>
        </w:rPr>
        <w:t>The following sentence is the operational heart of this Compact. It activates Phase Three and all deferred commitments:</w:t>
      </w:r>
    </w:p>
    <w:p>
      <w:pPr>
        <w:pStyle w:val="Normal"/>
        <w:shd w:val="clear" w:fill="F5F0E8"/>
        <w:bidi w:val="0"/>
        <w:spacing w:before="200" w:after="200"/>
        <w:ind w:start="360" w:end="360" w:hanging="0"/>
        <w:jc w:val="both"/>
        <w:rPr/>
      </w:pPr>
      <w:r>
        <w:rPr>
          <w:rFonts w:eastAsia="Microsoft YaHei" w:cs="Cambria"/>
          <w:i/>
          <w:color w:val="1E2530"/>
          <w:sz w:val="22"/>
          <w:szCs w:val="22"/>
        </w:rPr>
        <w:t>"Upon confirmation by the technical channel that each side has completed its initial parallel measures, Phase Three activates automatically."</w:t>
      </w:r>
    </w:p>
    <w:p>
      <w:pPr>
        <w:pStyle w:val="Normal"/>
        <w:bidi w:val="0"/>
        <w:spacing w:before="0" w:after="180"/>
        <w:rPr/>
      </w:pPr>
      <w:r>
        <w:rPr>
          <w:rFonts w:eastAsia="Microsoft YaHei" w:cs="Cambria"/>
          <w:color w:val="1E2530"/>
          <w:sz w:val="22"/>
          <w:szCs w:val="22"/>
        </w:rPr>
        <w:t>This trigger operates through the following mechanics. Both sides complete initial parallel measures — not identical measures, but simultaneous ones. The technical channel confirms both completions. Phase Three activates without further political negotiation. The trigger removes the "who goes first" problem entirely.</w:t>
      </w:r>
    </w:p>
    <w:p>
      <w:pPr>
        <w:pStyle w:val="Normal"/>
        <w:bidi w:val="0"/>
        <w:spacing w:before="0" w:after="180"/>
        <w:rPr/>
      </w:pPr>
      <w:r>
        <w:rPr>
          <w:rFonts w:eastAsia="Microsoft YaHei" w:cs="Cambria"/>
          <w:color w:val="1E2530"/>
          <w:sz w:val="22"/>
          <w:szCs w:val="22"/>
        </w:rPr>
        <w:t>Iran describes this trigger as simultaneous mutual confirmation, not Iranian concession. The United States describes this trigger as verification-gated activation, not American relief before performance. Both descriptions are accurate because the framework architecture itself performs the activation, not either Party unilaterally.</w:t>
      </w:r>
    </w:p>
    <w:p>
      <w:pPr>
        <w:pStyle w:val="Heading2"/>
        <w:keepNext w:val="true"/>
        <w:keepLines/>
        <w:bidi w:val="0"/>
        <w:spacing w:before="360" w:after="160"/>
        <w:rPr/>
      </w:pPr>
      <w:r>
        <w:rPr>
          <w:rFonts w:eastAsia="Microsoft YaHei" w:cs="Cambria"/>
          <w:b/>
          <w:color w:val="2C3E5E"/>
          <w:sz w:val="30"/>
          <w:szCs w:val="30"/>
        </w:rPr>
        <w:t>Section 9.2 - What Counts as Initial Parallel Measures</w:t>
      </w:r>
    </w:p>
    <w:p>
      <w:pPr>
        <w:pStyle w:val="Normal"/>
        <w:bidi w:val="0"/>
        <w:spacing w:before="0" w:after="180"/>
        <w:rPr/>
      </w:pPr>
      <w:r>
        <w:rPr>
          <w:rFonts w:eastAsia="Microsoft YaHei" w:cs="Cambria"/>
          <w:color w:val="1E2530"/>
          <w:sz w:val="22"/>
          <w:szCs w:val="22"/>
        </w:rPr>
        <w:t>These are small, reversible, low-risk steps that neither side fears. They create the conditions for Phase Three without exposing either Party to unreciprocated compliance.</w:t>
      </w:r>
    </w:p>
    <w:p>
      <w:pPr>
        <w:pStyle w:val="Heading3"/>
        <w:keepNext w:val="true"/>
        <w:keepLines/>
        <w:bidi w:val="0"/>
        <w:spacing w:before="280" w:after="120"/>
        <w:rPr/>
      </w:pPr>
      <w:r>
        <w:rPr>
          <w:rFonts w:eastAsia="Microsoft YaHei" w:cs="Cambria"/>
          <w:b/>
          <w:color w:val="4A5568"/>
          <w:sz w:val="26"/>
          <w:szCs w:val="26"/>
        </w:rPr>
        <w:t>Iran's Initial Measures</w:t>
      </w:r>
    </w:p>
    <w:p>
      <w:pPr>
        <w:pStyle w:val="Normal"/>
        <w:numPr>
          <w:ilvl w:val="0"/>
          <w:numId w:val="1"/>
        </w:numPr>
        <w:bidi w:val="0"/>
        <w:spacing w:before="0" w:after="160"/>
        <w:rPr/>
      </w:pPr>
      <w:r>
        <w:rPr>
          <w:rFonts w:eastAsia="Microsoft YaHei" w:cs="Cambria"/>
          <w:b/>
          <w:color w:val="1E2530"/>
          <w:sz w:val="22"/>
          <w:szCs w:val="22"/>
        </w:rPr>
        <w:t xml:space="preserve">Stabilization step - </w:t>
      </w:r>
      <w:r>
        <w:rPr>
          <w:rFonts w:eastAsia="Microsoft YaHei" w:cs="Cambria"/>
          <w:color w:val="1E2530"/>
          <w:sz w:val="22"/>
          <w:szCs w:val="22"/>
        </w:rPr>
        <w:t>Iran maintains the enrichment freeze at or below 3.67% and sustains IAEA seal integrity on all stockpiled material above 5% enrichment. No new enrichment activity above 3.67% occurs during the initial measures period.</w:t>
      </w:r>
    </w:p>
    <w:p>
      <w:pPr>
        <w:pStyle w:val="Normal"/>
        <w:numPr>
          <w:ilvl w:val="0"/>
          <w:numId w:val="1"/>
        </w:numPr>
        <w:bidi w:val="0"/>
        <w:spacing w:before="0" w:after="160"/>
        <w:rPr/>
      </w:pPr>
      <w:r>
        <w:rPr>
          <w:rFonts w:eastAsia="Microsoft YaHei" w:cs="Cambria"/>
          <w:b/>
          <w:color w:val="1E2530"/>
          <w:sz w:val="22"/>
          <w:szCs w:val="22"/>
        </w:rPr>
        <w:t xml:space="preserve">Freeze on escalation - </w:t>
      </w:r>
      <w:r>
        <w:rPr>
          <w:rFonts w:eastAsia="Microsoft YaHei" w:cs="Cambria"/>
          <w:color w:val="1E2530"/>
          <w:sz w:val="22"/>
          <w:szCs w:val="22"/>
        </w:rPr>
        <w:t>Iran refrains from installing new centrifuges, expanding enrichment capacity, or relocating sealed material without IAEA notification. The framework architecture excludes any centrifuge installation during the initial measures window.</w:t>
      </w:r>
    </w:p>
    <w:p>
      <w:pPr>
        <w:pStyle w:val="Normal"/>
        <w:numPr>
          <w:ilvl w:val="0"/>
          <w:numId w:val="1"/>
        </w:numPr>
        <w:bidi w:val="0"/>
        <w:spacing w:before="0" w:after="160"/>
        <w:rPr/>
      </w:pPr>
      <w:r>
        <w:rPr>
          <w:rFonts w:eastAsia="Microsoft YaHei" w:cs="Cambria"/>
          <w:b/>
          <w:color w:val="1E2530"/>
          <w:sz w:val="22"/>
          <w:szCs w:val="22"/>
        </w:rPr>
        <w:t xml:space="preserve">Cooperation with verification setup - </w:t>
      </w:r>
      <w:r>
        <w:rPr>
          <w:rFonts w:eastAsia="Microsoft YaHei" w:cs="Cambria"/>
          <w:color w:val="1E2530"/>
          <w:sz w:val="22"/>
          <w:szCs w:val="22"/>
        </w:rPr>
        <w:t>Iran facilitates IAEA installation of continuous monitoring equipment at declared facilities and provides access for baseline telemetry readings. This cooperation does not constitute a full inspection regime; it establishes the verification baseline from which Phase Three operates.</w:t>
      </w:r>
    </w:p>
    <w:p>
      <w:pPr>
        <w:pStyle w:val="Heading3"/>
        <w:keepNext w:val="true"/>
        <w:keepLines/>
        <w:bidi w:val="0"/>
        <w:spacing w:before="280" w:after="120"/>
        <w:rPr/>
      </w:pPr>
      <w:r>
        <w:rPr>
          <w:rFonts w:eastAsia="Microsoft YaHei" w:cs="Cambria"/>
          <w:b/>
          <w:color w:val="4A5568"/>
          <w:sz w:val="26"/>
          <w:szCs w:val="26"/>
        </w:rPr>
        <w:t>United States Initial Measures</w:t>
      </w:r>
    </w:p>
    <w:p>
      <w:pPr>
        <w:pStyle w:val="Normal"/>
        <w:numPr>
          <w:ilvl w:val="0"/>
          <w:numId w:val="1"/>
        </w:numPr>
        <w:bidi w:val="0"/>
        <w:spacing w:before="0" w:after="160"/>
        <w:rPr/>
      </w:pPr>
      <w:r>
        <w:rPr>
          <w:rFonts w:eastAsia="Microsoft YaHei" w:cs="Cambria"/>
          <w:b/>
          <w:color w:val="1E2530"/>
          <w:sz w:val="22"/>
          <w:szCs w:val="22"/>
        </w:rPr>
        <w:t xml:space="preserve">Limited, reversible sanctions adjustment - </w:t>
      </w:r>
      <w:r>
        <w:rPr>
          <w:rFonts w:eastAsia="Microsoft YaHei" w:cs="Cambria"/>
          <w:color w:val="1E2530"/>
          <w:sz w:val="22"/>
          <w:szCs w:val="22"/>
        </w:rPr>
        <w:t>The United States expands the existing humanitarian general license to cover additional agricultural commodities and civilian aviation parts. This expansion is reversible within 30 days through standard OFAC procedures.</w:t>
      </w:r>
    </w:p>
    <w:p>
      <w:pPr>
        <w:pStyle w:val="Normal"/>
        <w:numPr>
          <w:ilvl w:val="0"/>
          <w:numId w:val="1"/>
        </w:numPr>
        <w:bidi w:val="0"/>
        <w:spacing w:before="0" w:after="160"/>
        <w:rPr/>
      </w:pPr>
      <w:r>
        <w:rPr>
          <w:rFonts w:eastAsia="Microsoft YaHei" w:cs="Cambria"/>
          <w:b/>
          <w:color w:val="1E2530"/>
          <w:sz w:val="22"/>
          <w:szCs w:val="22"/>
        </w:rPr>
        <w:t xml:space="preserve">Freeze on new designations - </w:t>
      </w:r>
      <w:r>
        <w:rPr>
          <w:rFonts w:eastAsia="Microsoft YaHei" w:cs="Cambria"/>
          <w:color w:val="1E2530"/>
          <w:sz w:val="22"/>
          <w:szCs w:val="22"/>
        </w:rPr>
        <w:t>The United States refrains from imposing new nuclear-related sanctions designations on Iranian entities during the initial measures period. Existing non-nuclear sanctions designations (terrorism, human rights) remain fully enforceable and are not affected by this freeze.</w:t>
      </w:r>
    </w:p>
    <w:p>
      <w:pPr>
        <w:pStyle w:val="Normal"/>
        <w:numPr>
          <w:ilvl w:val="0"/>
          <w:numId w:val="1"/>
        </w:numPr>
        <w:bidi w:val="0"/>
        <w:spacing w:before="0" w:after="160"/>
        <w:rPr/>
      </w:pPr>
      <w:r>
        <w:rPr>
          <w:rFonts w:eastAsia="Microsoft YaHei" w:cs="Cambria"/>
          <w:b/>
          <w:color w:val="1E2530"/>
          <w:sz w:val="22"/>
          <w:szCs w:val="22"/>
        </w:rPr>
        <w:t xml:space="preserve">Humanitarian channel activation - </w:t>
      </w:r>
      <w:r>
        <w:rPr>
          <w:rFonts w:eastAsia="Microsoft YaHei" w:cs="Cambria"/>
          <w:color w:val="1E2530"/>
          <w:sz w:val="22"/>
          <w:szCs w:val="22"/>
        </w:rPr>
        <w:t>The United States supports the processing of the $250 million humanitarian tranche through the Swiss escrow and confirms that no blocking action affects this tranche. This activation proceeds in parallel with Iranian verification cooperation.</w:t>
      </w:r>
    </w:p>
    <w:p>
      <w:pPr>
        <w:pStyle w:val="Heading2"/>
        <w:keepNext w:val="true"/>
        <w:keepLines/>
        <w:bidi w:val="0"/>
        <w:spacing w:before="360" w:after="160"/>
        <w:rPr/>
      </w:pPr>
      <w:r>
        <w:rPr>
          <w:rFonts w:eastAsia="Microsoft YaHei" w:cs="Cambria"/>
          <w:b/>
          <w:color w:val="2C3E5E"/>
          <w:sz w:val="30"/>
          <w:szCs w:val="30"/>
        </w:rPr>
        <w:t>Section 9.3 - Nuclear Trigger Clause</w:t>
      </w:r>
    </w:p>
    <w:p>
      <w:pPr>
        <w:pStyle w:val="Normal"/>
        <w:bidi w:val="0"/>
        <w:spacing w:before="0" w:after="180"/>
        <w:rPr/>
      </w:pPr>
      <w:r>
        <w:rPr>
          <w:rFonts w:eastAsia="Microsoft YaHei" w:cs="Cambria"/>
          <w:color w:val="1E2530"/>
          <w:sz w:val="22"/>
          <w:szCs w:val="22"/>
        </w:rPr>
        <w:t>The nuclear trigger ties the seal regime and enrichment pause to the same automatic activation mechanism. The following provisions govern nuclear-specific triggers:</w:t>
      </w:r>
    </w:p>
    <w:p>
      <w:pPr>
        <w:pStyle w:val="Normal"/>
        <w:numPr>
          <w:ilvl w:val="0"/>
          <w:numId w:val="1"/>
        </w:numPr>
        <w:bidi w:val="0"/>
        <w:spacing w:before="0" w:after="160"/>
        <w:rPr/>
      </w:pPr>
      <w:r>
        <w:rPr>
          <w:rFonts w:eastAsia="Microsoft YaHei" w:cs="Cambria"/>
          <w:b/>
          <w:color w:val="1E2530"/>
          <w:sz w:val="22"/>
          <w:szCs w:val="22"/>
        </w:rPr>
        <w:t xml:space="preserve">Seal regime trigger - </w:t>
      </w:r>
      <w:r>
        <w:rPr>
          <w:rFonts w:eastAsia="Microsoft YaHei" w:cs="Cambria"/>
          <w:color w:val="1E2530"/>
          <w:sz w:val="22"/>
          <w:szCs w:val="22"/>
        </w:rPr>
        <w:t>IAEA confirmation that tamper-evident seals are applied to all enriched uranium stockpiles above 5% and that continuous monitoring equipment is operational at declared facilities activates the Tier Two sanctions relief track automatically. No seal verification means no Tier Two relief.</w:t>
      </w:r>
    </w:p>
    <w:p>
      <w:pPr>
        <w:pStyle w:val="Normal"/>
        <w:numPr>
          <w:ilvl w:val="0"/>
          <w:numId w:val="1"/>
        </w:numPr>
        <w:bidi w:val="0"/>
        <w:spacing w:before="0" w:after="160"/>
        <w:rPr/>
      </w:pPr>
      <w:r>
        <w:rPr>
          <w:rFonts w:eastAsia="Microsoft YaHei" w:cs="Cambria"/>
          <w:b/>
          <w:color w:val="1E2530"/>
          <w:sz w:val="22"/>
          <w:szCs w:val="22"/>
        </w:rPr>
        <w:t xml:space="preserve">Enrichment pause trigger - </w:t>
      </w:r>
      <w:r>
        <w:rPr>
          <w:rFonts w:eastAsia="Microsoft YaHei" w:cs="Cambria"/>
          <w:color w:val="1E2530"/>
          <w:sz w:val="22"/>
          <w:szCs w:val="22"/>
        </w:rPr>
        <w:t>Online enrichment monitor confirmation that no enrichment above 3.67% is occurring at any declared facility activates the Tier Three sanctions relief track automatically. Any enrichment monitor reading above 3.67% suspends the Tier Three track pending IAEA investigation.</w:t>
      </w:r>
    </w:p>
    <w:p>
      <w:pPr>
        <w:pStyle w:val="Normal"/>
        <w:numPr>
          <w:ilvl w:val="0"/>
          <w:numId w:val="1"/>
        </w:numPr>
        <w:bidi w:val="0"/>
        <w:spacing w:before="0" w:after="160"/>
        <w:rPr/>
      </w:pPr>
      <w:r>
        <w:rPr>
          <w:rFonts w:eastAsia="Microsoft YaHei" w:cs="Cambria"/>
          <w:b/>
          <w:color w:val="1E2530"/>
          <w:sz w:val="22"/>
          <w:szCs w:val="22"/>
        </w:rPr>
        <w:t xml:space="preserve">Disposition milestone trigger - </w:t>
      </w:r>
      <w:r>
        <w:rPr>
          <w:rFonts w:eastAsia="Microsoft YaHei" w:cs="Cambria"/>
          <w:color w:val="1E2530"/>
          <w:sz w:val="22"/>
          <w:szCs w:val="22"/>
        </w:rPr>
        <w:t>IAEA certification that Iran has completed the first verified 50% reduction of the 60% HEU stockpile through downblending or transfer to the agreed disposition pathway activates the good-faith fast lane and structural-relief conversion. This is the disposition milestone defined in the operative provisions.</w:t>
      </w:r>
    </w:p>
    <w:p>
      <w:pPr>
        <w:pStyle w:val="Heading2"/>
        <w:keepNext w:val="true"/>
        <w:keepLines/>
        <w:bidi w:val="0"/>
        <w:spacing w:before="360" w:after="160"/>
        <w:rPr/>
      </w:pPr>
      <w:r>
        <w:rPr>
          <w:rFonts w:eastAsia="Microsoft YaHei" w:cs="Cambria"/>
          <w:b/>
          <w:color w:val="2C3E5E"/>
          <w:sz w:val="30"/>
          <w:szCs w:val="30"/>
        </w:rPr>
        <w:t>Section 9.4 - Verification Trigger Clause</w:t>
      </w:r>
    </w:p>
    <w:p>
      <w:pPr>
        <w:pStyle w:val="Normal"/>
        <w:bidi w:val="0"/>
        <w:spacing w:before="0" w:after="180"/>
        <w:rPr/>
      </w:pPr>
      <w:r>
        <w:rPr>
          <w:rFonts w:eastAsia="Microsoft YaHei" w:cs="Cambria"/>
          <w:color w:val="1E2530"/>
          <w:sz w:val="22"/>
          <w:szCs w:val="22"/>
        </w:rPr>
        <w:t>Verification activates immediately upon signature of this Compact. The following provisions govern verification-specific triggers:</w:t>
      </w:r>
    </w:p>
    <w:p>
      <w:pPr>
        <w:pStyle w:val="Normal"/>
        <w:numPr>
          <w:ilvl w:val="0"/>
          <w:numId w:val="1"/>
        </w:numPr>
        <w:bidi w:val="0"/>
        <w:spacing w:before="0" w:after="160"/>
        <w:rPr/>
      </w:pPr>
      <w:r>
        <w:rPr>
          <w:rFonts w:eastAsia="Microsoft YaHei" w:cs="Cambria"/>
          <w:b/>
          <w:color w:val="1E2530"/>
          <w:sz w:val="22"/>
          <w:szCs w:val="22"/>
        </w:rPr>
        <w:t xml:space="preserve">Immediate activation - </w:t>
      </w:r>
      <w:r>
        <w:rPr>
          <w:rFonts w:eastAsia="Microsoft YaHei" w:cs="Cambria"/>
          <w:color w:val="1E2530"/>
          <w:sz w:val="22"/>
          <w:szCs w:val="22"/>
        </w:rPr>
        <w:t>The Swiss-hosted digital dashboard goes live within 24 hours of signature. Both Parties receive login credentials simultaneously. No Party receives access before the other. The dashboard displays all telemetry data from the moment the first sensor comes online.</w:t>
      </w:r>
    </w:p>
    <w:p>
      <w:pPr>
        <w:pStyle w:val="Normal"/>
        <w:numPr>
          <w:ilvl w:val="0"/>
          <w:numId w:val="1"/>
        </w:numPr>
        <w:bidi w:val="0"/>
        <w:spacing w:before="0" w:after="160"/>
        <w:rPr/>
      </w:pPr>
      <w:r>
        <w:rPr>
          <w:rFonts w:eastAsia="Microsoft YaHei" w:cs="Cambria"/>
          <w:b/>
          <w:color w:val="1E2530"/>
          <w:sz w:val="22"/>
          <w:szCs w:val="22"/>
        </w:rPr>
        <w:t xml:space="preserve">Baseline establishment trigger - </w:t>
      </w:r>
      <w:r>
        <w:rPr>
          <w:rFonts w:eastAsia="Microsoft YaHei" w:cs="Cambria"/>
          <w:color w:val="1E2530"/>
          <w:sz w:val="22"/>
          <w:szCs w:val="22"/>
        </w:rPr>
        <w:t>The IAEA completes baseline verification readings within 72 hours of signature and posts the baseline report to the dashboard. This baseline report constitutes the reference point against which all subsequent compliance measurements occur.</w:t>
      </w:r>
    </w:p>
    <w:p>
      <w:pPr>
        <w:pStyle w:val="Normal"/>
        <w:numPr>
          <w:ilvl w:val="0"/>
          <w:numId w:val="1"/>
        </w:numPr>
        <w:bidi w:val="0"/>
        <w:spacing w:before="0" w:after="160"/>
        <w:rPr/>
      </w:pPr>
      <w:r>
        <w:rPr>
          <w:rFonts w:eastAsia="Microsoft YaHei" w:cs="Cambria"/>
          <w:b/>
          <w:color w:val="1E2530"/>
          <w:sz w:val="22"/>
          <w:szCs w:val="22"/>
        </w:rPr>
        <w:t xml:space="preserve">Continuous monitoring trigger - </w:t>
      </w:r>
      <w:r>
        <w:rPr>
          <w:rFonts w:eastAsia="Microsoft YaHei" w:cs="Cambria"/>
          <w:color w:val="1E2530"/>
          <w:sz w:val="22"/>
          <w:szCs w:val="22"/>
        </w:rPr>
        <w:t>All continuous monitoring equipment — online enrichment monitors, remote camera surveillance, tamper-indicating seals — becomes binding on the moment the IAEA certifies it operational. From that moment, sensor data governs compliance determinations, not political interpretation.</w:t>
      </w:r>
    </w:p>
    <w:p>
      <w:pPr>
        <w:pStyle w:val="Heading2"/>
        <w:keepNext w:val="true"/>
        <w:keepLines/>
        <w:bidi w:val="0"/>
        <w:spacing w:before="360" w:after="160"/>
        <w:rPr/>
      </w:pPr>
      <w:r>
        <w:rPr>
          <w:rFonts w:eastAsia="Microsoft YaHei" w:cs="Cambria"/>
          <w:b/>
          <w:color w:val="2C3E5E"/>
          <w:sz w:val="30"/>
          <w:szCs w:val="30"/>
        </w:rPr>
        <w:t>Section 9.5 - Micro-Fallback Clause</w:t>
      </w:r>
    </w:p>
    <w:p>
      <w:pPr>
        <w:pStyle w:val="Normal"/>
        <w:bidi w:val="0"/>
        <w:spacing w:before="0" w:after="180"/>
        <w:rPr/>
      </w:pPr>
      <w:r>
        <w:rPr>
          <w:rFonts w:eastAsia="Microsoft YaHei" w:cs="Cambria"/>
          <w:color w:val="1E2530"/>
          <w:sz w:val="22"/>
          <w:szCs w:val="22"/>
        </w:rPr>
        <w:t>The following 24-hour pause and consultation mechanism protects synchronization without breaking it. This micro-fallback operates below the threshold of the Step-Back procedures in Article VI:</w:t>
      </w:r>
    </w:p>
    <w:p>
      <w:pPr>
        <w:pStyle w:val="Normal"/>
        <w:numPr>
          <w:ilvl w:val="0"/>
          <w:numId w:val="1"/>
        </w:numPr>
        <w:bidi w:val="0"/>
        <w:spacing w:before="0" w:after="160"/>
        <w:rPr/>
      </w:pPr>
      <w:r>
        <w:rPr>
          <w:rFonts w:eastAsia="Microsoft YaHei" w:cs="Cambria"/>
          <w:b/>
          <w:color w:val="1E2530"/>
          <w:sz w:val="22"/>
          <w:szCs w:val="22"/>
        </w:rPr>
        <w:t xml:space="preserve">24-hour consultation pause - </w:t>
      </w:r>
      <w:r>
        <w:rPr>
          <w:rFonts w:eastAsia="Microsoft YaHei" w:cs="Cambria"/>
          <w:color w:val="1E2530"/>
          <w:sz w:val="22"/>
          <w:szCs w:val="22"/>
        </w:rPr>
        <w:t>If either Party identifies a concern regarding the other Party's initial parallel measures, that Party notifies the Joint Coordination Center in writing. All reciprocity units related to Phase Three activation pause for 24 hours. Other reciprocity units continue operating without interruption.</w:t>
      </w:r>
    </w:p>
    <w:p>
      <w:pPr>
        <w:pStyle w:val="Normal"/>
        <w:numPr>
          <w:ilvl w:val="0"/>
          <w:numId w:val="1"/>
        </w:numPr>
        <w:bidi w:val="0"/>
        <w:spacing w:before="0" w:after="160"/>
        <w:rPr/>
      </w:pPr>
      <w:r>
        <w:rPr>
          <w:rFonts w:eastAsia="Microsoft YaHei" w:cs="Cambria"/>
          <w:b/>
          <w:color w:val="1E2530"/>
          <w:sz w:val="22"/>
          <w:szCs w:val="22"/>
        </w:rPr>
        <w:t xml:space="preserve">Technical consultation - </w:t>
      </w:r>
      <w:r>
        <w:rPr>
          <w:rFonts w:eastAsia="Microsoft YaHei" w:cs="Cambria"/>
          <w:color w:val="1E2530"/>
          <w:sz w:val="22"/>
          <w:szCs w:val="22"/>
        </w:rPr>
        <w:t>During the 24-hour pause, technical liaisons from both Parties meet via the Joint Coordination Center to review the specific concern. The Neutral Guarantor facilitates. The consultation focuses on factual verification, not political negotiation.</w:t>
      </w:r>
    </w:p>
    <w:p>
      <w:pPr>
        <w:pStyle w:val="Normal"/>
        <w:numPr>
          <w:ilvl w:val="0"/>
          <w:numId w:val="1"/>
        </w:numPr>
        <w:bidi w:val="0"/>
        <w:spacing w:before="0" w:after="160"/>
        <w:rPr/>
      </w:pPr>
      <w:r>
        <w:rPr>
          <w:rFonts w:eastAsia="Microsoft YaHei" w:cs="Cambria"/>
          <w:b/>
          <w:color w:val="1E2530"/>
          <w:sz w:val="22"/>
          <w:szCs w:val="22"/>
        </w:rPr>
        <w:t xml:space="preserve">Automatic resumption - </w:t>
      </w:r>
      <w:r>
        <w:rPr>
          <w:rFonts w:eastAsia="Microsoft YaHei" w:cs="Cambria"/>
          <w:color w:val="1E2530"/>
          <w:sz w:val="22"/>
          <w:szCs w:val="22"/>
        </w:rPr>
        <w:t>If the concern resolves through technical explanation or corrected action, the paused reciprocity units resume automatically. No formal finding is required. The resumption restores the synchronized timeline where it paused, with adjusted deadlines proportional to the pause duration.</w:t>
      </w:r>
    </w:p>
    <w:p>
      <w:pPr>
        <w:pStyle w:val="Normal"/>
        <w:numPr>
          <w:ilvl w:val="0"/>
          <w:numId w:val="1"/>
        </w:numPr>
        <w:bidi w:val="0"/>
        <w:spacing w:before="0" w:after="160"/>
        <w:rPr/>
        <w:sectPr>
          <w:headerReference w:type="default" r:id="rId5"/>
          <w:footerReference w:type="default" r:id="rId6"/>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1E2530"/>
          <w:sz w:val="22"/>
          <w:szCs w:val="22"/>
        </w:rPr>
        <w:t xml:space="preserve">Escalation path - </w:t>
      </w:r>
      <w:r>
        <w:rPr>
          <w:rFonts w:eastAsia="Microsoft YaHei" w:cs="Cambria"/>
          <w:color w:val="1E2530"/>
          <w:sz w:val="22"/>
          <w:szCs w:val="22"/>
        </w:rPr>
        <w:t>If the concern does not resolve within 24 hours, the matter proceeds to the Human-in-the-Loop Review described in Article VII. The micro-fallback does not block escalation to the full compliance framework; it simply prevents minor technical issues from derailing the entire synchronization sequence.</w:t>
      </w:r>
    </w:p>
    <w:p>
      <w:pPr>
        <w:pStyle w:val="Heading1"/>
        <w:bidi w:val="0"/>
        <w:rPr/>
      </w:pPr>
      <w:r>
        <w:rPr>
          <w:rFonts w:eastAsia="Microsoft YaHei" w:cs="Cambria"/>
          <w:b/>
          <w:color w:val="1A2744"/>
          <w:sz w:val="40"/>
          <w:szCs w:val="40"/>
        </w:rPr>
        <w:t>Article X: Public Wins and Domestic Framing Architecture</w:t>
      </w:r>
    </w:p>
    <w:p>
      <w:pPr>
        <w:pStyle w:val="Normal"/>
        <w:bidi w:val="0"/>
        <w:spacing w:before="0" w:after="180"/>
        <w:rPr/>
      </w:pPr>
      <w:r>
        <w:rPr>
          <w:rFonts w:eastAsia="Microsoft YaHei" w:cs="Cambria"/>
          <w:color w:val="1E2530"/>
          <w:sz w:val="22"/>
          <w:szCs w:val="22"/>
        </w:rPr>
        <w:t>This article establishes the principle that each Party secures demonstrable, near-term wins for its own public, and it anchors the detailed messaging mechanics that Annex G and Annex J carry. The article states the governing principle; the annexes operate it.</w:t>
      </w:r>
    </w:p>
    <w:p>
      <w:pPr>
        <w:pStyle w:val="Heading2"/>
        <w:keepNext w:val="true"/>
        <w:keepLines/>
        <w:bidi w:val="0"/>
        <w:spacing w:before="360" w:after="160"/>
        <w:rPr/>
      </w:pPr>
      <w:r>
        <w:rPr>
          <w:szCs w:val="24"/>
          <w:rFonts w:ascii="Cambria" w:hAnsi="Cambria" w:eastAsia="Microsoft YaHei" w:cs="Cambria"/>
          <w:b/>
          <w:color w:val="2C3E5E"/>
          <w:sz w:val="30"/>
        </w:rPr>
        <w:t>Section 10.1 - Reciprocal Public Wins</w:t>
      </w:r>
    </w:p>
    <w:p>
      <w:pPr>
        <w:pStyle w:val="Normal"/>
        <w:bidi w:val="0"/>
        <w:spacing w:before="0" w:after="180"/>
        <w:rPr/>
      </w:pPr>
      <w:r>
        <w:rPr>
          <w:rFonts w:eastAsia="Microsoft YaHei" w:cs="Cambria"/>
          <w:color w:val="1E2530"/>
          <w:sz w:val="22"/>
          <w:szCs w:val="22"/>
        </w:rPr>
        <w:t>Each phase delivers a concrete, verifiable win to each Party at the same moment, so that neither Party faces its public empty-handed. The Day 1 ceasefire, the Strait reopening, the humanitarian release, and the prisoner exchange supply the immediate wins. The verified-milestone asset unlocks and the calibrated sanctions relief supply the sustained wins. Each win pairs with a reciprocal win for the other Party under the Synchronized Reciprocal Motion principle.</w:t>
      </w:r>
    </w:p>
    <w:p>
      <w:pPr>
        <w:pStyle w:val="Heading2"/>
        <w:keepNext w:val="true"/>
        <w:keepLines/>
        <w:bidi w:val="0"/>
        <w:spacing w:before="360" w:after="160"/>
        <w:rPr/>
      </w:pPr>
      <w:r>
        <w:rPr>
          <w:szCs w:val="24"/>
          <w:rFonts w:ascii="Cambria" w:hAnsi="Cambria" w:eastAsia="Microsoft YaHei" w:cs="Cambria"/>
          <w:b/>
          <w:color w:val="2C3E5E"/>
          <w:sz w:val="30"/>
        </w:rPr>
        <w:t>Section 10.2 - Domestic Framing Autonomy in Practice</w:t>
      </w:r>
    </w:p>
    <w:p>
      <w:pPr>
        <w:pStyle w:val="Normal"/>
        <w:bidi w:val="0"/>
        <w:spacing w:before="0" w:after="180"/>
        <w:rPr/>
      </w:pPr>
      <w:r>
        <w:rPr>
          <w:rFonts w:eastAsia="Microsoft YaHei" w:cs="Cambria"/>
          <w:color w:val="1E2530"/>
          <w:sz w:val="22"/>
          <w:szCs w:val="22"/>
        </w:rPr>
        <w:t>Each Party characterizes the Compact to its own public in its own terms, consistent with the Domestic Framing Autonomy principle. The framework supplies a shared factual floor, which Annex J, Section J.4 defines, and the two narratives rest on that floor. The architecture excludes any official characterization that contradicts the shared factual floor or that depicts the other Party’s commitments as a surrender.</w:t>
      </w:r>
    </w:p>
    <w:p>
      <w:pPr>
        <w:pStyle w:val="Heading2"/>
        <w:keepNext w:val="true"/>
        <w:keepLines/>
        <w:bidi w:val="0"/>
        <w:spacing w:before="360" w:after="160"/>
        <w:rPr/>
      </w:pPr>
      <w:r>
        <w:rPr>
          <w:szCs w:val="24"/>
          <w:rFonts w:ascii="Cambria" w:hAnsi="Cambria" w:eastAsia="Microsoft YaHei" w:cs="Cambria"/>
          <w:b/>
          <w:color w:val="2C3E5E"/>
          <w:sz w:val="30"/>
        </w:rPr>
        <w:t>Section 10.3 - Messaging Mechanics by Reference</w:t>
      </w:r>
    </w:p>
    <w:p>
      <w:pPr>
        <w:pStyle w:val="Normal"/>
        <w:bidi w:val="0"/>
        <w:spacing w:before="0" w:after="180"/>
        <w:rPr/>
      </w:pPr>
      <w:r>
        <w:rPr>
          <w:rFonts w:eastAsia="Microsoft YaHei" w:cs="Cambria"/>
          <w:color w:val="1E2530"/>
          <w:sz w:val="22"/>
          <w:szCs w:val="22"/>
        </w:rPr>
        <w:t>The operative messaging instruments reside in Annex G, which carries the public statements, talking points, and response frameworks, and in Annex J, Section J.4, which carries the public messaging mandate and the messaging compatibility rule. This article incorporates those instruments by reference and adds no separate messaging text, which keeps the entire messaging architecture in one location.</w:t>
      </w:r>
    </w:p>
    <w:p>
      <w:pPr>
        <w:pStyle w:val="Heading1"/>
        <w:bidi w:val="0"/>
        <w:rPr/>
      </w:pPr>
      <w:r>
        <w:rPr>
          <w:rFonts w:eastAsia="Microsoft YaHei" w:cs="Cambria"/>
          <w:b/>
          <w:color w:val="1A2744"/>
          <w:sz w:val="40"/>
          <w:szCs w:val="40"/>
        </w:rPr>
        <w:t>Article XI: Prisoner Exchange and Humanitarian Protocol</w:t>
      </w:r>
    </w:p>
    <w:p>
      <w:pPr>
        <w:pStyle w:val="Normal"/>
        <w:bidi w:val="0"/>
        <w:spacing w:before="0" w:after="180"/>
        <w:rPr/>
      </w:pPr>
      <w:r>
        <w:rPr>
          <w:rFonts w:eastAsia="Microsoft YaHei" w:cs="Cambria"/>
          <w:color w:val="1E2530"/>
          <w:sz w:val="22"/>
          <w:szCs w:val="22"/>
        </w:rPr>
        <w:t>This article addresses the timing, sequencing, and political framing of prisoner releases and humanitarian measures. Even with deferred nuclear steps, the order of prisoner releases matters politically. Neither side releases too early, too late, or in a manner that loses leverage or domestic political credit.</w:t>
      </w:r>
    </w:p>
    <w:p>
      <w:pPr>
        <w:pStyle w:val="Heading2"/>
        <w:keepNext w:val="true"/>
        <w:keepLines/>
        <w:bidi w:val="0"/>
        <w:spacing w:before="360" w:after="160"/>
        <w:rPr/>
      </w:pPr>
      <w:r>
        <w:rPr>
          <w:rFonts w:eastAsia="Microsoft YaHei" w:cs="Cambria"/>
          <w:b/>
          <w:color w:val="2C3E5E"/>
          <w:sz w:val="30"/>
          <w:szCs w:val="30"/>
        </w:rPr>
        <w:t>Section 11.1 - Two-Stage Prisoner Exchange Protocol</w:t>
      </w:r>
    </w:p>
    <w:p>
      <w:pPr>
        <w:pStyle w:val="Normal"/>
        <w:bidi w:val="0"/>
        <w:spacing w:before="0" w:after="180"/>
        <w:rPr/>
      </w:pPr>
      <w:r>
        <w:rPr>
          <w:rFonts w:eastAsia="Microsoft YaHei" w:cs="Cambria"/>
          <w:color w:val="1E2530"/>
          <w:sz w:val="22"/>
          <w:szCs w:val="22"/>
        </w:rPr>
        <w:t>The prisoner exchange proceeds in two stages. Stage One is symbolic and immediate. Stage Two ties to the Phase Three trigger. This sequencing gives both sides an early humanitarian win while preserving leverage for the critical transition period.</w:t>
      </w:r>
    </w:p>
    <w:p>
      <w:pPr>
        <w:pStyle w:val="Heading3"/>
        <w:keepNext w:val="true"/>
        <w:keepLines/>
        <w:bidi w:val="0"/>
        <w:spacing w:before="280" w:after="120"/>
        <w:rPr/>
      </w:pPr>
      <w:r>
        <w:rPr>
          <w:rFonts w:eastAsia="Microsoft YaHei" w:cs="Cambria"/>
          <w:b/>
          <w:color w:val="1E2530"/>
          <w:sz w:val="20"/>
          <w:szCs w:val="20"/>
        </w:rPr>
        <w:t>Stage One: Symbolic Exchange (Days 1-3)</w:t>
      </w:r>
    </w:p>
    <w:p>
      <w:pPr>
        <w:pStyle w:val="Normal"/>
        <w:bidi w:val="0"/>
        <w:spacing w:before="0" w:after="180"/>
        <w:rPr/>
      </w:pPr>
      <w:r>
        <w:rPr>
          <w:rFonts w:eastAsia="Microsoft YaHei" w:cs="Cambria"/>
          <w:color w:val="1E2530"/>
          <w:sz w:val="22"/>
          <w:szCs w:val="22"/>
        </w:rPr>
        <w:t>Within 72 hours of signature, both Parties exchange a symbolic tranche of prisoners and civilian detainees. This tranche comprises:</w:t>
      </w:r>
    </w:p>
    <w:p>
      <w:pPr>
        <w:pStyle w:val="Normal"/>
        <w:numPr>
          <w:ilvl w:val="0"/>
          <w:numId w:val="1"/>
        </w:numPr>
        <w:bidi w:val="0"/>
        <w:spacing w:before="0" w:after="160"/>
        <w:rPr/>
      </w:pPr>
      <w:r>
        <w:rPr>
          <w:rFonts w:eastAsia="Microsoft YaHei" w:cs="Cambria"/>
          <w:b/>
          <w:color w:val="1E2530"/>
          <w:sz w:val="22"/>
          <w:szCs w:val="22"/>
        </w:rPr>
        <w:t xml:space="preserve">Humanitarian priority cases - </w:t>
      </w:r>
      <w:r>
        <w:rPr>
          <w:rFonts w:eastAsia="Microsoft YaHei" w:cs="Cambria"/>
          <w:color w:val="1E2530"/>
          <w:sz w:val="22"/>
          <w:szCs w:val="22"/>
        </w:rPr>
        <w:t>Detainees with serious medical conditions, detainees over the age of 60, and detainees held longest receive priority for Stage One release. The International Committee of the Red Cross identifies priority cases based on established humanitarian criteria.</w:t>
      </w:r>
    </w:p>
    <w:p>
      <w:pPr>
        <w:pStyle w:val="Normal"/>
        <w:numPr>
          <w:ilvl w:val="0"/>
          <w:numId w:val="1"/>
        </w:numPr>
        <w:bidi w:val="0"/>
        <w:spacing w:before="0" w:after="160"/>
        <w:rPr/>
      </w:pPr>
      <w:r>
        <w:rPr>
          <w:rFonts w:eastAsia="Microsoft YaHei" w:cs="Cambria"/>
          <w:b/>
          <w:color w:val="1E2530"/>
          <w:sz w:val="22"/>
          <w:szCs w:val="22"/>
        </w:rPr>
        <w:t xml:space="preserve">Number and composition - </w:t>
      </w:r>
      <w:r>
        <w:rPr>
          <w:rFonts w:eastAsia="Microsoft YaHei" w:cs="Cambria"/>
          <w:color w:val="1E2530"/>
          <w:sz w:val="22"/>
          <w:szCs w:val="22"/>
        </w:rPr>
        <w:t>Stage One releases up to 20 detainees from each side, or the total number of detainees if fewer than 20 are held. The exact number and identities remain confidential until the physical transfer is complete. Neither side announces names before transfer.</w:t>
      </w:r>
    </w:p>
    <w:p>
      <w:pPr>
        <w:pStyle w:val="Normal"/>
        <w:numPr>
          <w:ilvl w:val="0"/>
          <w:numId w:val="1"/>
        </w:numPr>
        <w:bidi w:val="0"/>
        <w:spacing w:before="0" w:after="160"/>
        <w:rPr/>
      </w:pPr>
      <w:r>
        <w:rPr>
          <w:rFonts w:eastAsia="Microsoft YaHei" w:cs="Cambria"/>
          <w:b/>
          <w:color w:val="1E2530"/>
          <w:sz w:val="22"/>
          <w:szCs w:val="22"/>
        </w:rPr>
        <w:t xml:space="preserve">Transfer mechanism - </w:t>
      </w:r>
      <w:r>
        <w:rPr>
          <w:rFonts w:eastAsia="Microsoft YaHei" w:cs="Cambria"/>
          <w:color w:val="1E2530"/>
          <w:sz w:val="22"/>
          <w:szCs w:val="22"/>
        </w:rPr>
        <w:t>The Neutral Guarantor facilitates the physical transfer at a neutral location designated by mutual agreement. ICRC witnesses the transfer and certifies completion on the Swiss-hosted dashboard. The transfer occurs simultaneously: neither side releases before the other.</w:t>
      </w:r>
    </w:p>
    <w:p>
      <w:pPr>
        <w:pStyle w:val="Normal"/>
        <w:numPr>
          <w:ilvl w:val="0"/>
          <w:numId w:val="1"/>
        </w:numPr>
        <w:bidi w:val="0"/>
        <w:spacing w:before="0" w:after="160"/>
        <w:rPr/>
      </w:pPr>
      <w:r>
        <w:rPr>
          <w:rFonts w:eastAsia="Microsoft YaHei" w:cs="Cambria"/>
          <w:b/>
          <w:color w:val="1E2530"/>
          <w:sz w:val="22"/>
          <w:szCs w:val="22"/>
        </w:rPr>
        <w:t xml:space="preserve">Narrative framing - </w:t>
      </w:r>
      <w:r>
        <w:rPr>
          <w:rFonts w:eastAsia="Microsoft YaHei" w:cs="Cambria"/>
          <w:color w:val="1E2530"/>
          <w:sz w:val="22"/>
          <w:szCs w:val="22"/>
        </w:rPr>
        <w:t>Both sides describe Stage One as a humanitarian gesture, not a concession. Iran frames it as Iran's humanitarian initiative, matched simultaneously by the United States. The United States frames it as American humanitarian leadership, matched simultaneously by Iran. The simultaneous nature is the narrative.</w:t>
      </w:r>
    </w:p>
    <w:p>
      <w:pPr>
        <w:pStyle w:val="Heading3"/>
        <w:keepNext w:val="true"/>
        <w:keepLines/>
        <w:bidi w:val="0"/>
        <w:spacing w:before="280" w:after="120"/>
        <w:rPr/>
      </w:pPr>
      <w:r>
        <w:rPr>
          <w:rFonts w:eastAsia="Microsoft YaHei" w:cs="Cambria"/>
          <w:b/>
          <w:color w:val="1E2530"/>
          <w:sz w:val="20"/>
          <w:szCs w:val="20"/>
        </w:rPr>
        <w:t>Stage Two: Full Exchange (Tied to Phase Three Trigger)</w:t>
      </w:r>
    </w:p>
    <w:p>
      <w:pPr>
        <w:pStyle w:val="Normal"/>
        <w:bidi w:val="0"/>
        <w:spacing w:before="0" w:after="180"/>
        <w:rPr/>
      </w:pPr>
      <w:r>
        <w:rPr>
          <w:rFonts w:eastAsia="Microsoft YaHei" w:cs="Cambria"/>
          <w:color w:val="1E2530"/>
          <w:sz w:val="22"/>
          <w:szCs w:val="22"/>
        </w:rPr>
        <w:t>Upon activation of the Phase Three trigger described in Article IX, both Parties exchange all remaining prisoners and civilian detainees held in connection with the current conflict. Stage Two operates as follows:</w:t>
      </w:r>
    </w:p>
    <w:p>
      <w:pPr>
        <w:pStyle w:val="Normal"/>
        <w:numPr>
          <w:ilvl w:val="0"/>
          <w:numId w:val="1"/>
        </w:numPr>
        <w:bidi w:val="0"/>
        <w:spacing w:before="0" w:after="160"/>
        <w:rPr/>
      </w:pPr>
      <w:r>
        <w:rPr>
          <w:rFonts w:eastAsia="Microsoft YaHei" w:cs="Cambria"/>
          <w:b/>
          <w:color w:val="1E2530"/>
          <w:sz w:val="22"/>
          <w:szCs w:val="22"/>
        </w:rPr>
        <w:t xml:space="preserve">Trigger linkage - </w:t>
      </w:r>
      <w:r>
        <w:rPr>
          <w:rFonts w:eastAsia="Microsoft YaHei" w:cs="Cambria"/>
          <w:color w:val="1E2530"/>
          <w:sz w:val="22"/>
          <w:szCs w:val="22"/>
        </w:rPr>
        <w:t>Stage Two proceeds only after the technical channel confirms both sides have completed their initial parallel measures and Phase Three activates automatically. The prisoner exchange is part of the Phase Three activation package, not a separate prerequisite.</w:t>
      </w:r>
    </w:p>
    <w:p>
      <w:pPr>
        <w:pStyle w:val="Normal"/>
        <w:numPr>
          <w:ilvl w:val="0"/>
          <w:numId w:val="1"/>
        </w:numPr>
        <w:bidi w:val="0"/>
        <w:spacing w:before="0" w:after="160"/>
        <w:rPr/>
      </w:pPr>
      <w:r>
        <w:rPr>
          <w:rFonts w:eastAsia="Microsoft YaHei" w:cs="Cambria"/>
          <w:b/>
          <w:color w:val="1E2530"/>
          <w:sz w:val="22"/>
          <w:szCs w:val="22"/>
        </w:rPr>
        <w:t xml:space="preserve">Roster verification - </w:t>
      </w:r>
      <w:r>
        <w:rPr>
          <w:rFonts w:eastAsia="Microsoft YaHei" w:cs="Cambria"/>
          <w:color w:val="1E2530"/>
          <w:sz w:val="22"/>
          <w:szCs w:val="22"/>
        </w:rPr>
        <w:t>The Neutral Guarantor verifies the complete roster of remaining detainees from both sides within 48 hours of trigger activation. The ICRC confirms the location and condition of all listed individuals.</w:t>
      </w:r>
    </w:p>
    <w:p>
      <w:pPr>
        <w:pStyle w:val="Normal"/>
        <w:numPr>
          <w:ilvl w:val="0"/>
          <w:numId w:val="1"/>
        </w:numPr>
        <w:bidi w:val="0"/>
        <w:spacing w:before="0" w:after="160"/>
        <w:rPr/>
      </w:pPr>
      <w:r>
        <w:rPr>
          <w:rFonts w:eastAsia="Microsoft YaHei" w:cs="Cambria"/>
          <w:b/>
          <w:color w:val="1E2530"/>
          <w:sz w:val="22"/>
          <w:szCs w:val="22"/>
        </w:rPr>
        <w:t xml:space="preserve">Physical transfer - </w:t>
      </w:r>
      <w:r>
        <w:rPr>
          <w:rFonts w:eastAsia="Microsoft YaHei" w:cs="Cambria"/>
          <w:color w:val="1E2530"/>
          <w:sz w:val="22"/>
          <w:szCs w:val="22"/>
        </w:rPr>
        <w:t>All remaining detainees transfer at the same neutral location used for Stage One, or at an alternative location designated by mutual agreement. The transfer completes within 72 hours of roster verification.</w:t>
      </w:r>
    </w:p>
    <w:p>
      <w:pPr>
        <w:pStyle w:val="Normal"/>
        <w:numPr>
          <w:ilvl w:val="0"/>
          <w:numId w:val="1"/>
        </w:numPr>
        <w:bidi w:val="0"/>
        <w:spacing w:before="0" w:after="160"/>
        <w:rPr/>
      </w:pPr>
      <w:r>
        <w:rPr>
          <w:rFonts w:eastAsia="Microsoft YaHei" w:cs="Cambria"/>
          <w:b/>
          <w:color w:val="1E2530"/>
          <w:sz w:val="22"/>
          <w:szCs w:val="22"/>
        </w:rPr>
        <w:t xml:space="preserve">Simultaneous release - </w:t>
      </w:r>
      <w:r>
        <w:rPr>
          <w:rFonts w:eastAsia="Microsoft YaHei" w:cs="Cambria"/>
          <w:color w:val="1E2530"/>
          <w:sz w:val="22"/>
          <w:szCs w:val="22"/>
        </w:rPr>
        <w:t>Both sides release their detainees at the same moment, witnessed by the ICRC and verified on the Swiss-hosted dashboard. Neither side releases before the other. The simultaneous release is the political protection.</w:t>
      </w:r>
    </w:p>
    <w:p>
      <w:pPr>
        <w:pStyle w:val="Heading2"/>
        <w:keepNext w:val="true"/>
        <w:keepLines/>
        <w:bidi w:val="0"/>
        <w:spacing w:before="360" w:after="160"/>
        <w:rPr/>
      </w:pPr>
      <w:r>
        <w:rPr>
          <w:rFonts w:eastAsia="Microsoft YaHei" w:cs="Cambria"/>
          <w:b/>
          <w:color w:val="2C3E5E"/>
          <w:sz w:val="30"/>
          <w:szCs w:val="30"/>
        </w:rPr>
        <w:t>Section 11.2 - Humanitarian Messaging Package</w:t>
      </w:r>
    </w:p>
    <w:p>
      <w:pPr>
        <w:pStyle w:val="Normal"/>
        <w:bidi w:val="0"/>
        <w:spacing w:before="0" w:after="180"/>
        <w:rPr/>
      </w:pPr>
      <w:r>
        <w:rPr>
          <w:rFonts w:eastAsia="Microsoft YaHei" w:cs="Cambria"/>
          <w:color w:val="1E2530"/>
          <w:sz w:val="22"/>
          <w:szCs w:val="22"/>
        </w:rPr>
        <w:t>The following messaging guidance governs how each side frames humanitarian wins to its domestic audience and to the international community.</w:t>
      </w:r>
    </w:p>
    <w:p>
      <w:pPr>
        <w:pStyle w:val="Heading3"/>
        <w:keepNext w:val="true"/>
        <w:keepLines/>
        <w:bidi w:val="0"/>
        <w:spacing w:before="280" w:after="120"/>
        <w:rPr/>
      </w:pPr>
      <w:r>
        <w:rPr>
          <w:rFonts w:eastAsia="Microsoft YaHei" w:cs="Cambria"/>
          <w:b/>
          <w:color w:val="1E2530"/>
          <w:sz w:val="20"/>
          <w:szCs w:val="20"/>
        </w:rPr>
        <w:t>Iran's Humanitarian Narrative</w:t>
      </w:r>
    </w:p>
    <w:p>
      <w:pPr>
        <w:pStyle w:val="Normal"/>
        <w:bidi w:val="0"/>
        <w:spacing w:before="0" w:after="180"/>
        <w:rPr/>
      </w:pPr>
      <w:r>
        <w:rPr>
          <w:rFonts w:eastAsia="Microsoft YaHei" w:cs="Cambria"/>
          <w:color w:val="1E2530"/>
          <w:sz w:val="22"/>
          <w:szCs w:val="22"/>
        </w:rPr>
        <w:t>Iran frames the humanitarian provisions as follows:</w:t>
      </w:r>
    </w:p>
    <w:p>
      <w:pPr>
        <w:pStyle w:val="Normal"/>
        <w:numPr>
          <w:ilvl w:val="0"/>
          <w:numId w:val="1"/>
        </w:numPr>
        <w:bidi w:val="0"/>
        <w:spacing w:before="0" w:after="160"/>
        <w:rPr/>
      </w:pPr>
      <w:r>
        <w:rPr>
          <w:rFonts w:eastAsia="Microsoft YaHei" w:cs="Cambria"/>
          <w:b/>
          <w:color w:val="1E2530"/>
          <w:sz w:val="22"/>
          <w:szCs w:val="22"/>
        </w:rPr>
        <w:t xml:space="preserve">The $250 million humanitarian tranche - </w:t>
      </w:r>
      <w:r>
        <w:rPr>
          <w:rFonts w:eastAsia="Microsoft YaHei" w:cs="Cambria"/>
          <w:color w:val="1E2530"/>
          <w:sz w:val="22"/>
          <w:szCs w:val="22"/>
        </w:rPr>
        <w:t>"Frozen Iranian assets, illegally withheld for years, now flow to Iranian hospitals, pharmacies, and food security programs. This is not American charity. This is the restoration of what was always Iran's."</w:t>
      </w:r>
    </w:p>
    <w:p>
      <w:pPr>
        <w:pStyle w:val="Normal"/>
        <w:numPr>
          <w:ilvl w:val="0"/>
          <w:numId w:val="1"/>
        </w:numPr>
        <w:bidi w:val="0"/>
        <w:spacing w:before="0" w:after="160"/>
        <w:rPr/>
      </w:pPr>
      <w:r>
        <w:rPr>
          <w:rFonts w:eastAsia="Microsoft YaHei" w:cs="Cambria"/>
          <w:b/>
          <w:color w:val="1E2530"/>
          <w:sz w:val="22"/>
          <w:szCs w:val="22"/>
        </w:rPr>
        <w:t xml:space="preserve">The prisoner exchange - </w:t>
      </w:r>
      <w:r>
        <w:rPr>
          <w:rFonts w:eastAsia="Microsoft YaHei" w:cs="Cambria"/>
          <w:color w:val="1E2530"/>
          <w:sz w:val="22"/>
          <w:szCs w:val="22"/>
        </w:rPr>
        <w:t>"Iranian citizens unjustly detained abroad return home. Iran negotiated their release from strength, not weakness. Every Iranian released corresponds to a simultaneous release by the other side."</w:t>
      </w:r>
    </w:p>
    <w:p>
      <w:pPr>
        <w:pStyle w:val="Normal"/>
        <w:numPr>
          <w:ilvl w:val="0"/>
          <w:numId w:val="1"/>
        </w:numPr>
        <w:bidi w:val="0"/>
        <w:spacing w:before="0" w:after="160"/>
        <w:rPr/>
      </w:pPr>
      <w:r>
        <w:rPr>
          <w:rFonts w:eastAsia="Microsoft YaHei" w:cs="Cambria"/>
          <w:b/>
          <w:color w:val="1E2530"/>
          <w:sz w:val="22"/>
          <w:szCs w:val="22"/>
        </w:rPr>
        <w:t xml:space="preserve">The ceasefire - </w:t>
      </w:r>
      <w:r>
        <w:rPr>
          <w:rFonts w:eastAsia="Microsoft YaHei" w:cs="Cambria"/>
          <w:color w:val="1E2530"/>
          <w:sz w:val="22"/>
          <w:szCs w:val="22"/>
        </w:rPr>
        <w:t>"The bombing stops. Iranian civilians are safe. Iranian infrastructure is no longer under threat. This is what resistance achieves: security without surrender."</w:t>
      </w:r>
    </w:p>
    <w:p>
      <w:pPr>
        <w:pStyle w:val="Heading3"/>
        <w:keepNext w:val="true"/>
        <w:keepLines/>
        <w:bidi w:val="0"/>
        <w:spacing w:before="280" w:after="120"/>
        <w:rPr/>
      </w:pPr>
      <w:r>
        <w:rPr>
          <w:rFonts w:eastAsia="Microsoft YaHei" w:cs="Cambria"/>
          <w:b/>
          <w:color w:val="1E2530"/>
          <w:sz w:val="20"/>
          <w:szCs w:val="20"/>
        </w:rPr>
        <w:t>United States Humanitarian Narrative</w:t>
      </w:r>
    </w:p>
    <w:p>
      <w:pPr>
        <w:pStyle w:val="Normal"/>
        <w:bidi w:val="0"/>
        <w:spacing w:before="0" w:after="180"/>
        <w:rPr/>
      </w:pPr>
      <w:r>
        <w:rPr>
          <w:rFonts w:eastAsia="Microsoft YaHei" w:cs="Cambria"/>
          <w:color w:val="1E2530"/>
          <w:sz w:val="22"/>
          <w:szCs w:val="22"/>
        </w:rPr>
        <w:t>The United States frames the humanitarian provisions as follows:</w:t>
      </w:r>
    </w:p>
    <w:p>
      <w:pPr>
        <w:pStyle w:val="Normal"/>
        <w:numPr>
          <w:ilvl w:val="0"/>
          <w:numId w:val="1"/>
        </w:numPr>
        <w:bidi w:val="0"/>
        <w:spacing w:before="0" w:after="160"/>
        <w:rPr/>
      </w:pPr>
      <w:r>
        <w:rPr>
          <w:rFonts w:eastAsia="Microsoft YaHei" w:cs="Cambria"/>
          <w:b/>
          <w:color w:val="1E2530"/>
          <w:sz w:val="22"/>
          <w:szCs w:val="22"/>
        </w:rPr>
        <w:t xml:space="preserve">The $250 million humanitarian tranche - </w:t>
      </w:r>
      <w:r>
        <w:rPr>
          <w:rFonts w:eastAsia="Microsoft YaHei" w:cs="Cambria"/>
          <w:color w:val="1E2530"/>
          <w:sz w:val="22"/>
          <w:szCs w:val="22"/>
        </w:rPr>
        <w:t>"Humanitarian funds for medicine and food reach the Iranian people directly. These are not payments to the Iranian government. These are humanitarian goods for ordinary Iranians who are not our enemy."</w:t>
      </w:r>
    </w:p>
    <w:p>
      <w:pPr>
        <w:pStyle w:val="Normal"/>
        <w:numPr>
          <w:ilvl w:val="0"/>
          <w:numId w:val="1"/>
        </w:numPr>
        <w:bidi w:val="0"/>
        <w:spacing w:before="0" w:after="160"/>
        <w:rPr/>
      </w:pPr>
      <w:r>
        <w:rPr>
          <w:rFonts w:eastAsia="Microsoft YaHei" w:cs="Cambria"/>
          <w:b/>
          <w:color w:val="1E2530"/>
          <w:sz w:val="22"/>
          <w:szCs w:val="22"/>
        </w:rPr>
        <w:t xml:space="preserve">The prisoner exchange - </w:t>
      </w:r>
      <w:r>
        <w:rPr>
          <w:rFonts w:eastAsia="Microsoft YaHei" w:cs="Cambria"/>
          <w:color w:val="1E2530"/>
          <w:sz w:val="22"/>
          <w:szCs w:val="22"/>
        </w:rPr>
        <w:t>"American citizens and allies unjustly detained in Iran come home. This exchange is simultaneous and reciprocal, not a concession. The United States does not pay ransom; the United States secures release through diplomatic strength."</w:t>
      </w:r>
    </w:p>
    <w:p>
      <w:pPr>
        <w:pStyle w:val="Normal"/>
        <w:numPr>
          <w:ilvl w:val="0"/>
          <w:numId w:val="1"/>
        </w:numPr>
        <w:bidi w:val="0"/>
        <w:spacing w:before="0" w:after="160"/>
        <w:rPr/>
      </w:pPr>
      <w:r>
        <w:rPr>
          <w:rFonts w:eastAsia="Microsoft YaHei" w:cs="Cambria"/>
          <w:b/>
          <w:color w:val="1E2530"/>
          <w:sz w:val="22"/>
          <w:szCs w:val="22"/>
        </w:rPr>
        <w:t xml:space="preserve">The ceasefire - </w:t>
      </w:r>
      <w:r>
        <w:rPr>
          <w:rFonts w:eastAsia="Microsoft YaHei" w:cs="Cambria"/>
          <w:color w:val="1E2530"/>
          <w:sz w:val="22"/>
          <w:szCs w:val="22"/>
        </w:rPr>
        <w:t>"American forces are no longer at risk of Iranian retaliation. The region stabilizes. American diplomatic leadership achieves what military escalation could not: verified constraints on Iran's nuclear program without a single American casualty."</w:t>
      </w:r>
    </w:p>
    <w:p>
      <w:pPr>
        <w:pStyle w:val="Heading2"/>
        <w:keepNext w:val="true"/>
        <w:keepLines/>
        <w:bidi w:val="0"/>
        <w:spacing w:before="360" w:after="160"/>
        <w:rPr/>
      </w:pPr>
      <w:r>
        <w:rPr>
          <w:rFonts w:eastAsia="Microsoft YaHei" w:cs="Cambria"/>
          <w:b/>
          <w:color w:val="2C3E5E"/>
          <w:sz w:val="30"/>
          <w:szCs w:val="30"/>
        </w:rPr>
        <w:t>Section 11.3 - Humanitarian Firewall</w:t>
      </w:r>
    </w:p>
    <w:p>
      <w:pPr>
        <w:pStyle w:val="Normal"/>
        <w:bidi w:val="0"/>
        <w:spacing w:before="0" w:after="180"/>
        <w:rPr/>
      </w:pPr>
      <w:r>
        <w:rPr>
          <w:rFonts w:eastAsia="Microsoft YaHei" w:cs="Cambria"/>
          <w:color w:val="1E2530"/>
          <w:sz w:val="22"/>
          <w:szCs w:val="22"/>
        </w:rPr>
        <w:t>Humanitarian provisions operate under an absolute firewall. No Step-Back, no compliance dispute, and no political disagreement affects humanitarian flows once released. The firewall protects the following:</w:t>
      </w:r>
    </w:p>
    <w:p>
      <w:pPr>
        <w:pStyle w:val="Normal"/>
        <w:numPr>
          <w:ilvl w:val="0"/>
          <w:numId w:val="1"/>
        </w:numPr>
        <w:bidi w:val="0"/>
        <w:spacing w:before="0" w:after="160"/>
        <w:rPr/>
      </w:pPr>
      <w:r>
        <w:rPr>
          <w:rFonts w:eastAsia="Microsoft YaHei" w:cs="Cambria"/>
          <w:b/>
          <w:color w:val="1E2530"/>
          <w:sz w:val="22"/>
          <w:szCs w:val="22"/>
        </w:rPr>
        <w:t xml:space="preserve">Released humanitarian funds - </w:t>
      </w:r>
      <w:r>
        <w:rPr>
          <w:rFonts w:eastAsia="Microsoft YaHei" w:cs="Cambria"/>
          <w:color w:val="1E2530"/>
          <w:sz w:val="22"/>
          <w:szCs w:val="22"/>
        </w:rPr>
        <w:t>Funds already disbursed from the $250 million humanitarian tranche and any subsequent humanitarian releases are not subject to clawback, freezing, or reversal under any circumstances.</w:t>
      </w:r>
    </w:p>
    <w:p>
      <w:pPr>
        <w:pStyle w:val="Normal"/>
        <w:numPr>
          <w:ilvl w:val="0"/>
          <w:numId w:val="1"/>
        </w:numPr>
        <w:bidi w:val="0"/>
        <w:spacing w:before="0" w:after="160"/>
        <w:rPr/>
      </w:pPr>
      <w:r>
        <w:rPr>
          <w:rFonts w:eastAsia="Microsoft YaHei" w:cs="Cambria"/>
          <w:b/>
          <w:color w:val="1E2530"/>
          <w:sz w:val="22"/>
          <w:szCs w:val="22"/>
        </w:rPr>
        <w:t xml:space="preserve">Humanitarian transit - </w:t>
      </w:r>
      <w:r>
        <w:rPr>
          <w:rFonts w:eastAsia="Microsoft YaHei" w:cs="Cambria"/>
          <w:color w:val="1E2530"/>
          <w:sz w:val="22"/>
          <w:szCs w:val="22"/>
        </w:rPr>
        <w:t>Commercial vessels carrying humanitarian goods — medicine, food, medical equipment — transit the Strait of Hormuz with zero toll and zero inspection delay regardless of Compact status.</w:t>
      </w:r>
    </w:p>
    <w:p>
      <w:pPr>
        <w:pStyle w:val="Normal"/>
        <w:numPr>
          <w:ilvl w:val="0"/>
          <w:numId w:val="1"/>
        </w:numPr>
        <w:bidi w:val="0"/>
        <w:spacing w:before="0" w:after="160"/>
        <w:rPr/>
      </w:pPr>
      <w:r>
        <w:rPr>
          <w:rFonts w:eastAsia="Microsoft YaHei" w:cs="Cambria"/>
          <w:b/>
          <w:color w:val="1E2530"/>
          <w:sz w:val="22"/>
          <w:szCs w:val="22"/>
        </w:rPr>
        <w:t xml:space="preserve">Prisoner releases - </w:t>
      </w:r>
      <w:r>
        <w:rPr>
          <w:rFonts w:eastAsia="Microsoft YaHei" w:cs="Cambria"/>
          <w:color w:val="1E2530"/>
          <w:sz w:val="22"/>
          <w:szCs w:val="22"/>
        </w:rPr>
        <w:t>Prisoners already transferred through Stage One or Stage Two exchanges are not subject to recall, reversal, or re-detention under any Compact mechanism.</w:t>
      </w:r>
    </w:p>
    <w:p>
      <w:pPr>
        <w:pStyle w:val="Normal"/>
        <w:numPr>
          <w:ilvl w:val="0"/>
          <w:numId w:val="1"/>
        </w:numPr>
        <w:bidi w:val="0"/>
        <w:spacing w:before="0" w:after="160"/>
        <w:rPr/>
        <w:sectPr>
          <w:headerReference w:type="default" r:id="rId7"/>
          <w:footerReference w:type="default" r:id="rId8"/>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1E2530"/>
          <w:sz w:val="22"/>
          <w:szCs w:val="22"/>
        </w:rPr>
        <w:t xml:space="preserve">Medical and food security programs - </w:t>
      </w:r>
      <w:r>
        <w:rPr>
          <w:rFonts w:eastAsia="Microsoft YaHei" w:cs="Cambria"/>
          <w:color w:val="1E2530"/>
          <w:sz w:val="22"/>
          <w:szCs w:val="22"/>
        </w:rPr>
        <w:t>Programs funded by released humanitarian tranches continue regardless of any Step-Back, dispute, or withdrawal. The humanitarian firewall is absolute and non-waivable.</w:t>
      </w:r>
    </w:p>
    <w:p>
      <w:pPr>
        <w:pStyle w:val="Heading1"/>
        <w:bidi w:val="0"/>
        <w:rPr/>
      </w:pPr>
      <w:r>
        <w:rPr>
          <w:rFonts w:eastAsia="Microsoft YaHei" w:cs="Cambria"/>
          <w:b/>
          <w:color w:val="1A2744"/>
          <w:sz w:val="40"/>
          <w:szCs w:val="40"/>
        </w:rPr>
        <w:t>Annex E: Nuclear Reciprocity Matrix and Sequencing Map</w:t>
      </w:r>
    </w:p>
    <w:p>
      <w:pPr>
        <w:pStyle w:val="Normal"/>
        <w:bidi w:val="0"/>
        <w:spacing w:before="0" w:after="180"/>
        <w:rPr/>
      </w:pPr>
      <w:r>
        <w:rPr>
          <w:rFonts w:eastAsia="Microsoft YaHei" w:cs="Cambria"/>
          <w:color w:val="1E2530"/>
          <w:sz w:val="22"/>
          <w:szCs w:val="22"/>
        </w:rPr>
        <w:t>This annex provides the nuclear-specific reciprocity architecture. It maps Iranian nuclear steps against American reciprocal measures on a precise timeline. This is the nuclear engine of the Compact.</w:t>
      </w:r>
    </w:p>
    <w:p>
      <w:pPr>
        <w:pStyle w:val="Heading2"/>
        <w:keepNext w:val="true"/>
        <w:keepLines/>
        <w:bidi w:val="0"/>
        <w:spacing w:before="360" w:after="160"/>
        <w:rPr/>
      </w:pPr>
      <w:r>
        <w:rPr>
          <w:rFonts w:eastAsia="Microsoft YaHei" w:cs="Cambria"/>
          <w:b/>
          <w:color w:val="2C3E5E"/>
          <w:sz w:val="30"/>
          <w:szCs w:val="30"/>
        </w:rPr>
        <w:t>E.1 Nuclear Reciprocity Matrix</w:t>
      </w:r>
    </w:p>
    <w:p>
      <w:pPr>
        <w:pStyle w:val="Normal"/>
        <w:bidi w:val="0"/>
        <w:spacing w:before="0" w:after="180"/>
        <w:rPr/>
      </w:pPr>
      <w:r>
        <w:rPr>
          <w:rFonts w:eastAsia="Microsoft YaHei" w:cs="Cambria"/>
          <w:color w:val="1E2530"/>
          <w:sz w:val="22"/>
          <w:szCs w:val="22"/>
        </w:rPr>
        <w:t>The following matrix maps every Iranian nuclear step against its American reciprocal counterpart. Each row is a reciprocity unit. Each unit activates upon IAEA certification of the Iranian step.</w:t>
      </w:r>
    </w:p>
    <w:tbl>
      <w:tblPr>
        <w:tblW w:w="5000" w:type="pct"/>
        <w:jc w:val="start"/>
        <w:tblInd w:w="0" w:type="dxa"/>
        <w:tblLayout w:type="fixed"/>
        <w:tblCellMar>
          <w:top w:w="0" w:type="dxa"/>
          <w:start w:w="108" w:type="dxa"/>
          <w:bottom w:w="0" w:type="dxa"/>
          <w:end w:w="108" w:type="dxa"/>
        </w:tblCellMar>
      </w:tblPr>
      <w:tblGrid>
        <w:gridCol w:w="2499"/>
        <w:gridCol w:w="972"/>
        <w:gridCol w:w="2777"/>
        <w:gridCol w:w="2777"/>
      </w:tblGrid>
      <w:tr>
        <w:trPr>
          <w:tblHeader w:val="true"/>
        </w:trPr>
        <w:tc>
          <w:tcPr>
            <w:tcW w:w="2499"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Timeline</w:t>
            </w:r>
          </w:p>
        </w:tc>
        <w:tc>
          <w:tcPr>
            <w:tcW w:w="97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Iranian Step</w:t>
            </w:r>
          </w:p>
        </w:tc>
        <w:tc>
          <w:tcPr>
            <w:tcW w:w="277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IAEA Certification Required</w:t>
            </w:r>
          </w:p>
        </w:tc>
        <w:tc>
          <w:tcPr>
            <w:tcW w:w="2777"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1E2530"/>
                <w:sz w:val="20"/>
                <w:szCs w:val="20"/>
              </w:rPr>
              <w:t>U.S. Reciprocal Measure</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1 (upon signature)</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Maintain enrichment at or below 3.67%; sustain seal integrity on all material above 5%</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confirms no enrichment above 3.67% is occurring at declared facilities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$250 million humanitarian tranche releases from Swiss escrow; oil export processing begins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3</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Facilitate IAEA installation of continuous monitoring equipment at all declared facilities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monitoring equipment is operational and transmitting data</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Humanitarian general license expands to cover agricultural commodities and civilian aviation parts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7</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Provide complete declaration of all enriched uranium stockpiles, including locations, quantities, and enrichment levels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confirms the declaration is consistent with available data or identifies and explains discrepancies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Treasury publishes licensing guidance; SWIFT engagement guidance issued to European banks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14</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Apply tamper-evident IAEA seals to all enriched uranium stockpiles above 5%; confirm seal integrity on dashboard</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all seals applied and intact; dashboard shows green status for all sealed material</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Tier Two sanctions relief activates: direct agricultural licensing, OFAC case management streamlines</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14 (parallel)</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Agree disposition pathway for 60% HEU stockpile: downblending to 3.67% or transfer to IAEA monitored storage</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confirms disposition plan is technically sound and monitors first disposition operations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Initial Compliance Unlock: $2 billion of Iran’s own frozen assets releases through neutral Swiss escrow. The verified Day 14 sealing of all material above 5 percent activates this release, and no signing event triggers it. The remaining frozen assets stay in escrow pending verified Phase Three nuclear milestones (Annex C).</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30</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Complete 25% of agreed 60% HEU disposition; provide IAEA full access for verification</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25% disposition milestone achieved and material accountancy is complete</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Front-loaded tranche #2 releases; bilateral technical working groups on nuclear cooperation activate</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45</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Complete 50% of agreed 60% HEU disposition; all remaining material above 20% under IAEA dual-key custody</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the Disposition Milestone; good-faith fast lane activates; structural relief converts to renewable five-year licenses</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Tier Three relief begins: SWIFT reconnection, foreign subsidiary licensing, third-party bank guidance, JCPOA-equivalent oil/insurance licensing, pharmaceutical IP licensing</w:t>
            </w:r>
          </w:p>
        </w:tc>
      </w:tr>
      <w:tr>
        <w:trPr/>
        <w:tc>
          <w:tcPr>
            <w:tcW w:w="249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Day 60</w:t>
            </w:r>
          </w:p>
        </w:tc>
        <w:tc>
          <w:tcPr>
            <w:tcW w:w="97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Complete 75% of agreed 60% HEU disposition; all material above 5% either downblended, transferred, or under dual-key custody</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IAEA certifies 75% disposition and confirms remaining material is fully secured</w:t>
            </w:r>
          </w:p>
        </w:tc>
        <w:tc>
          <w:tcPr>
            <w:tcW w:w="2777"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4A5568"/>
                <w:sz w:val="19"/>
                <w:szCs w:val="19"/>
              </w:rPr>
              <w:t>Comprehensive Joint Nuclear Cooperation Dialogue launches; framework renewal activates</w:t>
            </w:r>
          </w:p>
        </w:tc>
      </w:tr>
      <w:tr>
        <w:trPr/>
        <w:tc>
          <w:tcPr>
            <w:tcW w:w="2499"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Day 90 (framework renewal)</w:t>
            </w:r>
          </w:p>
        </w:tc>
        <w:tc>
          <w:tcPr>
            <w:tcW w:w="97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Complete 100% of agreed 60% HEU disposition; all material at or below 5% except IAEA-monitored research quantities</w:t>
            </w:r>
          </w:p>
        </w:tc>
        <w:tc>
          <w:tcPr>
            <w:tcW w:w="2777"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IAEA certifies full disposition and issues final compliance report</w:t>
            </w:r>
          </w:p>
        </w:tc>
        <w:tc>
          <w:tcPr>
            <w:tcW w:w="2777"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4A5568"/>
                <w:sz w:val="19"/>
                <w:szCs w:val="19"/>
              </w:rPr>
              <w:t>Permanent resolution working group activates; comprehensive sanctions architecture review begins; JCPOA implementation declared</w:t>
            </w:r>
          </w:p>
        </w:tc>
      </w:tr>
    </w:tbl>
    <w:p>
      <w:pPr>
        <w:pStyle w:val="Heading2"/>
        <w:keepNext w:val="true"/>
        <w:keepLines/>
        <w:bidi w:val="0"/>
        <w:spacing w:before="360" w:after="160"/>
        <w:rPr/>
      </w:pPr>
      <w:r>
        <w:rPr>
          <w:rFonts w:eastAsia="Microsoft YaHei" w:cs="Cambria"/>
          <w:b/>
          <w:color w:val="2C3E5E"/>
          <w:sz w:val="30"/>
          <w:szCs w:val="30"/>
        </w:rPr>
        <w:t>E.2 Nuclear Public-Wins Summary</w:t>
      </w:r>
    </w:p>
    <w:p>
      <w:pPr>
        <w:pStyle w:val="Normal"/>
        <w:bidi w:val="0"/>
        <w:spacing w:before="0" w:after="180"/>
        <w:rPr/>
      </w:pPr>
      <w:r>
        <w:rPr>
          <w:rFonts w:eastAsia="Microsoft YaHei" w:cs="Cambria"/>
          <w:color w:val="1E2530"/>
          <w:sz w:val="22"/>
          <w:szCs w:val="22"/>
        </w:rPr>
        <w:t>The following headline-ready statements describe what the nuclear provisions achieve for each side. These are not legal commitments; they are the narrative each side uses to explain the nuclear outcome to its domestic audience.</w:t>
      </w:r>
    </w:p>
    <w:p>
      <w:pPr>
        <w:pStyle w:val="Heading3"/>
        <w:keepNext w:val="true"/>
        <w:keepLines/>
        <w:bidi w:val="0"/>
        <w:spacing w:before="280" w:after="120"/>
        <w:rPr/>
      </w:pPr>
      <w:r>
        <w:rPr>
          <w:rFonts w:eastAsia="Microsoft YaHei" w:cs="Cambria"/>
          <w:b/>
          <w:color w:val="1E2530"/>
          <w:sz w:val="20"/>
          <w:szCs w:val="20"/>
        </w:rPr>
        <w:t>Iran's Nuclear Narrative</w:t>
      </w:r>
    </w:p>
    <w:p>
      <w:pPr>
        <w:pStyle w:val="Normal"/>
        <w:numPr>
          <w:ilvl w:val="0"/>
          <w:numId w:val="1"/>
        </w:numPr>
        <w:bidi w:val="0"/>
        <w:spacing w:before="0" w:after="160"/>
        <w:rPr/>
      </w:pPr>
      <w:r>
        <w:rPr>
          <w:rFonts w:eastAsia="Microsoft YaHei" w:cs="Cambria"/>
          <w:b/>
          <w:color w:val="1E2530"/>
          <w:sz w:val="22"/>
          <w:szCs w:val="22"/>
        </w:rPr>
        <w:t xml:space="preserve">"Material stays in Iran" - </w:t>
      </w:r>
      <w:r>
        <w:rPr>
          <w:rFonts w:eastAsia="Microsoft YaHei" w:cs="Cambria"/>
          <w:color w:val="1E2530"/>
          <w:sz w:val="22"/>
          <w:szCs w:val="22"/>
        </w:rPr>
        <w:t>Iran's enriched uranium never leaves Iranian territory. IAEA seals and monitors the material where it sits. Iran retains custodial presence. The material is under joint supervision, not confiscation.</w:t>
      </w:r>
    </w:p>
    <w:p>
      <w:pPr>
        <w:pStyle w:val="Normal"/>
        <w:numPr>
          <w:ilvl w:val="0"/>
          <w:numId w:val="1"/>
        </w:numPr>
        <w:bidi w:val="0"/>
        <w:spacing w:before="0" w:after="160"/>
        <w:rPr/>
      </w:pPr>
      <w:r>
        <w:rPr>
          <w:rFonts w:eastAsia="Microsoft YaHei" w:cs="Cambria"/>
          <w:b/>
          <w:color w:val="1E2530"/>
          <w:sz w:val="22"/>
          <w:szCs w:val="22"/>
        </w:rPr>
        <w:t xml:space="preserve">"IAEA visibility restores — on Iran's terms" - </w:t>
      </w:r>
      <w:r>
        <w:rPr>
          <w:rFonts w:eastAsia="Microsoft YaHei" w:cs="Cambria"/>
          <w:color w:val="1E2530"/>
          <w:sz w:val="22"/>
          <w:szCs w:val="22"/>
        </w:rPr>
        <w:t>International inspectors return to Iranian facilities because Iran agreed to their return as part of a reciprocal framework that benefits Iran. Iran is not submitting to inspection; Iran is orchestrating a managed transparency that serves Iranian interests.</w:t>
      </w:r>
    </w:p>
    <w:p>
      <w:pPr>
        <w:pStyle w:val="Normal"/>
        <w:numPr>
          <w:ilvl w:val="0"/>
          <w:numId w:val="1"/>
        </w:numPr>
        <w:bidi w:val="0"/>
        <w:spacing w:before="0" w:after="160"/>
        <w:rPr/>
      </w:pPr>
      <w:r>
        <w:rPr>
          <w:rFonts w:eastAsia="Microsoft YaHei" w:cs="Cambria"/>
          <w:b/>
          <w:color w:val="1E2530"/>
          <w:sz w:val="22"/>
          <w:szCs w:val="22"/>
        </w:rPr>
        <w:t xml:space="preserve">"Enrichment rights preserved" - </w:t>
      </w:r>
      <w:r>
        <w:rPr>
          <w:rFonts w:eastAsia="Microsoft YaHei" w:cs="Cambria"/>
          <w:color w:val="1E2530"/>
          <w:sz w:val="22"/>
          <w:szCs w:val="22"/>
        </w:rPr>
        <w:t>Iran continues enriching uranium to 3.67% for civilian purposes. Iran retains all enrichment infrastructure. Iran's research and development program continues. No facility closes. No capability is abandoned.</w:t>
      </w:r>
    </w:p>
    <w:p>
      <w:pPr>
        <w:pStyle w:val="Normal"/>
        <w:numPr>
          <w:ilvl w:val="0"/>
          <w:numId w:val="1"/>
        </w:numPr>
        <w:bidi w:val="0"/>
        <w:spacing w:before="0" w:after="160"/>
        <w:rPr/>
      </w:pPr>
      <w:r>
        <w:rPr>
          <w:rFonts w:eastAsia="Microsoft YaHei" w:cs="Cambria"/>
          <w:b/>
          <w:color w:val="1E2530"/>
          <w:sz w:val="22"/>
          <w:szCs w:val="22"/>
        </w:rPr>
        <w:t xml:space="preserve">"No dismantlement" - </w:t>
      </w:r>
      <w:r>
        <w:rPr>
          <w:rFonts w:eastAsia="Microsoft YaHei" w:cs="Cambria"/>
          <w:color w:val="1E2530"/>
          <w:sz w:val="22"/>
          <w:szCs w:val="22"/>
        </w:rPr>
        <w:t>No Iranian centrifuge is destroyed under this Compact. No Iranian facility is converted. No Iranian scientist is excluded. The physical infrastructure of Iran's nuclear program remains exactly as it was, under Iranian management and IAEA monitoring.</w:t>
      </w:r>
    </w:p>
    <w:p>
      <w:pPr>
        <w:pStyle w:val="Heading3"/>
        <w:keepNext w:val="true"/>
        <w:keepLines/>
        <w:bidi w:val="0"/>
        <w:spacing w:before="280" w:after="120"/>
        <w:rPr/>
      </w:pPr>
      <w:r>
        <w:rPr>
          <w:rFonts w:eastAsia="Microsoft YaHei" w:cs="Cambria"/>
          <w:b/>
          <w:color w:val="1E2530"/>
          <w:sz w:val="20"/>
          <w:szCs w:val="20"/>
        </w:rPr>
        <w:t>United States Nuclear Narrative</w:t>
      </w:r>
    </w:p>
    <w:p>
      <w:pPr>
        <w:pStyle w:val="Normal"/>
        <w:numPr>
          <w:ilvl w:val="0"/>
          <w:numId w:val="1"/>
        </w:numPr>
        <w:bidi w:val="0"/>
        <w:spacing w:before="0" w:after="160"/>
        <w:rPr/>
      </w:pPr>
      <w:r>
        <w:rPr>
          <w:rFonts w:eastAsia="Microsoft YaHei" w:cs="Cambria"/>
          <w:b/>
          <w:color w:val="1E2530"/>
          <w:sz w:val="22"/>
          <w:szCs w:val="22"/>
        </w:rPr>
        <w:t xml:space="preserve">"Weapons-grade material neutralized" - </w:t>
      </w:r>
      <w:r>
        <w:rPr>
          <w:rFonts w:eastAsia="Microsoft YaHei" w:cs="Cambria"/>
          <w:color w:val="1E2530"/>
          <w:sz w:val="22"/>
          <w:szCs w:val="22"/>
        </w:rPr>
        <w:t>All 60% enriched uranium — the stockpile capable of rapid weapons-grade conversion — comes under IAEA verified custody or is downblended to non-weapons-usable levels. The breakout timeline extends from weeks to months.</w:t>
      </w:r>
    </w:p>
    <w:p>
      <w:pPr>
        <w:pStyle w:val="Normal"/>
        <w:numPr>
          <w:ilvl w:val="0"/>
          <w:numId w:val="1"/>
        </w:numPr>
        <w:bidi w:val="0"/>
        <w:spacing w:before="0" w:after="160"/>
        <w:rPr/>
      </w:pPr>
      <w:r>
        <w:rPr>
          <w:rFonts w:eastAsia="Microsoft YaHei" w:cs="Cambria"/>
          <w:b/>
          <w:color w:val="1E2530"/>
          <w:sz w:val="22"/>
          <w:szCs w:val="22"/>
        </w:rPr>
        <w:t xml:space="preserve">"Verification before relief, every time" - </w:t>
      </w:r>
      <w:r>
        <w:rPr>
          <w:rFonts w:eastAsia="Microsoft YaHei" w:cs="Cambria"/>
          <w:color w:val="1E2530"/>
          <w:sz w:val="22"/>
          <w:szCs w:val="22"/>
        </w:rPr>
        <w:t>No sanctions relief tranche activates before IAEA certifies the corresponding Iranian nuclear step. The escrow architecture ensures this. The dashboard confirms it. The sequence is locked: verify first, relieve second.</w:t>
      </w:r>
    </w:p>
    <w:p>
      <w:pPr>
        <w:pStyle w:val="Normal"/>
        <w:numPr>
          <w:ilvl w:val="0"/>
          <w:numId w:val="1"/>
        </w:numPr>
        <w:bidi w:val="0"/>
        <w:spacing w:before="0" w:after="160"/>
        <w:rPr/>
      </w:pPr>
      <w:r>
        <w:rPr>
          <w:rFonts w:eastAsia="Microsoft YaHei" w:cs="Cambria"/>
          <w:b/>
          <w:color w:val="1E2530"/>
          <w:sz w:val="22"/>
          <w:szCs w:val="22"/>
        </w:rPr>
        <w:t xml:space="preserve">"Continuous monitoring prevents breakout" - </w:t>
      </w:r>
      <w:r>
        <w:rPr>
          <w:rFonts w:eastAsia="Microsoft YaHei" w:cs="Cambria"/>
          <w:color w:val="1E2530"/>
          <w:sz w:val="22"/>
          <w:szCs w:val="22"/>
        </w:rPr>
        <w:t>Online enrichment monitors, tamper-indicating seals, and remote surveillance operate 24/7 at all declared facilities. Any deviation triggers automatic suspension of the corresponding relief tranche. Sensors, not politics, govern the process.</w:t>
      </w:r>
    </w:p>
    <w:p>
      <w:pPr>
        <w:pStyle w:val="Normal"/>
        <w:numPr>
          <w:ilvl w:val="0"/>
          <w:numId w:val="1"/>
        </w:numPr>
        <w:bidi w:val="0"/>
        <w:spacing w:before="0" w:after="160"/>
        <w:rPr/>
      </w:pPr>
      <w:r>
        <w:rPr>
          <w:rFonts w:eastAsia="Microsoft YaHei" w:cs="Cambria"/>
          <w:b/>
          <w:color w:val="1E2530"/>
          <w:sz w:val="22"/>
          <w:szCs w:val="22"/>
        </w:rPr>
        <w:t xml:space="preserve">"Reversible at every stage" - </w:t>
      </w:r>
      <w:r>
        <w:rPr>
          <w:rFonts w:eastAsia="Microsoft YaHei" w:cs="Cambria"/>
          <w:color w:val="1E2530"/>
          <w:sz w:val="22"/>
          <w:szCs w:val="22"/>
        </w:rPr>
        <w:t>Until the final tranche, every relief measure is reversible through the step-back mechanism. The United States retains full leverage throughout the process. Iran knows that cheating ends the relief.</w:t>
      </w:r>
    </w:p>
    <w:p>
      <w:pPr>
        <w:pStyle w:val="Heading2"/>
        <w:keepNext w:val="true"/>
        <w:keepLines/>
        <w:bidi w:val="0"/>
        <w:spacing w:before="360" w:after="160"/>
        <w:rPr/>
      </w:pPr>
      <w:r>
        <w:rPr>
          <w:rFonts w:eastAsia="Microsoft YaHei" w:cs="Cambria"/>
          <w:b/>
          <w:color w:val="2C3E5E"/>
          <w:sz w:val="30"/>
          <w:szCs w:val="30"/>
        </w:rPr>
        <w:t>E.3 Explicit Nuclear Trigger Language</w:t>
      </w:r>
    </w:p>
    <w:p>
      <w:pPr>
        <w:pStyle w:val="Normal"/>
        <w:bidi w:val="0"/>
        <w:spacing w:before="0" w:after="180"/>
        <w:rPr/>
      </w:pPr>
      <w:r>
        <w:rPr>
          <w:rFonts w:eastAsia="Microsoft YaHei" w:cs="Cambria"/>
          <w:color w:val="1E2530"/>
          <w:sz w:val="22"/>
          <w:szCs w:val="22"/>
        </w:rPr>
        <w:t>The following provisions tie every nuclear step to its corresponding reciprocal activation. This language ensures that no nuclear step proceeds without its matched American measure, and no American measure activates without prior IAEA certification of the Iranian step.</w:t>
      </w:r>
    </w:p>
    <w:p>
      <w:pPr>
        <w:pStyle w:val="Normal"/>
        <w:shd w:val="clear" w:fill="F5F0E8"/>
        <w:bidi w:val="0"/>
        <w:spacing w:before="200" w:after="200"/>
        <w:ind w:start="360" w:end="360" w:hanging="0"/>
        <w:jc w:val="both"/>
        <w:rPr/>
      </w:pPr>
      <w:r>
        <w:rPr>
          <w:rFonts w:eastAsia="Microsoft YaHei" w:cs="Cambria"/>
          <w:i/>
          <w:color w:val="1E2530"/>
          <w:sz w:val="22"/>
          <w:szCs w:val="22"/>
        </w:rPr>
        <w:t>"The IAEA certifies the Iranian nuclear step. The certification posts to the Swiss-hosted dashboard. Both Parties receive simultaneous notification. The corresponding U.S. reciprocal measure activates automatically within 24 hours of certification posting. No certification means no activation. No certification means no relief."</w:t>
      </w:r>
    </w:p>
    <w:p>
      <w:pPr>
        <w:pStyle w:val="Normal"/>
        <w:bidi w:val="0"/>
        <w:spacing w:before="0" w:after="180"/>
        <w:rPr/>
      </w:pPr>
      <w:r>
        <w:rPr>
          <w:rFonts w:eastAsia="Microsoft YaHei" w:cs="Cambria"/>
          <w:color w:val="1E2530"/>
          <w:sz w:val="22"/>
          <w:szCs w:val="22"/>
        </w:rPr>
        <w:t>This trigger language operates for every row in the Nuclear Reciprocity Matrix. It is not renegotiable on a case-by-case basis. The framework performs the activation, not human negotiators.</w:t>
      </w:r>
    </w:p>
    <w:p>
      <w:pPr>
        <w:pStyle w:val="Heading2"/>
        <w:keepNext w:val="true"/>
        <w:keepLines/>
        <w:bidi w:val="0"/>
        <w:spacing w:before="360" w:after="160"/>
        <w:rPr/>
      </w:pPr>
      <w:r>
        <w:rPr>
          <w:rFonts w:eastAsia="Microsoft YaHei" w:cs="Cambria"/>
          <w:b/>
          <w:color w:val="2C3E5E"/>
          <w:sz w:val="30"/>
          <w:szCs w:val="30"/>
        </w:rPr>
        <w:t>E.4 Clarification Mechanism for IAEA Disputes</w:t>
      </w:r>
    </w:p>
    <w:p>
      <w:pPr>
        <w:pStyle w:val="Normal"/>
        <w:bidi w:val="0"/>
        <w:spacing w:before="0" w:after="180"/>
        <w:rPr/>
      </w:pPr>
      <w:r>
        <w:rPr>
          <w:rFonts w:eastAsia="Microsoft YaHei" w:cs="Cambria"/>
          <w:color w:val="1E2530"/>
          <w:sz w:val="22"/>
          <w:szCs w:val="22"/>
        </w:rPr>
        <w:t>Technical disagreements between the IAEA and Iran about nuclear activities do not escalate to political crises under this mechanism. The following protocol prevents technical disputes from derailing the Compact:</w:t>
      </w:r>
    </w:p>
    <w:p>
      <w:pPr>
        <w:pStyle w:val="Normal"/>
        <w:numPr>
          <w:ilvl w:val="0"/>
          <w:numId w:val="1"/>
        </w:numPr>
        <w:bidi w:val="0"/>
        <w:spacing w:before="0" w:after="160"/>
        <w:rPr/>
      </w:pPr>
      <w:r>
        <w:rPr>
          <w:rFonts w:eastAsia="Microsoft YaHei" w:cs="Cambria"/>
          <w:b/>
          <w:color w:val="1E2530"/>
          <w:sz w:val="22"/>
          <w:szCs w:val="22"/>
        </w:rPr>
        <w:t xml:space="preserve">Technical consultation priority - </w:t>
      </w:r>
      <w:r>
        <w:rPr>
          <w:rFonts w:eastAsia="Microsoft YaHei" w:cs="Cambria"/>
          <w:color w:val="1E2530"/>
          <w:sz w:val="22"/>
          <w:szCs w:val="22"/>
        </w:rPr>
        <w:t>Any IAEA finding that Iran disputes triggers a 72-hour technical consultation between Iranian nuclear officials, IAEA technical staff, and the Neutral Guarantor's scientific advisor. The consultation addresses the technical facts, not the political implications.</w:t>
      </w:r>
    </w:p>
    <w:p>
      <w:pPr>
        <w:pStyle w:val="Normal"/>
        <w:numPr>
          <w:ilvl w:val="0"/>
          <w:numId w:val="1"/>
        </w:numPr>
        <w:bidi w:val="0"/>
        <w:spacing w:before="0" w:after="160"/>
        <w:rPr/>
      </w:pPr>
      <w:r>
        <w:rPr>
          <w:rFonts w:eastAsia="Microsoft YaHei" w:cs="Cambria"/>
          <w:b/>
          <w:color w:val="1E2530"/>
          <w:sz w:val="22"/>
          <w:szCs w:val="22"/>
        </w:rPr>
        <w:t xml:space="preserve">Dashboard transparency - </w:t>
      </w:r>
      <w:r>
        <w:rPr>
          <w:rFonts w:eastAsia="Microsoft YaHei" w:cs="Cambria"/>
          <w:color w:val="1E2530"/>
          <w:sz w:val="22"/>
          <w:szCs w:val="22"/>
        </w:rPr>
        <w:t>Both Parties post their respective technical positions on the Swiss-hosted dashboard within 12 hours of the dispute arising. The public sees both positions simultaneously. Neither side controls the narrative exclusively.</w:t>
      </w:r>
    </w:p>
    <w:p>
      <w:pPr>
        <w:pStyle w:val="Normal"/>
        <w:numPr>
          <w:ilvl w:val="0"/>
          <w:numId w:val="1"/>
        </w:numPr>
        <w:bidi w:val="0"/>
        <w:spacing w:before="0" w:after="160"/>
        <w:rPr/>
      </w:pPr>
      <w:r>
        <w:rPr>
          <w:rFonts w:eastAsia="Microsoft YaHei" w:cs="Cambria"/>
          <w:b/>
          <w:color w:val="1E2530"/>
          <w:sz w:val="22"/>
          <w:szCs w:val="22"/>
        </w:rPr>
        <w:t xml:space="preserve">Independent expert panel - </w:t>
      </w:r>
      <w:r>
        <w:rPr>
          <w:rFonts w:eastAsia="Microsoft YaHei" w:cs="Cambria"/>
          <w:color w:val="1E2530"/>
          <w:sz w:val="22"/>
          <w:szCs w:val="22"/>
        </w:rPr>
        <w:t>If the technical consultation does not resolve the dispute within 72 hours, the Neutral Guarantor convenes a panel of three independent nuclear scientists — one nominated by Iran, one by the IAEA, one by the Neutral Guarantor. The panel issues a technical finding within 7 days.</w:t>
      </w:r>
    </w:p>
    <w:p>
      <w:pPr>
        <w:pStyle w:val="Normal"/>
        <w:numPr>
          <w:ilvl w:val="0"/>
          <w:numId w:val="1"/>
        </w:numPr>
        <w:bidi w:val="0"/>
        <w:spacing w:before="0" w:after="160"/>
        <w:rPr/>
      </w:pPr>
      <w:r>
        <w:rPr>
          <w:rFonts w:eastAsia="Microsoft YaHei" w:cs="Cambria"/>
          <w:b/>
          <w:color w:val="1E2530"/>
          <w:sz w:val="22"/>
          <w:szCs w:val="22"/>
        </w:rPr>
        <w:t xml:space="preserve">Finding is advisory, not binding - </w:t>
      </w:r>
      <w:r>
        <w:rPr>
          <w:rFonts w:eastAsia="Microsoft YaHei" w:cs="Cambria"/>
          <w:color w:val="1E2530"/>
          <w:sz w:val="22"/>
          <w:szCs w:val="22"/>
        </w:rPr>
        <w:t>The independent panel's finding is technically authoritative but does not automatically trigger compliance consequences. The Joint Coordination Center determines whether the finding constitutes material non-compliance warranting Step-Back or a technical discrepancy resolvable through corrective action.</w:t>
      </w:r>
    </w:p>
    <w:p>
      <w:pPr>
        <w:pStyle w:val="Normal"/>
        <w:numPr>
          <w:ilvl w:val="0"/>
          <w:numId w:val="1"/>
        </w:numPr>
        <w:bidi w:val="0"/>
        <w:spacing w:before="0" w:after="160"/>
        <w:rPr/>
        <w:sectPr>
          <w:headerReference w:type="default" r:id="rId9"/>
          <w:footerReference w:type="default" r:id="rId10"/>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1E2530"/>
          <w:sz w:val="22"/>
          <w:szCs w:val="22"/>
        </w:rPr>
        <w:t xml:space="preserve">No relief suspension during clarification - </w:t>
      </w:r>
      <w:r>
        <w:rPr>
          <w:rFonts w:eastAsia="Microsoft YaHei" w:cs="Cambria"/>
          <w:color w:val="1E2530"/>
          <w:sz w:val="22"/>
          <w:szCs w:val="22"/>
        </w:rPr>
        <w:t>Relief tranches corresponding to unrelated reciprocity units continue operating during the clarification process. Only the tranche directly tied to the disputed finding suspends pending resolution. The synchronization of unrelated units is not affected.</w:t>
      </w:r>
    </w:p>
    <w:p>
      <w:pPr>
        <w:pStyle w:val="Heading1"/>
        <w:bidi w:val="0"/>
        <w:rPr/>
      </w:pPr>
      <w:r>
        <w:rPr>
          <w:rFonts w:eastAsia="Microsoft YaHei" w:cs="Cambria"/>
          <w:b/>
          <w:color w:val="1E2530"/>
          <w:sz w:val="20"/>
          <w:szCs w:val="40"/>
        </w:rPr>
        <w:t>Annex F: Verification Sequencing Map and Telemetry Protocol</w:t>
      </w:r>
    </w:p>
    <w:p>
      <w:pPr>
        <w:pStyle w:val="Normal"/>
        <w:bidi w:val="0"/>
        <w:spacing w:before="0" w:after="180"/>
        <w:rPr/>
      </w:pPr>
      <w:r>
        <w:rPr>
          <w:rFonts w:eastAsia="Microsoft YaHei" w:cs="Cambria"/>
          <w:color w:val="1E2530"/>
          <w:sz w:val="22"/>
          <w:szCs w:val="22"/>
        </w:rPr>
        <w:t>This annex maps the verification architecture from baseline through continuous monitoring to pause verification. It establishes the telemetry override rule and defines how sensor data governs compliance determinations.</w:t>
      </w:r>
    </w:p>
    <w:p>
      <w:pPr>
        <w:pStyle w:val="Heading2"/>
        <w:keepNext w:val="true"/>
        <w:keepLines/>
        <w:bidi w:val="0"/>
        <w:spacing w:before="360" w:after="160"/>
        <w:rPr/>
      </w:pPr>
      <w:r>
        <w:rPr>
          <w:rFonts w:eastAsia="Microsoft YaHei" w:cs="Cambria"/>
          <w:b/>
          <w:color w:val="2C3E5E"/>
          <w:sz w:val="30"/>
          <w:szCs w:val="30"/>
        </w:rPr>
        <w:t>F.1 Verification Sequencing Map</w:t>
      </w:r>
    </w:p>
    <w:p>
      <w:pPr>
        <w:pStyle w:val="Normal"/>
        <w:bidi w:val="0"/>
        <w:spacing w:before="0" w:after="180"/>
        <w:rPr/>
      </w:pPr>
      <w:r>
        <w:rPr>
          <w:rFonts w:eastAsia="Microsoft YaHei" w:cs="Cambria"/>
          <w:color w:val="1E2530"/>
          <w:sz w:val="22"/>
          <w:szCs w:val="22"/>
        </w:rPr>
        <w:t>The following sequence governs verification from signature through framework renewal. Each stage builds on the previous. No stage skips.</w:t>
      </w:r>
    </w:p>
    <w:p>
      <w:pPr>
        <w:pStyle w:val="Heading3"/>
        <w:keepNext w:val="true"/>
        <w:keepLines/>
        <w:bidi w:val="0"/>
        <w:spacing w:before="280" w:after="120"/>
        <w:rPr/>
      </w:pPr>
      <w:r>
        <w:rPr>
          <w:rFonts w:eastAsia="Microsoft YaHei" w:cs="Cambria"/>
          <w:b/>
          <w:color w:val="4A5568"/>
          <w:sz w:val="26"/>
          <w:szCs w:val="20"/>
        </w:rPr>
        <w:t>Stage One: Baseline Establishment (Days 1-3)</w:t>
      </w:r>
    </w:p>
    <w:p>
      <w:pPr>
        <w:pStyle w:val="Normal"/>
        <w:numPr>
          <w:ilvl w:val="0"/>
          <w:numId w:val="1"/>
        </w:numPr>
        <w:bidi w:val="0"/>
        <w:spacing w:before="0" w:after="160"/>
        <w:rPr/>
      </w:pPr>
      <w:r>
        <w:rPr>
          <w:rFonts w:eastAsia="Microsoft YaHei" w:cs="Cambria"/>
          <w:b/>
          <w:color w:val="4A5568"/>
          <w:sz w:val="19"/>
          <w:szCs w:val="22"/>
        </w:rPr>
        <w:t xml:space="preserve">IAEA inspection team deployment - </w:t>
      </w:r>
      <w:r>
        <w:rPr>
          <w:rFonts w:eastAsia="Microsoft YaHei" w:cs="Cambria"/>
          <w:color w:val="1E2530"/>
          <w:sz w:val="22"/>
          <w:szCs w:val="22"/>
        </w:rPr>
        <w:t>The IAEA deploys a core inspection team to Iran within 24 hours of signature. The team comprises no more than 12 inspectors, including the team leader and deputy. All inspectors hold valid Iranian visas or enter under the IAEA's standing visa waiver.</w:t>
      </w:r>
    </w:p>
    <w:p>
      <w:pPr>
        <w:pStyle w:val="Normal"/>
        <w:numPr>
          <w:ilvl w:val="0"/>
          <w:numId w:val="1"/>
        </w:numPr>
        <w:bidi w:val="0"/>
        <w:spacing w:before="0" w:after="160"/>
        <w:rPr/>
      </w:pPr>
      <w:r>
        <w:rPr>
          <w:rFonts w:eastAsia="Microsoft YaHei" w:cs="Cambria"/>
          <w:b/>
          <w:color w:val="4A5568"/>
          <w:sz w:val="19"/>
          <w:szCs w:val="22"/>
        </w:rPr>
        <w:t xml:space="preserve">Dashboard activation - </w:t>
      </w:r>
      <w:r>
        <w:rPr>
          <w:rFonts w:eastAsia="Microsoft YaHei" w:cs="Cambria"/>
          <w:color w:val="1E2530"/>
          <w:sz w:val="22"/>
          <w:szCs w:val="22"/>
        </w:rPr>
        <w:t>The Swiss-hosted digital dashboard goes live within 24 hours of signature. Both Parties receive login credentials simultaneously. The IAEA receives inspector-level access. The Neutral Guarantor receives administrator access.</w:t>
      </w:r>
    </w:p>
    <w:p>
      <w:pPr>
        <w:pStyle w:val="Normal"/>
        <w:numPr>
          <w:ilvl w:val="0"/>
          <w:numId w:val="1"/>
        </w:numPr>
        <w:bidi w:val="0"/>
        <w:spacing w:before="0" w:after="160"/>
        <w:rPr/>
      </w:pPr>
      <w:r>
        <w:rPr>
          <w:rFonts w:eastAsia="Microsoft YaHei" w:cs="Cambria"/>
          <w:b/>
          <w:color w:val="4A5568"/>
          <w:sz w:val="19"/>
          <w:szCs w:val="22"/>
        </w:rPr>
        <w:t xml:space="preserve">Baseline readings - </w:t>
      </w:r>
      <w:r>
        <w:rPr>
          <w:rFonts w:eastAsia="Microsoft YaHei" w:cs="Cambria"/>
          <w:color w:val="1E2530"/>
          <w:sz w:val="22"/>
          <w:szCs w:val="22"/>
        </w:rPr>
        <w:t>IAEA inspectors conduct baseline readings at all declared facilities within 72 hours of signature. These readings establish the reference point for all subsequent compliance measurements. The baseline report posts to the dashboard within 96 hours of signature.</w:t>
      </w:r>
    </w:p>
    <w:p>
      <w:pPr>
        <w:pStyle w:val="Normal"/>
        <w:numPr>
          <w:ilvl w:val="0"/>
          <w:numId w:val="1"/>
        </w:numPr>
        <w:bidi w:val="0"/>
        <w:spacing w:before="0" w:after="160"/>
        <w:rPr/>
      </w:pPr>
      <w:r>
        <w:rPr>
          <w:rFonts w:eastAsia="Microsoft YaHei" w:cs="Cambria"/>
          <w:b/>
          <w:color w:val="4A5568"/>
          <w:sz w:val="19"/>
          <w:szCs w:val="22"/>
        </w:rPr>
        <w:t xml:space="preserve">Equipment inventory - </w:t>
      </w:r>
      <w:r>
        <w:rPr>
          <w:rFonts w:eastAsia="Microsoft YaHei" w:cs="Cambria"/>
          <w:color w:val="1E2530"/>
          <w:sz w:val="22"/>
          <w:szCs w:val="22"/>
        </w:rPr>
        <w:t>The IAEA inventories all declared centrifuges, enrichment equipment, and nuclear material storage containers. The inventory posts to the dashboard as the master equipment register. Any subsequent equipment movement requires notification through the dashboard.</w:t>
      </w:r>
    </w:p>
    <w:p>
      <w:pPr>
        <w:pStyle w:val="Heading3"/>
        <w:keepNext w:val="true"/>
        <w:keepLines/>
        <w:bidi w:val="0"/>
        <w:spacing w:before="280" w:after="120"/>
        <w:rPr/>
      </w:pPr>
      <w:r>
        <w:rPr>
          <w:rFonts w:eastAsia="Microsoft YaHei" w:cs="Cambria"/>
          <w:b/>
          <w:color w:val="4A5568"/>
          <w:sz w:val="26"/>
          <w:szCs w:val="20"/>
        </w:rPr>
        <w:t>Stage Two: Seal Installation and Monitoring Activation (Days 3-14)</w:t>
      </w:r>
    </w:p>
    <w:p>
      <w:pPr>
        <w:pStyle w:val="Normal"/>
        <w:numPr>
          <w:ilvl w:val="0"/>
          <w:numId w:val="1"/>
        </w:numPr>
        <w:bidi w:val="0"/>
        <w:spacing w:before="0" w:after="160"/>
        <w:rPr/>
      </w:pPr>
      <w:r>
        <w:rPr>
          <w:rFonts w:eastAsia="Microsoft YaHei" w:cs="Cambria"/>
          <w:b/>
          <w:color w:val="4A5568"/>
          <w:sz w:val="19"/>
          <w:szCs w:val="22"/>
        </w:rPr>
        <w:t xml:space="preserve">Seal installation - </w:t>
      </w:r>
      <w:r>
        <w:rPr>
          <w:rFonts w:eastAsia="Microsoft YaHei" w:cs="Cambria"/>
          <w:color w:val="1E2530"/>
          <w:sz w:val="22"/>
          <w:szCs w:val="22"/>
        </w:rPr>
        <w:t>The IAEA installs tamper-evident seals on all enriched uranium stockpiles above 5% enrichment. Each seal carries a unique identifier that posts to the dashboard in real time. Seal installation proceeds facility by facility, with daily dashboard updates.</w:t>
      </w:r>
    </w:p>
    <w:p>
      <w:pPr>
        <w:pStyle w:val="Normal"/>
        <w:numPr>
          <w:ilvl w:val="0"/>
          <w:numId w:val="1"/>
        </w:numPr>
        <w:bidi w:val="0"/>
        <w:spacing w:before="0" w:after="160"/>
        <w:rPr/>
      </w:pPr>
      <w:r>
        <w:rPr>
          <w:rFonts w:eastAsia="Microsoft YaHei" w:cs="Cambria"/>
          <w:b/>
          <w:color w:val="4A5568"/>
          <w:sz w:val="19"/>
          <w:szCs w:val="22"/>
        </w:rPr>
        <w:t xml:space="preserve">Continuous monitoring equipment - </w:t>
      </w:r>
      <w:r>
        <w:rPr>
          <w:rFonts w:eastAsia="Microsoft YaHei" w:cs="Cambria"/>
          <w:color w:val="1E2530"/>
          <w:sz w:val="22"/>
          <w:szCs w:val="22"/>
        </w:rPr>
        <w:t>Online enrichment monitors install at the inlet and outlet of declared enrichment cascades. Remote camera surveillance activates at material storage locations. Environmental sampling equipment deploys at declared facilities. All equipment transmits data to the dashboard continuously.</w:t>
      </w:r>
    </w:p>
    <w:p>
      <w:pPr>
        <w:pStyle w:val="Normal"/>
        <w:numPr>
          <w:ilvl w:val="0"/>
          <w:numId w:val="1"/>
        </w:numPr>
        <w:bidi w:val="0"/>
        <w:spacing w:before="0" w:after="160"/>
        <w:rPr/>
      </w:pPr>
      <w:r>
        <w:rPr>
          <w:rFonts w:eastAsia="Microsoft YaHei" w:cs="Cambria"/>
          <w:b/>
          <w:color w:val="4A5568"/>
          <w:sz w:val="19"/>
          <w:szCs w:val="22"/>
        </w:rPr>
        <w:t xml:space="preserve">Seal integrity verification - </w:t>
      </w:r>
      <w:r>
        <w:rPr>
          <w:rFonts w:eastAsia="Microsoft YaHei" w:cs="Cambria"/>
          <w:color w:val="1E2530"/>
          <w:sz w:val="22"/>
          <w:szCs w:val="22"/>
        </w:rPr>
        <w:t>The IAEA verifies seal integrity at each facility and posts green/amber/red status to the dashboard. Green means intact. Amber means inspection required within 48 hours. Red means potential tamper — immediate investigation and automatic suspension of corresponding relief tranche.</w:t>
      </w:r>
    </w:p>
    <w:p>
      <w:pPr>
        <w:pStyle w:val="Normal"/>
        <w:numPr>
          <w:ilvl w:val="0"/>
          <w:numId w:val="1"/>
        </w:numPr>
        <w:bidi w:val="0"/>
        <w:spacing w:before="0" w:after="160"/>
        <w:rPr/>
      </w:pPr>
      <w:r>
        <w:rPr>
          <w:rFonts w:eastAsia="Microsoft YaHei" w:cs="Cambria"/>
          <w:b/>
          <w:color w:val="4A5568"/>
          <w:sz w:val="19"/>
          <w:szCs w:val="22"/>
        </w:rPr>
        <w:t xml:space="preserve">Monitoring certification - </w:t>
      </w:r>
      <w:r>
        <w:rPr>
          <w:rFonts w:eastAsia="Microsoft YaHei" w:cs="Cambria"/>
          <w:color w:val="1E2530"/>
          <w:sz w:val="22"/>
          <w:szCs w:val="22"/>
        </w:rPr>
        <w:t>Upon installation and successful testing of all continuous monitoring equipment, the IAEA certifies the monitoring regime operational. This certification is the trigger for Tier Three relief eligibility. No certification means no Tier Three.</w:t>
      </w:r>
    </w:p>
    <w:p>
      <w:pPr>
        <w:pStyle w:val="Heading3"/>
        <w:keepNext w:val="true"/>
        <w:keepLines/>
        <w:bidi w:val="0"/>
        <w:spacing w:before="280" w:after="120"/>
        <w:rPr/>
      </w:pPr>
      <w:r>
        <w:rPr>
          <w:rFonts w:eastAsia="Microsoft YaHei" w:cs="Cambria"/>
          <w:b/>
          <w:color w:val="4A5568"/>
          <w:sz w:val="26"/>
          <w:szCs w:val="20"/>
        </w:rPr>
        <w:t>Stage Three: Continuous Monitoring and Verification Milestones (Days 14-60)</w:t>
      </w:r>
    </w:p>
    <w:p>
      <w:pPr>
        <w:pStyle w:val="Normal"/>
        <w:numPr>
          <w:ilvl w:val="0"/>
          <w:numId w:val="1"/>
        </w:numPr>
        <w:bidi w:val="0"/>
        <w:spacing w:before="0" w:after="160"/>
        <w:rPr/>
      </w:pPr>
      <w:r>
        <w:rPr>
          <w:rFonts w:eastAsia="Microsoft YaHei" w:cs="Cambria"/>
          <w:b/>
          <w:color w:val="4A5568"/>
          <w:sz w:val="19"/>
          <w:szCs w:val="22"/>
        </w:rPr>
        <w:t xml:space="preserve">24/7 monitoring - </w:t>
      </w:r>
      <w:r>
        <w:rPr>
          <w:rFonts w:eastAsia="Microsoft YaHei" w:cs="Cambria"/>
          <w:color w:val="1E2530"/>
          <w:sz w:val="22"/>
          <w:szCs w:val="22"/>
        </w:rPr>
        <w:t>All continuous monitoring equipment operates without interruption. Data streams to the dashboard in real time. Both Parties view the same data simultaneously. The Neutral Guarantor monitors for data integrity and system availability.</w:t>
      </w:r>
    </w:p>
    <w:p>
      <w:pPr>
        <w:pStyle w:val="Normal"/>
        <w:numPr>
          <w:ilvl w:val="0"/>
          <w:numId w:val="1"/>
        </w:numPr>
        <w:bidi w:val="0"/>
        <w:spacing w:before="0" w:after="160"/>
        <w:rPr/>
      </w:pPr>
      <w:r>
        <w:rPr>
          <w:rFonts w:eastAsia="Microsoft YaHei" w:cs="Cambria"/>
          <w:b/>
          <w:color w:val="4A5568"/>
          <w:sz w:val="19"/>
          <w:szCs w:val="22"/>
        </w:rPr>
        <w:t xml:space="preserve">Weekly summary reports - </w:t>
      </w:r>
      <w:r>
        <w:rPr>
          <w:rFonts w:eastAsia="Microsoft YaHei" w:cs="Cambria"/>
          <w:color w:val="1E2530"/>
          <w:sz w:val="22"/>
          <w:szCs w:val="22"/>
        </w:rPr>
        <w:t>The IAEA issues weekly summary reports posting all verification activities, seal status changes, monitoring data anomalies, and inspector observations. Both Parties receive the reports simultaneously through the dashboard.</w:t>
      </w:r>
    </w:p>
    <w:p>
      <w:pPr>
        <w:pStyle w:val="Normal"/>
        <w:numPr>
          <w:ilvl w:val="0"/>
          <w:numId w:val="1"/>
        </w:numPr>
        <w:bidi w:val="0"/>
        <w:spacing w:before="0" w:after="160"/>
        <w:rPr/>
      </w:pPr>
      <w:r>
        <w:rPr>
          <w:rFonts w:eastAsia="Microsoft YaHei" w:cs="Cambria"/>
          <w:b/>
          <w:color w:val="4A5568"/>
          <w:sz w:val="19"/>
          <w:szCs w:val="22"/>
        </w:rPr>
        <w:t xml:space="preserve">Verification Milestone assessments - </w:t>
      </w:r>
      <w:r>
        <w:rPr>
          <w:rFonts w:eastAsia="Microsoft YaHei" w:cs="Cambria"/>
          <w:color w:val="1E2530"/>
          <w:sz w:val="22"/>
          <w:szCs w:val="22"/>
        </w:rPr>
        <w:t>At each Verification Milestone (Day 30, Day 45, Day 60), the IAEA conducts a comprehensive assessment and issues a compliance determination. Green status means on track. Amber means corrective action required within 14 days. Red means Step-Back consideration.</w:t>
      </w:r>
    </w:p>
    <w:p>
      <w:pPr>
        <w:pStyle w:val="Normal"/>
        <w:numPr>
          <w:ilvl w:val="0"/>
          <w:numId w:val="1"/>
        </w:numPr>
        <w:bidi w:val="0"/>
        <w:spacing w:before="0" w:after="160"/>
        <w:rPr/>
      </w:pPr>
      <w:r>
        <w:rPr>
          <w:rFonts w:eastAsia="Microsoft YaHei" w:cs="Cambria"/>
          <w:b/>
          <w:color w:val="4A5568"/>
          <w:sz w:val="19"/>
          <w:szCs w:val="22"/>
        </w:rPr>
        <w:t xml:space="preserve">Ad hoc inspections - </w:t>
      </w:r>
      <w:r>
        <w:rPr>
          <w:rFonts w:eastAsia="Microsoft YaHei" w:cs="Cambria"/>
          <w:color w:val="1E2530"/>
          <w:sz w:val="22"/>
          <w:szCs w:val="22"/>
        </w:rPr>
        <w:t>The IAEA conducts ad hoc inspections based on monitoring data anomalies, tip-offs, or either Party's request through the Joint Coordination Center. Ad hoc inspections do not require 14 days' advance notice; they operate on the 72-hour notification standard for routine inspections under this Compact.</w:t>
      </w:r>
    </w:p>
    <w:p>
      <w:pPr>
        <w:pStyle w:val="Heading3"/>
        <w:keepNext w:val="true"/>
        <w:keepLines/>
        <w:bidi w:val="0"/>
        <w:spacing w:before="280" w:after="120"/>
        <w:rPr/>
      </w:pPr>
      <w:r>
        <w:rPr>
          <w:rFonts w:eastAsia="Microsoft YaHei" w:cs="Cambria"/>
          <w:b/>
          <w:color w:val="4A5568"/>
          <w:sz w:val="26"/>
          <w:szCs w:val="20"/>
        </w:rPr>
        <w:t>Stage Four: Pause Verification and Disposition Monitoring (Days 60-90)</w:t>
      </w:r>
    </w:p>
    <w:p>
      <w:pPr>
        <w:pStyle w:val="Normal"/>
        <w:numPr>
          <w:ilvl w:val="0"/>
          <w:numId w:val="1"/>
        </w:numPr>
        <w:bidi w:val="0"/>
        <w:spacing w:before="0" w:after="160"/>
        <w:rPr/>
      </w:pPr>
      <w:r>
        <w:rPr>
          <w:rFonts w:eastAsia="Microsoft YaHei" w:cs="Cambria"/>
          <w:b/>
          <w:color w:val="4A5568"/>
          <w:sz w:val="19"/>
          <w:szCs w:val="22"/>
        </w:rPr>
        <w:t xml:space="preserve">Pause confirmation - </w:t>
      </w:r>
      <w:r>
        <w:rPr>
          <w:rFonts w:eastAsia="Microsoft YaHei" w:cs="Cambria"/>
          <w:color w:val="1E2530"/>
          <w:sz w:val="22"/>
          <w:szCs w:val="22"/>
        </w:rPr>
        <w:t>The IAEA confirms that the enrichment pause is holding: no enrichment above 3.67% at any declared facility for the preceding 30-day period. This confirmation is the structural relief conversion trigger.</w:t>
      </w:r>
    </w:p>
    <w:p>
      <w:pPr>
        <w:pStyle w:val="Normal"/>
        <w:numPr>
          <w:ilvl w:val="0"/>
          <w:numId w:val="1"/>
        </w:numPr>
        <w:bidi w:val="0"/>
        <w:spacing w:before="0" w:after="160"/>
        <w:rPr/>
      </w:pPr>
      <w:r>
        <w:rPr>
          <w:rFonts w:eastAsia="Microsoft YaHei" w:cs="Cambria"/>
          <w:b/>
          <w:color w:val="4A5568"/>
          <w:sz w:val="19"/>
          <w:szCs w:val="22"/>
        </w:rPr>
        <w:t xml:space="preserve">Disposition verification - </w:t>
      </w:r>
      <w:r>
        <w:rPr>
          <w:rFonts w:eastAsia="Microsoft YaHei" w:cs="Cambria"/>
          <w:color w:val="1E2530"/>
          <w:sz w:val="22"/>
          <w:szCs w:val="22"/>
        </w:rPr>
        <w:t>The IAEA verifies each disposition batch of 60% HEU as it occurs: weighing, sampling, and confirming the downblending or transfer. Each verified batch posts to the dashboard with material accountancy records.</w:t>
      </w:r>
    </w:p>
    <w:p>
      <w:pPr>
        <w:pStyle w:val="Normal"/>
        <w:numPr>
          <w:ilvl w:val="0"/>
          <w:numId w:val="1"/>
        </w:numPr>
        <w:bidi w:val="0"/>
        <w:spacing w:before="0" w:after="160"/>
        <w:rPr/>
      </w:pPr>
      <w:r>
        <w:rPr>
          <w:rFonts w:eastAsia="Microsoft YaHei" w:cs="Cambria"/>
          <w:b/>
          <w:color w:val="4A5568"/>
          <w:sz w:val="19"/>
          <w:szCs w:val="22"/>
        </w:rPr>
        <w:t xml:space="preserve">Final accounting - </w:t>
      </w:r>
      <w:r>
        <w:rPr>
          <w:rFonts w:eastAsia="Microsoft YaHei" w:cs="Cambria"/>
          <w:color w:val="1E2530"/>
          <w:sz w:val="22"/>
          <w:szCs w:val="22"/>
        </w:rPr>
        <w:t>At framework renewal (Day 90), the IAEA issues a final material accountancy report showing the complete disposition of all previously declared 60% HEU. This report is the permanent resolution working group trigger.</w:t>
      </w:r>
    </w:p>
    <w:p>
      <w:pPr>
        <w:pStyle w:val="Heading2"/>
        <w:keepNext w:val="true"/>
        <w:keepLines/>
        <w:bidi w:val="0"/>
        <w:spacing w:before="360" w:after="160"/>
        <w:rPr/>
      </w:pPr>
      <w:r>
        <w:rPr>
          <w:rFonts w:eastAsia="Microsoft YaHei" w:cs="Cambria"/>
          <w:b/>
          <w:color w:val="2C3E5E"/>
          <w:sz w:val="30"/>
          <w:szCs w:val="30"/>
        </w:rPr>
        <w:t>F.2 Verification Trigger Clause</w:t>
      </w:r>
    </w:p>
    <w:p>
      <w:pPr>
        <w:pStyle w:val="Normal"/>
        <w:bidi w:val="0"/>
        <w:spacing w:before="0" w:after="180"/>
        <w:rPr/>
      </w:pPr>
      <w:r>
        <w:rPr>
          <w:rFonts w:eastAsia="Microsoft YaHei" w:cs="Cambria"/>
          <w:color w:val="1E2530"/>
          <w:sz w:val="22"/>
          <w:szCs w:val="22"/>
        </w:rPr>
        <w:t>Verification activates immediately upon signature of this Compact. The following trigger language governs all verification activities:</w:t>
      </w:r>
    </w:p>
    <w:p>
      <w:pPr>
        <w:pStyle w:val="Normal"/>
        <w:shd w:val="clear" w:fill="F5F0E8"/>
        <w:bidi w:val="0"/>
        <w:spacing w:before="200" w:after="200"/>
        <w:ind w:start="360" w:end="360" w:hanging="0"/>
        <w:jc w:val="both"/>
        <w:rPr/>
      </w:pPr>
      <w:r>
        <w:rPr>
          <w:rFonts w:eastAsia="Microsoft YaHei" w:cs="Cambria"/>
          <w:i/>
          <w:color w:val="1E2530"/>
          <w:sz w:val="22"/>
          <w:szCs w:val="22"/>
        </w:rPr>
        <w:t>"Verification activates immediately upon signature. The IAEA deploys within 24 hours. The dashboard goes live within 24 hours. Baseline readings complete within 72 hours. From the moment of signature, the verification architecture operates continuously and automatically. Verification is not a precondition for anything; verification is the first thing that happens."</w:t>
      </w:r>
    </w:p>
    <w:p>
      <w:pPr>
        <w:pStyle w:val="Heading2"/>
        <w:keepNext w:val="true"/>
        <w:keepLines/>
        <w:bidi w:val="0"/>
        <w:spacing w:before="360" w:after="160"/>
        <w:rPr/>
      </w:pPr>
      <w:r>
        <w:rPr>
          <w:rFonts w:eastAsia="Microsoft YaHei" w:cs="Cambria"/>
          <w:b/>
          <w:color w:val="2C3E5E"/>
          <w:sz w:val="30"/>
          <w:szCs w:val="30"/>
        </w:rPr>
        <w:t>F.3 Public-Facing Verification Wins</w:t>
      </w:r>
    </w:p>
    <w:p>
      <w:pPr>
        <w:pStyle w:val="Normal"/>
        <w:bidi w:val="0"/>
        <w:spacing w:before="0" w:after="180"/>
        <w:rPr/>
      </w:pPr>
      <w:r>
        <w:rPr>
          <w:rFonts w:eastAsia="Microsoft YaHei" w:cs="Cambria"/>
          <w:color w:val="1E2530"/>
          <w:sz w:val="22"/>
          <w:szCs w:val="22"/>
        </w:rPr>
        <w:t>Each side frames the verification architecture according to its domestic political requirements. Both framings describe the same facts.</w:t>
      </w:r>
    </w:p>
    <w:p>
      <w:pPr>
        <w:pStyle w:val="Heading3"/>
        <w:keepNext w:val="true"/>
        <w:keepLines/>
        <w:bidi w:val="0"/>
        <w:spacing w:before="280" w:after="120"/>
        <w:rPr/>
      </w:pPr>
      <w:r>
        <w:rPr>
          <w:rFonts w:eastAsia="Microsoft YaHei" w:cs="Cambria"/>
          <w:b/>
          <w:color w:val="4A5568"/>
          <w:sz w:val="26"/>
          <w:szCs w:val="20"/>
        </w:rPr>
        <w:t>Iran's Verification Narrative</w:t>
      </w:r>
    </w:p>
    <w:p>
      <w:pPr>
        <w:pStyle w:val="Normal"/>
        <w:numPr>
          <w:ilvl w:val="0"/>
          <w:numId w:val="1"/>
        </w:numPr>
        <w:bidi w:val="0"/>
        <w:spacing w:before="0" w:after="160"/>
        <w:rPr/>
      </w:pPr>
      <w:r>
        <w:rPr>
          <w:rFonts w:eastAsia="Microsoft YaHei" w:cs="Cambria"/>
          <w:b/>
          <w:color w:val="4A5568"/>
          <w:sz w:val="19"/>
          <w:szCs w:val="22"/>
        </w:rPr>
        <w:t xml:space="preserve">"Managed transparency, not submission" - </w:t>
      </w:r>
      <w:r>
        <w:rPr>
          <w:rFonts w:eastAsia="Microsoft YaHei" w:cs="Cambria"/>
          <w:color w:val="1E2530"/>
          <w:sz w:val="22"/>
          <w:szCs w:val="22"/>
        </w:rPr>
        <w:t>Iran agreed to specific verification measures as part of a reciprocal deal that brings Iran concrete benefits. The verification is limited in scope, focused on declared facilities, and operates under Iranian sovereignty. Iran is not submitting to an open-ended inspection regime; Iran is implementing a managed transparency that Iran designed.</w:t>
      </w:r>
    </w:p>
    <w:p>
      <w:pPr>
        <w:pStyle w:val="Normal"/>
        <w:numPr>
          <w:ilvl w:val="0"/>
          <w:numId w:val="1"/>
        </w:numPr>
        <w:bidi w:val="0"/>
        <w:spacing w:before="0" w:after="160"/>
        <w:rPr/>
      </w:pPr>
      <w:r>
        <w:rPr>
          <w:rFonts w:eastAsia="Microsoft YaHei" w:cs="Cambria"/>
          <w:b/>
          <w:color w:val="4A5568"/>
          <w:sz w:val="19"/>
          <w:szCs w:val="22"/>
        </w:rPr>
        <w:t xml:space="preserve">"Iranian data, international observation" - </w:t>
      </w:r>
      <w:r>
        <w:rPr>
          <w:rFonts w:eastAsia="Microsoft YaHei" w:cs="Cambria"/>
          <w:color w:val="1E2530"/>
          <w:sz w:val="22"/>
          <w:szCs w:val="22"/>
        </w:rPr>
        <w:t>Iran provides the data. The IAEA observes. The dashboard displays both. Iran is not being investigated; Iran is demonstrating compliance on Iran's terms as part of a deal Iran negotiated.</w:t>
      </w:r>
    </w:p>
    <w:p>
      <w:pPr>
        <w:pStyle w:val="Normal"/>
        <w:numPr>
          <w:ilvl w:val="0"/>
          <w:numId w:val="1"/>
        </w:numPr>
        <w:bidi w:val="0"/>
        <w:spacing w:before="0" w:after="160"/>
        <w:rPr/>
      </w:pPr>
      <w:r>
        <w:rPr>
          <w:rFonts w:eastAsia="Microsoft YaHei" w:cs="Cambria"/>
          <w:b/>
          <w:color w:val="4A5568"/>
          <w:sz w:val="19"/>
          <w:szCs w:val="22"/>
        </w:rPr>
        <w:t xml:space="preserve">"Verification protects Iran too" - </w:t>
      </w:r>
      <w:r>
        <w:rPr>
          <w:rFonts w:eastAsia="Microsoft YaHei" w:cs="Cambria"/>
          <w:color w:val="1E2530"/>
          <w:sz w:val="22"/>
          <w:szCs w:val="22"/>
        </w:rPr>
        <w:t>The same verification that protects American concerns about Iran's nuclear program also protects Iran's claim that the program is peaceful. Verified compliance is Iran's best argument against accusations of weapons intent.</w:t>
      </w:r>
    </w:p>
    <w:p>
      <w:pPr>
        <w:pStyle w:val="Heading3"/>
        <w:keepNext w:val="true"/>
        <w:keepLines/>
        <w:bidi w:val="0"/>
        <w:spacing w:before="280" w:after="120"/>
        <w:rPr/>
      </w:pPr>
      <w:r>
        <w:rPr>
          <w:rFonts w:eastAsia="Microsoft YaHei" w:cs="Cambria"/>
          <w:b/>
          <w:color w:val="4A5568"/>
          <w:sz w:val="26"/>
          <w:szCs w:val="20"/>
        </w:rPr>
        <w:t>United States Verification Narrative</w:t>
      </w:r>
    </w:p>
    <w:p>
      <w:pPr>
        <w:pStyle w:val="Normal"/>
        <w:numPr>
          <w:ilvl w:val="0"/>
          <w:numId w:val="1"/>
        </w:numPr>
        <w:bidi w:val="0"/>
        <w:spacing w:before="0" w:after="160"/>
        <w:rPr/>
      </w:pPr>
      <w:r>
        <w:rPr>
          <w:rFonts w:eastAsia="Microsoft YaHei" w:cs="Cambria"/>
          <w:b/>
          <w:color w:val="4A5568"/>
          <w:sz w:val="19"/>
          <w:szCs w:val="22"/>
        </w:rPr>
        <w:t xml:space="preserve">"Sensors, not trust" - </w:t>
      </w:r>
      <w:r>
        <w:rPr>
          <w:rFonts w:eastAsia="Microsoft YaHei" w:cs="Cambria"/>
          <w:color w:val="1E2530"/>
          <w:sz w:val="22"/>
          <w:szCs w:val="22"/>
        </w:rPr>
        <w:t>American security does not depend on Iranian promises. It depends on sensors, seals, cameras, and online monitors that operate 24/7 and transmit data to a neutral Swiss-hosted dashboard that both sides view simultaneously. Trust is not the currency. Verification is.</w:t>
      </w:r>
    </w:p>
    <w:p>
      <w:pPr>
        <w:pStyle w:val="Normal"/>
        <w:numPr>
          <w:ilvl w:val="0"/>
          <w:numId w:val="1"/>
        </w:numPr>
        <w:bidi w:val="0"/>
        <w:spacing w:before="0" w:after="160"/>
        <w:rPr/>
      </w:pPr>
      <w:r>
        <w:rPr>
          <w:rFonts w:eastAsia="Microsoft YaHei" w:cs="Cambria"/>
          <w:b/>
          <w:color w:val="4A5568"/>
          <w:sz w:val="19"/>
          <w:szCs w:val="22"/>
        </w:rPr>
        <w:t xml:space="preserve">"No relief before certification" - </w:t>
      </w:r>
      <w:r>
        <w:rPr>
          <w:rFonts w:eastAsia="Microsoft YaHei" w:cs="Cambria"/>
          <w:color w:val="1E2530"/>
          <w:sz w:val="22"/>
          <w:szCs w:val="22"/>
        </w:rPr>
        <w:t>Every sanctions relief tranche activates only after the IAEA certifies the corresponding Iranian step. The escrow architecture enforces this. The dashboard confirms it. There is no relief for promises; there is only relief for verified performance.</w:t>
      </w:r>
    </w:p>
    <w:p>
      <w:pPr>
        <w:pStyle w:val="Normal"/>
        <w:numPr>
          <w:ilvl w:val="0"/>
          <w:numId w:val="1"/>
        </w:numPr>
        <w:bidi w:val="0"/>
        <w:spacing w:before="0" w:after="160"/>
        <w:rPr/>
      </w:pPr>
      <w:r>
        <w:rPr>
          <w:rFonts w:eastAsia="Microsoft YaHei" w:cs="Cambria"/>
          <w:b/>
          <w:color w:val="4A5568"/>
          <w:sz w:val="19"/>
          <w:szCs w:val="22"/>
        </w:rPr>
        <w:t xml:space="preserve">"Automatic suspension protects American interests" - </w:t>
      </w:r>
      <w:r>
        <w:rPr>
          <w:rFonts w:eastAsia="Microsoft YaHei" w:cs="Cambria"/>
          <w:color w:val="1E2530"/>
          <w:sz w:val="22"/>
          <w:szCs w:val="22"/>
        </w:rPr>
        <w:t>If sensors detect enrichment above 3.67%, the corresponding relief tranche suspends automatically. No political negotiation required. No Iranian veto. The framework protects American interests even when political commitment wavers.</w:t>
      </w:r>
    </w:p>
    <w:p>
      <w:pPr>
        <w:pStyle w:val="Heading2"/>
        <w:keepNext w:val="true"/>
        <w:keepLines/>
        <w:bidi w:val="0"/>
        <w:spacing w:before="360" w:after="160"/>
        <w:rPr/>
      </w:pPr>
      <w:r>
        <w:rPr>
          <w:rFonts w:eastAsia="Microsoft YaHei" w:cs="Cambria"/>
          <w:b/>
          <w:color w:val="2C3E5E"/>
          <w:sz w:val="30"/>
          <w:szCs w:val="30"/>
        </w:rPr>
        <w:t>F.4 Telemetry Override Rule</w:t>
      </w:r>
    </w:p>
    <w:p>
      <w:pPr>
        <w:pStyle w:val="Normal"/>
        <w:bidi w:val="0"/>
        <w:spacing w:before="0" w:after="180"/>
        <w:rPr/>
      </w:pPr>
      <w:r>
        <w:rPr>
          <w:rFonts w:eastAsia="Microsoft YaHei" w:cs="Cambria"/>
          <w:color w:val="1E2530"/>
          <w:sz w:val="22"/>
          <w:szCs w:val="22"/>
        </w:rPr>
        <w:t>The following rule governs all compliance determinations under this Compact. It is absolute and non-waivable.</w:t>
      </w:r>
    </w:p>
    <w:p>
      <w:pPr>
        <w:pStyle w:val="Normal"/>
        <w:shd w:val="clear" w:fill="F5F0E8"/>
        <w:bidi w:val="0"/>
        <w:spacing w:before="200" w:after="200"/>
        <w:ind w:start="360" w:end="360" w:hanging="0"/>
        <w:jc w:val="both"/>
        <w:rPr/>
      </w:pPr>
      <w:r>
        <w:rPr>
          <w:rFonts w:eastAsia="Microsoft YaHei" w:cs="Cambria"/>
          <w:i/>
          <w:color w:val="1E2530"/>
          <w:sz w:val="22"/>
          <w:szCs w:val="22"/>
        </w:rPr>
        <w:t>"Sensor data prevails over political interpretation. When telemetry data, seal readings, or online enrichment monitor outputs conflict with any Party's political statement, diplomatic claim, or media narrative, the sensor data governs. Compliance determinations derive from mechanical confirmation, not from human judgment alone. Human judgment supplements but does not override mechanical confirmation."</w:t>
      </w:r>
    </w:p>
    <w:p>
      <w:pPr>
        <w:pStyle w:val="Normal"/>
        <w:bidi w:val="0"/>
        <w:spacing w:before="0" w:after="180"/>
        <w:rPr/>
      </w:pPr>
      <w:r>
        <w:rPr>
          <w:rFonts w:eastAsia="Microsoft YaHei" w:cs="Cambria"/>
          <w:color w:val="1E2530"/>
          <w:sz w:val="22"/>
          <w:szCs w:val="22"/>
        </w:rPr>
        <w:t>The telemetry override rule operates through the following mechanics:</w:t>
      </w:r>
    </w:p>
    <w:p>
      <w:pPr>
        <w:pStyle w:val="Normal"/>
        <w:numPr>
          <w:ilvl w:val="0"/>
          <w:numId w:val="1"/>
        </w:numPr>
        <w:bidi w:val="0"/>
        <w:spacing w:before="0" w:after="160"/>
        <w:rPr/>
      </w:pPr>
      <w:r>
        <w:rPr>
          <w:rFonts w:eastAsia="Microsoft YaHei" w:cs="Cambria"/>
          <w:b/>
          <w:color w:val="4A5568"/>
          <w:sz w:val="19"/>
          <w:szCs w:val="22"/>
        </w:rPr>
        <w:t xml:space="preserve">Dashboard primacy - </w:t>
      </w:r>
      <w:r>
        <w:rPr>
          <w:rFonts w:eastAsia="Microsoft YaHei" w:cs="Cambria"/>
          <w:color w:val="1E2530"/>
          <w:sz w:val="22"/>
          <w:szCs w:val="22"/>
        </w:rPr>
        <w:t>The Swiss-hosted dashboard is the single source of truth for all verification data. Any Party claiming compliance or non-compliance cites dashboard data. Claims without dashboard data are not recognized by the Joint Coordination Center.</w:t>
      </w:r>
    </w:p>
    <w:p>
      <w:pPr>
        <w:pStyle w:val="Normal"/>
        <w:numPr>
          <w:ilvl w:val="0"/>
          <w:numId w:val="1"/>
        </w:numPr>
        <w:bidi w:val="0"/>
        <w:spacing w:before="0" w:after="160"/>
        <w:rPr/>
      </w:pPr>
      <w:r>
        <w:rPr>
          <w:rFonts w:eastAsia="Microsoft YaHei" w:cs="Cambria"/>
          <w:b/>
          <w:color w:val="4A5568"/>
          <w:sz w:val="19"/>
          <w:szCs w:val="22"/>
        </w:rPr>
        <w:t xml:space="preserve">Sensor calibration - </w:t>
      </w:r>
      <w:r>
        <w:rPr>
          <w:rFonts w:eastAsia="Microsoft YaHei" w:cs="Cambria"/>
          <w:color w:val="1E2530"/>
          <w:sz w:val="22"/>
          <w:szCs w:val="22"/>
        </w:rPr>
        <w:t>All monitoring equipment calibrates against IAEA reference standards before deployment. Calibration records post to the dashboard. Recalibration occurs at 30-day intervals or upon detection of anomalous readings. Either Party requests independent equipment verification by the Neutral Guarantor's technical team.</w:t>
      </w:r>
    </w:p>
    <w:p>
      <w:pPr>
        <w:pStyle w:val="Normal"/>
        <w:numPr>
          <w:ilvl w:val="0"/>
          <w:numId w:val="1"/>
        </w:numPr>
        <w:bidi w:val="0"/>
        <w:spacing w:before="0" w:after="160"/>
        <w:rPr/>
      </w:pPr>
      <w:r>
        <w:rPr>
          <w:rFonts w:eastAsia="Microsoft YaHei" w:cs="Cambria"/>
          <w:b/>
          <w:color w:val="4A5568"/>
          <w:sz w:val="19"/>
          <w:szCs w:val="22"/>
        </w:rPr>
        <w:t xml:space="preserve">Data integrity verification - </w:t>
      </w:r>
      <w:r>
        <w:rPr>
          <w:rFonts w:eastAsia="Microsoft YaHei" w:cs="Cambria"/>
          <w:color w:val="1E2530"/>
          <w:sz w:val="22"/>
          <w:szCs w:val="22"/>
        </w:rPr>
        <w:t>The Neutral Guarantor's technical team verifies data transmission integrity from sensor to dashboard. Any data interruption triggers an automatic alert to both Parties and the IAEA. Data gaps do not constitute evidence of non-compliance, but they do trigger investigation requirements.</w:t>
      </w:r>
    </w:p>
    <w:p>
      <w:pPr>
        <w:pStyle w:val="Normal"/>
        <w:numPr>
          <w:ilvl w:val="0"/>
          <w:numId w:val="1"/>
        </w:numPr>
        <w:bidi w:val="0"/>
        <w:spacing w:before="0" w:after="160"/>
        <w:rPr/>
        <w:sectPr>
          <w:headerReference w:type="default" r:id="rId11"/>
          <w:footerReference w:type="default" r:id="rId12"/>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4A5568"/>
          <w:sz w:val="19"/>
          <w:szCs w:val="22"/>
        </w:rPr>
        <w:t xml:space="preserve">Override is non-waivable - </w:t>
      </w:r>
      <w:r>
        <w:rPr>
          <w:rFonts w:eastAsia="Microsoft YaHei" w:cs="Cambria"/>
          <w:color w:val="1E2530"/>
          <w:sz w:val="22"/>
          <w:szCs w:val="22"/>
        </w:rPr>
        <w:t>Neither Party negotiates away the telemetry override rule. Neither the Joint Coordination Center, the Neutral Guarantor, nor any dispute resolution panel authorizes human judgment to supersede sensor data in a compliance determination. The rule is structural, not optional.</w:t>
      </w:r>
    </w:p>
    <w:p>
      <w:pPr>
        <w:pStyle w:val="Heading1"/>
        <w:bidi w:val="0"/>
        <w:rPr/>
      </w:pPr>
      <w:r>
        <w:rPr>
          <w:rFonts w:eastAsia="Microsoft YaHei" w:cs="Cambria"/>
          <w:b/>
          <w:color w:val="1E2530"/>
          <w:sz w:val="20"/>
          <w:szCs w:val="40"/>
        </w:rPr>
        <w:t>Annex G: Public Messaging Annex</w:t>
      </w:r>
    </w:p>
    <w:p>
      <w:pPr>
        <w:pStyle w:val="Normal"/>
        <w:bidi w:val="0"/>
        <w:spacing w:before="0" w:after="180"/>
        <w:rPr/>
      </w:pPr>
      <w:r>
        <w:rPr>
          <w:rFonts w:eastAsia="Microsoft YaHei" w:cs="Cambria"/>
          <w:color w:val="1E2530"/>
          <w:sz w:val="22"/>
          <w:szCs w:val="22"/>
        </w:rPr>
        <w:t>This annex provides the complete public messaging infrastructure for both Parties. It includes parallel public statements, podium templates, social media guidance, and narrative response frameworks for anticipated criticism.</w:t>
      </w:r>
    </w:p>
    <w:p>
      <w:pPr>
        <w:pStyle w:val="Heading2"/>
        <w:keepNext w:val="true"/>
        <w:keepLines/>
        <w:bidi w:val="0"/>
        <w:spacing w:before="360" w:after="160"/>
        <w:rPr/>
      </w:pPr>
      <w:r>
        <w:rPr>
          <w:rFonts w:eastAsia="Microsoft YaHei" w:cs="Cambria"/>
          <w:b/>
          <w:color w:val="2C3E5E"/>
          <w:sz w:val="30"/>
          <w:szCs w:val="30"/>
        </w:rPr>
        <w:t>G.1 Podium Statements for Day of Signature</w:t>
      </w:r>
    </w:p>
    <w:p>
      <w:pPr>
        <w:pStyle w:val="Normal"/>
        <w:bidi w:val="0"/>
        <w:spacing w:before="0" w:after="180"/>
        <w:rPr/>
      </w:pPr>
      <w:r>
        <w:rPr>
          <w:rFonts w:eastAsia="Microsoft YaHei" w:cs="Cambria"/>
          <w:color w:val="1E2530"/>
          <w:sz w:val="22"/>
          <w:szCs w:val="22"/>
        </w:rPr>
        <w:t>The following statements are released simultaneously by both Parties at the moment of signature. Identical joint statement first. Separate national framing statements follow. No unilateral statement precedes the joint statement.</w:t>
      </w:r>
    </w:p>
    <w:p>
      <w:pPr>
        <w:pStyle w:val="Heading3"/>
        <w:keepNext w:val="true"/>
        <w:keepLines/>
        <w:bidi w:val="0"/>
        <w:spacing w:before="280" w:after="120"/>
        <w:rPr/>
      </w:pPr>
      <w:r>
        <w:rPr>
          <w:rFonts w:eastAsia="Microsoft YaHei" w:cs="Cambria"/>
          <w:b/>
          <w:color w:val="1A2744"/>
          <w:sz w:val="40"/>
          <w:szCs w:val="20"/>
        </w:rPr>
        <w:t>Joint Statement (released simultaneously by both Parties)</w:t>
      </w:r>
    </w:p>
    <w:p>
      <w:pPr>
        <w:pStyle w:val="Normal"/>
        <w:shd w:val="clear" w:fill="F5F0E8"/>
        <w:bidi w:val="0"/>
        <w:spacing w:before="200" w:after="200"/>
        <w:ind w:start="360" w:end="360" w:hanging="0"/>
        <w:jc w:val="both"/>
        <w:rPr/>
      </w:pPr>
      <w:r>
        <w:rPr>
          <w:rFonts w:eastAsia="Microsoft YaHei" w:cs="Cambria"/>
          <w:i/>
          <w:color w:val="1E2530"/>
          <w:sz w:val="22"/>
          <w:szCs w:val="22"/>
        </w:rPr>
        <w:t>"The United States and the Islamic Republic of Iran have today signed the Hormuz Synchronization Compact, a framework for reciprocal nuclear stabilization, maritime security, and phased economic normalization. Every provision operates through synchronized activation: both sides move together, verification drives every step, and neither side acts alone. The Strait of Hormuz reopens to unrestricted commercial transit. Iran's enriched uranium stockpile comes under IAEA verified custody. Sanctions relief proceeds in measured, reversible tranches tied to verified compliance. Both Parties retain full sovereignty, full dignity, and full exit rights. This Compact creates no precedent beyond its own terms. The path to sustainable peace opens through verified reciprocity, not through unilateral concession."</w:t>
      </w:r>
    </w:p>
    <w:p>
      <w:pPr>
        <w:pStyle w:val="Heading3"/>
        <w:keepNext w:val="true"/>
        <w:keepLines/>
        <w:bidi w:val="0"/>
        <w:spacing w:before="280" w:after="120"/>
        <w:rPr/>
      </w:pPr>
      <w:r>
        <w:rPr>
          <w:rFonts w:eastAsia="Microsoft YaHei" w:cs="Cambria"/>
          <w:b/>
          <w:color w:val="1A2744"/>
          <w:sz w:val="40"/>
          <w:szCs w:val="20"/>
        </w:rPr>
        <w:t>United States National Framing Statement</w:t>
      </w:r>
    </w:p>
    <w:p>
      <w:pPr>
        <w:pStyle w:val="Normal"/>
        <w:shd w:val="clear" w:fill="F5F0E8"/>
        <w:bidi w:val="0"/>
        <w:spacing w:before="200" w:after="200"/>
        <w:ind w:start="360" w:end="360" w:hanging="0"/>
        <w:jc w:val="both"/>
        <w:rPr/>
      </w:pPr>
      <w:r>
        <w:rPr>
          <w:rFonts w:eastAsia="Microsoft YaHei" w:cs="Cambria"/>
          <w:i/>
          <w:color w:val="1E2530"/>
          <w:sz w:val="22"/>
          <w:szCs w:val="22"/>
        </w:rPr>
        <w:t>"Today the United States secured a verified framework that constrains Iran's nuclear program, reopens the Strait of Hormuz, and protects American interests without a single dollar of upfront concession. Every sanctions relief tranche requires prior IAEA certification of Iranian compliance. Iran's weapons-grade material comes under international lock and key. Continuous monitoring operates 24/7 at all declared facilities. If Iran cheats, the relief stops automatically. If Iran complies, the relief flows as verified. This is American diplomatic strength achieving what military escalation could not: a safer region, a constrained Iranian nuclear program, and American citizens coming home."</w:t>
      </w:r>
    </w:p>
    <w:p>
      <w:pPr>
        <w:pStyle w:val="Heading3"/>
        <w:keepNext w:val="true"/>
        <w:keepLines/>
        <w:bidi w:val="0"/>
        <w:spacing w:before="280" w:after="120"/>
        <w:rPr/>
      </w:pPr>
      <w:r>
        <w:rPr>
          <w:rFonts w:eastAsia="Microsoft YaHei" w:cs="Cambria"/>
          <w:b/>
          <w:color w:val="1A2744"/>
          <w:sz w:val="40"/>
          <w:szCs w:val="20"/>
        </w:rPr>
        <w:t>Iran National Framing Statement</w:t>
      </w:r>
    </w:p>
    <w:p>
      <w:pPr>
        <w:pStyle w:val="Normal"/>
        <w:shd w:val="clear" w:fill="F5F0E8"/>
        <w:bidi w:val="0"/>
        <w:spacing w:before="200" w:after="200"/>
        <w:ind w:start="360" w:end="360" w:hanging="0"/>
        <w:jc w:val="both"/>
        <w:rPr/>
      </w:pPr>
      <w:r>
        <w:rPr>
          <w:rFonts w:eastAsia="Microsoft YaHei" w:cs="Cambria"/>
          <w:i/>
          <w:color w:val="1E2530"/>
          <w:sz w:val="22"/>
          <w:szCs w:val="22"/>
        </w:rPr>
        <w:t>"Today the Islamic Republic of Iran secured a framework that preserves Iran's sovereign right to peaceful nuclear technology, releases illegally frozen Iranian assets, reopens the Strait of Hormuz under a governance structure that recognizes Iran's coastal-state rights, and brings Iranian citizens home. Iran's nuclear infrastructure remains intact. Iran's enrichment facilities continue operating at 3.67% under IAEA monitoring. No facility closes. No centrifuge is destroyed. Sanctions relief begins immediately through verified reciprocity. Iran negotiated this agreement from strength, not weakness. Iran's dignity is intact. Iran's sovereignty is preserved. The path to regional stability opens through mutual respect, not through submission."</w:t>
      </w:r>
    </w:p>
    <w:p>
      <w:pPr>
        <w:pStyle w:val="Heading2"/>
        <w:keepNext w:val="true"/>
        <w:keepLines/>
        <w:bidi w:val="0"/>
        <w:spacing w:before="360" w:after="160"/>
        <w:rPr/>
      </w:pPr>
      <w:r>
        <w:rPr>
          <w:rFonts w:eastAsia="Microsoft YaHei" w:cs="Cambria"/>
          <w:b/>
          <w:color w:val="2C3E5E"/>
          <w:sz w:val="30"/>
          <w:szCs w:val="30"/>
        </w:rPr>
        <w:t>G.2 Anticipated Criticism and Response Framework</w:t>
      </w:r>
    </w:p>
    <w:p>
      <w:pPr>
        <w:pStyle w:val="Normal"/>
        <w:bidi w:val="0"/>
        <w:spacing w:before="0" w:after="180"/>
        <w:rPr/>
      </w:pPr>
      <w:r>
        <w:rPr>
          <w:rFonts w:eastAsia="Microsoft YaHei" w:cs="Cambria"/>
          <w:color w:val="1E2530"/>
          <w:sz w:val="22"/>
          <w:szCs w:val="22"/>
        </w:rPr>
        <w:t>Both Parties face domestic criticism for any agreement with the other. The following table provides fact-based responses to anticipated criticism.</w:t>
      </w:r>
    </w:p>
    <w:tbl>
      <w:tblPr>
        <w:tblW w:w="5000" w:type="pct"/>
        <w:jc w:val="start"/>
        <w:tblInd w:w="0" w:type="dxa"/>
        <w:tblLayout w:type="fixed"/>
        <w:tblCellMar>
          <w:top w:w="0" w:type="dxa"/>
          <w:start w:w="108" w:type="dxa"/>
          <w:bottom w:w="0" w:type="dxa"/>
          <w:end w:w="108" w:type="dxa"/>
        </w:tblCellMar>
      </w:tblPr>
      <w:tblGrid>
        <w:gridCol w:w="3610"/>
        <w:gridCol w:w="1404"/>
        <w:gridCol w:w="4012"/>
      </w:tblGrid>
      <w:tr>
        <w:trPr>
          <w:tblHeader w:val="true"/>
        </w:trPr>
        <w:tc>
          <w:tcPr>
            <w:tcW w:w="361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Anticipated Criticism</w:t>
            </w:r>
          </w:p>
        </w:tc>
        <w:tc>
          <w:tcPr>
            <w:tcW w:w="1404"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U.S. Response</w:t>
            </w:r>
          </w:p>
        </w:tc>
        <w:tc>
          <w:tcPr>
            <w:tcW w:w="40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Iranian Response</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"You gave away too much"</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"Every relief tranche is reversible until the final tranche. Iran's weapons-grade material is under IAEA lock and key. We gave nothing that Iran cannot earn back through verified compliance."</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"Every Iranian commitment is matched by a simultaneous American reciprocal step. Iran retains all nuclear infrastructure. Iran's enrichment rights are preserved. We conceded nothing that was not matched."</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"The other side can't be trusted"</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"Trust is not the currency. Verification is. Sensors operate 24/7. The dashboard shows everything. If Iran cheats, the relief stops automatically. We do not trust Iran. We verify Iran."</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"Trust is not the currency. Reciprocity is. Every American step activates simultaneously with an Iranian step. If America reneges, Iran has full exit rights on 14 days' notice. We do not trust America. We synchronize with America."</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"You should have held out for more"</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"We achieved our core security objectives: weapons-grade material under lock and key, continuous monitoring, full reversibility. This is more than the previous agreement delivered. Holding out meant continued risk of military escalation."</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"We achieved our core sovereignty objectives: enrichment rights preserved, no dismantlement, frozen assets releasing, coastal-state rights recognized. This is more than the previous agreement delivered. Holding out meant continued economic pressure."</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rewards the other side's bad behavior"</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"Relief rewards verified compliance, not past behavior. Every tranche requires IAEA certification first. Iran earns every benefit through performance. This is not a reward; it is a purchase of verified constraints."</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"Sanctions relief restores what was always Iran's. The nuclear constraints Iran accepts are matched by simultaneous American reciprocal steps. This is not a reward to America; it is a reciprocal exchange where both sides benefit."</w:t>
            </w:r>
          </w:p>
        </w:tc>
      </w:tr>
      <w:tr>
        <w:trPr/>
        <w:tc>
          <w:tcPr>
            <w:tcW w:w="361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sets a bad precedent"</w:t>
            </w:r>
          </w:p>
        </w:tc>
        <w:tc>
          <w:tcPr>
            <w:tcW w:w="1404"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Compact explicitly states it creates no precedent. It is a 60-day stabilization framework with rolling extensions. It is not a treaty. It creates no legal obligation beyond its own terms."</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22"/>
              </w:rPr>
              <w:t>"This Compact explicitly states it creates no precedent. It is a 60-day stabilization framework with rolling extensions. Iran retains full sovereignty and full exit rights. It creates no obligation beyond its own terms."</w:t>
            </w:r>
          </w:p>
        </w:tc>
      </w:tr>
      <w:tr>
        <w:trPr/>
        <w:tc>
          <w:tcPr>
            <w:tcW w:w="361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22"/>
              </w:rPr>
              <w:t>"The verification isn't strong enough"</w:t>
            </w:r>
          </w:p>
        </w:tc>
        <w:tc>
          <w:tcPr>
            <w:tcW w:w="1404"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22"/>
              </w:rPr>
              <w:t>"Continuous monitoring operates 24/7 at all declared facilities. Online enrichment monitors detect any deviation above 3.67% immediately. Tamper-evident seals protect all stockpiles. The Swiss-hosted dashboard displays all data in real time."</w:t>
            </w:r>
          </w:p>
        </w:tc>
        <w:tc>
          <w:tcPr>
            <w:tcW w:w="40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22"/>
              </w:rPr>
              <w:t>"Verification operates only at declared facilities, not as open-ended access. Iran agreed to specific, limited verification measures as part of a reciprocal deal. The scope is bounded, the duration is defined, and Iran's sovereignty is preserved."</w:t>
            </w:r>
          </w:p>
        </w:tc>
      </w:tr>
    </w:tbl>
    <w:p>
      <w:pPr>
        <w:pStyle w:val="Heading2"/>
        <w:keepNext w:val="true"/>
        <w:keepLines/>
        <w:bidi w:val="0"/>
        <w:spacing w:before="360" w:after="160"/>
        <w:rPr/>
      </w:pPr>
      <w:r>
        <w:rPr>
          <w:rFonts w:eastAsia="Microsoft YaHei" w:cs="Cambria"/>
          <w:b/>
          <w:color w:val="2C3E5E"/>
          <w:sz w:val="30"/>
          <w:szCs w:val="30"/>
        </w:rPr>
        <w:t>G.3 Social Media Guidance</w:t>
      </w:r>
    </w:p>
    <w:p>
      <w:pPr>
        <w:pStyle w:val="Normal"/>
        <w:bidi w:val="0"/>
        <w:spacing w:before="0" w:after="180"/>
        <w:rPr/>
      </w:pPr>
      <w:r>
        <w:rPr>
          <w:rFonts w:eastAsia="Microsoft YaHei" w:cs="Cambria"/>
          <w:color w:val="1E2530"/>
          <w:sz w:val="22"/>
          <w:szCs w:val="22"/>
        </w:rPr>
        <w:t>The following guidance governs social media communication about the Compact. It applies to official government accounts, spokesperson accounts, and affiliated institutional accounts.</w:t>
      </w:r>
    </w:p>
    <w:p>
      <w:pPr>
        <w:pStyle w:val="Normal"/>
        <w:numPr>
          <w:ilvl w:val="0"/>
          <w:numId w:val="1"/>
        </w:numPr>
        <w:bidi w:val="0"/>
        <w:spacing w:before="0" w:after="160"/>
        <w:rPr/>
      </w:pPr>
      <w:r>
        <w:rPr>
          <w:rFonts w:eastAsia="Microsoft YaHei" w:cs="Cambria"/>
          <w:b/>
          <w:color w:val="4A5568"/>
          <w:sz w:val="19"/>
          <w:szCs w:val="22"/>
        </w:rPr>
        <w:t xml:space="preserve">Message discipline - </w:t>
      </w:r>
      <w:r>
        <w:rPr>
          <w:rFonts w:eastAsia="Microsoft YaHei" w:cs="Cambria"/>
          <w:color w:val="1E2530"/>
          <w:sz w:val="22"/>
          <w:szCs w:val="22"/>
        </w:rPr>
        <w:t>All social media posts about the Compact use only the messaging in this annex. No ad-libbed claims. No personal opinions from official accounts. No speculation about the other side's motives.</w:t>
      </w:r>
    </w:p>
    <w:p>
      <w:pPr>
        <w:pStyle w:val="Normal"/>
        <w:numPr>
          <w:ilvl w:val="0"/>
          <w:numId w:val="1"/>
        </w:numPr>
        <w:bidi w:val="0"/>
        <w:spacing w:before="0" w:after="160"/>
        <w:rPr/>
      </w:pPr>
      <w:r>
        <w:rPr>
          <w:rFonts w:eastAsia="Microsoft YaHei" w:cs="Cambria"/>
          <w:b/>
          <w:color w:val="4A5568"/>
          <w:sz w:val="19"/>
          <w:szCs w:val="22"/>
        </w:rPr>
        <w:t xml:space="preserve">Visual branding - </w:t>
      </w:r>
      <w:r>
        <w:rPr>
          <w:rFonts w:eastAsia="Microsoft YaHei" w:cs="Cambria"/>
          <w:color w:val="1E2530"/>
          <w:sz w:val="22"/>
          <w:szCs w:val="22"/>
        </w:rPr>
        <w:t>Both Parties use the same shared visual identity for Compact-related posts: the blue-gold handshake logo, the hashtag #HormuzCompact, and the tagline "Peace Through Reciprocity." Shared visual identity signals unified commitment.</w:t>
      </w:r>
    </w:p>
    <w:p>
      <w:pPr>
        <w:pStyle w:val="Normal"/>
        <w:numPr>
          <w:ilvl w:val="0"/>
          <w:numId w:val="1"/>
        </w:numPr>
        <w:bidi w:val="0"/>
        <w:spacing w:before="0" w:after="160"/>
        <w:rPr/>
      </w:pPr>
      <w:r>
        <w:rPr>
          <w:rFonts w:eastAsia="Microsoft YaHei" w:cs="Cambria"/>
          <w:b/>
          <w:color w:val="4A5568"/>
          <w:sz w:val="19"/>
          <w:szCs w:val="22"/>
        </w:rPr>
        <w:t xml:space="preserve">Dashboard screenshots - </w:t>
      </w:r>
      <w:r>
        <w:rPr>
          <w:rFonts w:eastAsia="Microsoft YaHei" w:cs="Cambria"/>
          <w:color w:val="1E2530"/>
          <w:sz w:val="22"/>
          <w:szCs w:val="22"/>
        </w:rPr>
        <w:t>Official accounts post weekly screenshots from the Swiss-hosted dashboard showing verification status. Transparency builds credibility. The same dashboard data is visible to both Parties and the public.</w:t>
      </w:r>
    </w:p>
    <w:p>
      <w:pPr>
        <w:pStyle w:val="Normal"/>
        <w:numPr>
          <w:ilvl w:val="0"/>
          <w:numId w:val="1"/>
        </w:numPr>
        <w:bidi w:val="0"/>
        <w:spacing w:before="0" w:after="160"/>
        <w:rPr/>
      </w:pPr>
      <w:r>
        <w:rPr>
          <w:rFonts w:eastAsia="Microsoft YaHei" w:cs="Cambria"/>
          <w:b/>
          <w:color w:val="4A5568"/>
          <w:sz w:val="19"/>
          <w:szCs w:val="22"/>
        </w:rPr>
        <w:t xml:space="preserve">No premature claims - </w:t>
      </w:r>
      <w:r>
        <w:rPr>
          <w:rFonts w:eastAsia="Microsoft YaHei" w:cs="Cambria"/>
          <w:color w:val="1E2530"/>
          <w:sz w:val="22"/>
          <w:szCs w:val="22"/>
        </w:rPr>
        <w:t>No Party claims compliance or non-compliance by the other side before the IAEA issues its formal assessment. Social media does not drive compliance determinations; the IAEA does.</w:t>
      </w:r>
    </w:p>
    <w:p>
      <w:pPr>
        <w:pStyle w:val="Heading2"/>
        <w:keepNext w:val="true"/>
        <w:keepLines/>
        <w:bidi w:val="0"/>
        <w:spacing w:before="360" w:after="160"/>
        <w:rPr/>
      </w:pPr>
      <w:r>
        <w:rPr>
          <w:rFonts w:eastAsia="Microsoft YaHei" w:cs="Cambria"/>
          <w:b/>
          <w:color w:val="2C3E5E"/>
          <w:sz w:val="30"/>
          <w:szCs w:val="30"/>
        </w:rPr>
        <w:t>G.4 Narrative Guardrails</w:t>
      </w:r>
    </w:p>
    <w:p>
      <w:pPr>
        <w:pStyle w:val="Normal"/>
        <w:bidi w:val="0"/>
        <w:spacing w:before="0" w:after="180"/>
        <w:rPr/>
      </w:pPr>
      <w:r>
        <w:rPr>
          <w:rFonts w:eastAsia="Microsoft YaHei" w:cs="Cambria"/>
          <w:color w:val="1E2530"/>
          <w:sz w:val="22"/>
          <w:szCs w:val="22"/>
        </w:rPr>
        <w:t>The following guardrails prevent messaging that inadvertently undermines the Compact:</w:t>
      </w:r>
    </w:p>
    <w:p>
      <w:pPr>
        <w:pStyle w:val="Normal"/>
        <w:numPr>
          <w:ilvl w:val="0"/>
          <w:numId w:val="1"/>
        </w:numPr>
        <w:bidi w:val="0"/>
        <w:spacing w:before="0" w:after="160"/>
        <w:rPr/>
      </w:pPr>
      <w:r>
        <w:rPr>
          <w:rFonts w:eastAsia="Microsoft YaHei" w:cs="Cambria"/>
          <w:b/>
          <w:color w:val="4A5568"/>
          <w:sz w:val="19"/>
          <w:szCs w:val="22"/>
        </w:rPr>
        <w:t xml:space="preserve">No victory claims over the other side - </w:t>
      </w:r>
      <w:r>
        <w:rPr>
          <w:rFonts w:eastAsia="Microsoft YaHei" w:cs="Cambria"/>
          <w:color w:val="1E2530"/>
          <w:sz w:val="22"/>
          <w:szCs w:val="22"/>
        </w:rPr>
        <w:t>Neither Party describes the Compact as a victory over the other. Both describe it as a synchronized framework where both sides benefit. Victory framing invites the other side to retaliate in messaging and undermines the synchronization architecture.</w:t>
      </w:r>
    </w:p>
    <w:p>
      <w:pPr>
        <w:pStyle w:val="Normal"/>
        <w:numPr>
          <w:ilvl w:val="0"/>
          <w:numId w:val="1"/>
        </w:numPr>
        <w:bidi w:val="0"/>
        <w:spacing w:before="0" w:after="160"/>
        <w:rPr/>
      </w:pPr>
      <w:r>
        <w:rPr>
          <w:rFonts w:eastAsia="Microsoft YaHei" w:cs="Cambria"/>
          <w:b/>
          <w:color w:val="4A5568"/>
          <w:sz w:val="19"/>
          <w:szCs w:val="22"/>
        </w:rPr>
        <w:t xml:space="preserve">No personalization - </w:t>
      </w:r>
      <w:r>
        <w:rPr>
          <w:rFonts w:eastAsia="Microsoft YaHei" w:cs="Cambria"/>
          <w:color w:val="1E2530"/>
          <w:sz w:val="22"/>
          <w:szCs w:val="22"/>
        </w:rPr>
        <w:t>Messaging focuses on the framework, not on leaders. No praise for the other side's leader. No criticism either. The Compact operates between states, not between individuals.</w:t>
      </w:r>
    </w:p>
    <w:p>
      <w:pPr>
        <w:pStyle w:val="Normal"/>
        <w:numPr>
          <w:ilvl w:val="0"/>
          <w:numId w:val="1"/>
        </w:numPr>
        <w:bidi w:val="0"/>
        <w:spacing w:before="0" w:after="160"/>
        <w:rPr/>
      </w:pPr>
      <w:r>
        <w:rPr>
          <w:rFonts w:eastAsia="Microsoft YaHei" w:cs="Cambria"/>
          <w:b/>
          <w:color w:val="4A5568"/>
          <w:sz w:val="19"/>
          <w:szCs w:val="22"/>
        </w:rPr>
        <w:t xml:space="preserve">No speculation about the other side's internal politics - </w:t>
      </w:r>
      <w:r>
        <w:rPr>
          <w:rFonts w:eastAsia="Microsoft YaHei" w:cs="Cambria"/>
          <w:color w:val="1E2530"/>
          <w:sz w:val="22"/>
          <w:szCs w:val="22"/>
        </w:rPr>
        <w:t>Neither Party comments on the other side's domestic political situation, factional dynamics, or leadership struggles. Speculation is inaccurate, counterproductive, and destabilizing.</w:t>
      </w:r>
    </w:p>
    <w:p>
      <w:pPr>
        <w:pStyle w:val="Normal"/>
        <w:numPr>
          <w:ilvl w:val="0"/>
          <w:numId w:val="1"/>
        </w:numPr>
        <w:bidi w:val="0"/>
        <w:spacing w:before="0" w:after="160"/>
        <w:rPr/>
        <w:sectPr>
          <w:headerReference w:type="default" r:id="rId13"/>
          <w:footerReference w:type="default" r:id="rId14"/>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b/>
          <w:color w:val="4A5568"/>
          <w:sz w:val="19"/>
          <w:szCs w:val="22"/>
        </w:rPr>
        <w:t xml:space="preserve">Consistency across channels - </w:t>
      </w:r>
      <w:r>
        <w:rPr>
          <w:rFonts w:eastAsia="Microsoft YaHei" w:cs="Cambria"/>
          <w:color w:val="1E2530"/>
          <w:sz w:val="22"/>
          <w:szCs w:val="22"/>
        </w:rPr>
        <w:t>The same message appears across all channels — press conferences, social media, diplomatic cables, and background briefings. Inconsistency creates confusion and invites attack.</w:t>
      </w:r>
    </w:p>
    <w:p>
      <w:pPr>
        <w:pStyle w:val="Heading1"/>
        <w:bidi w:val="0"/>
        <w:rPr/>
      </w:pPr>
      <w:r>
        <w:rPr>
          <w:rFonts w:eastAsia="Microsoft YaHei" w:cs="Cambria"/>
          <w:b/>
          <w:color w:val="4A5568"/>
          <w:sz w:val="19"/>
          <w:szCs w:val="22"/>
        </w:rPr>
        <w:t>Annex H: Operational One-Page Tools</w:t>
      </w:r>
    </w:p>
    <w:p>
      <w:pPr>
        <w:pStyle w:val="Normal"/>
        <w:bidi w:val="0"/>
        <w:spacing w:before="0" w:after="180"/>
        <w:rPr/>
      </w:pPr>
      <w:r>
        <w:rPr>
          <w:rFonts w:eastAsia="Microsoft YaHei" w:cs="Cambria"/>
          <w:color w:val="1E2530"/>
          <w:sz w:val="22"/>
          <w:szCs w:val="22"/>
        </w:rPr>
        <w:t>This annex provides the simplified operational tools that negotiators, technical teams, and principals use during implementation. Each tool fits on one page. Each tool answers a specific operational question.</w:t>
      </w:r>
    </w:p>
    <w:p>
      <w:pPr>
        <w:pStyle w:val="Heading2"/>
        <w:keepNext w:val="true"/>
        <w:keepLines/>
        <w:bidi w:val="0"/>
        <w:spacing w:before="360" w:after="160"/>
        <w:rPr/>
      </w:pPr>
      <w:r>
        <w:rPr>
          <w:rFonts w:eastAsia="Microsoft YaHei" w:cs="Cambria"/>
          <w:b/>
          <w:color w:val="2C3E5E"/>
          <w:sz w:val="30"/>
          <w:szCs w:val="30"/>
        </w:rPr>
        <w:t>H.1 One-Page Reciprocity Matrix (Negotiator Cheat Sheet)</w:t>
      </w:r>
    </w:p>
    <w:p>
      <w:pPr>
        <w:pStyle w:val="Normal"/>
        <w:bidi w:val="0"/>
        <w:spacing w:before="0" w:after="180"/>
        <w:rPr/>
      </w:pPr>
      <w:r>
        <w:rPr>
          <w:rFonts w:eastAsia="Microsoft YaHei" w:cs="Cambria"/>
          <w:color w:val="1E2530"/>
          <w:sz w:val="22"/>
          <w:szCs w:val="22"/>
        </w:rPr>
        <w:t>The following table is the single-page reference that negotiators carry into every meeting. It shows what Iran does, what the United States does, what triggers each step, and what happens if something goes wrong.</w:t>
      </w:r>
    </w:p>
    <w:tbl>
      <w:tblPr>
        <w:tblW w:w="5000" w:type="pct"/>
        <w:jc w:val="start"/>
        <w:tblInd w:w="0" w:type="dxa"/>
        <w:tblLayout w:type="fixed"/>
        <w:tblCellMar>
          <w:top w:w="0" w:type="dxa"/>
          <w:start w:w="108" w:type="dxa"/>
          <w:bottom w:w="0" w:type="dxa"/>
          <w:end w:w="108" w:type="dxa"/>
        </w:tblCellMar>
      </w:tblPr>
      <w:tblGrid>
        <w:gridCol w:w="591"/>
        <w:gridCol w:w="2149"/>
        <w:gridCol w:w="2095"/>
        <w:gridCol w:w="2096"/>
        <w:gridCol w:w="2095"/>
      </w:tblGrid>
      <w:tr>
        <w:trPr>
          <w:tblHeader w:val="true"/>
        </w:trPr>
        <w:tc>
          <w:tcPr>
            <w:tcW w:w="591"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Phase</w:t>
            </w:r>
          </w:p>
        </w:tc>
        <w:tc>
          <w:tcPr>
            <w:tcW w:w="2149"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Iran Does</w:t>
            </w:r>
          </w:p>
        </w:tc>
        <w:tc>
          <w:tcPr>
            <w:tcW w:w="2095"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U.S. Does</w:t>
            </w:r>
          </w:p>
        </w:tc>
        <w:tc>
          <w:tcPr>
            <w:tcW w:w="2096"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Trigger</w:t>
            </w:r>
          </w:p>
        </w:tc>
        <w:tc>
          <w:tcPr>
            <w:tcW w:w="2095"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If Wrong</w:t>
            </w:r>
          </w:p>
        </w:tc>
      </w:tr>
      <w:tr>
        <w:trPr/>
        <w:tc>
          <w:tcPr>
            <w:tcW w:w="59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1 (Days 1-7)</w:t>
            </w:r>
          </w:p>
        </w:tc>
        <w:tc>
          <w:tcPr>
            <w:tcW w:w="214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Freeze at 3.67%; sustain seals; facilitate monitoring setup</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$250M humanitarian tranche; oil export processing</w:t>
            </w:r>
          </w:p>
        </w:tc>
        <w:tc>
          <w:tcPr>
            <w:tcW w:w="2096"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Signature</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Micro-fallback: 24-hr consultation pause</w:t>
            </w:r>
          </w:p>
        </w:tc>
      </w:tr>
      <w:tr>
        <w:trPr/>
        <w:tc>
          <w:tcPr>
            <w:tcW w:w="59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2 (Days 8-60)</w:t>
            </w:r>
          </w:p>
        </w:tc>
        <w:tc>
          <w:tcPr>
            <w:tcW w:w="214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stockpile declaration; apply IAEA seals; begin 60% HEU disposition; Hormuz reopening protocol</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Two relief; front-loaded frozen assets; SWIFT engagement; bilateral dialogue</w:t>
            </w:r>
          </w:p>
        </w:tc>
        <w:tc>
          <w:tcPr>
            <w:tcW w:w="2096"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IAEA certifies each step</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Step-Back: relief reverses proportionally</w:t>
            </w:r>
          </w:p>
        </w:tc>
      </w:tr>
      <w:tr>
        <w:trPr/>
        <w:tc>
          <w:tcPr>
            <w:tcW w:w="591"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3 (Post-trigger)</w:t>
            </w:r>
          </w:p>
        </w:tc>
        <w:tc>
          <w:tcPr>
            <w:tcW w:w="214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Accelerate disposition; full IAEA access; continuous monitoring operational</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Three relief; SWIFT reconnection; subsidiary licensing; comprehensive architecture review</w:t>
            </w:r>
          </w:p>
        </w:tc>
        <w:tc>
          <w:tcPr>
            <w:tcW w:w="2096"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Technical channel confirms both sides completed initial parallel measures</w:t>
            </w:r>
          </w:p>
        </w:tc>
        <w:tc>
          <w:tcPr>
            <w:tcW w:w="2095"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Micro-fallback first; Step-Back if unresolved</w:t>
            </w:r>
          </w:p>
        </w:tc>
      </w:tr>
      <w:tr>
        <w:trPr/>
        <w:tc>
          <w:tcPr>
            <w:tcW w:w="591"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Renewal (Day 90)</w:t>
            </w:r>
          </w:p>
        </w:tc>
        <w:tc>
          <w:tcPr>
            <w:tcW w:w="2149"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Complete 100% disposition; all material at or below 5%</w:t>
            </w:r>
          </w:p>
        </w:tc>
        <w:tc>
          <w:tcPr>
            <w:tcW w:w="2095"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Permanent resolution working group; JCPOA implementation; comprehensive sanctions architecture review</w:t>
            </w:r>
          </w:p>
        </w:tc>
        <w:tc>
          <w:tcPr>
            <w:tcW w:w="2096"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IAEA final compliance report</w:t>
            </w:r>
          </w:p>
        </w:tc>
        <w:tc>
          <w:tcPr>
            <w:tcW w:w="2095"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Non-renewal; 14-day exit ramp</w:t>
            </w:r>
          </w:p>
        </w:tc>
      </w:tr>
    </w:tbl>
    <w:p>
      <w:pPr>
        <w:pStyle w:val="Heading2"/>
        <w:keepNext w:val="true"/>
        <w:keepLines/>
        <w:bidi w:val="0"/>
        <w:spacing w:before="360" w:after="160"/>
        <w:rPr/>
      </w:pPr>
      <w:r>
        <w:rPr>
          <w:rFonts w:eastAsia="Microsoft YaHei" w:cs="Cambria"/>
          <w:b/>
          <w:color w:val="2C3E5E"/>
          <w:sz w:val="30"/>
          <w:szCs w:val="30"/>
        </w:rPr>
        <w:t>H.2 One-Page Nuclear Map</w:t>
      </w:r>
    </w:p>
    <w:p>
      <w:pPr>
        <w:pStyle w:val="Normal"/>
        <w:bidi w:val="0"/>
        <w:spacing w:before="0" w:after="180"/>
        <w:rPr/>
      </w:pPr>
      <w:r>
        <w:rPr>
          <w:rFonts w:eastAsia="Microsoft YaHei" w:cs="Cambria"/>
          <w:color w:val="1E2530"/>
          <w:sz w:val="22"/>
          <w:szCs w:val="22"/>
        </w:rPr>
        <w:t>The following nuclear-only timeline shows the exact sequence of Iranian nuclear steps and American nuclear-linked reciprocity.</w:t>
      </w:r>
    </w:p>
    <w:tbl>
      <w:tblPr>
        <w:tblW w:w="5000" w:type="pct"/>
        <w:jc w:val="start"/>
        <w:tblInd w:w="0" w:type="dxa"/>
        <w:tblLayout w:type="fixed"/>
        <w:tblCellMar>
          <w:top w:w="0" w:type="dxa"/>
          <w:start w:w="108" w:type="dxa"/>
          <w:bottom w:w="0" w:type="dxa"/>
          <w:end w:w="108" w:type="dxa"/>
        </w:tblCellMar>
      </w:tblPr>
      <w:tblGrid>
        <w:gridCol w:w="1102"/>
        <w:gridCol w:w="4012"/>
        <w:gridCol w:w="3912"/>
      </w:tblGrid>
      <w:tr>
        <w:trPr>
          <w:tblHeader w:val="true"/>
        </w:trPr>
        <w:tc>
          <w:tcPr>
            <w:tcW w:w="110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Day</w:t>
            </w:r>
          </w:p>
        </w:tc>
        <w:tc>
          <w:tcPr>
            <w:tcW w:w="40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Iranian Nuclear Step</w:t>
            </w:r>
          </w:p>
        </w:tc>
        <w:tc>
          <w:tcPr>
            <w:tcW w:w="3912"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b/>
                <w:color w:val="4A5568"/>
                <w:sz w:val="19"/>
                <w:szCs w:val="19"/>
              </w:rPr>
              <w:t>U.S. Nuclear-Linked Measure</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1</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Maintain freeze at 3.67%; sustain seal integrity on all material above 5%</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Humanitarian tranche releases; oil export processing begins</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3</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Facilitate IAEA monitoring equipment installation at declared facilities</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Humanitarian general license expands to agriculture and aviation parts</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7</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stockpile declaration: locations, quantities, enrichment levels</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Treasury publishes licensing guidance; SWIFT engagement guidance issued</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14</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Apply IAEA seals to all material above 5%; agree disposition pathway for 60% HEU</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Two relief activates; front-loaded frozen assets begin ($2B equivalent)</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30</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25% of 60% HEU disposition</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Front-loaded tranche #2 releases; bilateral technical working groups activate</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45</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50% of 60% HEU disposition; all material above 20% under dual-key custody</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Tier Three relief begins: SWIFT reconnection, subsidiary licensing, full architecture review</w:t>
            </w:r>
          </w:p>
        </w:tc>
      </w:tr>
      <w:tr>
        <w:trPr/>
        <w:tc>
          <w:tcPr>
            <w:tcW w:w="110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Day 60</w:t>
            </w:r>
          </w:p>
        </w:tc>
        <w:tc>
          <w:tcPr>
            <w:tcW w:w="40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Complete 75% of 60% HEU disposition</w:t>
            </w:r>
          </w:p>
        </w:tc>
        <w:tc>
          <w:tcPr>
            <w:tcW w:w="3912" w:type="dxa"/>
            <w:tcBorders>
              <w:top w:val="single" w:sz="4" w:space="0" w:color="C8C4B8"/>
              <w:bottom w:val="single" w:sz="4" w:space="0" w:color="C8C4B8"/>
            </w:tcBorders>
          </w:tcPr>
          <w:p>
            <w:pPr>
              <w:pStyle w:val="Normal"/>
              <w:widowControl w:val="false"/>
              <w:bidi w:val="0"/>
              <w:spacing w:before="60" w:after="60"/>
              <w:rPr/>
            </w:pPr>
            <w:r>
              <w:rPr>
                <w:rFonts w:eastAsia="Microsoft YaHei" w:cs="Cambria"/>
                <w:b/>
                <w:color w:val="1E2530"/>
                <w:sz w:val="22"/>
                <w:szCs w:val="19"/>
              </w:rPr>
              <w:t>Comprehensive Joint Nuclear Cooperation Dialogue launches</w:t>
            </w:r>
          </w:p>
        </w:tc>
      </w:tr>
      <w:tr>
        <w:trPr/>
        <w:tc>
          <w:tcPr>
            <w:tcW w:w="110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Day 90</w:t>
            </w:r>
          </w:p>
        </w:tc>
        <w:tc>
          <w:tcPr>
            <w:tcW w:w="40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Complete 100% of 60% HEU disposition; all material at or below 5%</w:t>
            </w:r>
          </w:p>
        </w:tc>
        <w:tc>
          <w:tcPr>
            <w:tcW w:w="3912"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b/>
                <w:color w:val="1E2530"/>
                <w:sz w:val="22"/>
                <w:szCs w:val="19"/>
              </w:rPr>
              <w:t>Permanent resolution working group; JCPOA implementation declared</w:t>
            </w:r>
          </w:p>
        </w:tc>
      </w:tr>
    </w:tbl>
    <w:p>
      <w:pPr>
        <w:pStyle w:val="Heading2"/>
        <w:keepNext w:val="true"/>
        <w:keepLines/>
        <w:bidi w:val="0"/>
        <w:spacing w:before="360" w:after="160"/>
        <w:rPr/>
      </w:pPr>
      <w:r>
        <w:rPr>
          <w:rFonts w:eastAsia="Microsoft YaHei" w:cs="Cambria"/>
          <w:b/>
          <w:color w:val="2C3E5E"/>
          <w:sz w:val="30"/>
          <w:szCs w:val="30"/>
        </w:rPr>
        <w:t>H.3 One-Page Verification Map</w:t>
      </w:r>
    </w:p>
    <w:p>
      <w:pPr>
        <w:pStyle w:val="Normal"/>
        <w:bidi w:val="0"/>
        <w:spacing w:before="0" w:after="180"/>
        <w:rPr/>
      </w:pPr>
      <w:r>
        <w:rPr>
          <w:rFonts w:eastAsia="Microsoft YaHei" w:cs="Cambria" w:ascii="Microsoft YaHei" w:hAnsi="Microsoft YaHei"/>
          <w:color w:val="1E2530"/>
          <w:sz w:val="22"/>
          <w:szCs w:val="22"/>
          <w:lang w:val="en-US" w:eastAsia="zh-CN" w:bidi="hi-IN"/>
        </w:rPr>
        <w:t>The following verification-only timeline shows the exact sequence of IAEA activities, equipment deployment, and certification milestones.</w:t>
      </w:r>
    </w:p>
    <w:tbl>
      <w:tblPr>
        <w:tblW w:w="5000" w:type="pct"/>
        <w:jc w:val="start"/>
        <w:tblInd w:w="0" w:type="dxa"/>
        <w:tblLayout w:type="fixed"/>
        <w:tblCellMar>
          <w:top w:w="0" w:type="dxa"/>
          <w:start w:w="108" w:type="dxa"/>
          <w:bottom w:w="0" w:type="dxa"/>
          <w:end w:w="108" w:type="dxa"/>
        </w:tblCellMar>
      </w:tblPr>
      <w:tblGrid>
        <w:gridCol w:w="769"/>
        <w:gridCol w:w="2798"/>
        <w:gridCol w:w="2730"/>
        <w:gridCol w:w="2728"/>
      </w:tblGrid>
      <w:tr>
        <w:trPr>
          <w:tblHeader w:val="1"/>
        </w:trPr>
        <w:tc>
          <w:tcPr>
            <w:tcW w:w="769"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4A5568"/>
                <w:sz w:val="19"/>
                <w:szCs w:val="19"/>
                <w:lang w:val="en-US" w:eastAsia="zh-CN" w:bidi="hi-IN"/>
              </w:rPr>
              <w:t>Day</w:t>
            </w:r>
          </w:p>
        </w:tc>
        <w:tc>
          <w:tcPr>
            <w:tcW w:w="2798"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4A5568"/>
                <w:sz w:val="19"/>
                <w:szCs w:val="19"/>
                <w:lang w:val="en-US" w:eastAsia="zh-CN" w:bidi="hi-IN"/>
              </w:rPr>
              <w:t>IAEA Activity</w:t>
            </w:r>
          </w:p>
        </w:tc>
        <w:tc>
          <w:tcPr>
            <w:tcW w:w="2730"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4A5568"/>
                <w:sz w:val="19"/>
                <w:szCs w:val="19"/>
                <w:lang w:val="en-US" w:eastAsia="zh-CN" w:bidi="hi-IN"/>
              </w:rPr>
              <w:t>Equipment</w:t>
            </w:r>
          </w:p>
        </w:tc>
        <w:tc>
          <w:tcPr>
            <w:tcW w:w="2728" w:type="dxa"/>
            <w:tcBorders>
              <w:top w:val="single" w:sz="12" w:space="0" w:color="1A2744"/>
              <w:bottom w:val="single" w:sz="4" w:space="0" w:color="C8C4B8"/>
            </w:tcBorders>
            <w:shd w:color="auto" w:fill="E8E6E0" w:val="clear"/>
          </w:tcPr>
          <w:p>
            <w:pPr>
              <w:pStyle w:val="Normal"/>
              <w:widowControl w:val="false"/>
              <w:bidi w:val="0"/>
              <w:spacing w:before="60" w:after="60"/>
              <w:rPr/>
            </w:pPr>
            <w:r>
              <w:rPr>
                <w:rFonts w:eastAsia="Microsoft YaHei" w:cs="Cambria" w:ascii="Microsoft YaHei" w:hAnsi="Microsoft YaHei"/>
                <w:b/>
                <w:color w:val="4A5568"/>
                <w:sz w:val="19"/>
                <w:szCs w:val="19"/>
                <w:lang w:val="en-US" w:eastAsia="zh-CN" w:bidi="hi-IN"/>
              </w:rPr>
              <w:t>Certification</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1</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Core inspection team deploys (12 inspectors)</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Dashboard goes live; credentials issued</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None — deployment confirmation only</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3</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Baseline readings at all declared facilities</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Baseline sensors calibrate and transmit</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Baseline report posts to dashboard</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7</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Stockpile declaration review; inventory declared equipment</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Equipment register posts to dashboard</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Declaration consistency report</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14</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Seal installation at all stockpiles above 5%; continuous monitoring equipment installation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Tamper-evident seals; online enrichment monitors; remote cameras</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Seal integrity verification; monitoring certification</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30</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Verification Milestone 1 assessment; 25% disposition verification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Disposition monitoring equipment operational</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VM1 compliance determination</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45</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Verification Milestone 2 assessment; 50% disposition verification; dual-key custody confirmation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Dual-key custody equipment at storage locations</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VM2 compliance determination; good-faith fast lane activates</w:t>
            </w:r>
          </w:p>
        </w:tc>
      </w:tr>
      <w:tr>
        <w:trPr/>
        <w:tc>
          <w:tcPr>
            <w:tcW w:w="769"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60</w:t>
            </w:r>
          </w:p>
        </w:tc>
        <w:tc>
          <w:tcPr>
            <w:tcW w:w="279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Verification Milestone 3 assessment; 75% disposition verification</w:t>
            </w:r>
          </w:p>
        </w:tc>
        <w:tc>
          <w:tcPr>
            <w:tcW w:w="2730"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All monitoring equipment recalibrated</w:t>
            </w:r>
          </w:p>
        </w:tc>
        <w:tc>
          <w:tcPr>
            <w:tcW w:w="2728" w:type="dxa"/>
            <w:tcBorders>
              <w:top w:val="single" w:sz="4" w:space="0" w:color="C8C4B8"/>
              <w:bottom w:val="single" w:sz="4" w:space="0" w:color="C8C4B8"/>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VM3 compliance determination</w:t>
            </w:r>
          </w:p>
        </w:tc>
      </w:tr>
      <w:tr>
        <w:trPr/>
        <w:tc>
          <w:tcPr>
            <w:tcW w:w="769"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Day 90</w:t>
            </w:r>
          </w:p>
        </w:tc>
        <w:tc>
          <w:tcPr>
            <w:tcW w:w="2798"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Final material accountancy; 100% disposition verification</w:t>
            </w:r>
          </w:p>
        </w:tc>
        <w:tc>
          <w:tcPr>
            <w:tcW w:w="2730"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All equipment operational; data integrity verified</w:t>
            </w:r>
          </w:p>
        </w:tc>
        <w:tc>
          <w:tcPr>
            <w:tcW w:w="2728" w:type="dxa"/>
            <w:tcBorders>
              <w:top w:val="single" w:sz="4" w:space="0" w:color="C8C4B8"/>
              <w:bottom w:val="single" w:sz="12" w:space="0" w:color="1A2744"/>
            </w:tcBorders>
          </w:tcPr>
          <w:p>
            <w:pPr>
              <w:pStyle w:val="Normal"/>
              <w:widowControl w:val="false"/>
              <w:bidi w:val="0"/>
              <w:spacing w:before="60" w:after="60"/>
              <w:rPr/>
            </w:pPr>
            <w:r>
              <w:rPr>
                <w:rFonts w:eastAsia="Microsoft YaHei" w:cs="Cambria" w:ascii="Microsoft YaHei" w:hAnsi="Microsoft YaHei"/>
                <w:b/>
                <w:color w:val="1E2530"/>
                <w:sz w:val="22"/>
                <w:szCs w:val="19"/>
                <w:lang w:val="en-US" w:eastAsia="zh-CN" w:bidi="hi-IN"/>
              </w:rPr>
              <w:t>Final compliance report; framework renewal determination</w:t>
            </w:r>
          </w:p>
        </w:tc>
      </w:tr>
    </w:tbl>
    <w:p>
      <w:pPr>
        <w:pStyle w:val="Heading2"/>
        <w:keepNext w:val="true"/>
        <w:keepLines/>
        <w:bidi w:val="0"/>
        <w:spacing w:before="360" w:after="160"/>
        <w:rPr/>
      </w:pPr>
      <w:r>
        <w:rPr>
          <w:rFonts w:eastAsia="Microsoft YaHei" w:cs="Cambria" w:ascii="Microsoft YaHei" w:hAnsi="Microsoft YaHei"/>
          <w:b/>
          <w:color w:val="2C3E5E"/>
          <w:sz w:val="30"/>
          <w:szCs w:val="30"/>
          <w:lang w:val="en-US" w:eastAsia="zh-CN" w:bidi="hi-IN"/>
        </w:rPr>
        <w:t>H.4 Fallback Clause for Hesitation</w:t>
      </w:r>
    </w:p>
    <w:p>
      <w:pPr>
        <w:pStyle w:val="Normal"/>
        <w:bidi w:val="0"/>
        <w:spacing w:before="0" w:after="180"/>
        <w:rPr/>
      </w:pPr>
      <w:r>
        <w:rPr>
          <w:rFonts w:eastAsia="Microsoft YaHei" w:cs="Cambria" w:ascii="Microsoft YaHei" w:hAnsi="Microsoft YaHei"/>
          <w:color w:val="1E2530"/>
          <w:sz w:val="22"/>
          <w:szCs w:val="22"/>
          <w:lang w:val="en-US" w:eastAsia="zh-CN" w:bidi="hi-IN"/>
        </w:rPr>
        <w:t>The following clause prevents last-minute derailment during the final stages of implementation. Political hesitation on either side does not break the synchronization.</w:t>
      </w:r>
    </w:p>
    <w:p>
      <w:pPr>
        <w:pStyle w:val="Normal"/>
        <w:shd w:val="clear" w:fill="F5F0E8"/>
        <w:bidi w:val="0"/>
        <w:spacing w:before="200" w:after="200"/>
        <w:ind w:start="360" w:end="360" w:hanging="0"/>
        <w:jc w:val="both"/>
        <w:rPr/>
      </w:pPr>
      <w:r>
        <w:rPr>
          <w:rFonts w:eastAsia="Microsoft YaHei" w:cs="Cambria" w:ascii="Microsoft YaHei" w:hAnsi="Microsoft YaHei"/>
          <w:i/>
          <w:color w:val="1E2530"/>
          <w:sz w:val="22"/>
          <w:szCs w:val="22"/>
          <w:lang w:val="en-US" w:eastAsia="zh-CN" w:bidi="hi-IN"/>
        </w:rPr>
        <w:t>"If either Party signals hesitation about proceeding with a scheduled commitment, the Joint Coordination Center convenes an emergency consultation within 12 hours. The consultation does not renegotiate the commitment; it addresses the specific concern and identifies a face-saving path to implementation. Both Parties commit in good faith to finding a solution that preserves synchronization. If no solution emerges within 48 hours, the Neutral Guarantor proposes a bridging mechanism. Neither Party rejects the bridging mechanism without proposing an alternative that preserves the synchronized timeline."</w:t>
      </w:r>
    </w:p>
    <w:p>
      <w:pPr>
        <w:pStyle w:val="Normal"/>
        <w:bidi w:val="0"/>
        <w:spacing w:before="0" w:after="180"/>
        <w:rPr/>
      </w:pPr>
      <w:r>
        <w:rPr>
          <w:rFonts w:eastAsia="Microsoft YaHei" w:cs="Cambria" w:ascii="Microsoft YaHei" w:hAnsi="Microsoft YaHei"/>
          <w:color w:val="1E2530"/>
          <w:sz w:val="22"/>
          <w:szCs w:val="22"/>
          <w:lang w:val="en-US" w:eastAsia="zh-CN" w:bidi="hi-IN"/>
        </w:rPr>
        <w:t>The fallback clause operates through the following mechanics:</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Emergency consultation - </w:t>
      </w:r>
      <w:r>
        <w:rPr>
          <w:rFonts w:eastAsia="Microsoft YaHei" w:cs="Cambria" w:ascii="Microsoft YaHei" w:hAnsi="Microsoft YaHei"/>
          <w:color w:val="1E2530"/>
          <w:sz w:val="22"/>
          <w:szCs w:val="22"/>
          <w:lang w:val="en-US" w:eastAsia="zh-CN" w:bidi="hi-IN"/>
        </w:rPr>
        <w:t>Within 12 hours of hesitation signal, technical liaisons meet via the Joint Coordination Center. The meeting is technical, not political. It identifies the specific operational concern, not the general political problem.</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Face-saving path - </w:t>
      </w:r>
      <w:r>
        <w:rPr>
          <w:rFonts w:eastAsia="Microsoft YaHei" w:cs="Cambria" w:ascii="Microsoft YaHei" w:hAnsi="Microsoft YaHei"/>
          <w:color w:val="1E2530"/>
          <w:sz w:val="22"/>
          <w:szCs w:val="22"/>
          <w:lang w:val="en-US" w:eastAsia="zh-CN" w:bidi="hi-IN"/>
        </w:rPr>
        <w:t>The consultation identifies a formulation that allows the hesitating Party to proceed without appearing to concede. This involves adjusted timing by no more than 48 hours, modified notification language, or a parallel statement by the other side.</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Bridging mechanism - </w:t>
      </w:r>
      <w:r>
        <w:rPr>
          <w:rFonts w:eastAsia="Microsoft YaHei" w:cs="Cambria" w:ascii="Microsoft YaHei" w:hAnsi="Microsoft YaHei"/>
          <w:color w:val="1E2530"/>
          <w:sz w:val="22"/>
          <w:szCs w:val="22"/>
          <w:lang w:val="en-US" w:eastAsia="zh-CN" w:bidi="hi-IN"/>
        </w:rPr>
        <w:t>If the consultation does not resolve the hesitation within 48 hours, the Neutral Guarantor proposes a bridging mechanism: a temporary operational adjustment that preserves the synchronization while addressing the concern. The bridging mechanism does not alter the substantive commitments; it adjusts the operational pathway.</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Alternative requirement - </w:t>
      </w:r>
      <w:r>
        <w:rPr>
          <w:rFonts w:eastAsia="Microsoft YaHei" w:cs="Cambria" w:ascii="Microsoft YaHei" w:hAnsi="Microsoft YaHei"/>
          <w:color w:val="1E2530"/>
          <w:sz w:val="22"/>
          <w:szCs w:val="22"/>
          <w:lang w:val="en-US" w:eastAsia="zh-CN" w:bidi="hi-IN"/>
        </w:rPr>
        <w:t>Neither Party rejects a bridging mechanism without proposing an alternative that preserves the synchronized timeline. A rejection without an alternative is not recognized by the Joint Coordination Center.</w:t>
      </w:r>
    </w:p>
    <w:p>
      <w:pPr>
        <w:pStyle w:val="Normal"/>
        <w:numPr>
          <w:ilvl w:val="0"/>
          <w:numId w:val="1"/>
        </w:numPr>
        <w:bidi w:val="0"/>
        <w:spacing w:before="0" w:after="160"/>
        <w:rPr/>
        <w:sectPr>
          <w:headerReference w:type="default" r:id="rId15"/>
          <w:footerReference w:type="default" r:id="rId16"/>
          <w:type w:val="nextPage"/>
          <w:pgSz w:w="11906" w:h="16838"/>
          <w:pgMar w:left="1440" w:right="1440" w:gutter="0" w:header="720" w:top="1800" w:footer="720" w:bottom="1440"/>
          <w:pgNumType w:fmt="decimal"/>
          <w:formProt w:val="false"/>
          <w:textDirection w:val="lrTb"/>
          <w:docGrid w:type="default" w:linePitch="100" w:charSpace="0"/>
        </w:sectPr>
      </w:pPr>
      <w:r>
        <w:rPr>
          <w:rFonts w:eastAsia="Microsoft YaHei" w:cs="Cambria" w:ascii="Microsoft YaHei" w:hAnsi="Microsoft YaHei"/>
          <w:b/>
          <w:color w:val="4A5568"/>
          <w:sz w:val="19"/>
          <w:szCs w:val="22"/>
          <w:lang w:val="en-US" w:eastAsia="zh-CN" w:bidi="hi-IN"/>
        </w:rPr>
        <w:t xml:space="preserve">No precedent - </w:t>
      </w:r>
      <w:r>
        <w:rPr>
          <w:rFonts w:eastAsia="Microsoft YaHei" w:cs="Cambria" w:ascii="Microsoft YaHei" w:hAnsi="Microsoft YaHei"/>
          <w:color w:val="1E2530"/>
          <w:sz w:val="22"/>
          <w:szCs w:val="22"/>
          <w:lang w:val="en-US" w:eastAsia="zh-CN" w:bidi="hi-IN"/>
        </w:rPr>
        <w:t>The fallback clause creates no precedent for future hesitation. It is a safety valve, not a renegotiation mechanism. Its use in one instance does not authorize its use in every instance.</w:t>
      </w:r>
    </w:p>
    <w:p>
      <w:pPr>
        <w:pStyle w:val="Heading1"/>
        <w:bidi w:val="0"/>
        <w:rPr/>
      </w:pPr>
      <w:r>
        <w:rPr>
          <w:rFonts w:eastAsia="Microsoft YaHei" w:cs="Cambria" w:ascii="Microsoft YaHei" w:hAnsi="Microsoft YaHei"/>
          <w:b/>
          <w:color w:val="4A5568"/>
          <w:sz w:val="19"/>
          <w:szCs w:val="40"/>
          <w:lang w:val="en-US" w:eastAsia="zh-CN" w:bidi="hi-IN"/>
        </w:rPr>
        <w:t>Annex I: Crisis Communication and Guarantor Messaging</w:t>
      </w:r>
    </w:p>
    <w:p>
      <w:pPr>
        <w:pStyle w:val="Normal"/>
        <w:bidi w:val="0"/>
        <w:spacing w:before="0" w:after="180"/>
        <w:rPr/>
      </w:pPr>
      <w:r>
        <w:rPr>
          <w:rFonts w:eastAsia="Microsoft YaHei" w:cs="Cambria" w:ascii="Microsoft YaHei" w:hAnsi="Microsoft YaHei"/>
          <w:color w:val="1E2530"/>
          <w:sz w:val="22"/>
          <w:szCs w:val="22"/>
          <w:lang w:val="en-US" w:eastAsia="zh-CN" w:bidi="hi-IN"/>
        </w:rPr>
        <w:t>This annex provides the crisis-communication protocol that prevents misinterpretation during tense moments. It also establishes the guarantor messaging framework that defines what Oman and Switzerland say publicly about their roles.</w:t>
      </w:r>
    </w:p>
    <w:p>
      <w:pPr>
        <w:pStyle w:val="Heading2"/>
        <w:keepNext w:val="true"/>
        <w:keepLines/>
        <w:bidi w:val="0"/>
        <w:spacing w:before="360" w:after="160"/>
        <w:rPr/>
      </w:pPr>
      <w:r>
        <w:rPr>
          <w:rFonts w:eastAsia="Microsoft YaHei" w:cs="Cambria" w:ascii="Microsoft YaHei" w:hAnsi="Microsoft YaHei"/>
          <w:b/>
          <w:color w:val="1E2530"/>
          <w:sz w:val="22"/>
          <w:szCs w:val="19"/>
          <w:lang w:val="en-US" w:eastAsia="zh-CN" w:bidi="hi-IN"/>
        </w:rPr>
        <w:t>I.1 Crisis-Communication Protocol</w:t>
      </w:r>
    </w:p>
    <w:p>
      <w:pPr>
        <w:pStyle w:val="Normal"/>
        <w:bidi w:val="0"/>
        <w:spacing w:before="0" w:after="180"/>
        <w:rPr/>
      </w:pPr>
      <w:r>
        <w:rPr>
          <w:rFonts w:eastAsia="Microsoft YaHei" w:cs="Cambria" w:ascii="Microsoft YaHei" w:hAnsi="Microsoft YaHei"/>
          <w:color w:val="1E2530"/>
          <w:sz w:val="22"/>
          <w:szCs w:val="22"/>
          <w:lang w:val="en-US" w:eastAsia="zh-CN" w:bidi="hi-IN"/>
        </w:rPr>
        <w:t>During tense moments — compliance disputes, technical anomalies, regional incidents — the following communication protocol prevents escalation through misunderstanding.</w:t>
      </w:r>
    </w:p>
    <w:p>
      <w:pPr>
        <w:pStyle w:val="Heading3"/>
        <w:keepNext w:val="true"/>
        <w:keepLines/>
        <w:bidi w:val="0"/>
        <w:spacing w:before="280" w:after="120"/>
        <w:rPr/>
      </w:pPr>
      <w:r>
        <w:rPr>
          <w:rFonts w:eastAsia="Microsoft YaHei" w:cs="Cambria" w:ascii="Microsoft YaHei" w:hAnsi="Microsoft YaHei"/>
          <w:b/>
          <w:color w:val="1E2530"/>
          <w:sz w:val="20"/>
          <w:szCs w:val="20"/>
          <w:lang w:val="en-US" w:eastAsia="zh-CN" w:bidi="hi-IN"/>
        </w:rPr>
        <w:t>Immediate Notification Protocol</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Within 1 hour - </w:t>
      </w:r>
      <w:r>
        <w:rPr>
          <w:rFonts w:eastAsia="Microsoft YaHei" w:cs="Cambria" w:ascii="Microsoft YaHei" w:hAnsi="Microsoft YaHei"/>
          <w:color w:val="1E2530"/>
          <w:sz w:val="22"/>
          <w:szCs w:val="22"/>
          <w:lang w:val="en-US" w:eastAsia="zh-CN" w:bidi="hi-IN"/>
        </w:rPr>
        <w:t>The Party that detects or experiences the concerning event notifies the Joint Coordination Center through the dedicated crisis channel. The notification includes: what happened, when it happened, where it happened, and what the Party believes it means. No accusatory language. No demand for immediate response. Facts only.</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Within 2 hours - </w:t>
      </w:r>
      <w:r>
        <w:rPr>
          <w:rFonts w:eastAsia="Microsoft YaHei" w:cs="Cambria" w:ascii="Microsoft YaHei" w:hAnsi="Microsoft YaHei"/>
          <w:color w:val="1E2530"/>
          <w:sz w:val="22"/>
          <w:szCs w:val="22"/>
          <w:lang w:val="en-US" w:eastAsia="zh-CN" w:bidi="hi-IN"/>
        </w:rPr>
        <w:t>The Joint Coordination Center relays the notification to the other Party and to the Neutral Guarantor. The relay is verbatim: the Center does not interpret, summarize, or editorialize. Both Parties see the same text.</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Within 4 hours - </w:t>
      </w:r>
      <w:r>
        <w:rPr>
          <w:rFonts w:eastAsia="Microsoft YaHei" w:cs="Cambria" w:ascii="Microsoft YaHei" w:hAnsi="Microsoft YaHei"/>
          <w:color w:val="1E2530"/>
          <w:sz w:val="22"/>
          <w:szCs w:val="22"/>
          <w:lang w:val="en-US" w:eastAsia="zh-CN" w:bidi="hi-IN"/>
        </w:rPr>
        <w:t>Technical liaisons from both Parties hold a secure video conference facilitated by the Neutral Guarantor. The conference addresses only the factual situation, not the political implications. The goal is shared situational awareness, not blame assignment.</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Within 8 hours - </w:t>
      </w:r>
      <w:r>
        <w:rPr>
          <w:rFonts w:eastAsia="Microsoft YaHei" w:cs="Cambria" w:ascii="Microsoft YaHei" w:hAnsi="Microsoft YaHei"/>
          <w:color w:val="1E2530"/>
          <w:sz w:val="22"/>
          <w:szCs w:val="22"/>
          <w:lang w:val="en-US" w:eastAsia="zh-CN" w:bidi="hi-IN"/>
        </w:rPr>
        <w:t>The Neutral Guarantor proposes a non-binding 24-hour cooling-off observation period for any Lebanon-related incident. During this period, the framework architecture excludes any new offensive action in Lebanon by either Party and locks the status quo ante in place. The observation period does not reset any compliance clock but allows factual clarification before the preliminary factual summary.</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Within 12 hours - </w:t>
      </w:r>
      <w:r>
        <w:rPr>
          <w:rFonts w:eastAsia="Microsoft YaHei" w:cs="Cambria" w:ascii="Microsoft YaHei" w:hAnsi="Microsoft YaHei"/>
          <w:color w:val="1E2530"/>
          <w:sz w:val="22"/>
          <w:szCs w:val="22"/>
          <w:lang w:val="en-US" w:eastAsia="zh-CN" w:bidi="hi-IN"/>
        </w:rPr>
        <w:t>The Neutral Guarantor issues a preliminary factual summary based on the technical conference. The summary posts to the dashboard. Both Parties review and confirm or correct the summary within 6 hours.</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Within 24 hours - </w:t>
      </w:r>
      <w:r>
        <w:rPr>
          <w:rFonts w:eastAsia="Microsoft YaHei" w:cs="Cambria" w:ascii="Microsoft YaHei" w:hAnsi="Microsoft YaHei"/>
          <w:color w:val="1E2530"/>
          <w:sz w:val="22"/>
          <w:szCs w:val="22"/>
          <w:lang w:val="en-US" w:eastAsia="zh-CN" w:bidi="hi-IN"/>
        </w:rPr>
        <w:t>If the situation is resolved through technical explanation or corrective action, the Neutral Guarantor issues a closure statement. If the situation requires further investigation, the investigation timeline is established. No compliance determination occurs within 24 hours except in cases of clear, dashboard-verified material breach.</w:t>
      </w:r>
    </w:p>
    <w:p>
      <w:pPr>
        <w:pStyle w:val="Heading3"/>
        <w:keepNext w:val="true"/>
        <w:keepLines/>
        <w:bidi w:val="0"/>
        <w:spacing w:before="280" w:after="120"/>
        <w:rPr/>
      </w:pPr>
      <w:r>
        <w:rPr>
          <w:rFonts w:eastAsia="Microsoft YaHei" w:cs="Cambria" w:ascii="Microsoft YaHei" w:hAnsi="Microsoft YaHei"/>
          <w:b/>
          <w:color w:val="1E2530"/>
          <w:sz w:val="20"/>
          <w:szCs w:val="20"/>
          <w:lang w:val="en-US" w:eastAsia="zh-CN" w:bidi="hi-IN"/>
        </w:rPr>
        <w:t>No-Surprise Commitment</w:t>
      </w:r>
    </w:p>
    <w:p>
      <w:pPr>
        <w:pStyle w:val="Normal"/>
        <w:bidi w:val="0"/>
        <w:spacing w:before="0" w:after="180"/>
        <w:rPr/>
      </w:pPr>
      <w:r>
        <w:rPr>
          <w:rFonts w:eastAsia="Microsoft YaHei" w:cs="Cambria" w:ascii="Microsoft YaHei" w:hAnsi="Microsoft YaHei"/>
          <w:color w:val="1E2530"/>
          <w:sz w:val="22"/>
          <w:szCs w:val="22"/>
          <w:lang w:val="en-US" w:eastAsia="zh-CN" w:bidi="hi-IN"/>
        </w:rPr>
        <w:t>Both Parties commit to the no-surprise principle: neither Party learns about a significant event through media, social media, or third parties before learning through the Joint Coordination Center. Violations of the no-surprise commitment trigger the micro-fallback consultation but do not constitute material breach.</w:t>
      </w:r>
    </w:p>
    <w:p>
      <w:pPr>
        <w:pStyle w:val="Heading3"/>
        <w:keepNext w:val="true"/>
        <w:keepLines/>
        <w:bidi w:val="0"/>
        <w:spacing w:before="280" w:after="120"/>
        <w:rPr/>
      </w:pPr>
      <w:r>
        <w:rPr>
          <w:rFonts w:eastAsia="Microsoft YaHei" w:cs="Cambria" w:ascii="Microsoft YaHei" w:hAnsi="Microsoft YaHei"/>
          <w:b/>
          <w:color w:val="1E2530"/>
          <w:sz w:val="20"/>
          <w:szCs w:val="20"/>
          <w:lang w:val="en-US" w:eastAsia="zh-CN" w:bidi="hi-IN"/>
        </w:rPr>
        <w:t>Language Discipline During Crises</w:t>
      </w:r>
    </w:p>
    <w:p>
      <w:pPr>
        <w:pStyle w:val="Normal"/>
        <w:bidi w:val="0"/>
        <w:spacing w:before="0" w:after="180"/>
        <w:rPr/>
      </w:pPr>
      <w:r>
        <w:rPr>
          <w:rFonts w:eastAsia="Microsoft YaHei" w:cs="Cambria" w:ascii="Microsoft YaHei" w:hAnsi="Microsoft YaHei"/>
          <w:color w:val="1E2530"/>
          <w:sz w:val="22"/>
          <w:szCs w:val="22"/>
          <w:lang w:val="en-US" w:eastAsia="zh-CN" w:bidi="hi-IN"/>
        </w:rPr>
        <w:t>The following language rules apply to all official communications during a crisis:</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No escalatory adjectives - </w:t>
      </w:r>
      <w:r>
        <w:rPr>
          <w:rFonts w:eastAsia="Microsoft YaHei" w:cs="Cambria" w:ascii="Microsoft YaHei" w:hAnsi="Microsoft YaHei"/>
          <w:color w:val="1E2530"/>
          <w:sz w:val="22"/>
          <w:szCs w:val="22"/>
          <w:lang w:val="en-US" w:eastAsia="zh-CN" w:bidi="hi-IN"/>
        </w:rPr>
        <w:t>Official communications do not use words like "outrageous," "unacceptable," "hostile," "aggressive," or "provocative." Factual descriptions only.</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No ultimatums in public - </w:t>
      </w:r>
      <w:r>
        <w:rPr>
          <w:rFonts w:eastAsia="Microsoft YaHei" w:cs="Cambria" w:ascii="Microsoft YaHei" w:hAnsi="Microsoft YaHei"/>
          <w:color w:val="1E2530"/>
          <w:sz w:val="22"/>
          <w:szCs w:val="22"/>
          <w:lang w:val="en-US" w:eastAsia="zh-CN" w:bidi="hi-IN"/>
        </w:rPr>
        <w:t>Deadlines and requirements are communicated through the Joint Coordination Center, not through public statements. Public statements describe process, not demands.</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Dashboard references only - </w:t>
      </w:r>
      <w:r>
        <w:rPr>
          <w:rFonts w:eastAsia="Microsoft YaHei" w:cs="Cambria" w:ascii="Microsoft YaHei" w:hAnsi="Microsoft YaHei"/>
          <w:color w:val="1E2530"/>
          <w:sz w:val="22"/>
          <w:szCs w:val="22"/>
          <w:lang w:val="en-US" w:eastAsia="zh-CN" w:bidi="hi-IN"/>
        </w:rPr>
        <w:t>Public statements about compliance refer only to dashboard data. "The dashboard shows..." is the only authorized compliance framing. No Party claims special knowledge beyond the dashboard.</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Joint statements preferred - </w:t>
      </w:r>
      <w:r>
        <w:rPr>
          <w:rFonts w:eastAsia="Microsoft YaHei" w:cs="Cambria" w:ascii="Microsoft YaHei" w:hAnsi="Microsoft YaHei"/>
          <w:color w:val="1E2530"/>
          <w:sz w:val="22"/>
          <w:szCs w:val="22"/>
          <w:lang w:val="en-US" w:eastAsia="zh-CN" w:bidi="hi-IN"/>
        </w:rPr>
        <w:t>During crises, both Parties issue joint statements through the Joint Coordination Center whenever possible. Unilateral statements are minimized and coordinated in advance.</w:t>
      </w:r>
    </w:p>
    <w:p>
      <w:pPr>
        <w:pStyle w:val="Heading2"/>
        <w:keepNext w:val="true"/>
        <w:keepLines/>
        <w:bidi w:val="0"/>
        <w:spacing w:before="360" w:after="160"/>
        <w:rPr/>
      </w:pPr>
      <w:r>
        <w:rPr>
          <w:rFonts w:eastAsia="Microsoft YaHei" w:cs="Cambria" w:ascii="Microsoft YaHei" w:hAnsi="Microsoft YaHei"/>
          <w:b/>
          <w:color w:val="1E2530"/>
          <w:sz w:val="22"/>
          <w:szCs w:val="19"/>
          <w:lang w:val="en-US" w:eastAsia="zh-CN" w:bidi="hi-IN"/>
        </w:rPr>
        <w:t>I.2 Guarantor Messaging Framework</w:t>
      </w:r>
    </w:p>
    <w:p>
      <w:pPr>
        <w:pStyle w:val="Normal"/>
        <w:bidi w:val="0"/>
        <w:spacing w:before="0" w:after="180"/>
        <w:rPr/>
      </w:pPr>
      <w:r>
        <w:rPr>
          <w:rFonts w:eastAsia="Microsoft YaHei" w:cs="Cambria" w:ascii="Microsoft YaHei" w:hAnsi="Microsoft YaHei"/>
          <w:color w:val="1E2530"/>
          <w:sz w:val="22"/>
          <w:szCs w:val="22"/>
          <w:lang w:val="en-US" w:eastAsia="zh-CN" w:bidi="hi-IN"/>
        </w:rPr>
        <w:t>Oman and Switzerland serve as Neutral Guarantors with distinct but complementary roles. The following messaging frameworks govern what each guarantor says publicly.</w:t>
      </w:r>
    </w:p>
    <w:p>
      <w:pPr>
        <w:pStyle w:val="Heading3"/>
        <w:keepNext w:val="true"/>
        <w:keepLines/>
        <w:bidi w:val="0"/>
        <w:spacing w:before="280" w:after="120"/>
        <w:rPr/>
      </w:pPr>
      <w:r>
        <w:rPr>
          <w:rFonts w:eastAsia="Microsoft YaHei" w:cs="Cambria" w:ascii="Microsoft YaHei" w:hAnsi="Microsoft YaHei"/>
          <w:b/>
          <w:color w:val="1E2530"/>
          <w:sz w:val="20"/>
          <w:szCs w:val="20"/>
          <w:lang w:val="en-US" w:eastAsia="zh-CN" w:bidi="hi-IN"/>
        </w:rPr>
        <w:t>Oman Public Messaging</w:t>
      </w:r>
    </w:p>
    <w:p>
      <w:pPr>
        <w:pStyle w:val="Normal"/>
        <w:bidi w:val="0"/>
        <w:spacing w:before="0" w:after="180"/>
        <w:rPr/>
      </w:pPr>
      <w:r>
        <w:rPr>
          <w:rFonts w:eastAsia="Microsoft YaHei" w:cs="Cambria" w:ascii="Microsoft YaHei" w:hAnsi="Microsoft YaHei"/>
          <w:color w:val="1E2530"/>
          <w:sz w:val="22"/>
          <w:szCs w:val="22"/>
          <w:lang w:val="en-US" w:eastAsia="zh-CN" w:bidi="hi-IN"/>
        </w:rPr>
        <w:t>Oman describes its role as follows:</w:t>
      </w:r>
    </w:p>
    <w:p>
      <w:pPr>
        <w:pStyle w:val="Normal"/>
        <w:shd w:val="clear" w:fill="F5F0E8"/>
        <w:bidi w:val="0"/>
        <w:spacing w:before="200" w:after="200"/>
        <w:ind w:start="360" w:end="360" w:hanging="0"/>
        <w:jc w:val="both"/>
        <w:rPr/>
      </w:pPr>
      <w:r>
        <w:rPr>
          <w:rFonts w:eastAsia="Microsoft YaHei" w:cs="Cambria" w:ascii="Microsoft YaHei" w:hAnsi="Microsoft YaHei"/>
          <w:i/>
          <w:color w:val="1E2530"/>
          <w:sz w:val="22"/>
          <w:szCs w:val="22"/>
          <w:lang w:val="en-US" w:eastAsia="zh-CN" w:bidi="hi-IN"/>
        </w:rPr>
        <w:t>"The Sultanate of Oman serves as the diplomatic guarantor of the Hormuz Synchronization Compact. Oman facilitated the negotiations that produced this framework. Oman hosts the Joint Coordination Center. Oman's role is to ensure that both Parties communicate effectively, that disputes are resolved through dialogue, and that the Strait of Hormuz remains open to all commercial shipping. Oman does not take sides. Oman does not enforce compliance. Oman facilitates communication, provides neutral territory, and offers its good offices to both Parties at all times. Oman's long-standing relationships with both the United States and the Islamic Republic of Iran position Oman to serve this role without favor to either side."</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Omani talking points: </w:t>
      </w:r>
      <w:r>
        <w:rPr>
          <w:rFonts w:eastAsia="Microsoft YaHei" w:cs="Cambria" w:ascii="Microsoft YaHei" w:hAnsi="Microsoft YaHei"/>
          <w:color w:val="1E2530"/>
          <w:sz w:val="22"/>
          <w:szCs w:val="22"/>
          <w:lang w:val="en-US" w:eastAsia="zh-CN" w:bidi="hi-IN"/>
        </w:rPr>
        <w:t>Oman emphasizes facilitation, not enforcement. Oman highlights the Strait of Hormuz reopening as a benefit to all Gulf states. Oman frames the Compact as a regional stability achievement, not a bilateral concession. Oman avoids commenting on the nuclear specifics beyond noting that IAEA verification drives the process.</w:t>
      </w:r>
    </w:p>
    <w:p>
      <w:pPr>
        <w:pStyle w:val="Heading3"/>
        <w:keepNext w:val="true"/>
        <w:keepLines/>
        <w:bidi w:val="0"/>
        <w:spacing w:before="280" w:after="120"/>
        <w:rPr/>
      </w:pPr>
      <w:r>
        <w:rPr>
          <w:rFonts w:eastAsia="Microsoft YaHei" w:cs="Cambria" w:ascii="Microsoft YaHei" w:hAnsi="Microsoft YaHei"/>
          <w:b/>
          <w:color w:val="1E2530"/>
          <w:sz w:val="20"/>
          <w:szCs w:val="20"/>
          <w:lang w:val="en-US" w:eastAsia="zh-CN" w:bidi="hi-IN"/>
        </w:rPr>
        <w:t>Switzerland Public Messaging</w:t>
      </w:r>
    </w:p>
    <w:p>
      <w:pPr>
        <w:pStyle w:val="Normal"/>
        <w:bidi w:val="0"/>
        <w:spacing w:before="0" w:after="180"/>
        <w:rPr/>
      </w:pPr>
      <w:r>
        <w:rPr>
          <w:rFonts w:eastAsia="Microsoft YaHei" w:cs="Cambria" w:ascii="Microsoft YaHei" w:hAnsi="Microsoft YaHei"/>
          <w:color w:val="1E2530"/>
          <w:sz w:val="22"/>
          <w:szCs w:val="22"/>
          <w:lang w:val="en-US" w:eastAsia="zh-CN" w:bidi="hi-IN"/>
        </w:rPr>
        <w:t>Switzerland describes its role as follows:</w:t>
      </w:r>
    </w:p>
    <w:p>
      <w:pPr>
        <w:pStyle w:val="Normal"/>
        <w:shd w:val="clear" w:fill="F5F0E8"/>
        <w:bidi w:val="0"/>
        <w:spacing w:before="200" w:after="200"/>
        <w:ind w:start="360" w:end="360" w:hanging="0"/>
        <w:jc w:val="both"/>
        <w:rPr/>
      </w:pPr>
      <w:r>
        <w:rPr>
          <w:rFonts w:eastAsia="Microsoft YaHei" w:cs="Cambria" w:ascii="Microsoft YaHei" w:hAnsi="Microsoft YaHei"/>
          <w:i/>
          <w:color w:val="1E2530"/>
          <w:sz w:val="22"/>
          <w:szCs w:val="22"/>
          <w:lang w:val="en-US" w:eastAsia="zh-CN" w:bidi="hi-IN"/>
        </w:rPr>
        <w:t>"The Swiss Confederation serves as the technical guarantor of the Hormuz Synchronization Compact. Switzerland hosts the digital dashboard that displays all verification data in real time. Switzerland protects the escrow architecture that governs all financial flows. Switzerland's role is to ensure that data is secure, that financial mechanisms operate transparently, and that both Parties have equal access to all information. Switzerland does not judge compliance. Switzerland does not determine sanctions relief. Switzerland provides the technical infrastructure that enables both Parties to verify each other's compliance and to manage the financial architecture with confidence and security."</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Swiss talking points: </w:t>
      </w:r>
      <w:r>
        <w:rPr>
          <w:rFonts w:eastAsia="Microsoft YaHei" w:cs="Cambria" w:ascii="Microsoft YaHei" w:hAnsi="Microsoft YaHei"/>
          <w:color w:val="1E2530"/>
          <w:sz w:val="22"/>
          <w:szCs w:val="22"/>
          <w:lang w:val="en-US" w:eastAsia="zh-CN" w:bidi="hi-IN"/>
        </w:rPr>
        <w:t>Switzerland emphasizes technical neutrality and infrastructure security. Switzerland highlights the dashboard as a transparency tool that benefits both sides equally. Switzerland frames the escrow architecture as a financial innovation that protects both Parties. Switzerland avoids commenting on political disputes, focusing exclusively on technical operations.</w:t>
      </w:r>
    </w:p>
    <w:p>
      <w:pPr>
        <w:pStyle w:val="Heading3"/>
        <w:keepNext w:val="true"/>
        <w:keepLines/>
        <w:bidi w:val="0"/>
        <w:spacing w:before="280" w:after="120"/>
        <w:rPr/>
      </w:pPr>
      <w:r>
        <w:rPr>
          <w:rFonts w:eastAsia="Microsoft YaHei" w:cs="Cambria" w:ascii="Microsoft YaHei" w:hAnsi="Microsoft YaHei"/>
          <w:b/>
          <w:color w:val="1E2530"/>
          <w:sz w:val="20"/>
          <w:szCs w:val="20"/>
          <w:lang w:val="en-US" w:eastAsia="zh-CN" w:bidi="hi-IN"/>
        </w:rPr>
        <w:t>Coordinated Guarantor Statements</w:t>
      </w:r>
    </w:p>
    <w:p>
      <w:pPr>
        <w:pStyle w:val="Normal"/>
        <w:bidi w:val="0"/>
        <w:spacing w:before="0" w:after="180"/>
        <w:rPr/>
      </w:pPr>
      <w:r>
        <w:rPr>
          <w:rFonts w:eastAsia="Microsoft YaHei" w:cs="Cambria" w:ascii="Microsoft YaHei" w:hAnsi="Microsoft YaHei"/>
          <w:color w:val="1E2530"/>
          <w:sz w:val="22"/>
          <w:szCs w:val="22"/>
          <w:lang w:val="en-US" w:eastAsia="zh-CN" w:bidi="hi-IN"/>
        </w:rPr>
        <w:t>On major milestones — signature, Verification Milestones, framework renewal — both guarantors issue a joint statement:</w:t>
      </w:r>
    </w:p>
    <w:p>
      <w:pPr>
        <w:pStyle w:val="Normal"/>
        <w:shd w:val="clear" w:fill="F5F0E8"/>
        <w:bidi w:val="0"/>
        <w:spacing w:before="200" w:after="200"/>
        <w:ind w:start="360" w:end="360" w:hanging="0"/>
        <w:jc w:val="both"/>
        <w:rPr/>
      </w:pPr>
      <w:r>
        <w:rPr>
          <w:rFonts w:eastAsia="Microsoft YaHei" w:cs="Cambria" w:ascii="Microsoft YaHei" w:hAnsi="Microsoft YaHei"/>
          <w:i/>
          <w:color w:val="1E2530"/>
          <w:sz w:val="22"/>
          <w:szCs w:val="22"/>
          <w:lang w:val="en-US" w:eastAsia="zh-CN" w:bidi="hi-IN"/>
        </w:rPr>
        <w:t>"The Sultanate of Oman and the Swiss Confederation, as Neutral Guarantors of the Hormuz Synchronization Compact, confirm that both Parties continue to implement the framework in accordance with its provisions. The verification dashboard shows [current status]. The escrow mechanisms are operating as designed. Both guarantors remain committed to facilitating communication, protecting the technical infrastructure, and supporting the path to sustainable peace through verified reciprocity."</w:t>
      </w:r>
    </w:p>
    <w:p>
      <w:pPr>
        <w:pStyle w:val="Heading2"/>
        <w:keepNext w:val="true"/>
        <w:keepLines/>
        <w:bidi w:val="0"/>
        <w:spacing w:before="360" w:after="160"/>
        <w:rPr/>
      </w:pPr>
      <w:r>
        <w:rPr>
          <w:rFonts w:eastAsia="Microsoft YaHei" w:cs="Cambria" w:ascii="Microsoft YaHei" w:hAnsi="Microsoft YaHei"/>
          <w:b/>
          <w:color w:val="1E2530"/>
          <w:sz w:val="22"/>
          <w:szCs w:val="19"/>
          <w:lang w:val="en-US" w:eastAsia="zh-CN" w:bidi="hi-IN"/>
        </w:rPr>
        <w:t>I.3 Annex-Level Public Summaries</w:t>
      </w:r>
    </w:p>
    <w:p>
      <w:pPr>
        <w:pStyle w:val="Normal"/>
        <w:bidi w:val="0"/>
        <w:spacing w:before="0" w:after="180"/>
        <w:rPr/>
      </w:pPr>
      <w:r>
        <w:rPr>
          <w:rFonts w:eastAsia="Microsoft YaHei" w:cs="Cambria" w:ascii="Microsoft YaHei" w:hAnsi="Microsoft YaHei"/>
          <w:color w:val="1E2530"/>
          <w:sz w:val="22"/>
          <w:szCs w:val="22"/>
          <w:lang w:val="en-US" w:eastAsia="zh-CN" w:bidi="hi-IN"/>
        </w:rPr>
        <w:t>The following one-paragraph summaries describe each annex for media teams. Each summary is factually accurate, non-technical, and suitable for public distribution.</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A (Implementation Timelines and Reciprocity Matrix) - </w:t>
      </w:r>
      <w:r>
        <w:rPr>
          <w:rFonts w:eastAsia="Microsoft YaHei" w:cs="Cambria" w:ascii="Microsoft YaHei" w:hAnsi="Microsoft YaHei"/>
          <w:color w:val="1E2530"/>
          <w:sz w:val="22"/>
          <w:szCs w:val="22"/>
          <w:lang w:val="en-US" w:eastAsia="zh-CN" w:bidi="hi-IN"/>
        </w:rPr>
        <w:t>This annex maps every commitment in the Compact to its day and pairs every commitment within its reciprocity unit.</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B (Lebanon Ceasefire and Firewall Protocol) - </w:t>
      </w:r>
      <w:r>
        <w:rPr>
          <w:rFonts w:eastAsia="Microsoft YaHei" w:cs="Cambria" w:ascii="Microsoft YaHei" w:hAnsi="Microsoft YaHei"/>
          <w:color w:val="1E2530"/>
          <w:sz w:val="22"/>
          <w:szCs w:val="22"/>
          <w:lang w:val="en-US" w:eastAsia="zh-CN" w:bidi="hi-IN"/>
        </w:rPr>
        <w:t>This annex establishes the Day 1 ceasefire on the Lebanon front as a firewalled reciprocity unit. A lapse on the Lebanon front suspends only the Lebanon unit; the nuclear, maritime, and economic tracks continue without interruption.</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C (Frozen Asset Release Schedule) - </w:t>
      </w:r>
      <w:r>
        <w:rPr>
          <w:rFonts w:eastAsia="Microsoft YaHei" w:cs="Cambria" w:ascii="Microsoft YaHei" w:hAnsi="Microsoft YaHei"/>
          <w:color w:val="1E2530"/>
          <w:sz w:val="22"/>
          <w:szCs w:val="22"/>
          <w:lang w:val="en-US" w:eastAsia="zh-CN" w:bidi="hi-IN"/>
        </w:rPr>
        <w:t>This annex resolves the status of approximately $24 billion in frozen Iranian sovereign assets through a milestone-based release schedule that mirrors the phased reciprocal logic of the core Compact.</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D (Definitions) - </w:t>
      </w:r>
      <w:r>
        <w:rPr>
          <w:rFonts w:eastAsia="Microsoft YaHei" w:cs="Cambria" w:ascii="Microsoft YaHei" w:hAnsi="Microsoft YaHei"/>
          <w:color w:val="1E2530"/>
          <w:sz w:val="22"/>
          <w:szCs w:val="22"/>
          <w:lang w:val="en-US" w:eastAsia="zh-CN" w:bidi="hi-IN"/>
        </w:rPr>
        <w:t>This annex defines key terms to ensure both sides interpret the Compact the same way. Clear definitions prevent disputes over meaning.</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E (Nuclear Reciprocity Matrix) - </w:t>
      </w:r>
      <w:r>
        <w:rPr>
          <w:rFonts w:eastAsia="Microsoft YaHei" w:cs="Cambria" w:ascii="Microsoft YaHei" w:hAnsi="Microsoft YaHei"/>
          <w:color w:val="1E2530"/>
          <w:sz w:val="22"/>
          <w:szCs w:val="22"/>
          <w:lang w:val="en-US" w:eastAsia="zh-CN" w:bidi="hi-IN"/>
        </w:rPr>
        <w:t>This annex provides the detailed timeline mapping every Iranian nuclear step against its corresponding American reciprocal measure, from Day One through framework renewal.</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F (Verification Sequencing) - </w:t>
      </w:r>
      <w:r>
        <w:rPr>
          <w:rFonts w:eastAsia="Microsoft YaHei" w:cs="Cambria" w:ascii="Microsoft YaHei" w:hAnsi="Microsoft YaHei"/>
          <w:color w:val="1E2530"/>
          <w:sz w:val="22"/>
          <w:szCs w:val="22"/>
          <w:lang w:val="en-US" w:eastAsia="zh-CN" w:bidi="hi-IN"/>
        </w:rPr>
        <w:t>This annex maps the verification architecture from baseline establishment through continuous monitoring, and establishes the rule that sensor data governs all compliance determinations.</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G (Public Messaging) - </w:t>
      </w:r>
      <w:r>
        <w:rPr>
          <w:rFonts w:eastAsia="Microsoft YaHei" w:cs="Cambria" w:ascii="Microsoft YaHei" w:hAnsi="Microsoft YaHei"/>
          <w:color w:val="1E2530"/>
          <w:sz w:val="22"/>
          <w:szCs w:val="22"/>
          <w:lang w:val="en-US" w:eastAsia="zh-CN" w:bidi="hi-IN"/>
        </w:rPr>
        <w:t>This annex provides the public statements, talking points, and response frameworks that both sides use to communicate about the Compact to their domestic audiences and the international community.</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H (Operational Tools) - </w:t>
      </w:r>
      <w:r>
        <w:rPr>
          <w:rFonts w:eastAsia="Microsoft YaHei" w:cs="Cambria" w:ascii="Microsoft YaHei" w:hAnsi="Microsoft YaHei"/>
          <w:color w:val="1E2530"/>
          <w:sz w:val="22"/>
          <w:szCs w:val="22"/>
          <w:lang w:val="en-US" w:eastAsia="zh-CN" w:bidi="hi-IN"/>
        </w:rPr>
        <w:t>This annex provides the one-page reference tools that negotiators and technical teams use to track implementation, including the reciprocity matrix, nuclear map, and verification map.</w:t>
      </w:r>
    </w:p>
    <w:p>
      <w:pPr>
        <w:pStyle w:val="Normal"/>
        <w:numPr>
          <w:ilvl w:val="0"/>
          <w:numId w:val="1"/>
        </w:numPr>
        <w:bidi w:val="0"/>
        <w:spacing w:before="0" w:after="160"/>
        <w:rPr/>
      </w:pPr>
      <w:r>
        <w:rPr>
          <w:rFonts w:eastAsia="Microsoft YaHei" w:cs="Cambria" w:ascii="Microsoft YaHei" w:hAnsi="Microsoft YaHei"/>
          <w:b/>
          <w:color w:val="4A5568"/>
          <w:sz w:val="19"/>
          <w:szCs w:val="22"/>
          <w:lang w:val="en-US" w:eastAsia="zh-CN" w:bidi="hi-IN"/>
        </w:rPr>
        <w:t xml:space="preserve">Annex I (Crisis Communication) - </w:t>
      </w:r>
      <w:r>
        <w:rPr>
          <w:rFonts w:eastAsia="Microsoft YaHei" w:cs="Cambria" w:ascii="Microsoft YaHei" w:hAnsi="Microsoft YaHei"/>
          <w:color w:val="1E2530"/>
          <w:sz w:val="22"/>
          <w:szCs w:val="22"/>
          <w:lang w:val="en-US" w:eastAsia="zh-CN" w:bidi="hi-IN"/>
        </w:rPr>
        <w:t>This annex provides the communication protocol for tense moments and defines what the guarantors say publicly about their roles in facilitating the Compact.</w:t>
      </w:r>
    </w:p>
    <w:p>
      <w:pPr>
        <w:pStyle w:val="Heading1"/>
        <w:keepNext w:val="true"/>
        <w:keepLines/>
        <w:bidi w:val="0"/>
        <w:spacing w:before="480" w:after="240"/>
        <w:rPr/>
      </w:pPr>
      <w:bookmarkStart w:id="14" w:name="_Toc014"/>
      <w:r>
        <w:rPr>
          <w:rFonts w:eastAsia="Microsoft YaHei" w:cs="Cambria" w:ascii="Microsoft YaHei" w:hAnsi="Microsoft YaHei"/>
          <w:b/>
          <w:color w:val="1A2744"/>
          <w:sz w:val="40"/>
          <w:szCs w:val="40"/>
          <w:lang w:val="en-US" w:eastAsia="zh-CN" w:bidi="hi-IN"/>
        </w:rPr>
        <w:t>Signature Blocks</w:t>
      </w:r>
      <w:bookmarkEnd w:id="14"/>
    </w:p>
    <w:p>
      <w:pPr>
        <w:pStyle w:val="Normal"/>
        <w:bidi w:val="0"/>
        <w:spacing w:before="0" w:after="180"/>
        <w:rPr/>
      </w:pPr>
      <w:r>
        <w:rPr>
          <w:rFonts w:eastAsia="Microsoft YaHei" w:cs="Cambria" w:ascii="Microsoft YaHei" w:hAnsi="Microsoft YaHei"/>
          <w:color w:val="1E2530"/>
          <w:sz w:val="22"/>
          <w:szCs w:val="22"/>
          <w:lang w:val="en-US" w:eastAsia="zh-CN" w:bidi="hi-IN"/>
        </w:rPr>
        <w:t>In witness whereof, the undersigned, duly authorized by their respective governments, affix their signatures to this Compact.</w:t>
      </w:r>
    </w:p>
    <w:p>
      <w:pPr>
        <w:pStyle w:val="Normal"/>
        <w:bidi w:val="0"/>
        <w:spacing w:before="0" w:after="180"/>
        <w:rPr/>
      </w:pPr>
      <w:r>
        <w:rPr>
          <w:rFonts w:eastAsia="Microsoft YaHei" w:cs="Cambria" w:ascii="Microsoft YaHei" w:hAnsi="Microsoft YaHei"/>
          <w:color w:val="1E2530"/>
          <w:sz w:val="22"/>
          <w:szCs w:val="22"/>
          <w:lang w:val="en-US" w:eastAsia="zh-CN" w:bidi="hi-IN"/>
        </w:rPr>
        <w:t>Signed at ________ on this ____ day of __________, 2026</w:t>
      </w:r>
    </w:p>
    <w:p>
      <w:pPr>
        <w:pStyle w:val="Normal"/>
        <w:bidi w:val="0"/>
        <w:spacing w:before="600" w:after="160"/>
        <w:rPr/>
      </w:pPr>
    </w:p>
    <w:tbl>
      <w:tblPr>
        <w:tblW w:w="5000" w:type="pct"/>
        <w:jc w:val="start"/>
        <w:tblInd w:w="0" w:type="dxa"/>
        <w:tblLayout w:type="fixed"/>
        <w:tblCellMar>
          <w:top w:w="0" w:type="dxa"/>
          <w:start w:w="108" w:type="dxa"/>
          <w:bottom w:w="0" w:type="dxa"/>
          <w:end w:w="108" w:type="dxa"/>
        </w:tblCellMar>
      </w:tblPr>
      <w:tblGrid>
        <w:gridCol w:w="4332"/>
        <w:gridCol w:w="361"/>
        <w:gridCol w:w="4333"/>
      </w:tblGrid>
      <w:tr>
        <w:trPr/>
        <w:tc>
          <w:tcPr>
            <w:tcW w:w="4332"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For the United States of America:</w:t>
            </w:r>
          </w:p>
        </w:tc>
        <w:tc>
          <w:tcPr>
            <w:tcW w:w="361" w:type="dxa"/>
            <w:tcBorders/>
          </w:tcPr>
          <w:p>
            <w:pPr>
              <w:pStyle w:val="Normal"/>
              <w:widowControl w:val="false"/>
              <w:bidi w:val="0"/>
              <w:spacing w:before="0" w:after="160"/>
              <w:rPr/>
            </w:pPr>
          </w:p>
        </w:tc>
        <w:tc>
          <w:tcPr>
            <w:tcW w:w="4333"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For the Islamic Republic of Iran:</w:t>
            </w:r>
          </w:p>
        </w:tc>
      </w:tr>
      <w:tr>
        <w:trPr/>
        <w:tc>
          <w:tcPr>
            <w:tcW w:w="4332" w:type="dxa"/>
            <w:tcBorders/>
          </w:tcPr>
          <w:p>
            <w:pPr>
              <w:pStyle w:val="Normal"/>
              <w:widowControl w:val="false"/>
              <w:bidi w:val="0"/>
              <w:spacing w:before="120" w:after="120"/>
              <w:rPr/>
            </w:pPr>
          </w:p>
        </w:tc>
        <w:tc>
          <w:tcPr>
            <w:tcW w:w="361" w:type="dxa"/>
            <w:tcBorders/>
          </w:tcPr>
          <w:p>
            <w:pPr>
              <w:pStyle w:val="Normal"/>
              <w:widowControl w:val="false"/>
              <w:bidi w:val="0"/>
              <w:spacing w:before="0" w:after="160"/>
              <w:rPr/>
            </w:pPr>
          </w:p>
        </w:tc>
        <w:tc>
          <w:tcPr>
            <w:tcW w:w="4333" w:type="dxa"/>
            <w:tcBorders/>
          </w:tcPr>
          <w:p>
            <w:pPr>
              <w:pStyle w:val="Normal"/>
              <w:widowControl w:val="false"/>
              <w:bidi w:val="0"/>
              <w:spacing w:before="120" w:after="120"/>
              <w:rPr/>
            </w:pPr>
          </w:p>
        </w:tc>
      </w:tr>
      <w:tr>
        <w:trPr/>
        <w:tc>
          <w:tcPr>
            <w:tcW w:w="4332"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_________________________</w:t>
            </w:r>
          </w:p>
        </w:tc>
        <w:tc>
          <w:tcPr>
            <w:tcW w:w="361" w:type="dxa"/>
            <w:tcBorders/>
          </w:tcPr>
          <w:p>
            <w:pPr>
              <w:pStyle w:val="Normal"/>
              <w:widowControl w:val="false"/>
              <w:bidi w:val="0"/>
              <w:spacing w:before="0" w:after="160"/>
              <w:rPr/>
            </w:pPr>
          </w:p>
        </w:tc>
        <w:tc>
          <w:tcPr>
            <w:tcW w:w="4333"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_________________________</w:t>
            </w:r>
          </w:p>
        </w:tc>
      </w:tr>
      <w:tr>
        <w:trPr/>
        <w:tc>
          <w:tcPr>
            <w:tcW w:w="4332"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Name:</w:t>
            </w:r>
          </w:p>
        </w:tc>
        <w:tc>
          <w:tcPr>
            <w:tcW w:w="361" w:type="dxa"/>
            <w:tcBorders/>
          </w:tcPr>
          <w:p>
            <w:pPr>
              <w:pStyle w:val="Normal"/>
              <w:widowControl w:val="false"/>
              <w:bidi w:val="0"/>
              <w:spacing w:before="0" w:after="160"/>
              <w:rPr/>
            </w:pPr>
          </w:p>
        </w:tc>
        <w:tc>
          <w:tcPr>
            <w:tcW w:w="4333"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Name:</w:t>
            </w:r>
          </w:p>
        </w:tc>
      </w:tr>
      <w:tr>
        <w:trPr/>
        <w:tc>
          <w:tcPr>
            <w:tcW w:w="4332"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Title:</w:t>
            </w:r>
          </w:p>
        </w:tc>
        <w:tc>
          <w:tcPr>
            <w:tcW w:w="361" w:type="dxa"/>
            <w:tcBorders/>
          </w:tcPr>
          <w:p>
            <w:pPr>
              <w:pStyle w:val="Normal"/>
              <w:widowControl w:val="false"/>
              <w:bidi w:val="0"/>
              <w:spacing w:before="0" w:after="160"/>
              <w:rPr/>
            </w:pPr>
          </w:p>
        </w:tc>
        <w:tc>
          <w:tcPr>
            <w:tcW w:w="4333"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Title:</w:t>
            </w:r>
          </w:p>
        </w:tc>
      </w:tr>
      <w:tr>
        <w:trPr/>
        <w:tc>
          <w:tcPr>
            <w:tcW w:w="4332"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Date:</w:t>
            </w:r>
          </w:p>
        </w:tc>
        <w:tc>
          <w:tcPr>
            <w:tcW w:w="361" w:type="dxa"/>
            <w:tcBorders/>
          </w:tcPr>
          <w:p>
            <w:pPr>
              <w:pStyle w:val="Normal"/>
              <w:widowControl w:val="false"/>
              <w:bidi w:val="0"/>
              <w:spacing w:before="0" w:after="160"/>
              <w:rPr/>
            </w:pPr>
          </w:p>
        </w:tc>
        <w:tc>
          <w:tcPr>
            <w:tcW w:w="4333" w:type="dxa"/>
            <w:tcBorders/>
          </w:tcPr>
          <w:p>
            <w:pPr>
              <w:pStyle w:val="Normal"/>
              <w:widowControl w:val="false"/>
              <w:bidi w:val="0"/>
              <w:spacing w:before="120" w:after="120"/>
              <w:rPr/>
            </w:pPr>
            <w:r>
              <w:rPr>
                <w:rFonts w:eastAsia="Microsoft YaHei" w:cs="Cambria" w:ascii="Microsoft YaHei" w:hAnsi="Microsoft YaHei"/>
                <w:color w:val="1E2530"/>
                <w:sz w:val="20"/>
                <w:szCs w:val="20"/>
                <w:lang w:val="en-US" w:eastAsia="zh-CN" w:bidi="hi-IN"/>
              </w:rPr>
              <w:t>Date:</w:t>
            </w:r>
          </w:p>
        </w:tc>
      </w:tr>
    </w:tbl>
    <w:p>
      <w:pPr>
        <w:pStyle w:val="Normal"/>
        <w:sectPr>
          <w:headerReference w:type="default" r:id="rId17"/>
          <w:footerReference w:type="default" r:id="rId18"/>
          <w:type w:val="nextPage"/>
          <w:pgSz w:w="11906" w:h="16838"/>
          <w:pgMar w:left="1440" w:right="1440" w:gutter="0" w:header="720" w:top="1800" w:footer="720" w:bottom="1440"/>
          <w:pgNumType w:fmt="decimal"/>
          <w:formProt w:val="false"/>
          <w:textDirection w:val="lrTb"/>
          <w:docGrid w:type="default" w:linePitch="100" w:charSpace="0"/>
        </w:sectPr>
      </w:pPr>
    </w:p>
    <w:p>
      <w:pPr>
        <w:pStyle w:val="Normal"/>
        <w:bidi w:val="0"/>
        <w:rPr/>
      </w:pPr>
    </w:p>
    <w:p>
      <w:pPr>
        <w:pStyle w:val="Normal"/>
        <w:bidi w:val="0"/>
        <w:spacing w:before="6500" w:after="160"/>
        <w:jc w:val="center"/>
        <w:rPr/>
      </w:pPr>
      <w:r>
        <w:rPr>
          <w:rFonts w:eastAsia="Microsoft YaHei" w:cs="Cambria"/>
          <w:b/>
          <w:color w:val="1A2744"/>
          <w:spacing w:val="30"/>
          <w:sz w:val="44"/>
          <w:szCs w:val="44"/>
        </w:rPr>
        <w:t>The Hormuz Synchronization Compact</w:t>
      </w:r>
    </w:p>
    <w:p>
      <w:pPr>
        <w:pStyle w:val="Normal"/>
        <w:bidi w:val="0"/>
        <w:spacing w:before="400" w:after="160"/>
        <w:jc w:val="center"/>
        <w:rPr/>
      </w:pPr>
      <w:r>
        <w:rPr>
          <w:rFonts w:eastAsia="Microsoft YaHei" w:cs="Cambria"/>
          <w:i/>
          <w:color w:val="4A5568"/>
          <w:sz w:val="22"/>
          <w:szCs w:val="22"/>
        </w:rPr>
        <w:t>Peace Through Reciprocity</w:t>
      </w:r>
    </w:p>
    <w:p>
      <w:pPr>
        <w:pStyle w:val="Normal"/>
        <w:bidi w:val="0"/>
        <w:spacing w:before="300" w:after="160"/>
        <w:jc w:val="center"/>
        <w:rPr/>
      </w:pPr>
      <w:r>
        <w:rPr>
          <w:rFonts w:eastAsia="Microsoft YaHei" w:cs="Cambria"/>
          <w:color w:val="7A8288"/>
          <w:sz w:val="18"/>
          <w:szCs w:val="18"/>
        </w:rPr>
        <w:t>June 2026</w:t>
      </w:r>
    </w:p>
    <w:p>
      <w:pPr>
        <w:pStyle w:val="Normal"/>
        <w:bidi w:val="0"/>
        <w:spacing w:before="200" w:after="160"/>
        <w:jc w:val="center"/>
        <w:rPr/>
      </w:pPr>
      <w:r>
        <w:rPr>
          <w:rFonts w:eastAsia="Microsoft YaHei" w:cs="Cambria"/>
          <w:color w:val="7A8288"/>
          <w:sz w:val="16"/>
          <w:szCs w:val="16"/>
        </w:rPr>
        <w:t>This document constitutes a draft for diplomatic review</w:t>
      </w:r>
    </w:p>
    <w:p>
      <w:r>
        <w:br w:type="page"/>
      </w:r>
    </w:p>
    <w:p>
      <w:pPr>
        <w:pStyle w:val="Heading1"/>
      </w:pPr>
      <w:r>
        <w:t>Supplementary Annex Set: Implementation Mandate and Technical Frameworks</w:t>
      </w:r>
    </w:p>
    <w:p>
      <w:pPr>
        <w:spacing w:after="120"/>
      </w:pPr>
      <w:r>
        <w:rPr>
          <w:i w:val="0"/>
        </w:rPr>
        <w:t>This supplementary annex set extends the Compact with five model implementation frameworks that the Parties, their negotiating teams, and the Neutral Guarantor draw upon during preparation and execution. The frameworks describe the structure, categories, and operative logic of the supporting instruments. Every figure tracks the baselines the core Compact establishes. These annexes function as reference architecture for diplomatic review; they record no classified material and they create no obligation beyond the synchronized reciprocity the core articles define. The Firewalled Provisions principle governs each annex: a breach in one module leaves every other module intact.</w:t>
      </w:r>
    </w:p>
    <w:p>
      <w:pPr>
        <w:spacing w:after="120"/>
      </w:pPr>
      <w:r>
        <w:rPr>
          <w:i w:val="0"/>
        </w:rPr>
        <w:t>Each annex group below maps to one of the five preparation document sets the drafting process depends upon: the Political and Strategic Mandate Framework (Annex J), the Nuclear Technical Verification Baseline (Annex K), the Sanctions and Financial Architecture (Annex L), the Maritime and Security Protocols (Annex M), and the Verification, Compliance, and Dispute Resolution Frameworks (Annex N). All text in this set conforms to the present-tense reciprocal-motion register of the core Compact.</w:t>
      </w:r>
    </w:p>
    <w:p>
      <w:r>
        <w:br w:type="page"/>
      </w:r>
    </w:p>
    <w:p>
      <w:pPr>
        <w:pStyle w:val="Heading1"/>
      </w:pPr>
      <w:r>
        <w:t>Annex J: Political and Strategic Mandate Framework</w:t>
      </w:r>
    </w:p>
    <w:p>
      <w:pPr>
        <w:spacing w:after="120"/>
      </w:pPr>
      <w:r>
        <w:rPr>
          <w:i w:val="0"/>
        </w:rPr>
        <w:t>This annex describes the political envelope inside which the Compact operates. It states, in model form, the negotiation mandates of each Party, the domestic approval architecture that converts the Compact into binding national commitment, the regional security assessment that frames threat and escalation dynamics, and the public messaging mandate that each Party uses to justify the framework to its own constituents. These elements define what the framework treats as politically possible.</w:t>
      </w:r>
    </w:p>
    <w:p>
      <w:pPr>
        <w:pStyle w:val="Heading2"/>
      </w:pPr>
      <w:r>
        <w:t>J.1 Negotiation Mandate Architecture</w:t>
      </w:r>
    </w:p>
    <w:p>
      <w:pPr>
        <w:spacing w:after="120"/>
      </w:pPr>
      <w:r>
        <w:rPr>
          <w:i w:val="0"/>
        </w:rPr>
        <w:t>A negotiation mandate states three things for each Party: the red lines the framework never crosses, the concessions the framework accommodates, and the topics the framework excludes from scope. The mandate operates as the negotiating team's authority envelope. The Reciprocity principle binds the two mandates into a single matched structure, so that each red line on one side pairs with a corresponding accommodation on the other.</w:t>
      </w:r>
    </w:p>
    <w:p>
      <w:pPr>
        <w:pStyle w:val="Heading3"/>
      </w:pPr>
      <w:r>
        <w:t>J.1.1 — United States Mandate Envelope (Model)</w:t>
      </w:r>
    </w:p>
    <w:p>
      <w:pPr>
        <w:spacing w:after="120"/>
      </w:pPr>
      <w:r>
        <w:rPr>
          <w:i w:val="0"/>
        </w:rPr>
        <w:t>The United States negotiating team operates inside the following model envelope, derived directly from the Compact's stated principles:</w:t>
      </w:r>
    </w:p>
    <w:p>
      <w:pPr>
        <w:spacing w:after="80"/>
        <w:ind w:left="360"/>
      </w:pPr>
      <w:r>
        <w:rPr>
          <w:b/>
        </w:rPr>
        <w:t xml:space="preserve">Red lines — </w:t>
      </w:r>
      <w:r>
        <w:rPr>
          <w:b w:val="0"/>
        </w:rPr>
        <w:t>The framework excludes any pathway that produces an Iranian nuclear weapon. The framework excludes the removal of IAEA continuous monitoring during the implementation window. The framework excludes irreversible sanctions relief in advance of verified compliance.</w:t>
      </w:r>
    </w:p>
    <w:p>
      <w:pPr>
        <w:spacing w:after="80"/>
        <w:ind w:left="360"/>
      </w:pPr>
      <w:r>
        <w:rPr>
          <w:b/>
        </w:rPr>
        <w:t xml:space="preserve">Accommodations the team carries — </w:t>
      </w:r>
      <w:r>
        <w:rPr>
          <w:b w:val="0"/>
        </w:rPr>
        <w:t>The team accommodates Iranian retention of declared enrichment infrastructure at the 3.67 percent civilian level under continuous monitoring. The team accommodates phased, calibrated relief that tracks verified milestones. The team accommodates in-country custody of sealed material rather than forced export.</w:t>
      </w:r>
    </w:p>
    <w:p>
      <w:pPr>
        <w:spacing w:after="80"/>
        <w:ind w:left="360"/>
      </w:pPr>
      <w:r>
        <w:rPr>
          <w:b/>
        </w:rPr>
        <w:t xml:space="preserve">Excluded topics — </w:t>
      </w:r>
      <w:r>
        <w:rPr>
          <w:b w:val="0"/>
        </w:rPr>
        <w:t>Ballistic missile limits remain outside scope. Regional proxy realignment remains outside the binding text and operates as voluntary follow-on dialogue. Domestic political characterization on the Iranian side remains the sovereign choice of the Iranian Party under the Domestic Framing Autonomy principle.</w:t>
      </w:r>
    </w:p>
    <w:p>
      <w:pPr>
        <w:pStyle w:val="Heading3"/>
      </w:pPr>
      <w:r>
        <w:t>J.1.2 — Islamic Republic of Iran Mandate Envelope (Model)</w:t>
      </w:r>
    </w:p>
    <w:p>
      <w:pPr>
        <w:spacing w:after="120"/>
      </w:pPr>
      <w:r>
        <w:rPr>
          <w:i w:val="0"/>
        </w:rPr>
        <w:t>The Iranian negotiating team operates inside the following model envelope, derived directly from the Compact's stated principles:</w:t>
      </w:r>
    </w:p>
    <w:p>
      <w:pPr>
        <w:spacing w:after="80"/>
        <w:ind w:left="360"/>
      </w:pPr>
      <w:r>
        <w:rPr>
          <w:b/>
        </w:rPr>
        <w:t xml:space="preserve">Red lines — </w:t>
      </w:r>
      <w:r>
        <w:rPr>
          <w:b w:val="0"/>
        </w:rPr>
        <w:t>The framework excludes forced export of enriched material from Iranian territory beyond the single defined confidence-building transfer. The framework excludes dismantlement of declared enrichment facilities. The framework excludes any provision that treats Iran as a subordinate rather than an equal sovereign party.</w:t>
      </w:r>
    </w:p>
    <w:p>
      <w:pPr>
        <w:spacing w:after="80"/>
        <w:ind w:left="360"/>
      </w:pPr>
      <w:r>
        <w:rPr>
          <w:b/>
        </w:rPr>
        <w:t xml:space="preserve">Accommodations the team carries — </w:t>
      </w:r>
      <w:r>
        <w:rPr>
          <w:b w:val="0"/>
        </w:rPr>
        <w:t>The team accommodates IAEA tamper-evident seals and continuous telemetry on material enriched above five percent. The team accommodates the single confidence-building transfer to Omani custody with Iranian observer access. The team accommodates a verified, reversible relief sequence rather than immediate full relief.</w:t>
      </w:r>
    </w:p>
    <w:p>
      <w:pPr>
        <w:spacing w:after="80"/>
        <w:ind w:left="360"/>
      </w:pPr>
      <w:r>
        <w:rPr>
          <w:b/>
        </w:rPr>
        <w:t xml:space="preserve">Excluded topics — </w:t>
      </w:r>
      <w:r>
        <w:rPr>
          <w:b w:val="0"/>
        </w:rPr>
        <w:t>The internal characterization of the framework to the United States public remains the sovereign choice of the United States Party. Recognition questions unrelated to the nuclear and maritime architecture remain outside scope.</w:t>
      </w:r>
    </w:p>
    <w:p>
      <w:pPr>
        <w:pStyle w:val="Heading3"/>
      </w:pPr>
      <w:r>
        <w:t>J.1.3 — Mandate Pairing Matrix</w:t>
      </w:r>
    </w:p>
    <w:p>
      <w:pPr>
        <w:spacing w:after="120"/>
      </w:pPr>
      <w:r>
        <w:rPr>
          <w:i w:val="0"/>
        </w:rPr>
        <w:t>The two mandates interlock. Each row below states a matched pair in which one Party's red line corresponds to an accommodation the other Party's mandate already carries, so that neither envelope demands a concession the other excludes.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United States Mandate Element</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Paired Iranian Mandate Element</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Synchronization Logic</w:t>
            </w:r>
          </w:p>
        </w:tc>
      </w:tr>
      <w:tr>
        <w:tc>
          <w:tcPr>
            <w:tcW w:type="dxa" w:w="3009"/>
            <w:tcBorders>
              <w:top w:val="single" w:sz="4" w:color="BBBBBB"/>
              <w:left w:val="single" w:sz="4" w:color="BBBBBB"/>
              <w:bottom w:val="single" w:sz="4" w:color="BBBBBB"/>
              <w:right w:val="single" w:sz="4" w:color="BBBBBB"/>
            </w:tcBorders>
          </w:tcPr>
          <w:p>
            <w:r/>
            <w:r>
              <w:rPr>
                <w:sz w:val="19"/>
              </w:rPr>
              <w:t>No nuclear weapon pathway</w:t>
            </w:r>
          </w:p>
        </w:tc>
        <w:tc>
          <w:tcPr>
            <w:tcW w:type="dxa" w:w="3009"/>
            <w:tcBorders>
              <w:top w:val="single" w:sz="4" w:color="BBBBBB"/>
              <w:left w:val="single" w:sz="4" w:color="BBBBBB"/>
              <w:bottom w:val="single" w:sz="4" w:color="BBBBBB"/>
              <w:right w:val="single" w:sz="4" w:color="BBBBBB"/>
            </w:tcBorders>
          </w:tcPr>
          <w:p>
            <w:r/>
            <w:r>
              <w:rPr>
                <w:sz w:val="19"/>
              </w:rPr>
              <w:t>Continuous IAEA telemetry on &gt;5% material</w:t>
            </w:r>
          </w:p>
        </w:tc>
        <w:tc>
          <w:tcPr>
            <w:tcW w:type="dxa" w:w="3009"/>
            <w:tcBorders>
              <w:top w:val="single" w:sz="4" w:color="BBBBBB"/>
              <w:left w:val="single" w:sz="4" w:color="BBBBBB"/>
              <w:bottom w:val="single" w:sz="4" w:color="BBBBBB"/>
              <w:right w:val="single" w:sz="4" w:color="BBBBBB"/>
            </w:tcBorders>
          </w:tcPr>
          <w:p>
            <w:r/>
            <w:r>
              <w:rPr>
                <w:sz w:val="19"/>
              </w:rPr>
              <w:t>Verification architecture satisfies both red lines simultaneously</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No premature irreversible relief</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Reversible, milestone-tracked relief</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Relief sequencing pairs each tranche with a verified step</w:t>
            </w:r>
          </w:p>
        </w:tc>
      </w:tr>
      <w:tr>
        <w:tc>
          <w:tcPr>
            <w:tcW w:type="dxa" w:w="3009"/>
            <w:tcBorders>
              <w:top w:val="single" w:sz="4" w:color="BBBBBB"/>
              <w:left w:val="single" w:sz="4" w:color="BBBBBB"/>
              <w:bottom w:val="single" w:sz="4" w:color="BBBBBB"/>
              <w:right w:val="single" w:sz="4" w:color="BBBBBB"/>
            </w:tcBorders>
          </w:tcPr>
          <w:p>
            <w:r/>
            <w:r>
              <w:rPr>
                <w:sz w:val="19"/>
              </w:rPr>
              <w:t>Accommodate retained enrichment at 3.67%</w:t>
            </w:r>
          </w:p>
        </w:tc>
        <w:tc>
          <w:tcPr>
            <w:tcW w:type="dxa" w:w="3009"/>
            <w:tcBorders>
              <w:top w:val="single" w:sz="4" w:color="BBBBBB"/>
              <w:left w:val="single" w:sz="4" w:color="BBBBBB"/>
              <w:bottom w:val="single" w:sz="4" w:color="BBBBBB"/>
              <w:right w:val="single" w:sz="4" w:color="BBBBBB"/>
            </w:tcBorders>
          </w:tcPr>
          <w:p>
            <w:r/>
            <w:r>
              <w:rPr>
                <w:sz w:val="19"/>
              </w:rPr>
              <w:t>No dismantlement of declared facilities</w:t>
            </w:r>
          </w:p>
        </w:tc>
        <w:tc>
          <w:tcPr>
            <w:tcW w:type="dxa" w:w="3009"/>
            <w:tcBorders>
              <w:top w:val="single" w:sz="4" w:color="BBBBBB"/>
              <w:left w:val="single" w:sz="4" w:color="BBBBBB"/>
              <w:bottom w:val="single" w:sz="4" w:color="BBBBBB"/>
              <w:right w:val="single" w:sz="4" w:color="BBBBBB"/>
            </w:tcBorders>
          </w:tcPr>
          <w:p>
            <w:r/>
            <w:r>
              <w:rPr>
                <w:sz w:val="19"/>
              </w:rPr>
              <w:t>Civilian-level enrichment continues under monitoring</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Accommodate in-country sealed custody</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No forced export beyond the swap</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Custody resides in Iran under seals; one defined transfer activates</w:t>
            </w:r>
          </w:p>
        </w:tc>
      </w:tr>
      <w:tr>
        <w:tc>
          <w:tcPr>
            <w:tcW w:type="dxa" w:w="3009"/>
            <w:tcBorders>
              <w:top w:val="single" w:sz="4" w:color="BBBBBB"/>
              <w:left w:val="single" w:sz="4" w:color="BBBBBB"/>
              <w:bottom w:val="single" w:sz="4" w:color="BBBBBB"/>
              <w:right w:val="single" w:sz="4" w:color="BBBBBB"/>
            </w:tcBorders>
          </w:tcPr>
          <w:p>
            <w:r/>
            <w:r>
              <w:rPr>
                <w:sz w:val="19"/>
              </w:rPr>
              <w:t>Missiles outside scope</w:t>
            </w:r>
          </w:p>
        </w:tc>
        <w:tc>
          <w:tcPr>
            <w:tcW w:type="dxa" w:w="3009"/>
            <w:tcBorders>
              <w:top w:val="single" w:sz="4" w:color="BBBBBB"/>
              <w:left w:val="single" w:sz="4" w:color="BBBBBB"/>
              <w:bottom w:val="single" w:sz="4" w:color="BBBBBB"/>
              <w:right w:val="single" w:sz="4" w:color="BBBBBB"/>
            </w:tcBorders>
          </w:tcPr>
          <w:p>
            <w:r/>
            <w:r>
              <w:rPr>
                <w:sz w:val="19"/>
              </w:rPr>
              <w:t>Equal-sovereign treatment</w:t>
            </w:r>
          </w:p>
        </w:tc>
        <w:tc>
          <w:tcPr>
            <w:tcW w:type="dxa" w:w="3009"/>
            <w:tcBorders>
              <w:top w:val="single" w:sz="4" w:color="BBBBBB"/>
              <w:left w:val="single" w:sz="4" w:color="BBBBBB"/>
              <w:bottom w:val="single" w:sz="4" w:color="BBBBBB"/>
              <w:right w:val="single" w:sz="4" w:color="BBBBBB"/>
            </w:tcBorders>
          </w:tcPr>
          <w:p>
            <w:r/>
            <w:r>
              <w:rPr>
                <w:sz w:val="19"/>
              </w:rPr>
              <w:t>Excluded topics protect both envelopes from overreach</w:t>
            </w:r>
          </w:p>
        </w:tc>
      </w:tr>
    </w:tbl>
    <w:p>
      <w:pPr>
        <w:spacing w:after="40"/>
      </w:pPr>
    </w:p>
    <w:p>
      <w:pPr>
        <w:pStyle w:val="Heading2"/>
      </w:pPr>
      <w:r>
        <w:t>J.2 Domestic Approval Requirements</w:t>
      </w:r>
    </w:p>
    <w:p>
      <w:pPr>
        <w:spacing w:after="120"/>
      </w:pPr>
      <w:r>
        <w:rPr>
          <w:i w:val="0"/>
        </w:rPr>
        <w:t>This section maps the constitutional, legislative, and executive architecture through which each Party converts the Compact into binding national commitment. The framework treats domestic approval as a parallel reciprocity track: each Party's ratification step pairs with the other Party's corresponding step, and the Neutral Guarantor confirms simultaneous progress.</w:t>
      </w:r>
    </w:p>
    <w:p>
      <w:pPr>
        <w:pStyle w:val="Heading3"/>
      </w:pPr>
      <w:r>
        <w:t>J.2.1 — United States Approval Architecture (Model)</w:t>
      </w:r>
    </w:p>
    <w:p>
      <w:pPr>
        <w:spacing w:after="80"/>
        <w:ind w:left="360"/>
      </w:pPr>
      <w:r>
        <w:rPr>
          <w:b/>
        </w:rPr>
        <w:t xml:space="preserve">Executive authority — </w:t>
      </w:r>
      <w:r>
        <w:rPr>
          <w:b w:val="0"/>
        </w:rPr>
        <w:t>The President enters the Compact as an executive political commitment. Existing statutory waiver authorities activate the sanctions provisions during the implementation window without immediate new legislation.</w:t>
      </w:r>
    </w:p>
    <w:p>
      <w:pPr>
        <w:spacing w:after="80"/>
        <w:ind w:left="360"/>
      </w:pPr>
      <w:r>
        <w:rPr>
          <w:b/>
        </w:rPr>
        <w:t xml:space="preserve">Legislative interface — </w:t>
      </w:r>
      <w:r>
        <w:rPr>
          <w:b w:val="0"/>
        </w:rPr>
        <w:t>The Administration notifies the relevant congressional committees inside the statutory review windows that govern sanctions waivers and asset actions. Notification triggers the review clock; the framework sequences relief so each tranche aligns with a completed notification.</w:t>
      </w:r>
    </w:p>
    <w:p>
      <w:pPr>
        <w:spacing w:after="80"/>
        <w:ind w:left="360"/>
      </w:pPr>
      <w:r>
        <w:rPr>
          <w:b/>
        </w:rPr>
        <w:t xml:space="preserve">Constitutional posture — </w:t>
      </w:r>
      <w:r>
        <w:rPr>
          <w:b w:val="0"/>
        </w:rPr>
        <w:t>The Compact creates no self-executing domestic law and asserts no treaty status under the Treaty Clause. It operates as a reversible executive arrangement, which preserves the No-Precedent principle and keeps every commitment inside existing executive authority.</w:t>
      </w:r>
    </w:p>
    <w:p>
      <w:pPr>
        <w:spacing w:after="80"/>
        <w:ind w:left="360"/>
      </w:pPr>
      <w:r>
        <w:rPr>
          <w:b/>
        </w:rPr>
        <w:t xml:space="preserve">Durability mechanism — </w:t>
      </w:r>
      <w:r>
        <w:rPr>
          <w:b w:val="0"/>
        </w:rPr>
        <w:t>The framework's reversibility protects the arrangement against a single-administration cancellation risk: relief tranches that an administration unwinds re-enter the Step-Back and Earn-Back architecture rather than collapsing the entire Compact.</w:t>
      </w:r>
    </w:p>
    <w:p>
      <w:pPr>
        <w:pStyle w:val="Heading3"/>
      </w:pPr>
      <w:r>
        <w:t>J.2.2 — Islamic Republic of Iran Approval Architecture (Model)</w:t>
      </w:r>
    </w:p>
    <w:p>
      <w:pPr>
        <w:spacing w:after="80"/>
        <w:ind w:left="360"/>
      </w:pPr>
      <w:r>
        <w:rPr>
          <w:b/>
        </w:rPr>
        <w:t xml:space="preserve">Supreme leadership authorization — </w:t>
      </w:r>
      <w:r>
        <w:rPr>
          <w:b w:val="0"/>
        </w:rPr>
        <w:t>The framework activates upon the authorization that the Iranian constitutional order assigns to its highest authority for matters of national security. This authorization functions as the Iranian counterpart to executive entry on the United States side.</w:t>
      </w:r>
    </w:p>
    <w:p>
      <w:pPr>
        <w:spacing w:after="80"/>
        <w:ind w:left="360"/>
      </w:pPr>
      <w:r>
        <w:rPr>
          <w:b/>
        </w:rPr>
        <w:t xml:space="preserve">Supreme National Security Council — </w:t>
      </w:r>
      <w:r>
        <w:rPr>
          <w:b w:val="0"/>
        </w:rPr>
        <w:t>The Supreme National Security Council reviews and endorses the framework, and its endorsement, once ratified, carries binding domestic weight inside the Iranian system.</w:t>
      </w:r>
    </w:p>
    <w:p>
      <w:pPr>
        <w:spacing w:after="80"/>
        <w:ind w:left="360"/>
      </w:pPr>
      <w:r>
        <w:rPr>
          <w:b/>
        </w:rPr>
        <w:t xml:space="preserve">Parliamentary interface — </w:t>
      </w:r>
      <w:r>
        <w:rPr>
          <w:b w:val="0"/>
        </w:rPr>
        <w:t>The Islamic Consultative Assembly receives the framework for the review its procedures define. The framework sequences Iranian commitments so each activation aligns with the completed domestic endorsement step.</w:t>
      </w:r>
    </w:p>
    <w:p>
      <w:pPr>
        <w:spacing w:after="80"/>
        <w:ind w:left="360"/>
      </w:pPr>
      <w:r>
        <w:rPr>
          <w:b/>
        </w:rPr>
        <w:t xml:space="preserve">Durability mechanism — </w:t>
      </w:r>
      <w:r>
        <w:rPr>
          <w:b w:val="0"/>
        </w:rPr>
        <w:t>Iranian retention of ownership and physical possession of all sealed material anchors domestic durability: the framework asks for no irreversible national concession, which keeps the arrangement defensible inside the Iranian political system.</w:t>
      </w:r>
    </w:p>
    <w:p>
      <w:pPr>
        <w:pStyle w:val="Heading3"/>
      </w:pPr>
      <w:r>
        <w:t>J.2.3 — Approval Synchronization Map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Sequence Point</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United States Step</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Iranian Step</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Guarantor Confirmation</w:t>
            </w:r>
          </w:p>
        </w:tc>
      </w:tr>
      <w:tr>
        <w:tc>
          <w:tcPr>
            <w:tcW w:type="dxa" w:w="2256"/>
            <w:tcBorders>
              <w:top w:val="single" w:sz="4" w:color="BBBBBB"/>
              <w:left w:val="single" w:sz="4" w:color="BBBBBB"/>
              <w:bottom w:val="single" w:sz="4" w:color="BBBBBB"/>
              <w:right w:val="single" w:sz="4" w:color="BBBBBB"/>
            </w:tcBorders>
          </w:tcPr>
          <w:p>
            <w:r/>
            <w:r>
              <w:rPr>
                <w:sz w:val="19"/>
              </w:rPr>
              <w:t>Entry</w:t>
            </w:r>
          </w:p>
        </w:tc>
        <w:tc>
          <w:tcPr>
            <w:tcW w:type="dxa" w:w="2256"/>
            <w:tcBorders>
              <w:top w:val="single" w:sz="4" w:color="BBBBBB"/>
              <w:left w:val="single" w:sz="4" w:color="BBBBBB"/>
              <w:bottom w:val="single" w:sz="4" w:color="BBBBBB"/>
              <w:right w:val="single" w:sz="4" w:color="BBBBBB"/>
            </w:tcBorders>
          </w:tcPr>
          <w:p>
            <w:r/>
            <w:r>
              <w:rPr>
                <w:sz w:val="19"/>
              </w:rPr>
              <w:t>Executive political commitment</w:t>
            </w:r>
          </w:p>
        </w:tc>
        <w:tc>
          <w:tcPr>
            <w:tcW w:type="dxa" w:w="2256"/>
            <w:tcBorders>
              <w:top w:val="single" w:sz="4" w:color="BBBBBB"/>
              <w:left w:val="single" w:sz="4" w:color="BBBBBB"/>
              <w:bottom w:val="single" w:sz="4" w:color="BBBBBB"/>
              <w:right w:val="single" w:sz="4" w:color="BBBBBB"/>
            </w:tcBorders>
          </w:tcPr>
          <w:p>
            <w:r/>
            <w:r>
              <w:rPr>
                <w:sz w:val="19"/>
              </w:rPr>
              <w:t>Highest-authority authorization</w:t>
            </w:r>
          </w:p>
        </w:tc>
        <w:tc>
          <w:tcPr>
            <w:tcW w:type="dxa" w:w="2256"/>
            <w:tcBorders>
              <w:top w:val="single" w:sz="4" w:color="BBBBBB"/>
              <w:left w:val="single" w:sz="4" w:color="BBBBBB"/>
              <w:bottom w:val="single" w:sz="4" w:color="BBBBBB"/>
              <w:right w:val="single" w:sz="4" w:color="BBBBBB"/>
            </w:tcBorders>
          </w:tcPr>
          <w:p>
            <w:r/>
            <w:r>
              <w:rPr>
                <w:sz w:val="19"/>
              </w:rPr>
              <w:t>Joint confirmation of mutual entry</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Review clock</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Congressional committee notification</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Assembly receipt and review</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Parallel-progress dashboard entry</w:t>
            </w:r>
          </w:p>
        </w:tc>
      </w:tr>
      <w:tr>
        <w:tc>
          <w:tcPr>
            <w:tcW w:type="dxa" w:w="2256"/>
            <w:tcBorders>
              <w:top w:val="single" w:sz="4" w:color="BBBBBB"/>
              <w:left w:val="single" w:sz="4" w:color="BBBBBB"/>
              <w:bottom w:val="single" w:sz="4" w:color="BBBBBB"/>
              <w:right w:val="single" w:sz="4" w:color="BBBBBB"/>
            </w:tcBorders>
          </w:tcPr>
          <w:p>
            <w:r/>
            <w:r>
              <w:rPr>
                <w:sz w:val="19"/>
              </w:rPr>
              <w:t>Activation gate</w:t>
            </w:r>
          </w:p>
        </w:tc>
        <w:tc>
          <w:tcPr>
            <w:tcW w:type="dxa" w:w="2256"/>
            <w:tcBorders>
              <w:top w:val="single" w:sz="4" w:color="BBBBBB"/>
              <w:left w:val="single" w:sz="4" w:color="BBBBBB"/>
              <w:bottom w:val="single" w:sz="4" w:color="BBBBBB"/>
              <w:right w:val="single" w:sz="4" w:color="BBBBBB"/>
            </w:tcBorders>
          </w:tcPr>
          <w:p>
            <w:r/>
            <w:r>
              <w:rPr>
                <w:sz w:val="19"/>
              </w:rPr>
              <w:t>Statutory waiver execution</w:t>
            </w:r>
          </w:p>
        </w:tc>
        <w:tc>
          <w:tcPr>
            <w:tcW w:type="dxa" w:w="2256"/>
            <w:tcBorders>
              <w:top w:val="single" w:sz="4" w:color="BBBBBB"/>
              <w:left w:val="single" w:sz="4" w:color="BBBBBB"/>
              <w:bottom w:val="single" w:sz="4" w:color="BBBBBB"/>
              <w:right w:val="single" w:sz="4" w:color="BBBBBB"/>
            </w:tcBorders>
          </w:tcPr>
          <w:p>
            <w:r/>
            <w:r>
              <w:rPr>
                <w:sz w:val="19"/>
              </w:rPr>
              <w:t>Security Council endorsement</w:t>
            </w:r>
          </w:p>
        </w:tc>
        <w:tc>
          <w:tcPr>
            <w:tcW w:type="dxa" w:w="2256"/>
            <w:tcBorders>
              <w:top w:val="single" w:sz="4" w:color="BBBBBB"/>
              <w:left w:val="single" w:sz="4" w:color="BBBBBB"/>
              <w:bottom w:val="single" w:sz="4" w:color="BBBBBB"/>
              <w:right w:val="single" w:sz="4" w:color="BBBBBB"/>
            </w:tcBorders>
          </w:tcPr>
          <w:p>
            <w:r/>
            <w:r>
              <w:rPr>
                <w:sz w:val="19"/>
              </w:rPr>
              <w:t>Guarantor verifies simultaneity</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Renewal</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Waiver renewal inside the cycle</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Endorsement reaffirmation</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Joint renewal statement</w:t>
            </w:r>
          </w:p>
        </w:tc>
      </w:tr>
    </w:tbl>
    <w:p>
      <w:pPr>
        <w:spacing w:after="40"/>
      </w:pPr>
    </w:p>
    <w:p>
      <w:pPr>
        <w:pStyle w:val="Heading2"/>
      </w:pPr>
      <w:r>
        <w:t>J.3 Regional Security Assessment Framework</w:t>
      </w:r>
    </w:p>
    <w:p>
      <w:pPr>
        <w:spacing w:after="120"/>
      </w:pPr>
      <w:r>
        <w:rPr>
          <w:i w:val="0"/>
        </w:rPr>
        <w:t>This section frames the threat, escalation, and proxy dynamics that surround the Compact. It operates as a model analytical framework rather than a record of any specific intelligence holding: it states the categories of risk the framework anticipates and the architectural feature that absorbs each category. The framework converts each risk into a managed pathway rather than an open vulnerability.</w:t>
      </w:r>
    </w:p>
    <w:p>
      <w:pPr>
        <w:pStyle w:val="Heading3"/>
      </w:pPr>
      <w:r>
        <w:t>J.3.1 — Threat Categories and Architectural Absorbers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Risk Category</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Escalation Pathway</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Compact Feature That Absorbs It</w:t>
            </w:r>
          </w:p>
        </w:tc>
      </w:tr>
      <w:tr>
        <w:tc>
          <w:tcPr>
            <w:tcW w:type="dxa" w:w="3009"/>
            <w:tcBorders>
              <w:top w:val="single" w:sz="4" w:color="BBBBBB"/>
              <w:left w:val="single" w:sz="4" w:color="BBBBBB"/>
              <w:bottom w:val="single" w:sz="4" w:color="BBBBBB"/>
              <w:right w:val="single" w:sz="4" w:color="BBBBBB"/>
            </w:tcBorders>
          </w:tcPr>
          <w:p>
            <w:r/>
            <w:r>
              <w:rPr>
                <w:sz w:val="19"/>
              </w:rPr>
              <w:t>Maritime incident in the Strait</w:t>
            </w:r>
          </w:p>
        </w:tc>
        <w:tc>
          <w:tcPr>
            <w:tcW w:type="dxa" w:w="3009"/>
            <w:tcBorders>
              <w:top w:val="single" w:sz="4" w:color="BBBBBB"/>
              <w:left w:val="single" w:sz="4" w:color="BBBBBB"/>
              <w:bottom w:val="single" w:sz="4" w:color="BBBBBB"/>
              <w:right w:val="single" w:sz="4" w:color="BBBBBB"/>
            </w:tcBorders>
          </w:tcPr>
          <w:p>
            <w:r/>
            <w:r>
              <w:rPr>
                <w:sz w:val="19"/>
              </w:rPr>
              <w:t>Misread transit event triggers naval response</w:t>
            </w:r>
          </w:p>
        </w:tc>
        <w:tc>
          <w:tcPr>
            <w:tcW w:type="dxa" w:w="3009"/>
            <w:tcBorders>
              <w:top w:val="single" w:sz="4" w:color="BBBBBB"/>
              <w:left w:val="single" w:sz="4" w:color="BBBBBB"/>
              <w:bottom w:val="single" w:sz="4" w:color="BBBBBB"/>
              <w:right w:val="single" w:sz="4" w:color="BBBBBB"/>
            </w:tcBorders>
          </w:tcPr>
          <w:p>
            <w:r/>
            <w:r>
              <w:rPr>
                <w:sz w:val="19"/>
              </w:rPr>
              <w:t>Joint Maritime Coordination Center and deconfliction channel (Annex M)</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Verification anomaly</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Sensor gap reads as concealment</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Human-in-the-Loop Review and correction window (Annex N)</w:t>
            </w:r>
          </w:p>
        </w:tc>
      </w:tr>
      <w:tr>
        <w:tc>
          <w:tcPr>
            <w:tcW w:type="dxa" w:w="3009"/>
            <w:tcBorders>
              <w:top w:val="single" w:sz="4" w:color="BBBBBB"/>
              <w:left w:val="single" w:sz="4" w:color="BBBBBB"/>
              <w:bottom w:val="single" w:sz="4" w:color="BBBBBB"/>
              <w:right w:val="single" w:sz="4" w:color="BBBBBB"/>
            </w:tcBorders>
          </w:tcPr>
          <w:p>
            <w:r/>
            <w:r>
              <w:rPr>
                <w:sz w:val="19"/>
              </w:rPr>
              <w:t>Proxy-attributed action</w:t>
            </w:r>
          </w:p>
        </w:tc>
        <w:tc>
          <w:tcPr>
            <w:tcW w:type="dxa" w:w="3009"/>
            <w:tcBorders>
              <w:top w:val="single" w:sz="4" w:color="BBBBBB"/>
              <w:left w:val="single" w:sz="4" w:color="BBBBBB"/>
              <w:bottom w:val="single" w:sz="4" w:color="BBBBBB"/>
              <w:right w:val="single" w:sz="4" w:color="BBBBBB"/>
            </w:tcBorders>
          </w:tcPr>
          <w:p>
            <w:r/>
            <w:r>
              <w:rPr>
                <w:sz w:val="19"/>
              </w:rPr>
              <w:t>Third-party act reads as state action</w:t>
            </w:r>
          </w:p>
        </w:tc>
        <w:tc>
          <w:tcPr>
            <w:tcW w:type="dxa" w:w="3009"/>
            <w:tcBorders>
              <w:top w:val="single" w:sz="4" w:color="BBBBBB"/>
              <w:left w:val="single" w:sz="4" w:color="BBBBBB"/>
              <w:bottom w:val="single" w:sz="4" w:color="BBBBBB"/>
              <w:right w:val="single" w:sz="4" w:color="BBBBBB"/>
            </w:tcBorders>
          </w:tcPr>
          <w:p>
            <w:r/>
            <w:r>
              <w:rPr>
                <w:sz w:val="19"/>
              </w:rPr>
              <w:t>Lebanon Ceasefire and Firewall Protocol and no-surprise commitment</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Relief reversal</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Domestic backlash unwinds a tranche</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Step-Back and Earn-Back proportionality scale (Annex N)</w:t>
            </w:r>
          </w:p>
        </w:tc>
      </w:tr>
      <w:tr>
        <w:tc>
          <w:tcPr>
            <w:tcW w:type="dxa" w:w="3009"/>
            <w:tcBorders>
              <w:top w:val="single" w:sz="4" w:color="BBBBBB"/>
              <w:left w:val="single" w:sz="4" w:color="BBBBBB"/>
              <w:bottom w:val="single" w:sz="4" w:color="BBBBBB"/>
              <w:right w:val="single" w:sz="4" w:color="BBBBBB"/>
            </w:tcBorders>
          </w:tcPr>
          <w:p>
            <w:r/>
            <w:r>
              <w:rPr>
                <w:sz w:val="19"/>
              </w:rPr>
              <w:t>Information shock</w:t>
            </w:r>
          </w:p>
        </w:tc>
        <w:tc>
          <w:tcPr>
            <w:tcW w:type="dxa" w:w="3009"/>
            <w:tcBorders>
              <w:top w:val="single" w:sz="4" w:color="BBBBBB"/>
              <w:left w:val="single" w:sz="4" w:color="BBBBBB"/>
              <w:bottom w:val="single" w:sz="4" w:color="BBBBBB"/>
              <w:right w:val="single" w:sz="4" w:color="BBBBBB"/>
            </w:tcBorders>
          </w:tcPr>
          <w:p>
            <w:r/>
            <w:r>
              <w:rPr>
                <w:sz w:val="19"/>
              </w:rPr>
              <w:t>Media report outruns official channel</w:t>
            </w:r>
          </w:p>
        </w:tc>
        <w:tc>
          <w:tcPr>
            <w:tcW w:type="dxa" w:w="3009"/>
            <w:tcBorders>
              <w:top w:val="single" w:sz="4" w:color="BBBBBB"/>
              <w:left w:val="single" w:sz="4" w:color="BBBBBB"/>
              <w:bottom w:val="single" w:sz="4" w:color="BBBBBB"/>
              <w:right w:val="single" w:sz="4" w:color="BBBBBB"/>
            </w:tcBorders>
          </w:tcPr>
          <w:p>
            <w:r/>
            <w:r>
              <w:rPr>
                <w:sz w:val="19"/>
              </w:rPr>
              <w:t>Crisis-communication protocol and dashboard-only framing (Annex I)</w:t>
            </w:r>
          </w:p>
        </w:tc>
      </w:tr>
    </w:tbl>
    <w:p>
      <w:pPr>
        <w:spacing w:after="40"/>
      </w:pPr>
    </w:p>
    <w:p>
      <w:pPr>
        <w:pStyle w:val="Heading3"/>
      </w:pPr>
      <w:r>
        <w:t>J.3.2 — Proxy Dynamics Framing</w:t>
      </w:r>
    </w:p>
    <w:p>
      <w:pPr>
        <w:spacing w:after="120"/>
      </w:pPr>
      <w:r>
        <w:rPr>
          <w:i w:val="0"/>
        </w:rPr>
        <w:t>The framework treats proxy dynamics through the firewall architecture. A third-party action that neither Party directs does not propagate into the binding tracks. The framework attributes responsibility through the verification record rather than through assumption. This design feature converts the proxy-attribution problem from an escalation trigger into a managed consultation event.</w:t>
      </w:r>
    </w:p>
    <w:p>
      <w:pPr>
        <w:spacing w:after="80"/>
        <w:ind w:left="360"/>
      </w:pPr>
      <w:r>
        <w:rPr>
          <w:b/>
        </w:rPr>
        <w:t xml:space="preserve">Attribution discipline — </w:t>
      </w:r>
      <w:r>
        <w:rPr>
          <w:b w:val="0"/>
        </w:rPr>
        <w:t>A Party that detects a third-party action notifies the Joint Coordination Center with facts only, and the no-surprise commitment governs the exchange.</w:t>
      </w:r>
    </w:p>
    <w:p>
      <w:pPr>
        <w:spacing w:after="80"/>
        <w:ind w:left="360"/>
      </w:pPr>
      <w:r>
        <w:rPr>
          <w:b/>
        </w:rPr>
        <w:t xml:space="preserve">Containment — </w:t>
      </w:r>
      <w:r>
        <w:rPr>
          <w:b w:val="0"/>
        </w:rPr>
        <w:t>The firewalled-provisions design isolates a proxy-attributed dispute to its consultation track, and every other reciprocity unit continues operating.</w:t>
      </w:r>
    </w:p>
    <w:p>
      <w:pPr>
        <w:spacing w:after="80"/>
        <w:ind w:left="360"/>
      </w:pPr>
      <w:r>
        <w:rPr>
          <w:b/>
        </w:rPr>
        <w:t xml:space="preserve">Verification primacy — </w:t>
      </w:r>
      <w:r>
        <w:rPr>
          <w:b w:val="0"/>
        </w:rPr>
        <w:t>The telemetry record, not the political accusation, establishes whether a state action occurred. Absence of telemetry confirmation keeps the dispute inside consultation rather than inside breach.</w:t>
      </w:r>
    </w:p>
    <w:p>
      <w:pPr>
        <w:pStyle w:val="Heading3"/>
      </w:pPr>
      <w:r>
        <w:t>J.3.3 — Escalation-Risk Ladder</w:t>
      </w:r>
    </w:p>
    <w:p>
      <w:pPr>
        <w:spacing w:after="120"/>
      </w:pPr>
      <w:r>
        <w:rPr>
          <w:i w:val="0"/>
        </w:rPr>
        <w:t>The framework defines a graduated ladder so that a low-level event resolves at a low rung rather than climbing automatically. Each rung carries its own response, and movement up the ladder pairs with a defined trigger rather than with discretion.</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Rung</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Event Class</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Framework Response</w:t>
            </w:r>
          </w:p>
        </w:tc>
      </w:tr>
      <w:tr>
        <w:tc>
          <w:tcPr>
            <w:tcW w:type="dxa" w:w="3009"/>
            <w:tcBorders>
              <w:top w:val="single" w:sz="4" w:color="BBBBBB"/>
              <w:left w:val="single" w:sz="4" w:color="BBBBBB"/>
              <w:bottom w:val="single" w:sz="4" w:color="BBBBBB"/>
              <w:right w:val="single" w:sz="4" w:color="BBBBBB"/>
            </w:tcBorders>
          </w:tcPr>
          <w:p>
            <w:r/>
            <w:r>
              <w:rPr>
                <w:sz w:val="19"/>
              </w:rPr>
              <w:t>1</w:t>
            </w:r>
          </w:p>
        </w:tc>
        <w:tc>
          <w:tcPr>
            <w:tcW w:type="dxa" w:w="3009"/>
            <w:tcBorders>
              <w:top w:val="single" w:sz="4" w:color="BBBBBB"/>
              <w:left w:val="single" w:sz="4" w:color="BBBBBB"/>
              <w:bottom w:val="single" w:sz="4" w:color="BBBBBB"/>
              <w:right w:val="single" w:sz="4" w:color="BBBBBB"/>
            </w:tcBorders>
          </w:tcPr>
          <w:p>
            <w:r/>
            <w:r>
              <w:rPr>
                <w:sz w:val="19"/>
              </w:rPr>
              <w:t>Technical anomaly</w:t>
            </w:r>
          </w:p>
        </w:tc>
        <w:tc>
          <w:tcPr>
            <w:tcW w:type="dxa" w:w="3009"/>
            <w:tcBorders>
              <w:top w:val="single" w:sz="4" w:color="BBBBBB"/>
              <w:left w:val="single" w:sz="4" w:color="BBBBBB"/>
              <w:bottom w:val="single" w:sz="4" w:color="BBBBBB"/>
              <w:right w:val="single" w:sz="4" w:color="BBBBBB"/>
            </w:tcBorders>
          </w:tcPr>
          <w:p>
            <w:r/>
            <w:r>
              <w:rPr>
                <w:sz w:val="19"/>
              </w:rPr>
              <w:t>Technical-liaison conference inside 4 hours</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2</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Unexplained anomaly persists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Guarantor factual summary inside 12 hours</w:t>
            </w:r>
          </w:p>
        </w:tc>
      </w:tr>
      <w:tr>
        <w:tc>
          <w:tcPr>
            <w:tcW w:type="dxa" w:w="3009"/>
            <w:tcBorders>
              <w:top w:val="single" w:sz="4" w:color="BBBBBB"/>
              <w:left w:val="single" w:sz="4" w:color="BBBBBB"/>
              <w:bottom w:val="single" w:sz="4" w:color="BBBBBB"/>
              <w:right w:val="single" w:sz="4" w:color="BBBBBB"/>
            </w:tcBorders>
          </w:tcPr>
          <w:p>
            <w:r/>
            <w:r>
              <w:rPr>
                <w:sz w:val="19"/>
              </w:rPr>
              <w:t>3</w:t>
            </w:r>
          </w:p>
        </w:tc>
        <w:tc>
          <w:tcPr>
            <w:tcW w:type="dxa" w:w="3009"/>
            <w:tcBorders>
              <w:top w:val="single" w:sz="4" w:color="BBBBBB"/>
              <w:left w:val="single" w:sz="4" w:color="BBBBBB"/>
              <w:bottom w:val="single" w:sz="4" w:color="BBBBBB"/>
              <w:right w:val="single" w:sz="4" w:color="BBBBBB"/>
            </w:tcBorders>
          </w:tcPr>
          <w:p>
            <w:r/>
            <w:r>
              <w:rPr>
                <w:sz w:val="19"/>
              </w:rPr>
              <w:t>Single-unit compliance dispute</w:t>
            </w:r>
          </w:p>
        </w:tc>
        <w:tc>
          <w:tcPr>
            <w:tcW w:type="dxa" w:w="3009"/>
            <w:tcBorders>
              <w:top w:val="single" w:sz="4" w:color="BBBBBB"/>
              <w:left w:val="single" w:sz="4" w:color="BBBBBB"/>
              <w:bottom w:val="single" w:sz="4" w:color="BBBBBB"/>
              <w:right w:val="single" w:sz="4" w:color="BBBBBB"/>
            </w:tcBorders>
          </w:tcPr>
          <w:p>
            <w:r/>
            <w:r>
              <w:rPr>
                <w:sz w:val="19"/>
              </w:rPr>
              <w:t>Step-Back of the affected reciprocity unit only</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4</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Dashboard-verified material breach</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Human-in-the-Loop Review convenes inside its charter window</w:t>
            </w:r>
          </w:p>
        </w:tc>
      </w:tr>
      <w:tr>
        <w:tc>
          <w:tcPr>
            <w:tcW w:type="dxa" w:w="3009"/>
            <w:tcBorders>
              <w:top w:val="single" w:sz="4" w:color="BBBBBB"/>
              <w:left w:val="single" w:sz="4" w:color="BBBBBB"/>
              <w:bottom w:val="single" w:sz="4" w:color="BBBBBB"/>
              <w:right w:val="single" w:sz="4" w:color="BBBBBB"/>
            </w:tcBorders>
          </w:tcPr>
          <w:p>
            <w:r/>
            <w:r>
              <w:rPr>
                <w:sz w:val="19"/>
              </w:rPr>
              <w:t>5</w:t>
            </w:r>
          </w:p>
        </w:tc>
        <w:tc>
          <w:tcPr>
            <w:tcW w:type="dxa" w:w="3009"/>
            <w:tcBorders>
              <w:top w:val="single" w:sz="4" w:color="BBBBBB"/>
              <w:left w:val="single" w:sz="4" w:color="BBBBBB"/>
              <w:bottom w:val="single" w:sz="4" w:color="BBBBBB"/>
              <w:right w:val="single" w:sz="4" w:color="BBBBBB"/>
            </w:tcBorders>
          </w:tcPr>
          <w:p>
            <w:r/>
            <w:r>
              <w:rPr>
                <w:sz w:val="19"/>
              </w:rPr>
              <w:t>Sustained, verified, uncorrected breach</w:t>
            </w:r>
          </w:p>
        </w:tc>
        <w:tc>
          <w:tcPr>
            <w:tcW w:type="dxa" w:w="3009"/>
            <w:tcBorders>
              <w:top w:val="single" w:sz="4" w:color="BBBBBB"/>
              <w:left w:val="single" w:sz="4" w:color="BBBBBB"/>
              <w:bottom w:val="single" w:sz="4" w:color="BBBBBB"/>
              <w:right w:val="single" w:sz="4" w:color="BBBBBB"/>
            </w:tcBorders>
          </w:tcPr>
          <w:p>
            <w:r/>
            <w:r>
              <w:rPr>
                <w:sz w:val="19"/>
              </w:rPr>
              <w:t>Exit architecture of Article VI activates for the affected module</w:t>
            </w:r>
          </w:p>
        </w:tc>
      </w:tr>
    </w:tbl>
    <w:p>
      <w:pPr>
        <w:spacing w:after="40"/>
      </w:pPr>
    </w:p>
    <w:p>
      <w:pPr>
        <w:pStyle w:val="Heading2"/>
      </w:pPr>
      <w:r>
        <w:t>J.4 Public Messaging Mandate</w:t>
      </w:r>
    </w:p>
    <w:p>
      <w:pPr>
        <w:spacing w:after="120"/>
      </w:pPr>
      <w:r>
        <w:rPr>
          <w:i w:val="0"/>
        </w:rPr>
        <w:t>This section states what each Party communicates domestically to justify the framework. It operates under the Domestic Framing Autonomy principle: each Party characterizes the Compact in its own terms, and neither Party dictates the other's narrative. The section coordinates only the factual floor that both narratives rest upon, so that divergent framings remain compatible with a single set of facts. It complements the public statements in Annex G.</w:t>
      </w:r>
    </w:p>
    <w:p>
      <w:pPr>
        <w:pStyle w:val="Heading3"/>
      </w:pPr>
      <w:r>
        <w:t>J.4.1 — Shared Factual Floor</w:t>
      </w:r>
    </w:p>
    <w:p>
      <w:pPr>
        <w:spacing w:after="120"/>
      </w:pPr>
      <w:r>
        <w:rPr>
          <w:i w:val="0"/>
        </w:rPr>
        <w:t>Both Parties anchor their domestic messaging on the same verifiable facts: the Strait remains open to commercial transit; material above five percent resides under IAEA seals; relief tracks verified milestones; ownership of Iranian material remains Iranian. Divergent political framings rest on this common floor, which keeps the two narratives non-contradictory.</w:t>
      </w:r>
    </w:p>
    <w:p>
      <w:pPr>
        <w:pStyle w:val="Heading3"/>
      </w:pPr>
      <w:r>
        <w:t>J.4.2 — United States Domestic Justification (Model Talking Points)</w:t>
      </w:r>
    </w:p>
    <w:p>
      <w:pPr>
        <w:spacing w:after="80"/>
        <w:ind w:left="360"/>
      </w:pPr>
      <w:r>
        <w:rPr>
          <w:b/>
        </w:rPr>
        <w:t xml:space="preserve">Security frame — </w:t>
      </w:r>
      <w:r>
        <w:rPr>
          <w:b w:val="0"/>
        </w:rPr>
        <w:t>The framework places Iran's most sensitive material under continuous international monitoring and keeps a weapon pathway closed.</w:t>
      </w:r>
    </w:p>
    <w:p>
      <w:pPr>
        <w:spacing w:after="80"/>
        <w:ind w:left="360"/>
      </w:pPr>
      <w:r>
        <w:rPr>
          <w:b/>
        </w:rPr>
        <w:t xml:space="preserve">Reversibility frame — </w:t>
      </w:r>
      <w:r>
        <w:rPr>
          <w:b w:val="0"/>
        </w:rPr>
        <w:t>Relief tracks verified steps, and any reversal re-enters a structured correction process rather than rewarding non-compliance.</w:t>
      </w:r>
    </w:p>
    <w:p>
      <w:pPr>
        <w:spacing w:after="80"/>
        <w:ind w:left="360"/>
      </w:pPr>
      <w:r>
        <w:rPr>
          <w:b/>
        </w:rPr>
        <w:t xml:space="preserve">Regional frame — </w:t>
      </w:r>
      <w:r>
        <w:rPr>
          <w:b w:val="0"/>
        </w:rPr>
        <w:t>An open Strait restores commercial transit that benefits the global economy and allied shipping.</w:t>
      </w:r>
    </w:p>
    <w:p>
      <w:pPr>
        <w:pStyle w:val="Heading3"/>
      </w:pPr>
      <w:r>
        <w:t>J.4.3 — Iranian Domestic Justification (Model Talking Points)</w:t>
      </w:r>
    </w:p>
    <w:p>
      <w:pPr>
        <w:spacing w:after="80"/>
        <w:ind w:left="360"/>
      </w:pPr>
      <w:r>
        <w:rPr>
          <w:b/>
        </w:rPr>
        <w:t xml:space="preserve">Sovereignty frame — </w:t>
      </w:r>
      <w:r>
        <w:rPr>
          <w:b w:val="0"/>
        </w:rPr>
        <w:t>Iran retains ownership, possession, and enrichment capacity, and the framework treats Iran as an equal sovereign party.</w:t>
      </w:r>
    </w:p>
    <w:p>
      <w:pPr>
        <w:spacing w:after="80"/>
        <w:ind w:left="360"/>
      </w:pPr>
      <w:r>
        <w:rPr>
          <w:b/>
        </w:rPr>
        <w:t xml:space="preserve">Relief frame — </w:t>
      </w:r>
      <w:r>
        <w:rPr>
          <w:b w:val="0"/>
        </w:rPr>
        <w:t>Sanctions relief restores banking access and releases frozen national assets on a defined schedule.</w:t>
      </w:r>
    </w:p>
    <w:p>
      <w:pPr>
        <w:spacing w:after="80"/>
        <w:ind w:left="360"/>
      </w:pPr>
      <w:r>
        <w:rPr>
          <w:b/>
        </w:rPr>
        <w:t xml:space="preserve">Dignity frame — </w:t>
      </w:r>
      <w:r>
        <w:rPr>
          <w:b w:val="0"/>
        </w:rPr>
        <w:t>No forced export and no dismantlement appear in the framework; the architecture binds both Parties equally.</w:t>
      </w:r>
    </w:p>
    <w:p>
      <w:pPr>
        <w:pStyle w:val="Heading3"/>
      </w:pPr>
      <w:r>
        <w:t>J.4.4 — Messaging Compatibility Rule</w:t>
      </w:r>
    </w:p>
    <w:p>
      <w:pPr>
        <w:spacing w:after="120"/>
      </w:pPr>
      <w:r>
        <w:rPr>
          <w:i w:val="0"/>
        </w:rPr>
        <w:t>The two narratives diverge in emphasis and converge on fact. The framework architecture excludes any official messaging that contradicts the shared factual floor or that characterizes the other Party's commitments as a unilateral surrender. This rule preserves both Parties' domestic latitude while protecting the framework from a narrative collision that a contradictory factual claim produces.</w:t>
      </w:r>
    </w:p>
    <w:p>
      <w:r>
        <w:br w:type="page"/>
      </w:r>
    </w:p>
    <w:p>
      <w:pPr>
        <w:pStyle w:val="Heading1"/>
      </w:pPr>
      <w:r>
        <w:t>Annex K: Nuclear Technical Verification Baseline</w:t>
      </w:r>
    </w:p>
    <w:p>
      <w:pPr>
        <w:spacing w:after="120"/>
      </w:pPr>
      <w:r>
        <w:rPr>
          <w:i w:val="0"/>
        </w:rPr>
        <w:t>This annex states the technical verification baseline that Articles II, III, and V operate upon. It records the declared-material baseline framework, the access protocols for declared facilities, the telemetry and monitoring specification, and the fuel-swap technical specification. The annex describes monitoring, custody, and transparency architecture. It contains no enrichment methodology and no facility engineering detail; it states what the verification system observes and how custody moves, consistent with a safeguards-style instrument.</w:t>
      </w:r>
    </w:p>
    <w:p>
      <w:pPr>
        <w:pStyle w:val="Heading2"/>
      </w:pPr>
      <w:r>
        <w:t>K.1 IAEA Baseline Declaration Framework</w:t>
      </w:r>
    </w:p>
    <w:p>
      <w:pPr>
        <w:spacing w:after="120"/>
      </w:pPr>
      <w:r>
        <w:rPr>
          <w:i w:val="0"/>
        </w:rPr>
        <w:t>The baseline declaration establishes the reference point from which every subsequent reading takes its meaning. Iran provides the IAEA with declared-facility access inside the 48-hour window of Section 2.4, and the IAEA records the baseline. The baseline framework tracks three quantities: enrichment levels, stockpile quantities, and facility status.</w:t>
      </w:r>
    </w:p>
    <w:p>
      <w:pPr>
        <w:pStyle w:val="Heading3"/>
      </w:pPr>
      <w:r>
        <w:t>K.1.1 — Declared Stockpile Baseline (Model Figures, Consistent With the Core Compact)</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Material Category</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Enrichment Level</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Baseline Quantity</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Custody Disposition</w:t>
            </w:r>
          </w:p>
        </w:tc>
      </w:tr>
      <w:tr>
        <w:tc>
          <w:tcPr>
            <w:tcW w:type="dxa" w:w="2256"/>
            <w:tcBorders>
              <w:top w:val="single" w:sz="4" w:color="BBBBBB"/>
              <w:left w:val="single" w:sz="4" w:color="BBBBBB"/>
              <w:bottom w:val="single" w:sz="4" w:color="BBBBBB"/>
              <w:right w:val="single" w:sz="4" w:color="BBBBBB"/>
            </w:tcBorders>
          </w:tcPr>
          <w:p>
            <w:r/>
            <w:r>
              <w:rPr>
                <w:sz w:val="19"/>
              </w:rPr>
              <w:t>Near-threshold material</w:t>
            </w:r>
          </w:p>
        </w:tc>
        <w:tc>
          <w:tcPr>
            <w:tcW w:type="dxa" w:w="2256"/>
            <w:tcBorders>
              <w:top w:val="single" w:sz="4" w:color="BBBBBB"/>
              <w:left w:val="single" w:sz="4" w:color="BBBBBB"/>
              <w:bottom w:val="single" w:sz="4" w:color="BBBBBB"/>
              <w:right w:val="single" w:sz="4" w:color="BBBBBB"/>
            </w:tcBorders>
          </w:tcPr>
          <w:p>
            <w:r/>
            <w:r>
              <w:rPr>
                <w:sz w:val="19"/>
              </w:rPr>
              <w:t>60 percent U-235</w:t>
            </w:r>
          </w:p>
        </w:tc>
        <w:tc>
          <w:tcPr>
            <w:tcW w:type="dxa" w:w="2256"/>
            <w:tcBorders>
              <w:top w:val="single" w:sz="4" w:color="BBBBBB"/>
              <w:left w:val="single" w:sz="4" w:color="BBBBBB"/>
              <w:bottom w:val="single" w:sz="4" w:color="BBBBBB"/>
              <w:right w:val="single" w:sz="4" w:color="BBBBBB"/>
            </w:tcBorders>
          </w:tcPr>
          <w:p>
            <w:r/>
            <w:r>
              <w:rPr>
                <w:sz w:val="19"/>
              </w:rPr>
              <w:t>Approx. 400 kg in Iran + 50 kg transferred</w:t>
            </w:r>
          </w:p>
        </w:tc>
        <w:tc>
          <w:tcPr>
            <w:tcW w:type="dxa" w:w="2256"/>
            <w:tcBorders>
              <w:top w:val="single" w:sz="4" w:color="BBBBBB"/>
              <w:left w:val="single" w:sz="4" w:color="BBBBBB"/>
              <w:bottom w:val="single" w:sz="4" w:color="BBBBBB"/>
              <w:right w:val="single" w:sz="4" w:color="BBBBBB"/>
            </w:tcBorders>
          </w:tcPr>
          <w:p>
            <w:r/>
            <w:r>
              <w:rPr>
                <w:sz w:val="19"/>
              </w:rPr>
              <w:t>IAEA seals in Iran; 50 kg to Omani custody</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Intermediate material</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20 percent U-235</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Approx. 800 kg</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IAEA seals at declared facilities in Iran</w:t>
            </w:r>
          </w:p>
        </w:tc>
      </w:tr>
      <w:tr>
        <w:tc>
          <w:tcPr>
            <w:tcW w:type="dxa" w:w="2256"/>
            <w:tcBorders>
              <w:top w:val="single" w:sz="4" w:color="BBBBBB"/>
              <w:left w:val="single" w:sz="4" w:color="BBBBBB"/>
              <w:bottom w:val="single" w:sz="4" w:color="BBBBBB"/>
              <w:right w:val="single" w:sz="4" w:color="BBBBBB"/>
            </w:tcBorders>
          </w:tcPr>
          <w:p>
            <w:r/>
            <w:r>
              <w:rPr>
                <w:sz w:val="19"/>
              </w:rPr>
              <w:t>Civilian-level material</w:t>
            </w:r>
          </w:p>
        </w:tc>
        <w:tc>
          <w:tcPr>
            <w:tcW w:type="dxa" w:w="2256"/>
            <w:tcBorders>
              <w:top w:val="single" w:sz="4" w:color="BBBBBB"/>
              <w:left w:val="single" w:sz="4" w:color="BBBBBB"/>
              <w:bottom w:val="single" w:sz="4" w:color="BBBBBB"/>
              <w:right w:val="single" w:sz="4" w:color="BBBBBB"/>
            </w:tcBorders>
          </w:tcPr>
          <w:p>
            <w:r/>
            <w:r>
              <w:rPr>
                <w:sz w:val="19"/>
              </w:rPr>
              <w:t>Up to 3.67 percent U-235</w:t>
            </w:r>
          </w:p>
        </w:tc>
        <w:tc>
          <w:tcPr>
            <w:tcW w:type="dxa" w:w="2256"/>
            <w:tcBorders>
              <w:top w:val="single" w:sz="4" w:color="BBBBBB"/>
              <w:left w:val="single" w:sz="4" w:color="BBBBBB"/>
              <w:bottom w:val="single" w:sz="4" w:color="BBBBBB"/>
              <w:right w:val="single" w:sz="4" w:color="BBBBBB"/>
            </w:tcBorders>
          </w:tcPr>
          <w:p>
            <w:r/>
            <w:r>
              <w:rPr>
                <w:sz w:val="19"/>
              </w:rPr>
              <w:t>Operational inventory</w:t>
            </w:r>
          </w:p>
        </w:tc>
        <w:tc>
          <w:tcPr>
            <w:tcW w:type="dxa" w:w="2256"/>
            <w:tcBorders>
              <w:top w:val="single" w:sz="4" w:color="BBBBBB"/>
              <w:left w:val="single" w:sz="4" w:color="BBBBBB"/>
              <w:bottom w:val="single" w:sz="4" w:color="BBBBBB"/>
              <w:right w:val="single" w:sz="4" w:color="BBBBBB"/>
            </w:tcBorders>
          </w:tcPr>
          <w:p>
            <w:r/>
            <w:r>
              <w:rPr>
                <w:sz w:val="19"/>
              </w:rPr>
              <w:t>Continuous monitoring; civilian use continues</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Received fuel</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19.75 percent U-235</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200 kg fuel rods (inbound)</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Tehran Research Reactor fuel under monitoring</w:t>
            </w:r>
          </w:p>
        </w:tc>
      </w:tr>
    </w:tbl>
    <w:p>
      <w:pPr>
        <w:spacing w:after="40"/>
      </w:pPr>
    </w:p>
    <w:p>
      <w:pPr>
        <w:spacing w:after="120"/>
      </w:pPr>
      <w:r>
        <w:rPr>
          <w:i w:val="0"/>
        </w:rPr>
        <w:t>These figures track the quantities the core Compact states. The baseline declaration records the actual measured values that the IAEA establishes at the readings; the model figures above set the reference frame for that record.</w:t>
      </w:r>
    </w:p>
    <w:p>
      <w:pPr>
        <w:pStyle w:val="Heading3"/>
      </w:pPr>
      <w:r>
        <w:t>K.1.2 — Facility Status Categories</w:t>
      </w:r>
    </w:p>
    <w:p>
      <w:pPr>
        <w:spacing w:after="80"/>
        <w:ind w:left="360"/>
      </w:pPr>
      <w:r>
        <w:rPr>
          <w:b/>
        </w:rPr>
        <w:t xml:space="preserve">Declared and operational — </w:t>
      </w:r>
      <w:r>
        <w:rPr>
          <w:b w:val="0"/>
        </w:rPr>
        <w:t>Natanz and Fordow operate under continuous IAEA monitoring, with enrichment confined to the civilian 3.67 percent level during the implementation window.</w:t>
      </w:r>
    </w:p>
    <w:p>
      <w:pPr>
        <w:spacing w:after="80"/>
        <w:ind w:left="360"/>
      </w:pPr>
      <w:r>
        <w:rPr>
          <w:b/>
        </w:rPr>
        <w:t xml:space="preserve">Declared and sealed — </w:t>
      </w:r>
      <w:r>
        <w:rPr>
          <w:b w:val="0"/>
        </w:rPr>
        <w:t>Storage locations holding material above five percent carry tamper-evident seals and continuous surveillance.</w:t>
      </w:r>
    </w:p>
    <w:p>
      <w:pPr>
        <w:spacing w:after="80"/>
        <w:ind w:left="360"/>
      </w:pPr>
      <w:r>
        <w:rPr>
          <w:b/>
        </w:rPr>
        <w:t xml:space="preserve">Declared and monitored — </w:t>
      </w:r>
      <w:r>
        <w:rPr>
          <w:b w:val="0"/>
        </w:rPr>
        <w:t>Conversion and fabrication points that handle declared material operate under the monitoring scope the baseline defines.</w:t>
      </w:r>
    </w:p>
    <w:p>
      <w:pPr>
        <w:pStyle w:val="Heading3"/>
      </w:pPr>
      <w:r>
        <w:t>K.1.3 — Baseline Reporting Cadence</w:t>
      </w:r>
    </w:p>
    <w:p>
      <w:pPr>
        <w:spacing w:after="120"/>
      </w:pPr>
      <w:r>
        <w:rPr>
          <w:i w:val="0"/>
        </w:rPr>
        <w:t>The IAEA issues a baseline confirmation at establishment, and continuous monitoring supplies the ongoing record thereafter. The Neutral Guarantor posts each confirmation to the verification dashboard. A reading that diverges from the baseline enters the Human-in-the-Loop Review rather than triggering an automatic determination.</w:t>
      </w:r>
    </w:p>
    <w:p>
      <w:pPr>
        <w:pStyle w:val="Heading2"/>
      </w:pPr>
      <w:r>
        <w:t>K.2 Declared-Facility Access Protocols</w:t>
      </w:r>
    </w:p>
    <w:p>
      <w:pPr>
        <w:spacing w:after="120"/>
      </w:pPr>
      <w:r>
        <w:rPr>
          <w:i w:val="0"/>
        </w:rPr>
        <w:t>This section states the access architecture for declared sites. The protocols govern who enters, under what authorization, and with what notice. The architecture confines access to verification purposes and excludes any access that exceeds the safeguards function.</w:t>
      </w:r>
    </w:p>
    <w:p>
      <w:pPr>
        <w:pStyle w:val="Heading3"/>
      </w:pPr>
      <w:r>
        <w:t>K.2.1 — Access Authority</w:t>
      </w:r>
    </w:p>
    <w:p>
      <w:pPr>
        <w:spacing w:after="80"/>
        <w:ind w:left="360"/>
      </w:pPr>
      <w:r>
        <w:rPr>
          <w:b/>
        </w:rPr>
        <w:t xml:space="preserve">IAEA primacy — </w:t>
      </w:r>
      <w:r>
        <w:rPr>
          <w:b w:val="0"/>
        </w:rPr>
        <w:t>IAEA inspectors hold the access authority that the baseline and continuous-monitoring scope define. Iran provides the access the safeguards arrangement specifies.</w:t>
      </w:r>
    </w:p>
    <w:p>
      <w:pPr>
        <w:spacing w:after="80"/>
        <w:ind w:left="360"/>
      </w:pPr>
      <w:r>
        <w:rPr>
          <w:b/>
        </w:rPr>
        <w:t xml:space="preserve">National sovereignty — </w:t>
      </w:r>
      <w:r>
        <w:rPr>
          <w:b w:val="0"/>
        </w:rPr>
        <w:t>Iran retains physical control of every declared site. The access architecture excludes any foreign military or intelligence presence; only accredited IAEA personnel exercise verification access.</w:t>
      </w:r>
    </w:p>
    <w:p>
      <w:pPr>
        <w:spacing w:after="80"/>
        <w:ind w:left="360"/>
      </w:pPr>
      <w:r>
        <w:rPr>
          <w:b/>
        </w:rPr>
        <w:t xml:space="preserve">United States posture — </w:t>
      </w:r>
      <w:r>
        <w:rPr>
          <w:b w:val="0"/>
        </w:rPr>
        <w:t>United States personnel hold no routine access to any site inside Iran. The Omani custody facility operates under the per-visit consent architecture the core Compact defines.</w:t>
      </w:r>
    </w:p>
    <w:p>
      <w:pPr>
        <w:pStyle w:val="Heading3"/>
      </w:pPr>
      <w:r>
        <w:t>K.2.2 — Access Modalities at Declared Sites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Modality</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Trigger</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Notice Window</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Scope</w:t>
            </w:r>
          </w:p>
        </w:tc>
      </w:tr>
      <w:tr>
        <w:tc>
          <w:tcPr>
            <w:tcW w:type="dxa" w:w="2256"/>
            <w:tcBorders>
              <w:top w:val="single" w:sz="4" w:color="BBBBBB"/>
              <w:left w:val="single" w:sz="4" w:color="BBBBBB"/>
              <w:bottom w:val="single" w:sz="4" w:color="BBBBBB"/>
              <w:right w:val="single" w:sz="4" w:color="BBBBBB"/>
            </w:tcBorders>
          </w:tcPr>
          <w:p>
            <w:r/>
            <w:r>
              <w:rPr>
                <w:sz w:val="19"/>
              </w:rPr>
              <w:t>Continuous remote monitoring</w:t>
            </w:r>
          </w:p>
        </w:tc>
        <w:tc>
          <w:tcPr>
            <w:tcW w:type="dxa" w:w="2256"/>
            <w:tcBorders>
              <w:top w:val="single" w:sz="4" w:color="BBBBBB"/>
              <w:left w:val="single" w:sz="4" w:color="BBBBBB"/>
              <w:bottom w:val="single" w:sz="4" w:color="BBBBBB"/>
              <w:right w:val="single" w:sz="4" w:color="BBBBBB"/>
            </w:tcBorders>
          </w:tcPr>
          <w:p>
            <w:r/>
            <w:r>
              <w:rPr>
                <w:sz w:val="19"/>
              </w:rPr>
              <w:t>Always active</w:t>
            </w:r>
          </w:p>
        </w:tc>
        <w:tc>
          <w:tcPr>
            <w:tcW w:type="dxa" w:w="2256"/>
            <w:tcBorders>
              <w:top w:val="single" w:sz="4" w:color="BBBBBB"/>
              <w:left w:val="single" w:sz="4" w:color="BBBBBB"/>
              <w:bottom w:val="single" w:sz="4" w:color="BBBBBB"/>
              <w:right w:val="single" w:sz="4" w:color="BBBBBB"/>
            </w:tcBorders>
          </w:tcPr>
          <w:p>
            <w:r/>
            <w:r>
              <w:rPr>
                <w:sz w:val="19"/>
              </w:rPr>
              <w:t>None required</w:t>
            </w:r>
          </w:p>
        </w:tc>
        <w:tc>
          <w:tcPr>
            <w:tcW w:type="dxa" w:w="2256"/>
            <w:tcBorders>
              <w:top w:val="single" w:sz="4" w:color="BBBBBB"/>
              <w:left w:val="single" w:sz="4" w:color="BBBBBB"/>
              <w:bottom w:val="single" w:sz="4" w:color="BBBBBB"/>
              <w:right w:val="single" w:sz="4" w:color="BBBBBB"/>
            </w:tcBorders>
          </w:tcPr>
          <w:p>
            <w:r/>
            <w:r>
              <w:rPr>
                <w:sz w:val="19"/>
              </w:rPr>
              <w:t>Camera and online enrichment data stream</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Routine inspector access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Scheduled cadence</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Standard safeguards notice</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Seal integrity and inventory verification</w:t>
            </w:r>
          </w:p>
        </w:tc>
      </w:tr>
      <w:tr>
        <w:tc>
          <w:tcPr>
            <w:tcW w:type="dxa" w:w="2256"/>
            <w:tcBorders>
              <w:top w:val="single" w:sz="4" w:color="BBBBBB"/>
              <w:left w:val="single" w:sz="4" w:color="BBBBBB"/>
              <w:bottom w:val="single" w:sz="4" w:color="BBBBBB"/>
              <w:right w:val="single" w:sz="4" w:color="BBBBBB"/>
            </w:tcBorders>
          </w:tcPr>
          <w:p>
            <w:r/>
            <w:r>
              <w:rPr>
                <w:sz w:val="19"/>
              </w:rPr>
              <w:t>Anomaly-driven access</w:t>
            </w:r>
          </w:p>
        </w:tc>
        <w:tc>
          <w:tcPr>
            <w:tcW w:type="dxa" w:w="2256"/>
            <w:tcBorders>
              <w:top w:val="single" w:sz="4" w:color="BBBBBB"/>
              <w:left w:val="single" w:sz="4" w:color="BBBBBB"/>
              <w:bottom w:val="single" w:sz="4" w:color="BBBBBB"/>
              <w:right w:val="single" w:sz="4" w:color="BBBBBB"/>
            </w:tcBorders>
          </w:tcPr>
          <w:p>
            <w:r/>
            <w:r>
              <w:rPr>
                <w:sz w:val="19"/>
              </w:rPr>
              <w:t>Dashboard anomaly flag</w:t>
            </w:r>
          </w:p>
        </w:tc>
        <w:tc>
          <w:tcPr>
            <w:tcW w:type="dxa" w:w="2256"/>
            <w:tcBorders>
              <w:top w:val="single" w:sz="4" w:color="BBBBBB"/>
              <w:left w:val="single" w:sz="4" w:color="BBBBBB"/>
              <w:bottom w:val="single" w:sz="4" w:color="BBBBBB"/>
              <w:right w:val="single" w:sz="4" w:color="BBBBBB"/>
            </w:tcBorders>
          </w:tcPr>
          <w:p>
            <w:r/>
            <w:r>
              <w:rPr>
                <w:sz w:val="19"/>
              </w:rPr>
              <w:t>Expedited notice inside the charter window</w:t>
            </w:r>
          </w:p>
        </w:tc>
        <w:tc>
          <w:tcPr>
            <w:tcW w:type="dxa" w:w="2256"/>
            <w:tcBorders>
              <w:top w:val="single" w:sz="4" w:color="BBBBBB"/>
              <w:left w:val="single" w:sz="4" w:color="BBBBBB"/>
              <w:bottom w:val="single" w:sz="4" w:color="BBBBBB"/>
              <w:right w:val="single" w:sz="4" w:color="BBBBBB"/>
            </w:tcBorders>
          </w:tcPr>
          <w:p>
            <w:r/>
            <w:r>
              <w:rPr>
                <w:sz w:val="19"/>
              </w:rPr>
              <w:t>Targeted verification of the flagged item</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Joint observation</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Mutual agreement</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Pre-arranged</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Iranian observer access at the Omani custody facility</w:t>
            </w:r>
          </w:p>
        </w:tc>
      </w:tr>
    </w:tbl>
    <w:p>
      <w:pPr>
        <w:spacing w:after="40"/>
      </w:pPr>
    </w:p>
    <w:p>
      <w:pPr>
        <w:pStyle w:val="Heading3"/>
      </w:pPr>
      <w:r>
        <w:t>K.2.3 — Access Discipline</w:t>
      </w:r>
    </w:p>
    <w:p>
      <w:pPr>
        <w:spacing w:after="120"/>
      </w:pPr>
      <w:r>
        <w:rPr>
          <w:i w:val="0"/>
        </w:rPr>
        <w:t>The access architecture confines every visit to verification of declared material and seal integrity. The architecture excludes sampling, removal, or inspection beyond the safeguards mandate. A visit concludes with a dashboard entry that records seal status and inventory confirmation, and both Parties view the same entry.</w:t>
      </w:r>
    </w:p>
    <w:p>
      <w:pPr>
        <w:pStyle w:val="Heading2"/>
      </w:pPr>
      <w:r>
        <w:t>K.3 Telemetry and Monitoring Specification</w:t>
      </w:r>
    </w:p>
    <w:p>
      <w:pPr>
        <w:spacing w:after="120"/>
      </w:pPr>
      <w:r>
        <w:rPr>
          <w:i w:val="0"/>
        </w:rPr>
        <w:t>This section specifies the sensor architecture that supplies the verification record. The Telemetry-First principle governs: sensor readings, camera confirmation, and IAEA reports drive compliance determinations, and human judgment supplements rather than overrides the mechanical record.</w:t>
      </w:r>
    </w:p>
    <w:p>
      <w:pPr>
        <w:pStyle w:val="Heading3"/>
      </w:pPr>
      <w:r>
        <w:t>K.3.1 — Sensor Types</w:t>
      </w:r>
    </w:p>
    <w:p>
      <w:pPr>
        <w:spacing w:after="80"/>
        <w:ind w:left="360"/>
      </w:pPr>
      <w:r>
        <w:rPr>
          <w:b/>
        </w:rPr>
        <w:t xml:space="preserve">Online enrichment monitors — </w:t>
      </w:r>
      <w:r>
        <w:rPr>
          <w:b w:val="0"/>
        </w:rPr>
        <w:t>Continuous enrichment-level instruments at declared cascades stream level data to the IAEA record.</w:t>
      </w:r>
    </w:p>
    <w:p>
      <w:pPr>
        <w:spacing w:after="80"/>
        <w:ind w:left="360"/>
      </w:pPr>
      <w:r>
        <w:rPr>
          <w:b/>
        </w:rPr>
        <w:t xml:space="preserve">Surveillance cameras — </w:t>
      </w:r>
      <w:r>
        <w:rPr>
          <w:b w:val="0"/>
        </w:rPr>
        <w:t>Tamper-indicating camera systems cover material storage and seal locations, with continuous recording.</w:t>
      </w:r>
    </w:p>
    <w:p>
      <w:pPr>
        <w:spacing w:after="80"/>
        <w:ind w:left="360"/>
      </w:pPr>
      <w:r>
        <w:rPr>
          <w:b/>
        </w:rPr>
        <w:t xml:space="preserve">Electronic seals — </w:t>
      </w:r>
      <w:r>
        <w:rPr>
          <w:b w:val="0"/>
        </w:rPr>
        <w:t>Tamper-evident electronic seals report integrity status in real time and flag any disturbance.</w:t>
      </w:r>
    </w:p>
    <w:p>
      <w:pPr>
        <w:spacing w:after="80"/>
        <w:ind w:left="360"/>
      </w:pPr>
      <w:r>
        <w:rPr>
          <w:b/>
        </w:rPr>
        <w:t xml:space="preserve">Inventory instruments — </w:t>
      </w:r>
      <w:r>
        <w:rPr>
          <w:b w:val="0"/>
        </w:rPr>
        <w:t>Material-accountancy instruments confirm declared quantities at each reading.</w:t>
      </w:r>
    </w:p>
    <w:p>
      <w:pPr>
        <w:pStyle w:val="Heading3"/>
      </w:pPr>
      <w:r>
        <w:t>K.3.2 — Sensor Placement Map</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Location Class</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Sensor Set</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Reporting Mode</w:t>
            </w:r>
          </w:p>
        </w:tc>
      </w:tr>
      <w:tr>
        <w:tc>
          <w:tcPr>
            <w:tcW w:type="dxa" w:w="3009"/>
            <w:tcBorders>
              <w:top w:val="single" w:sz="4" w:color="BBBBBB"/>
              <w:left w:val="single" w:sz="4" w:color="BBBBBB"/>
              <w:bottom w:val="single" w:sz="4" w:color="BBBBBB"/>
              <w:right w:val="single" w:sz="4" w:color="BBBBBB"/>
            </w:tcBorders>
          </w:tcPr>
          <w:p>
            <w:r/>
            <w:r>
              <w:rPr>
                <w:sz w:val="19"/>
              </w:rPr>
              <w:t>Declared enrichment hall</w:t>
            </w:r>
          </w:p>
        </w:tc>
        <w:tc>
          <w:tcPr>
            <w:tcW w:type="dxa" w:w="3009"/>
            <w:tcBorders>
              <w:top w:val="single" w:sz="4" w:color="BBBBBB"/>
              <w:left w:val="single" w:sz="4" w:color="BBBBBB"/>
              <w:bottom w:val="single" w:sz="4" w:color="BBBBBB"/>
              <w:right w:val="single" w:sz="4" w:color="BBBBBB"/>
            </w:tcBorders>
          </w:tcPr>
          <w:p>
            <w:r/>
            <w:r>
              <w:rPr>
                <w:sz w:val="19"/>
              </w:rPr>
              <w:t>Online enrichment monitors + cameras</w:t>
            </w:r>
          </w:p>
        </w:tc>
        <w:tc>
          <w:tcPr>
            <w:tcW w:type="dxa" w:w="3009"/>
            <w:tcBorders>
              <w:top w:val="single" w:sz="4" w:color="BBBBBB"/>
              <w:left w:val="single" w:sz="4" w:color="BBBBBB"/>
              <w:bottom w:val="single" w:sz="4" w:color="BBBBBB"/>
              <w:right w:val="single" w:sz="4" w:color="BBBBBB"/>
            </w:tcBorders>
          </w:tcPr>
          <w:p>
            <w:r/>
            <w:r>
              <w:rPr>
                <w:sz w:val="19"/>
              </w:rPr>
              <w:t>Continuous stream</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Sealed storage</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Electronic seals + cameras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Real-time integrity flag</w:t>
            </w:r>
          </w:p>
        </w:tc>
      </w:tr>
      <w:tr>
        <w:tc>
          <w:tcPr>
            <w:tcW w:type="dxa" w:w="3009"/>
            <w:tcBorders>
              <w:top w:val="single" w:sz="4" w:color="BBBBBB"/>
              <w:left w:val="single" w:sz="4" w:color="BBBBBB"/>
              <w:bottom w:val="single" w:sz="4" w:color="BBBBBB"/>
              <w:right w:val="single" w:sz="4" w:color="BBBBBB"/>
            </w:tcBorders>
          </w:tcPr>
          <w:p>
            <w:r/>
            <w:r>
              <w:rPr>
                <w:sz w:val="19"/>
              </w:rPr>
              <w:t>Omani custody facility</w:t>
            </w:r>
          </w:p>
        </w:tc>
        <w:tc>
          <w:tcPr>
            <w:tcW w:type="dxa" w:w="3009"/>
            <w:tcBorders>
              <w:top w:val="single" w:sz="4" w:color="BBBBBB"/>
              <w:left w:val="single" w:sz="4" w:color="BBBBBB"/>
              <w:bottom w:val="single" w:sz="4" w:color="BBBBBB"/>
              <w:right w:val="single" w:sz="4" w:color="BBBBBB"/>
            </w:tcBorders>
          </w:tcPr>
          <w:p>
            <w:r/>
            <w:r>
              <w:rPr>
                <w:sz w:val="19"/>
              </w:rPr>
              <w:t>Cameras + seals + Iranian observer log</w:t>
            </w:r>
          </w:p>
        </w:tc>
        <w:tc>
          <w:tcPr>
            <w:tcW w:type="dxa" w:w="3009"/>
            <w:tcBorders>
              <w:top w:val="single" w:sz="4" w:color="BBBBBB"/>
              <w:left w:val="single" w:sz="4" w:color="BBBBBB"/>
              <w:bottom w:val="single" w:sz="4" w:color="BBBBBB"/>
              <w:right w:val="single" w:sz="4" w:color="BBBBBB"/>
            </w:tcBorders>
          </w:tcPr>
          <w:p>
            <w:r/>
            <w:r>
              <w:rPr>
                <w:sz w:val="19"/>
              </w:rPr>
              <w:t>Continuous + observer confirmation</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Conversion/fabrication point</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Inventory instruments + cameras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Reading-cadence stream</w:t>
            </w:r>
          </w:p>
        </w:tc>
      </w:tr>
    </w:tbl>
    <w:p>
      <w:pPr>
        <w:spacing w:after="40"/>
      </w:pPr>
    </w:p>
    <w:p>
      <w:pPr>
        <w:pStyle w:val="Heading3"/>
      </w:pPr>
      <w:r>
        <w:t>K.3.3 — Data Retention and Integrity</w:t>
      </w:r>
    </w:p>
    <w:p>
      <w:pPr>
        <w:spacing w:after="80"/>
        <w:ind w:left="360"/>
      </w:pPr>
      <w:r>
        <w:rPr>
          <w:b/>
        </w:rPr>
        <w:t xml:space="preserve">Retention — </w:t>
      </w:r>
      <w:r>
        <w:rPr>
          <w:b w:val="0"/>
        </w:rPr>
        <w:t>The verification system retains telemetry for the full duration of the implementation window and the follow-on negotiation period, and the Swiss technical guarantor protects the archive.</w:t>
      </w:r>
    </w:p>
    <w:p>
      <w:pPr>
        <w:spacing w:after="80"/>
        <w:ind w:left="360"/>
      </w:pPr>
      <w:r>
        <w:rPr>
          <w:b/>
        </w:rPr>
        <w:t xml:space="preserve">Encryption — </w:t>
      </w:r>
      <w:r>
        <w:rPr>
          <w:b w:val="0"/>
        </w:rPr>
        <w:t>End-to-end encryption protects every data stream between sensor and dashboard, and the architecture excludes any unilateral alteration of the record.</w:t>
      </w:r>
    </w:p>
    <w:p>
      <w:pPr>
        <w:spacing w:after="80"/>
        <w:ind w:left="360"/>
      </w:pPr>
      <w:r>
        <w:rPr>
          <w:b/>
        </w:rPr>
        <w:t xml:space="preserve">Equal access — </w:t>
      </w:r>
      <w:r>
        <w:rPr>
          <w:b w:val="0"/>
        </w:rPr>
        <w:t>Both Parties hold equal access to the verification dashboard. Neither Party holds a private data channel that the other lacks.</w:t>
      </w:r>
    </w:p>
    <w:p>
      <w:pPr>
        <w:spacing w:after="80"/>
        <w:ind w:left="360"/>
      </w:pPr>
      <w:r>
        <w:rPr>
          <w:b/>
        </w:rPr>
        <w:t xml:space="preserve">Chain of integrity — </w:t>
      </w:r>
      <w:r>
        <w:rPr>
          <w:b w:val="0"/>
        </w:rPr>
        <w:t>A break in any stream registers as an anomaly flag, and the flag enters the Human-in-the-Loop Review rather than producing an automatic breach determination.</w:t>
      </w:r>
    </w:p>
    <w:p>
      <w:pPr>
        <w:pStyle w:val="Heading2"/>
      </w:pPr>
      <w:r>
        <w:t>K.4 Fuel Swap Technical Specification</w:t>
      </w:r>
    </w:p>
    <w:p>
      <w:pPr>
        <w:spacing w:after="120"/>
      </w:pPr>
      <w:r>
        <w:rPr>
          <w:i w:val="0"/>
        </w:rPr>
        <w:t>This section specifies the confidence-building fuel swap of Section 2.5. It states the isotopic reporting, the custody chain, and the transport architecture. The swap demonstrates reciprocal motion: Iran reduces its near-threshold inventory by a defined amount and receives civilian reactor fuel in the same window.</w:t>
      </w:r>
    </w:p>
    <w:p>
      <w:pPr>
        <w:pStyle w:val="Heading3"/>
      </w:pPr>
      <w:r>
        <w:t>K.4.1 — Material Specification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val="clear" w:color="auto" w:fill="1F496E"/>
            <w:tcBorders>
              <w:top w:val="single" w:sz="4" w:color="BBBBBB"/>
              <w:left w:val="single" w:sz="4" w:color="BBBBBB"/>
              <w:bottom w:val="single" w:sz="4" w:color="BBBBBB"/>
              <w:right w:val="single" w:sz="4" w:color="BBBBBB"/>
            </w:tcBorders>
          </w:tcPr>
          <w:p>
            <w:r/>
            <w:r>
              <w:rPr>
                <w:b/>
                <w:color w:val="FFFFFF"/>
                <w:sz w:val="19"/>
              </w:rPr>
              <w:t>Direction</w:t>
            </w:r>
          </w:p>
        </w:tc>
        <w:tc>
          <w:tcPr>
            <w:tcW w:type="dxa" w:w="1805"/>
            <w:shd w:val="clear" w:color="auto" w:fill="1F496E"/>
            <w:tcBorders>
              <w:top w:val="single" w:sz="4" w:color="BBBBBB"/>
              <w:left w:val="single" w:sz="4" w:color="BBBBBB"/>
              <w:bottom w:val="single" w:sz="4" w:color="BBBBBB"/>
              <w:right w:val="single" w:sz="4" w:color="BBBBBB"/>
            </w:tcBorders>
          </w:tcPr>
          <w:p>
            <w:r/>
            <w:r>
              <w:rPr>
                <w:b/>
                <w:color w:val="FFFFFF"/>
                <w:sz w:val="19"/>
              </w:rPr>
              <w:t>Material</w:t>
            </w:r>
          </w:p>
        </w:tc>
        <w:tc>
          <w:tcPr>
            <w:tcW w:type="dxa" w:w="1805"/>
            <w:shd w:val="clear" w:color="auto" w:fill="1F496E"/>
            <w:tcBorders>
              <w:top w:val="single" w:sz="4" w:color="BBBBBB"/>
              <w:left w:val="single" w:sz="4" w:color="BBBBBB"/>
              <w:bottom w:val="single" w:sz="4" w:color="BBBBBB"/>
              <w:right w:val="single" w:sz="4" w:color="BBBBBB"/>
            </w:tcBorders>
          </w:tcPr>
          <w:p>
            <w:r/>
            <w:r>
              <w:rPr>
                <w:b/>
                <w:color w:val="FFFFFF"/>
                <w:sz w:val="19"/>
              </w:rPr>
              <w:t>Isotopic Basis</w:t>
            </w:r>
          </w:p>
        </w:tc>
        <w:tc>
          <w:tcPr>
            <w:tcW w:type="dxa" w:w="1805"/>
            <w:shd w:val="clear" w:color="auto" w:fill="1F496E"/>
            <w:tcBorders>
              <w:top w:val="single" w:sz="4" w:color="BBBBBB"/>
              <w:left w:val="single" w:sz="4" w:color="BBBBBB"/>
              <w:bottom w:val="single" w:sz="4" w:color="BBBBBB"/>
              <w:right w:val="single" w:sz="4" w:color="BBBBBB"/>
            </w:tcBorders>
          </w:tcPr>
          <w:p>
            <w:r/>
            <w:r>
              <w:rPr>
                <w:b/>
                <w:color w:val="FFFFFF"/>
                <w:sz w:val="19"/>
              </w:rPr>
              <w:t>Quantity</w:t>
            </w:r>
          </w:p>
        </w:tc>
        <w:tc>
          <w:tcPr>
            <w:tcW w:type="dxa" w:w="1805"/>
            <w:shd w:val="clear" w:color="auto" w:fill="1F496E"/>
            <w:tcBorders>
              <w:top w:val="single" w:sz="4" w:color="BBBBBB"/>
              <w:left w:val="single" w:sz="4" w:color="BBBBBB"/>
              <w:bottom w:val="single" w:sz="4" w:color="BBBBBB"/>
              <w:right w:val="single" w:sz="4" w:color="BBBBBB"/>
            </w:tcBorders>
          </w:tcPr>
          <w:p>
            <w:r/>
            <w:r>
              <w:rPr>
                <w:b/>
                <w:color w:val="FFFFFF"/>
                <w:sz w:val="19"/>
              </w:rPr>
              <w:t>End Use</w:t>
            </w:r>
          </w:p>
        </w:tc>
      </w:tr>
      <w:tr>
        <w:tc>
          <w:tcPr>
            <w:tcW w:type="dxa" w:w="1805"/>
            <w:tcBorders>
              <w:top w:val="single" w:sz="4" w:color="BBBBBB"/>
              <w:left w:val="single" w:sz="4" w:color="BBBBBB"/>
              <w:bottom w:val="single" w:sz="4" w:color="BBBBBB"/>
              <w:right w:val="single" w:sz="4" w:color="BBBBBB"/>
            </w:tcBorders>
          </w:tcPr>
          <w:p>
            <w:r/>
            <w:r>
              <w:rPr>
                <w:sz w:val="19"/>
              </w:rPr>
              <w:t>Iran to Omani custody</w:t>
            </w:r>
          </w:p>
        </w:tc>
        <w:tc>
          <w:tcPr>
            <w:tcW w:type="dxa" w:w="1805"/>
            <w:tcBorders>
              <w:top w:val="single" w:sz="4" w:color="BBBBBB"/>
              <w:left w:val="single" w:sz="4" w:color="BBBBBB"/>
              <w:bottom w:val="single" w:sz="4" w:color="BBBBBB"/>
              <w:right w:val="single" w:sz="4" w:color="BBBBBB"/>
            </w:tcBorders>
          </w:tcPr>
          <w:p>
            <w:r/>
            <w:r>
              <w:rPr>
                <w:sz w:val="19"/>
              </w:rPr>
              <w:t>Enriched uranium</w:t>
            </w:r>
          </w:p>
        </w:tc>
        <w:tc>
          <w:tcPr>
            <w:tcW w:type="dxa" w:w="1805"/>
            <w:tcBorders>
              <w:top w:val="single" w:sz="4" w:color="BBBBBB"/>
              <w:left w:val="single" w:sz="4" w:color="BBBBBB"/>
              <w:bottom w:val="single" w:sz="4" w:color="BBBBBB"/>
              <w:right w:val="single" w:sz="4" w:color="BBBBBB"/>
            </w:tcBorders>
          </w:tcPr>
          <w:p>
            <w:r/>
            <w:r>
              <w:rPr>
                <w:sz w:val="19"/>
              </w:rPr>
              <w:t>60 percent U-235</w:t>
            </w:r>
          </w:p>
        </w:tc>
        <w:tc>
          <w:tcPr>
            <w:tcW w:type="dxa" w:w="1805"/>
            <w:tcBorders>
              <w:top w:val="single" w:sz="4" w:color="BBBBBB"/>
              <w:left w:val="single" w:sz="4" w:color="BBBBBB"/>
              <w:bottom w:val="single" w:sz="4" w:color="BBBBBB"/>
              <w:right w:val="single" w:sz="4" w:color="BBBBBB"/>
            </w:tcBorders>
          </w:tcPr>
          <w:p>
            <w:r/>
            <w:r>
              <w:rPr>
                <w:sz w:val="19"/>
              </w:rPr>
              <w:t>50 kg</w:t>
            </w:r>
          </w:p>
        </w:tc>
        <w:tc>
          <w:tcPr>
            <w:tcW w:type="dxa" w:w="1805"/>
            <w:tcBorders>
              <w:top w:val="single" w:sz="4" w:color="BBBBBB"/>
              <w:left w:val="single" w:sz="4" w:color="BBBBBB"/>
              <w:bottom w:val="single" w:sz="4" w:color="BBBBBB"/>
              <w:right w:val="single" w:sz="4" w:color="BBBBBB"/>
            </w:tcBorders>
          </w:tcPr>
          <w:p>
            <w:r/>
            <w:r>
              <w:rPr>
                <w:sz w:val="19"/>
              </w:rPr>
              <w:t>IAEA custody pending Phase Three disposition</w:t>
            </w:r>
          </w:p>
        </w:tc>
      </w:tr>
      <w:tr>
        <w:tc>
          <w:tcPr>
            <w:tcW w:type="dxa" w:w="1805"/>
            <w:tcBorders>
              <w:top w:val="single" w:sz="4" w:color="BBBBBB"/>
              <w:left w:val="single" w:sz="4" w:color="BBBBBB"/>
              <w:bottom w:val="single" w:sz="4" w:color="BBBBBB"/>
              <w:right w:val="single" w:sz="4" w:color="BBBBBB"/>
            </w:tcBorders>
            <w:shd w:val="clear" w:color="auto" w:fill="EEF2F7"/>
          </w:tcPr>
          <w:p>
            <w:r/>
            <w:r>
              <w:rPr>
                <w:sz w:val="19"/>
              </w:rPr>
              <w:t>United States to Iran</w:t>
            </w:r>
          </w:p>
        </w:tc>
        <w:tc>
          <w:tcPr>
            <w:tcW w:type="dxa" w:w="1805"/>
            <w:tcBorders>
              <w:top w:val="single" w:sz="4" w:color="BBBBBB"/>
              <w:left w:val="single" w:sz="4" w:color="BBBBBB"/>
              <w:bottom w:val="single" w:sz="4" w:color="BBBBBB"/>
              <w:right w:val="single" w:sz="4" w:color="BBBBBB"/>
            </w:tcBorders>
            <w:shd w:val="clear" w:color="auto" w:fill="EEF2F7"/>
          </w:tcPr>
          <w:p>
            <w:r/>
            <w:r>
              <w:rPr>
                <w:sz w:val="19"/>
              </w:rPr>
              <w:t>Reactor fuel rods</w:t>
            </w:r>
          </w:p>
        </w:tc>
        <w:tc>
          <w:tcPr>
            <w:tcW w:type="dxa" w:w="1805"/>
            <w:tcBorders>
              <w:top w:val="single" w:sz="4" w:color="BBBBBB"/>
              <w:left w:val="single" w:sz="4" w:color="BBBBBB"/>
              <w:bottom w:val="single" w:sz="4" w:color="BBBBBB"/>
              <w:right w:val="single" w:sz="4" w:color="BBBBBB"/>
            </w:tcBorders>
            <w:shd w:val="clear" w:color="auto" w:fill="EEF2F7"/>
          </w:tcPr>
          <w:p>
            <w:r/>
            <w:r>
              <w:rPr>
                <w:sz w:val="19"/>
              </w:rPr>
              <w:t>19.75 percent U-235</w:t>
            </w:r>
          </w:p>
        </w:tc>
        <w:tc>
          <w:tcPr>
            <w:tcW w:type="dxa" w:w="1805"/>
            <w:tcBorders>
              <w:top w:val="single" w:sz="4" w:color="BBBBBB"/>
              <w:left w:val="single" w:sz="4" w:color="BBBBBB"/>
              <w:bottom w:val="single" w:sz="4" w:color="BBBBBB"/>
              <w:right w:val="single" w:sz="4" w:color="BBBBBB"/>
            </w:tcBorders>
            <w:shd w:val="clear" w:color="auto" w:fill="EEF2F7"/>
          </w:tcPr>
          <w:p>
            <w:r/>
            <w:r>
              <w:rPr>
                <w:sz w:val="19"/>
              </w:rPr>
              <w:t>200 kg</w:t>
            </w:r>
          </w:p>
        </w:tc>
        <w:tc>
          <w:tcPr>
            <w:tcW w:type="dxa" w:w="1805"/>
            <w:tcBorders>
              <w:top w:val="single" w:sz="4" w:color="BBBBBB"/>
              <w:left w:val="single" w:sz="4" w:color="BBBBBB"/>
              <w:bottom w:val="single" w:sz="4" w:color="BBBBBB"/>
              <w:right w:val="single" w:sz="4" w:color="BBBBBB"/>
            </w:tcBorders>
            <w:shd w:val="clear" w:color="auto" w:fill="EEF2F7"/>
          </w:tcPr>
          <w:p>
            <w:r/>
            <w:r>
              <w:rPr>
                <w:sz w:val="19"/>
              </w:rPr>
              <w:t>Tehran Research Reactor civilian operation</w:t>
            </w:r>
          </w:p>
        </w:tc>
      </w:tr>
    </w:tbl>
    <w:p>
      <w:pPr>
        <w:spacing w:after="40"/>
      </w:pPr>
    </w:p>
    <w:p>
      <w:pPr>
        <w:spacing w:after="120"/>
      </w:pPr>
      <w:r>
        <w:rPr>
          <w:i w:val="0"/>
        </w:rPr>
        <w:t>The IAEA records the isotopic composition of each consignment at origin and confirms it at destination. The recorded composition at both ends matches, and the match enters the dashboard as a completed-swap confirmation.</w:t>
      </w:r>
    </w:p>
    <w:p>
      <w:pPr>
        <w:pStyle w:val="Heading3"/>
      </w:pPr>
      <w:r>
        <w:t>K.4.2 — Custody Chain</w:t>
      </w:r>
    </w:p>
    <w:p>
      <w:pPr>
        <w:spacing w:after="120"/>
      </w:pPr>
      <w:r>
        <w:rPr>
          <w:i w:val="0"/>
        </w:rPr>
        <w:t>Custody moves through a documented chain in which each transfer point logs the material and the IAEA confirms the log. The chain excludes any gap in which custody rests with neither a recorded party nor the IAEA.</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Stage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Custodian</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Confirmation</w:t>
            </w:r>
          </w:p>
        </w:tc>
      </w:tr>
      <w:tr>
        <w:tc>
          <w:tcPr>
            <w:tcW w:type="dxa" w:w="3009"/>
            <w:tcBorders>
              <w:top w:val="single" w:sz="4" w:color="BBBBBB"/>
              <w:left w:val="single" w:sz="4" w:color="BBBBBB"/>
              <w:bottom w:val="single" w:sz="4" w:color="BBBBBB"/>
              <w:right w:val="single" w:sz="4" w:color="BBBBBB"/>
            </w:tcBorders>
          </w:tcPr>
          <w:p>
            <w:r/>
            <w:r>
              <w:rPr>
                <w:sz w:val="19"/>
              </w:rPr>
              <w:t>Origin (Iran)</w:t>
            </w:r>
          </w:p>
        </w:tc>
        <w:tc>
          <w:tcPr>
            <w:tcW w:type="dxa" w:w="3009"/>
            <w:tcBorders>
              <w:top w:val="single" w:sz="4" w:color="BBBBBB"/>
              <w:left w:val="single" w:sz="4" w:color="BBBBBB"/>
              <w:bottom w:val="single" w:sz="4" w:color="BBBBBB"/>
              <w:right w:val="single" w:sz="4" w:color="BBBBBB"/>
            </w:tcBorders>
          </w:tcPr>
          <w:p>
            <w:r/>
            <w:r>
              <w:rPr>
                <w:sz w:val="19"/>
              </w:rPr>
              <w:t>Iranian authority under IAEA observation</w:t>
            </w:r>
          </w:p>
        </w:tc>
        <w:tc>
          <w:tcPr>
            <w:tcW w:type="dxa" w:w="3009"/>
            <w:tcBorders>
              <w:top w:val="single" w:sz="4" w:color="BBBBBB"/>
              <w:left w:val="single" w:sz="4" w:color="BBBBBB"/>
              <w:bottom w:val="single" w:sz="4" w:color="BBBBBB"/>
              <w:right w:val="single" w:sz="4" w:color="BBBBBB"/>
            </w:tcBorders>
          </w:tcPr>
          <w:p>
            <w:r/>
            <w:r>
              <w:rPr>
                <w:sz w:val="19"/>
              </w:rPr>
              <w:t>IAEA seals and isotopic reading at departure</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Transit</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Designated secure carrier under IAEA oversight</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Continuous seal-integrity reporting</w:t>
            </w:r>
          </w:p>
        </w:tc>
      </w:tr>
      <w:tr>
        <w:tc>
          <w:tcPr>
            <w:tcW w:type="dxa" w:w="3009"/>
            <w:tcBorders>
              <w:top w:val="single" w:sz="4" w:color="BBBBBB"/>
              <w:left w:val="single" w:sz="4" w:color="BBBBBB"/>
              <w:bottom w:val="single" w:sz="4" w:color="BBBBBB"/>
              <w:right w:val="single" w:sz="4" w:color="BBBBBB"/>
            </w:tcBorders>
          </w:tcPr>
          <w:p>
            <w:r/>
            <w:r>
              <w:rPr>
                <w:sz w:val="19"/>
              </w:rPr>
              <w:t>Destination (Oman)</w:t>
            </w:r>
          </w:p>
        </w:tc>
        <w:tc>
          <w:tcPr>
            <w:tcW w:type="dxa" w:w="3009"/>
            <w:tcBorders>
              <w:top w:val="single" w:sz="4" w:color="BBBBBB"/>
              <w:left w:val="single" w:sz="4" w:color="BBBBBB"/>
              <w:bottom w:val="single" w:sz="4" w:color="BBBBBB"/>
              <w:right w:val="single" w:sz="4" w:color="BBBBBB"/>
            </w:tcBorders>
          </w:tcPr>
          <w:p>
            <w:r/>
            <w:r>
              <w:rPr>
                <w:sz w:val="19"/>
              </w:rPr>
              <w:t>IAEA custody with Iranian observer access</w:t>
            </w:r>
          </w:p>
        </w:tc>
        <w:tc>
          <w:tcPr>
            <w:tcW w:type="dxa" w:w="3009"/>
            <w:tcBorders>
              <w:top w:val="single" w:sz="4" w:color="BBBBBB"/>
              <w:left w:val="single" w:sz="4" w:color="BBBBBB"/>
              <w:bottom w:val="single" w:sz="4" w:color="BBBBBB"/>
              <w:right w:val="single" w:sz="4" w:color="BBBBBB"/>
            </w:tcBorders>
          </w:tcPr>
          <w:p>
            <w:r/>
            <w:r>
              <w:rPr>
                <w:sz w:val="19"/>
              </w:rPr>
              <w:t>Arrival reading matches departure reading</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Reciprocal inbound</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IAEA-monitored delivery to Iran</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Fuel-rod composition confirmed on receipt</w:t>
            </w:r>
          </w:p>
        </w:tc>
      </w:tr>
    </w:tbl>
    <w:p>
      <w:pPr>
        <w:spacing w:after="40"/>
      </w:pPr>
    </w:p>
    <w:p>
      <w:pPr>
        <w:pStyle w:val="Heading3"/>
      </w:pPr>
      <w:r>
        <w:t>K.4.3 — Transport Architecture</w:t>
      </w:r>
    </w:p>
    <w:p>
      <w:pPr>
        <w:spacing w:after="80"/>
        <w:ind w:left="360"/>
      </w:pPr>
      <w:r>
        <w:rPr>
          <w:b/>
        </w:rPr>
        <w:t xml:space="preserve">Routing — </w:t>
      </w:r>
      <w:r>
        <w:rPr>
          <w:b w:val="0"/>
        </w:rPr>
        <w:t>The designated carrier moves the consignment along a pre-agreed route under continuous seal monitoring, and the Neutral Guarantor confirms each waypoint.</w:t>
      </w:r>
    </w:p>
    <w:p>
      <w:pPr>
        <w:spacing w:after="80"/>
        <w:ind w:left="360"/>
      </w:pPr>
      <w:r>
        <w:rPr>
          <w:b/>
        </w:rPr>
        <w:t xml:space="preserve">Security — </w:t>
      </w:r>
      <w:r>
        <w:rPr>
          <w:b w:val="0"/>
        </w:rPr>
        <w:t>The transport architecture provides physical protection at the carrier and perimeter level, and the architecture excludes any access to the consignment outside the recorded custody chain.</w:t>
      </w:r>
    </w:p>
    <w:p>
      <w:pPr>
        <w:spacing w:after="80"/>
        <w:ind w:left="360"/>
      </w:pPr>
      <w:r>
        <w:rPr>
          <w:b/>
        </w:rPr>
        <w:t xml:space="preserve">Synchronization — </w:t>
      </w:r>
      <w:r>
        <w:rPr>
          <w:b w:val="0"/>
        </w:rPr>
        <w:t>The inbound fuel-rod delivery and the outbound 60 percent transfer confirm inside the same window, so that the swap executes as a single reciprocity unit rather than as two sequential acts.</w:t>
      </w:r>
    </w:p>
    <w:p>
      <w:pPr>
        <w:spacing w:after="80"/>
        <w:ind w:left="360"/>
      </w:pPr>
      <w:r>
        <w:rPr>
          <w:b/>
        </w:rPr>
        <w:t xml:space="preserve">Disposition link — </w:t>
      </w:r>
      <w:r>
        <w:rPr>
          <w:b w:val="0"/>
        </w:rPr>
        <w:t>The 50 kg in Omani custody remains under IAEA control pending the Phase Three disposition the Parties select by mutual agreement; the transport architecture pre-decides no disposition outcome.</w:t>
      </w:r>
    </w:p>
    <w:p>
      <w:r>
        <w:br w:type="page"/>
      </w:r>
    </w:p>
    <w:p>
      <w:pPr>
        <w:pStyle w:val="Heading1"/>
      </w:pPr>
      <w:r>
        <w:t>Annex L: Sanctions and Financial Architecture</w:t>
      </w:r>
    </w:p>
    <w:p>
      <w:pPr>
        <w:spacing w:after="120"/>
      </w:pPr>
      <w:r>
        <w:rPr>
          <w:i w:val="0"/>
        </w:rPr>
        <w:t>This annex builds the financial machinery that Article III and Annex C operate upon. It states the sanctions inventory framework, the relief sequencing map across Day 1, Day 14, and Day 45, the banking compliance architecture, and the frozen-asset accounting. Every relief action tracks a verified compliance step, and the reversible design keeps each tranche inside the Step-Back and Earn-Back architecture.</w:t>
      </w:r>
    </w:p>
    <w:p>
      <w:pPr>
        <w:pStyle w:val="Heading2"/>
      </w:pPr>
      <w:r>
        <w:t>L.1 Sanctions Inventory Framework</w:t>
      </w:r>
    </w:p>
    <w:p>
      <w:pPr>
        <w:spacing w:after="120"/>
      </w:pPr>
      <w:r>
        <w:rPr>
          <w:i w:val="0"/>
        </w:rPr>
        <w:t>The inventory framework categorizes the relevant measures by authority class and by the waiver or revocation mechanism that activates relief. The framework states categories rather than an exhaustive enumeration, so that each relief action maps to the mechanism that executes it.</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Authority Class</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Measure Type</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Relief Mechanism</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Reversibility</w:t>
            </w:r>
          </w:p>
        </w:tc>
      </w:tr>
      <w:tr>
        <w:tc>
          <w:tcPr>
            <w:tcW w:type="dxa" w:w="2256"/>
            <w:tcBorders>
              <w:top w:val="single" w:sz="4" w:color="BBBBBB"/>
              <w:left w:val="single" w:sz="4" w:color="BBBBBB"/>
              <w:bottom w:val="single" w:sz="4" w:color="BBBBBB"/>
              <w:right w:val="single" w:sz="4" w:color="BBBBBB"/>
            </w:tcBorders>
          </w:tcPr>
          <w:p>
            <w:r/>
            <w:r>
              <w:rPr>
                <w:sz w:val="19"/>
              </w:rPr>
              <w:t>Executive sanctions authority</w:t>
            </w:r>
          </w:p>
        </w:tc>
        <w:tc>
          <w:tcPr>
            <w:tcW w:type="dxa" w:w="2256"/>
            <w:tcBorders>
              <w:top w:val="single" w:sz="4" w:color="BBBBBB"/>
              <w:left w:val="single" w:sz="4" w:color="BBBBBB"/>
              <w:bottom w:val="single" w:sz="4" w:color="BBBBBB"/>
              <w:right w:val="single" w:sz="4" w:color="BBBBBB"/>
            </w:tcBorders>
          </w:tcPr>
          <w:p>
            <w:r/>
            <w:r>
              <w:rPr>
                <w:sz w:val="19"/>
              </w:rPr>
              <w:t>Designations and asset blocks</w:t>
            </w:r>
          </w:p>
        </w:tc>
        <w:tc>
          <w:tcPr>
            <w:tcW w:type="dxa" w:w="2256"/>
            <w:tcBorders>
              <w:top w:val="single" w:sz="4" w:color="BBBBBB"/>
              <w:left w:val="single" w:sz="4" w:color="BBBBBB"/>
              <w:bottom w:val="single" w:sz="4" w:color="BBBBBB"/>
              <w:right w:val="single" w:sz="4" w:color="BBBBBB"/>
            </w:tcBorders>
          </w:tcPr>
          <w:p>
            <w:r/>
            <w:r>
              <w:rPr>
                <w:sz w:val="19"/>
              </w:rPr>
              <w:t>Executive waiver or de-listing action</w:t>
            </w:r>
          </w:p>
        </w:tc>
        <w:tc>
          <w:tcPr>
            <w:tcW w:type="dxa" w:w="2256"/>
            <w:tcBorders>
              <w:top w:val="single" w:sz="4" w:color="BBBBBB"/>
              <w:left w:val="single" w:sz="4" w:color="BBBBBB"/>
              <w:bottom w:val="single" w:sz="4" w:color="BBBBBB"/>
              <w:right w:val="single" w:sz="4" w:color="BBBBBB"/>
            </w:tcBorders>
          </w:tcPr>
          <w:p>
            <w:r/>
            <w:r>
              <w:rPr>
                <w:sz w:val="19"/>
              </w:rPr>
              <w:t>Reversible by re-designation</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Banking and financial measures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Correspondent and messaging restrictions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Licensing and waiver action</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Reversible by license withdrawal</w:t>
            </w:r>
          </w:p>
        </w:tc>
      </w:tr>
      <w:tr>
        <w:tc>
          <w:tcPr>
            <w:tcW w:type="dxa" w:w="2256"/>
            <w:tcBorders>
              <w:top w:val="single" w:sz="4" w:color="BBBBBB"/>
              <w:left w:val="single" w:sz="4" w:color="BBBBBB"/>
              <w:bottom w:val="single" w:sz="4" w:color="BBBBBB"/>
              <w:right w:val="single" w:sz="4" w:color="BBBBBB"/>
            </w:tcBorders>
          </w:tcPr>
          <w:p>
            <w:r/>
            <w:r>
              <w:rPr>
                <w:sz w:val="19"/>
              </w:rPr>
              <w:t>Sectoral measures</w:t>
            </w:r>
          </w:p>
        </w:tc>
        <w:tc>
          <w:tcPr>
            <w:tcW w:type="dxa" w:w="2256"/>
            <w:tcBorders>
              <w:top w:val="single" w:sz="4" w:color="BBBBBB"/>
              <w:left w:val="single" w:sz="4" w:color="BBBBBB"/>
              <w:bottom w:val="single" w:sz="4" w:color="BBBBBB"/>
              <w:right w:val="single" w:sz="4" w:color="BBBBBB"/>
            </w:tcBorders>
          </w:tcPr>
          <w:p>
            <w:r/>
            <w:r>
              <w:rPr>
                <w:sz w:val="19"/>
              </w:rPr>
              <w:t>Energy and shipping restrictions</w:t>
            </w:r>
          </w:p>
        </w:tc>
        <w:tc>
          <w:tcPr>
            <w:tcW w:type="dxa" w:w="2256"/>
            <w:tcBorders>
              <w:top w:val="single" w:sz="4" w:color="BBBBBB"/>
              <w:left w:val="single" w:sz="4" w:color="BBBBBB"/>
              <w:bottom w:val="single" w:sz="4" w:color="BBBBBB"/>
              <w:right w:val="single" w:sz="4" w:color="BBBBBB"/>
            </w:tcBorders>
          </w:tcPr>
          <w:p>
            <w:r/>
            <w:r>
              <w:rPr>
                <w:sz w:val="19"/>
              </w:rPr>
              <w:t>General-license activation</w:t>
            </w:r>
          </w:p>
        </w:tc>
        <w:tc>
          <w:tcPr>
            <w:tcW w:type="dxa" w:w="2256"/>
            <w:tcBorders>
              <w:top w:val="single" w:sz="4" w:color="BBBBBB"/>
              <w:left w:val="single" w:sz="4" w:color="BBBBBB"/>
              <w:bottom w:val="single" w:sz="4" w:color="BBBBBB"/>
              <w:right w:val="single" w:sz="4" w:color="BBBBBB"/>
            </w:tcBorders>
          </w:tcPr>
          <w:p>
            <w:r/>
            <w:r>
              <w:rPr>
                <w:sz w:val="19"/>
              </w:rPr>
              <w:t>Reversible by license expiry</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Asset-specific freezes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Blocked national funds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Escrow release under defined conditions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Conditioned on verified compliance</w:t>
            </w:r>
          </w:p>
        </w:tc>
      </w:tr>
    </w:tbl>
    <w:p>
      <w:pPr>
        <w:spacing w:after="40"/>
      </w:pPr>
    </w:p>
    <w:p>
      <w:pPr>
        <w:spacing w:after="120"/>
      </w:pPr>
      <w:r>
        <w:rPr>
          <w:i w:val="0"/>
        </w:rPr>
        <w:t>Each category carries its own waiver mechanism, and the relief sequence activates categories in the order the next section defines. The reversibility column anchors the Earn-Back logic: a relief action that a non-compliance event suspends re-activates upon verified correction.</w:t>
      </w:r>
    </w:p>
    <w:p>
      <w:pPr>
        <w:pStyle w:val="Heading2"/>
      </w:pPr>
      <w:r>
        <w:t>L.2 Relief Sequencing Map</w:t>
      </w:r>
    </w:p>
    <w:p>
      <w:pPr>
        <w:spacing w:after="120"/>
      </w:pPr>
      <w:r>
        <w:rPr>
          <w:i w:val="0"/>
        </w:rPr>
        <w:t>Relief flows in measured tranches keyed to verified milestones. The map states what activates on Day 1, Day 14, and Day 45, and it pairs each tranche with the Iranian compliance step that the dashboard confirms before the tranche activates.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Day</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Relief Tranche</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Paired Verified Milestone</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Reversibility Status</w:t>
            </w:r>
          </w:p>
        </w:tc>
      </w:tr>
      <w:tr>
        <w:tc>
          <w:tcPr>
            <w:tcW w:type="dxa" w:w="2256"/>
            <w:tcBorders>
              <w:top w:val="single" w:sz="4" w:color="BBBBBB"/>
              <w:left w:val="single" w:sz="4" w:color="BBBBBB"/>
              <w:bottom w:val="single" w:sz="4" w:color="BBBBBB"/>
              <w:right w:val="single" w:sz="4" w:color="BBBBBB"/>
            </w:tcBorders>
          </w:tcPr>
          <w:p>
            <w:r/>
            <w:r>
              <w:rPr>
                <w:sz w:val="19"/>
              </w:rPr>
              <w:t>Day 1</w:t>
            </w:r>
          </w:p>
        </w:tc>
        <w:tc>
          <w:tcPr>
            <w:tcW w:type="dxa" w:w="2256"/>
            <w:tcBorders>
              <w:top w:val="single" w:sz="4" w:color="BBBBBB"/>
              <w:left w:val="single" w:sz="4" w:color="BBBBBB"/>
              <w:bottom w:val="single" w:sz="4" w:color="BBBBBB"/>
              <w:right w:val="single" w:sz="4" w:color="BBBBBB"/>
            </w:tcBorders>
          </w:tcPr>
          <w:p>
            <w:r/>
            <w:r>
              <w:rPr>
                <w:sz w:val="19"/>
              </w:rPr>
              <w:t>Humanitarian asset release ($250M) + transit normalization</w:t>
            </w:r>
          </w:p>
        </w:tc>
        <w:tc>
          <w:tcPr>
            <w:tcW w:type="dxa" w:w="2256"/>
            <w:tcBorders>
              <w:top w:val="single" w:sz="4" w:color="BBBBBB"/>
              <w:left w:val="single" w:sz="4" w:color="BBBBBB"/>
              <w:bottom w:val="single" w:sz="4" w:color="BBBBBB"/>
              <w:right w:val="single" w:sz="4" w:color="BBBBBB"/>
            </w:tcBorders>
          </w:tcPr>
          <w:p>
            <w:r/>
            <w:r>
              <w:rPr>
                <w:sz w:val="19"/>
              </w:rPr>
              <w:t>IAEA baseline access granted (Section 2.4)</w:t>
            </w:r>
          </w:p>
        </w:tc>
        <w:tc>
          <w:tcPr>
            <w:tcW w:type="dxa" w:w="2256"/>
            <w:tcBorders>
              <w:top w:val="single" w:sz="4" w:color="BBBBBB"/>
              <w:left w:val="single" w:sz="4" w:color="BBBBBB"/>
              <w:bottom w:val="single" w:sz="4" w:color="BBBBBB"/>
              <w:right w:val="single" w:sz="4" w:color="BBBBBB"/>
            </w:tcBorders>
          </w:tcPr>
          <w:p>
            <w:r/>
            <w:r>
              <w:rPr>
                <w:sz w:val="19"/>
              </w:rPr>
              <w:t>Humanitarian portion non-reversible; transit reversible</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Day 14</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Banking-channel licensing + sectoral general licenses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Material above 5% sealed under IAEA monitoring (Section 3.1.1)</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Reversible by license withdrawal</w:t>
            </w:r>
          </w:p>
        </w:tc>
      </w:tr>
      <w:tr>
        <w:tc>
          <w:tcPr>
            <w:tcW w:type="dxa" w:w="2256"/>
            <w:tcBorders>
              <w:top w:val="single" w:sz="4" w:color="BBBBBB"/>
              <w:left w:val="single" w:sz="4" w:color="BBBBBB"/>
              <w:bottom w:val="single" w:sz="4" w:color="BBBBBB"/>
              <w:right w:val="single" w:sz="4" w:color="BBBBBB"/>
            </w:tcBorders>
          </w:tcPr>
          <w:p>
            <w:r/>
            <w:r>
              <w:rPr>
                <w:sz w:val="19"/>
              </w:rPr>
              <w:t>Day 45</w:t>
            </w:r>
          </w:p>
        </w:tc>
        <w:tc>
          <w:tcPr>
            <w:tcW w:type="dxa" w:w="2256"/>
            <w:tcBorders>
              <w:top w:val="single" w:sz="4" w:color="BBBBBB"/>
              <w:left w:val="single" w:sz="4" w:color="BBBBBB"/>
              <w:bottom w:val="single" w:sz="4" w:color="BBBBBB"/>
              <w:right w:val="single" w:sz="4" w:color="BBBBBB"/>
            </w:tcBorders>
          </w:tcPr>
          <w:p>
            <w:r/>
            <w:r>
              <w:rPr>
                <w:sz w:val="19"/>
              </w:rPr>
              <w:t>Broader designation relief + expanded financial access</w:t>
            </w:r>
          </w:p>
        </w:tc>
        <w:tc>
          <w:tcPr>
            <w:tcW w:type="dxa" w:w="2256"/>
            <w:tcBorders>
              <w:top w:val="single" w:sz="4" w:color="BBBBBB"/>
              <w:left w:val="single" w:sz="4" w:color="BBBBBB"/>
              <w:bottom w:val="single" w:sz="4" w:color="BBBBBB"/>
              <w:right w:val="single" w:sz="4" w:color="BBBBBB"/>
            </w:tcBorders>
          </w:tcPr>
          <w:p>
            <w:r/>
            <w:r>
              <w:rPr>
                <w:sz w:val="19"/>
              </w:rPr>
              <w:t>Sustained verified compliance across the window</w:t>
            </w:r>
          </w:p>
        </w:tc>
        <w:tc>
          <w:tcPr>
            <w:tcW w:type="dxa" w:w="2256"/>
            <w:tcBorders>
              <w:top w:val="single" w:sz="4" w:color="BBBBBB"/>
              <w:left w:val="single" w:sz="4" w:color="BBBBBB"/>
              <w:bottom w:val="single" w:sz="4" w:color="BBBBBB"/>
              <w:right w:val="single" w:sz="4" w:color="BBBBBB"/>
            </w:tcBorders>
          </w:tcPr>
          <w:p>
            <w:r/>
            <w:r>
              <w:rPr>
                <w:sz w:val="19"/>
              </w:rPr>
              <w:t>Reversible by re-designation</w:t>
            </w:r>
          </w:p>
        </w:tc>
      </w:tr>
    </w:tbl>
    <w:p>
      <w:pPr>
        <w:spacing w:after="40"/>
      </w:pPr>
    </w:p>
    <w:p>
      <w:pPr>
        <w:spacing w:after="120"/>
      </w:pPr>
      <w:r>
        <w:rPr>
          <w:i w:val="0"/>
        </w:rPr>
        <w:t>No tranche activates ahead of its paired milestone. The Neutral Guarantor confirms the milestone on the dashboard, and confirmation activates the tranche. A milestone that the dashboard does not confirm holds the paired tranche in suspension inside the Step-Back architecture.</w:t>
      </w:r>
    </w:p>
    <w:p>
      <w:pPr>
        <w:pStyle w:val="Heading3"/>
      </w:pPr>
      <w:r>
        <w:t>L.2.1 — Tranche Activation Logic</w:t>
      </w:r>
    </w:p>
    <w:p>
      <w:pPr>
        <w:spacing w:after="80"/>
        <w:ind w:left="360"/>
      </w:pPr>
      <w:r>
        <w:rPr>
          <w:b/>
        </w:rPr>
        <w:t xml:space="preserve">Confirmation gate — </w:t>
      </w:r>
      <w:r>
        <w:rPr>
          <w:b w:val="0"/>
        </w:rPr>
        <w:t>Dashboard confirmation of the paired milestone activates the tranche; absence of confirmation holds it.</w:t>
      </w:r>
    </w:p>
    <w:p>
      <w:pPr>
        <w:spacing w:after="80"/>
        <w:ind w:left="360"/>
      </w:pPr>
      <w:r>
        <w:rPr>
          <w:b/>
        </w:rPr>
        <w:t xml:space="preserve">Reversal pathway — </w:t>
      </w:r>
      <w:r>
        <w:rPr>
          <w:b w:val="0"/>
        </w:rPr>
        <w:t>A verified non-compliance event suspends the corresponding tranche in proportion to the breach, and verified correction re-activates it through Earn-Back.</w:t>
      </w:r>
    </w:p>
    <w:p>
      <w:pPr>
        <w:spacing w:after="80"/>
        <w:ind w:left="360"/>
      </w:pPr>
      <w:r>
        <w:rPr>
          <w:b/>
        </w:rPr>
        <w:t xml:space="preserve">Firewall — </w:t>
      </w:r>
      <w:r>
        <w:rPr>
          <w:b w:val="0"/>
        </w:rPr>
        <w:t>Suspension of one tranche leaves every other tranche operating, consistent with the Firewalled Provisions principle.</w:t>
      </w:r>
    </w:p>
    <w:p>
      <w:pPr>
        <w:pStyle w:val="Heading2"/>
      </w:pPr>
      <w:r>
        <w:t>L.3 Banking Compliance Architecture</w:t>
      </w:r>
    </w:p>
    <w:p>
      <w:pPr>
        <w:spacing w:after="120"/>
      </w:pPr>
      <w:r>
        <w:rPr>
          <w:i w:val="0"/>
        </w:rPr>
        <w:t>This section states the banking architecture that converts relief into usable financial access. It governs messaging reconnection, compliance standards, and the escrow design that protects both Parties.</w:t>
      </w:r>
    </w:p>
    <w:p>
      <w:pPr>
        <w:pStyle w:val="Heading3"/>
      </w:pPr>
      <w:r>
        <w:t>L.3.1 — Financial Messaging Reconnection</w:t>
      </w:r>
    </w:p>
    <w:p>
      <w:pPr>
        <w:spacing w:after="80"/>
        <w:ind w:left="360"/>
      </w:pPr>
      <w:r>
        <w:rPr>
          <w:b/>
        </w:rPr>
        <w:t xml:space="preserve">Reconnection trigger — </w:t>
      </w:r>
      <w:r>
        <w:rPr>
          <w:b w:val="0"/>
        </w:rPr>
        <w:t>Day 14 licensing activates the reconnection of designated Iranian financial institutions to international messaging services for permitted transactions.</w:t>
      </w:r>
    </w:p>
    <w:p>
      <w:pPr>
        <w:spacing w:after="80"/>
        <w:ind w:left="360"/>
      </w:pPr>
      <w:r>
        <w:rPr>
          <w:b/>
        </w:rPr>
        <w:t xml:space="preserve">Scope discipline — </w:t>
      </w:r>
      <w:r>
        <w:rPr>
          <w:b w:val="0"/>
        </w:rPr>
        <w:t>Reconnection covers permitted commercial and humanitarian transactions, and the architecture excludes prohibited categories through the compliance screen rather than through a blanket cut-off.</w:t>
      </w:r>
    </w:p>
    <w:p>
      <w:pPr>
        <w:pStyle w:val="Heading3"/>
      </w:pPr>
      <w:r>
        <w:t>L.3.2 — Compliance Standards</w:t>
      </w:r>
    </w:p>
    <w:p>
      <w:pPr>
        <w:spacing w:after="80"/>
        <w:ind w:left="360"/>
      </w:pPr>
      <w:r>
        <w:rPr>
          <w:b/>
        </w:rPr>
        <w:t xml:space="preserve">Standards alignment — </w:t>
      </w:r>
      <w:r>
        <w:rPr>
          <w:b w:val="0"/>
        </w:rPr>
        <w:t>Designated institutions operate under recognized anti-money-laundering and counter-financing standards, and the compliance screen applies these standards to every transaction inside the architecture.</w:t>
      </w:r>
    </w:p>
    <w:p>
      <w:pPr>
        <w:spacing w:after="80"/>
        <w:ind w:left="360"/>
      </w:pPr>
      <w:r>
        <w:rPr>
          <w:b/>
        </w:rPr>
        <w:t xml:space="preserve">Monitoring — </w:t>
      </w:r>
      <w:r>
        <w:rPr>
          <w:b w:val="0"/>
        </w:rPr>
        <w:t>The Swiss technical guarantor protects the escrow and messaging architecture and confirms that permitted flows operate transparently.</w:t>
      </w:r>
    </w:p>
    <w:p>
      <w:pPr>
        <w:pStyle w:val="Heading3"/>
      </w:pPr>
      <w:r>
        <w:t>L.3.3 — Escrow Architecture</w:t>
      </w:r>
    </w:p>
    <w:p>
      <w:pPr>
        <w:spacing w:after="120"/>
      </w:pPr>
      <w:r>
        <w:rPr>
          <w:i w:val="0"/>
        </w:rPr>
        <w:t>Released funds move through an escrow architecture that the Swiss guarantor protects. The escrow design holds each tranche against its paired milestone, releases it on dashboard confirmation, and records every movement. The architecture excludes any opaque transfer outside the recorded escrow path.</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Escrow Stage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Function</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Control</w:t>
            </w:r>
          </w:p>
        </w:tc>
      </w:tr>
      <w:tr>
        <w:tc>
          <w:tcPr>
            <w:tcW w:type="dxa" w:w="3009"/>
            <w:tcBorders>
              <w:top w:val="single" w:sz="4" w:color="BBBBBB"/>
              <w:left w:val="single" w:sz="4" w:color="BBBBBB"/>
              <w:bottom w:val="single" w:sz="4" w:color="BBBBBB"/>
              <w:right w:val="single" w:sz="4" w:color="BBBBBB"/>
            </w:tcBorders>
          </w:tcPr>
          <w:p>
            <w:r/>
            <w:r>
              <w:rPr>
                <w:sz w:val="19"/>
              </w:rPr>
              <w:t>Inbound hold</w:t>
            </w:r>
          </w:p>
        </w:tc>
        <w:tc>
          <w:tcPr>
            <w:tcW w:type="dxa" w:w="3009"/>
            <w:tcBorders>
              <w:top w:val="single" w:sz="4" w:color="BBBBBB"/>
              <w:left w:val="single" w:sz="4" w:color="BBBBBB"/>
              <w:bottom w:val="single" w:sz="4" w:color="BBBBBB"/>
              <w:right w:val="single" w:sz="4" w:color="BBBBBB"/>
            </w:tcBorders>
          </w:tcPr>
          <w:p>
            <w:r/>
            <w:r>
              <w:rPr>
                <w:sz w:val="19"/>
              </w:rPr>
              <w:t>Tranche enters escrow against its milestone</w:t>
            </w:r>
          </w:p>
        </w:tc>
        <w:tc>
          <w:tcPr>
            <w:tcW w:type="dxa" w:w="3009"/>
            <w:tcBorders>
              <w:top w:val="single" w:sz="4" w:color="BBBBBB"/>
              <w:left w:val="single" w:sz="4" w:color="BBBBBB"/>
              <w:bottom w:val="single" w:sz="4" w:color="BBBBBB"/>
              <w:right w:val="single" w:sz="4" w:color="BBBBBB"/>
            </w:tcBorders>
          </w:tcPr>
          <w:p>
            <w:r/>
            <w:r>
              <w:rPr>
                <w:sz w:val="19"/>
              </w:rPr>
              <w:t>Swiss guarantor custody</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Confirmation release</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Dashboard milestone confirmation releases the tranche</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Joint visibility</w:t>
            </w:r>
          </w:p>
        </w:tc>
      </w:tr>
      <w:tr>
        <w:tc>
          <w:tcPr>
            <w:tcW w:type="dxa" w:w="3009"/>
            <w:tcBorders>
              <w:top w:val="single" w:sz="4" w:color="BBBBBB"/>
              <w:left w:val="single" w:sz="4" w:color="BBBBBB"/>
              <w:bottom w:val="single" w:sz="4" w:color="BBBBBB"/>
              <w:right w:val="single" w:sz="4" w:color="BBBBBB"/>
            </w:tcBorders>
          </w:tcPr>
          <w:p>
            <w:r/>
            <w:r>
              <w:rPr>
                <w:sz w:val="19"/>
              </w:rPr>
              <w:t>Suspension hold</w:t>
            </w:r>
          </w:p>
        </w:tc>
        <w:tc>
          <w:tcPr>
            <w:tcW w:type="dxa" w:w="3009"/>
            <w:tcBorders>
              <w:top w:val="single" w:sz="4" w:color="BBBBBB"/>
              <w:left w:val="single" w:sz="4" w:color="BBBBBB"/>
              <w:bottom w:val="single" w:sz="4" w:color="BBBBBB"/>
              <w:right w:val="single" w:sz="4" w:color="BBBBBB"/>
            </w:tcBorders>
          </w:tcPr>
          <w:p>
            <w:r/>
            <w:r>
              <w:rPr>
                <w:sz w:val="19"/>
              </w:rPr>
              <w:t>Non-compliance returns the tranche to hold</w:t>
            </w:r>
          </w:p>
        </w:tc>
        <w:tc>
          <w:tcPr>
            <w:tcW w:type="dxa" w:w="3009"/>
            <w:tcBorders>
              <w:top w:val="single" w:sz="4" w:color="BBBBBB"/>
              <w:left w:val="single" w:sz="4" w:color="BBBBBB"/>
              <w:bottom w:val="single" w:sz="4" w:color="BBBBBB"/>
              <w:right w:val="single" w:sz="4" w:color="BBBBBB"/>
            </w:tcBorders>
          </w:tcPr>
          <w:p>
            <w:r/>
            <w:r>
              <w:rPr>
                <w:sz w:val="19"/>
              </w:rPr>
              <w:t>Step-Back proportionality</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Earn-back release</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Verified correction re-releases the tranche</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Dashboard re-confirmation</w:t>
            </w:r>
          </w:p>
        </w:tc>
      </w:tr>
    </w:tbl>
    <w:p>
      <w:pPr>
        <w:spacing w:after="40"/>
      </w:pPr>
    </w:p>
    <w:p>
      <w:pPr>
        <w:pStyle w:val="Heading2"/>
      </w:pPr>
      <w:r>
        <w:t>L.4 Frozen Asset Accounting</w:t>
      </w:r>
    </w:p>
    <w:p>
      <w:pPr>
        <w:spacing w:after="120"/>
      </w:pPr>
      <w:r>
        <w:rPr>
          <w:i w:val="0"/>
        </w:rPr>
        <w:t>This section accounts for the blocked national funds the framework addresses. It states the amount categories, the custodians, and the conditions that govern release. It complements the Frozen Asset Release Schedule of Annex C.</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Asset Category</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Custodian Class</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Release Condition</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Reversibility</w:t>
            </w:r>
          </w:p>
        </w:tc>
      </w:tr>
      <w:tr>
        <w:tc>
          <w:tcPr>
            <w:tcW w:type="dxa" w:w="2256"/>
            <w:tcBorders>
              <w:top w:val="single" w:sz="4" w:color="BBBBBB"/>
              <w:left w:val="single" w:sz="4" w:color="BBBBBB"/>
              <w:bottom w:val="single" w:sz="4" w:color="BBBBBB"/>
              <w:right w:val="single" w:sz="4" w:color="BBBBBB"/>
            </w:tcBorders>
          </w:tcPr>
          <w:p>
            <w:r/>
            <w:r>
              <w:rPr>
                <w:sz w:val="19"/>
              </w:rPr>
              <w:t>Humanitarian tranche ($250M)</w:t>
            </w:r>
          </w:p>
        </w:tc>
        <w:tc>
          <w:tcPr>
            <w:tcW w:type="dxa" w:w="2256"/>
            <w:tcBorders>
              <w:top w:val="single" w:sz="4" w:color="BBBBBB"/>
              <w:left w:val="single" w:sz="4" w:color="BBBBBB"/>
              <w:bottom w:val="single" w:sz="4" w:color="BBBBBB"/>
              <w:right w:val="single" w:sz="4" w:color="BBBBBB"/>
            </w:tcBorders>
          </w:tcPr>
          <w:p>
            <w:r/>
            <w:r>
              <w:rPr>
                <w:sz w:val="19"/>
              </w:rPr>
              <w:t>United States holding institution</w:t>
            </w:r>
          </w:p>
        </w:tc>
        <w:tc>
          <w:tcPr>
            <w:tcW w:type="dxa" w:w="2256"/>
            <w:tcBorders>
              <w:top w:val="single" w:sz="4" w:color="BBBBBB"/>
              <w:left w:val="single" w:sz="4" w:color="BBBBBB"/>
              <w:bottom w:val="single" w:sz="4" w:color="BBBBBB"/>
              <w:right w:val="single" w:sz="4" w:color="BBBBBB"/>
            </w:tcBorders>
          </w:tcPr>
          <w:p>
            <w:r/>
            <w:r>
              <w:rPr>
                <w:sz w:val="19"/>
              </w:rPr>
              <w:t>Released inside 48 hours (Section 2.4)</w:t>
            </w:r>
          </w:p>
        </w:tc>
        <w:tc>
          <w:tcPr>
            <w:tcW w:type="dxa" w:w="2256"/>
            <w:tcBorders>
              <w:top w:val="single" w:sz="4" w:color="BBBBBB"/>
              <w:left w:val="single" w:sz="4" w:color="BBBBBB"/>
              <w:bottom w:val="single" w:sz="4" w:color="BBBBBB"/>
              <w:right w:val="single" w:sz="4" w:color="BBBBBB"/>
            </w:tcBorders>
          </w:tcPr>
          <w:p>
            <w:r/>
            <w:r>
              <w:rPr>
                <w:sz w:val="19"/>
              </w:rPr>
              <w:t>Non-reversible</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Restricted-purpose national funds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Third-country holding institutions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Phased release on verified milestones</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Conditioned and escrow-held</w:t>
            </w:r>
          </w:p>
        </w:tc>
      </w:tr>
      <w:tr>
        <w:tc>
          <w:tcPr>
            <w:tcW w:type="dxa" w:w="2256"/>
            <w:tcBorders>
              <w:top w:val="single" w:sz="4" w:color="BBBBBB"/>
              <w:left w:val="single" w:sz="4" w:color="BBBBBB"/>
              <w:bottom w:val="single" w:sz="4" w:color="BBBBBB"/>
              <w:right w:val="single" w:sz="4" w:color="BBBBBB"/>
            </w:tcBorders>
          </w:tcPr>
          <w:p>
            <w:r/>
            <w:r>
              <w:rPr>
                <w:sz w:val="19"/>
              </w:rPr>
              <w:t>General national reserves</w:t>
            </w:r>
          </w:p>
        </w:tc>
        <w:tc>
          <w:tcPr>
            <w:tcW w:type="dxa" w:w="2256"/>
            <w:tcBorders>
              <w:top w:val="single" w:sz="4" w:color="BBBBBB"/>
              <w:left w:val="single" w:sz="4" w:color="BBBBBB"/>
              <w:bottom w:val="single" w:sz="4" w:color="BBBBBB"/>
              <w:right w:val="single" w:sz="4" w:color="BBBBBB"/>
            </w:tcBorders>
          </w:tcPr>
          <w:p>
            <w:r/>
            <w:r>
              <w:rPr>
                <w:sz w:val="19"/>
              </w:rPr>
              <w:t>Multiple custodial jurisdictions</w:t>
            </w:r>
          </w:p>
        </w:tc>
        <w:tc>
          <w:tcPr>
            <w:tcW w:type="dxa" w:w="2256"/>
            <w:tcBorders>
              <w:top w:val="single" w:sz="4" w:color="BBBBBB"/>
              <w:left w:val="single" w:sz="4" w:color="BBBBBB"/>
              <w:bottom w:val="single" w:sz="4" w:color="BBBBBB"/>
              <w:right w:val="single" w:sz="4" w:color="BBBBBB"/>
            </w:tcBorders>
          </w:tcPr>
          <w:p>
            <w:r/>
            <w:r>
              <w:rPr>
                <w:sz w:val="19"/>
              </w:rPr>
              <w:t>Release on sustained verified compliance</w:t>
            </w:r>
          </w:p>
        </w:tc>
        <w:tc>
          <w:tcPr>
            <w:tcW w:type="dxa" w:w="2256"/>
            <w:tcBorders>
              <w:top w:val="single" w:sz="4" w:color="BBBBBB"/>
              <w:left w:val="single" w:sz="4" w:color="BBBBBB"/>
              <w:bottom w:val="single" w:sz="4" w:color="BBBBBB"/>
              <w:right w:val="single" w:sz="4" w:color="BBBBBB"/>
            </w:tcBorders>
          </w:tcPr>
          <w:p>
            <w:r/>
            <w:r>
              <w:rPr>
                <w:sz w:val="19"/>
              </w:rPr>
              <w:t>Conditioned on the window record</w:t>
            </w:r>
          </w:p>
        </w:tc>
      </w:tr>
    </w:tbl>
    <w:p>
      <w:pPr>
        <w:spacing w:after="40"/>
      </w:pPr>
    </w:p>
    <w:p>
      <w:pPr>
        <w:spacing w:after="120"/>
      </w:pPr>
      <w:r>
        <w:rPr>
          <w:i w:val="0"/>
        </w:rPr>
        <w:t>The accounting framework records each asset category, its custodian class, and the verified condition that activates release. The humanitarian tranche releases without reversibility, which anchors the framework's good-faith floor. Every other category releases through the escrow architecture against its paired milestone, and a milestone gap holds the category rather than releasing it.</w:t>
      </w:r>
    </w:p>
    <w:p>
      <w:r>
        <w:br w:type="page"/>
      </w:r>
    </w:p>
    <w:p>
      <w:pPr>
        <w:pStyle w:val="Heading1"/>
      </w:pPr>
      <w:r>
        <w:t>Annex M: Maritime and Security Protocols</w:t>
      </w:r>
    </w:p>
    <w:p>
      <w:pPr>
        <w:spacing w:after="120"/>
      </w:pPr>
      <w:r>
        <w:rPr>
          <w:i w:val="0"/>
        </w:rPr>
        <w:t>This annex supports Article II and the Strait reopening architecture. It states the traffic framework for the Strait of Hormuz, the naval deconfliction protocol, the coastal-state rights legal framework, and the operating manual for the Joint Maritime Coordination Center. The architecture keeps the Strait open to commercial transit under a shared governance design rather than under either Party's unilateral control.</w:t>
      </w:r>
    </w:p>
    <w:p>
      <w:pPr>
        <w:pStyle w:val="Heading2"/>
      </w:pPr>
      <w:r>
        <w:t>M.1 Strait of Hormuz Traffic Framework</w:t>
      </w:r>
    </w:p>
    <w:p>
      <w:pPr>
        <w:spacing w:after="120"/>
      </w:pPr>
      <w:r>
        <w:rPr>
          <w:i w:val="0"/>
        </w:rPr>
        <w:t>This section frames the transit data architecture that the Joint Maritime Coordination Center operates. It states the data sources, the volume baseline, and the choke-point analysis that informs deconfliction. Commercial transit operates under an absolute non-interdiction protocol within the framework.</w:t>
      </w:r>
    </w:p>
    <w:p>
      <w:pPr>
        <w:pStyle w:val="Heading3"/>
      </w:pPr>
      <w:r>
        <w:t>M.1.1 — Data Sources</w:t>
      </w:r>
    </w:p>
    <w:p>
      <w:pPr>
        <w:spacing w:after="80"/>
        <w:ind w:left="360"/>
      </w:pPr>
      <w:r>
        <w:rPr>
          <w:b/>
        </w:rPr>
        <w:t xml:space="preserve">Automatic identification data — </w:t>
      </w:r>
      <w:r>
        <w:rPr>
          <w:b w:val="0"/>
        </w:rPr>
        <w:t>Vessel position and identity data feed the Center's traffic picture in real time, and the Center publishes aggregate transit volumes to the public dashboard.</w:t>
      </w:r>
    </w:p>
    <w:p>
      <w:pPr>
        <w:spacing w:after="80"/>
        <w:ind w:left="360"/>
      </w:pPr>
      <w:r>
        <w:rPr>
          <w:b/>
        </w:rPr>
        <w:t xml:space="preserve">Transit logs — </w:t>
      </w:r>
      <w:r>
        <w:rPr>
          <w:b w:val="0"/>
        </w:rPr>
        <w:t>The Center logs each transit event and reconciles the log against the position data, so that the public volume figure rests on a verified record.</w:t>
      </w:r>
    </w:p>
    <w:p>
      <w:pPr>
        <w:spacing w:after="80"/>
        <w:ind w:left="360"/>
      </w:pPr>
      <w:r>
        <w:rPr>
          <w:b/>
        </w:rPr>
        <w:t xml:space="preserve">Recovery tracking — </w:t>
      </w:r>
      <w:r>
        <w:rPr>
          <w:b w:val="0"/>
        </w:rPr>
        <w:t>During the 30-day recovery period, the Center tracks the return toward pre-conflict volumes and the Neutral Guarantor publishes weekly recovery reports.</w:t>
      </w:r>
    </w:p>
    <w:p>
      <w:pPr>
        <w:pStyle w:val="Heading3"/>
      </w:pPr>
      <w:r>
        <w:t>M.1.2 — Volume Baseline and Recovery Curve</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Phase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Transit Posture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Center Function</w:t>
            </w:r>
          </w:p>
        </w:tc>
      </w:tr>
      <w:tr>
        <w:tc>
          <w:tcPr>
            <w:tcW w:type="dxa" w:w="3009"/>
            <w:tcBorders>
              <w:top w:val="single" w:sz="4" w:color="BBBBBB"/>
              <w:left w:val="single" w:sz="4" w:color="BBBBBB"/>
              <w:bottom w:val="single" w:sz="4" w:color="BBBBBB"/>
              <w:right w:val="single" w:sz="4" w:color="BBBBBB"/>
            </w:tcBorders>
          </w:tcPr>
          <w:p>
            <w:r/>
            <w:r>
              <w:rPr>
                <w:sz w:val="19"/>
              </w:rPr>
              <w:t>Day 1</w:t>
            </w:r>
          </w:p>
        </w:tc>
        <w:tc>
          <w:tcPr>
            <w:tcW w:type="dxa" w:w="3009"/>
            <w:tcBorders>
              <w:top w:val="single" w:sz="4" w:color="BBBBBB"/>
              <w:left w:val="single" w:sz="4" w:color="BBBBBB"/>
              <w:bottom w:val="single" w:sz="4" w:color="BBBBBB"/>
              <w:right w:val="single" w:sz="4" w:color="BBBBBB"/>
            </w:tcBorders>
          </w:tcPr>
          <w:p>
            <w:r/>
            <w:r>
              <w:rPr>
                <w:sz w:val="19"/>
              </w:rPr>
              <w:t>Strait open to unrestricted commercial transit</w:t>
            </w:r>
          </w:p>
        </w:tc>
        <w:tc>
          <w:tcPr>
            <w:tcW w:type="dxa" w:w="3009"/>
            <w:tcBorders>
              <w:top w:val="single" w:sz="4" w:color="BBBBBB"/>
              <w:left w:val="single" w:sz="4" w:color="BBBBBB"/>
              <w:bottom w:val="single" w:sz="4" w:color="BBBBBB"/>
              <w:right w:val="single" w:sz="4" w:color="BBBBBB"/>
            </w:tcBorders>
          </w:tcPr>
          <w:p>
            <w:r/>
            <w:r>
              <w:rPr>
                <w:sz w:val="19"/>
              </w:rPr>
              <w:t>Real-time dashboard activates</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Days 1-30</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Phased recovery toward pre-conflict volumes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Traffic management and weekly reporting</w:t>
            </w:r>
          </w:p>
        </w:tc>
      </w:tr>
      <w:tr>
        <w:tc>
          <w:tcPr>
            <w:tcW w:type="dxa" w:w="3009"/>
            <w:tcBorders>
              <w:top w:val="single" w:sz="4" w:color="BBBBBB"/>
              <w:left w:val="single" w:sz="4" w:color="BBBBBB"/>
              <w:bottom w:val="single" w:sz="4" w:color="BBBBBB"/>
              <w:right w:val="single" w:sz="4" w:color="BBBBBB"/>
            </w:tcBorders>
          </w:tcPr>
          <w:p>
            <w:r/>
            <w:r>
              <w:rPr>
                <w:sz w:val="19"/>
              </w:rPr>
              <w:t>Day 30+</w:t>
            </w:r>
          </w:p>
        </w:tc>
        <w:tc>
          <w:tcPr>
            <w:tcW w:type="dxa" w:w="3009"/>
            <w:tcBorders>
              <w:top w:val="single" w:sz="4" w:color="BBBBBB"/>
              <w:left w:val="single" w:sz="4" w:color="BBBBBB"/>
              <w:bottom w:val="single" w:sz="4" w:color="BBBBBB"/>
              <w:right w:val="single" w:sz="4" w:color="BBBBBB"/>
            </w:tcBorders>
          </w:tcPr>
          <w:p>
            <w:r/>
            <w:r>
              <w:rPr>
                <w:sz w:val="19"/>
              </w:rPr>
              <w:t>Normalized commercial transit</w:t>
            </w:r>
          </w:p>
        </w:tc>
        <w:tc>
          <w:tcPr>
            <w:tcW w:type="dxa" w:w="3009"/>
            <w:tcBorders>
              <w:top w:val="single" w:sz="4" w:color="BBBBBB"/>
              <w:left w:val="single" w:sz="4" w:color="BBBBBB"/>
              <w:bottom w:val="single" w:sz="4" w:color="BBBBBB"/>
              <w:right w:val="single" w:sz="4" w:color="BBBBBB"/>
            </w:tcBorders>
          </w:tcPr>
          <w:p>
            <w:r/>
            <w:r>
              <w:rPr>
                <w:sz w:val="19"/>
              </w:rPr>
              <w:t>Continuous monitoring and incident logging</w:t>
            </w:r>
          </w:p>
        </w:tc>
      </w:tr>
    </w:tbl>
    <w:p>
      <w:pPr>
        <w:spacing w:after="40"/>
      </w:pPr>
    </w:p>
    <w:p>
      <w:pPr>
        <w:pStyle w:val="Heading3"/>
      </w:pPr>
      <w:r>
        <w:t>M.1.3 — Choke-Point Analysis</w:t>
      </w:r>
    </w:p>
    <w:p>
      <w:pPr>
        <w:spacing w:after="120"/>
      </w:pPr>
      <w:r>
        <w:rPr>
          <w:i w:val="0"/>
        </w:rPr>
        <w:t>The Strait's narrow transit lanes concentrate traffic, and the concentration creates the deconfliction requirement the next section addresses. The Center maps the inbound and outbound traffic-separation scheme, identifies the points where naval and commercial paths converge, and feeds the analysis to the deconfliction channel so that each convergence point carries a defined communication procedure.</w:t>
      </w:r>
    </w:p>
    <w:p>
      <w:pPr>
        <w:pStyle w:val="Heading3"/>
        <w:keepNext w:val="true"/>
        <w:keepLines/>
        <w:bidi w:val="0"/>
        <w:spacing w:before="280" w:after="120"/>
        <w:rPr/>
      </w:pPr>
      <w:r>
        <w:rPr>
          <w:rFonts w:ascii="Cambria" w:hAnsi="Cambria" w:eastAsia="Microsoft YaHei" w:cs="Cambria"/>
          <w:b/>
          <w:color w:val="2C3E5E"/>
          <w:sz w:val="26"/>
        </w:rPr>
        <w:t>M.1.4 - Service-Fee Schedule</w:t>
      </w:r>
    </w:p>
    <w:p>
      <w:pPr>
        <w:pStyle w:val="Normal"/>
        <w:bidi w:val="0"/>
        <w:spacing w:before="0" w:after="180"/>
        <w:rPr/>
      </w:pPr>
      <w:r>
        <w:rPr>
          <w:rFonts w:eastAsia="Microsoft YaHei" w:cs="Cambria"/>
          <w:color w:val="1E2530"/>
          <w:sz w:val="22"/>
          <w:szCs w:val="22"/>
        </w:rPr>
        <w:t>The framework draws a firm line between a transit toll and a service fee. A transit toll charges a vessel for the act of passage itself; the framework architecture excludes transit tolls entirely. A service fee compensates an actual marine service that the coastal state renders; the framework permits a capped, transparent, non-discriminatory service fee and treats it as a coastal-state user charge consistent with the rights Section M.3 describes.</w:t>
      </w:r>
    </w:p>
    <w:p>
      <w:pPr>
        <w:pStyle w:val="Normal"/>
        <w:bidi w:val="0"/>
        <w:spacing w:before="0" w:after="180"/>
        <w:rPr/>
      </w:pPr>
      <w:r>
        <w:rPr>
          <w:rFonts w:eastAsia="Microsoft YaHei" w:cs="Cambria"/>
          <w:color w:val="1E2530"/>
          <w:sz w:val="22"/>
          <w:szCs w:val="22"/>
        </w:rPr>
        <w:t>The service fee covers defined marine services only. The fee stays at or below a per-vessel cap that the Parties set jointly and publish, and it stays proportionate to the service the vessel receives. The fee never conditions passage: a vessel transits whether or not a fee dispute remains open, and the non-interdiction protocol governs throughout.</w:t>
      </w:r>
    </w:p>
    <w:p>
      <w:pPr>
        <w:pStyle w:val="Normal"/>
        <w:bidi w:val="0"/>
        <w:spacing w:before="0" w:after="120"/>
        <w:ind w:left="360"/>
        <w:rPr/>
      </w:pPr>
      <w:r>
        <w:rPr>
          <w:rFonts w:eastAsia="Microsoft YaHei" w:cs="Cambria"/>
          <w:b/>
          <w:color w:val="1E2530"/>
          <w:sz w:val="22"/>
          <w:szCs w:val="22"/>
        </w:rPr>
        <w:t xml:space="preserve">Pilotage support — </w:t>
      </w:r>
      <w:r>
        <w:rPr>
          <w:rFonts w:eastAsia="Microsoft YaHei" w:cs="Cambria"/>
          <w:color w:val="1E2530"/>
          <w:sz w:val="22"/>
          <w:szCs w:val="22"/>
        </w:rPr>
        <w:t>covers boarding-pilot service and transit assistance through the traffic-separation scheme; the schedule charges it per vessel, at or below the published cap.</w:t>
      </w:r>
    </w:p>
    <w:p>
      <w:pPr>
        <w:pStyle w:val="Normal"/>
        <w:bidi w:val="0"/>
        <w:spacing w:before="0" w:after="120"/>
        <w:ind w:left="360"/>
        <w:rPr/>
      </w:pPr>
      <w:r>
        <w:rPr>
          <w:rFonts w:eastAsia="Microsoft YaHei" w:cs="Cambria"/>
          <w:b/>
          <w:color w:val="1E2530"/>
          <w:sz w:val="22"/>
          <w:szCs w:val="22"/>
        </w:rPr>
        <w:t xml:space="preserve">Search-and-rescue coordination — </w:t>
      </w:r>
      <w:r>
        <w:rPr>
          <w:rFonts w:eastAsia="Microsoft YaHei" w:cs="Cambria"/>
          <w:color w:val="1E2530"/>
          <w:sz w:val="22"/>
          <w:szCs w:val="22"/>
        </w:rPr>
        <w:t>covers standby readiness and incident-response coordination for the transit corridor; the schedule charges it per vessel, at or below the published cap.</w:t>
      </w:r>
    </w:p>
    <w:p>
      <w:pPr>
        <w:pStyle w:val="Normal"/>
        <w:bidi w:val="0"/>
        <w:spacing w:before="0" w:after="120"/>
        <w:ind w:left="360"/>
        <w:rPr/>
      </w:pPr>
      <w:r>
        <w:rPr>
          <w:rFonts w:eastAsia="Microsoft YaHei" w:cs="Cambria"/>
          <w:b/>
          <w:color w:val="1E2530"/>
          <w:sz w:val="22"/>
          <w:szCs w:val="22"/>
        </w:rPr>
        <w:t xml:space="preserve">Navigational guidance — </w:t>
      </w:r>
      <w:r>
        <w:rPr>
          <w:rFonts w:eastAsia="Microsoft YaHei" w:cs="Cambria"/>
          <w:color w:val="1E2530"/>
          <w:sz w:val="22"/>
          <w:szCs w:val="22"/>
        </w:rPr>
        <w:t>covers traffic management, lane-status information, and hydrographic guidance; the schedule charges it per vessel, at or below the published cap.</w:t>
      </w:r>
    </w:p>
    <w:p>
      <w:pPr>
        <w:pStyle w:val="Normal"/>
        <w:bidi w:val="0"/>
        <w:spacing w:before="0" w:after="180"/>
        <w:rPr/>
      </w:pPr>
      <w:r>
        <w:rPr>
          <w:rFonts w:eastAsia="Microsoft YaHei" w:cs="Cambria"/>
          <w:color w:val="1E2530"/>
          <w:sz w:val="22"/>
          <w:szCs w:val="22"/>
        </w:rPr>
        <w:t>A single published schedule applies to every vessel regardless of flag, origin, or destination. The Joint Maritime Coordination Center logs each fee against each transit, and the public dashboard displays both the schedule and the aggregate fee record. The Neutral Guarantor confirms that the schedule operates transparently and applies equally to all transit.</w:t>
      </w:r>
    </w:p>
    <w:p>
      <w:pPr>
        <w:pStyle w:val="Normal"/>
        <w:bidi w:val="0"/>
        <w:spacing w:before="0" w:after="180"/>
        <w:rPr/>
      </w:pPr>
      <w:r>
        <w:rPr>
          <w:rFonts w:eastAsia="Microsoft YaHei" w:cs="Cambria"/>
          <w:color w:val="1E2530"/>
          <w:sz w:val="22"/>
          <w:szCs w:val="22"/>
        </w:rPr>
        <w:t>An excessive fee, a discriminatory fee, or a fee that conditions passage breaches the schedule. Such a breach suspends only the Hormuz transit reciprocity unit under the proportionality scale of Annex N, and verified correction restores the unit through Earn-Back. The firewall keeps every other reciprocity unit operating.</w:t>
      </w:r>
    </w:p>
    <w:p>
      <w:pPr>
        <w:pStyle w:val="Heading2"/>
      </w:pPr>
      <w:r>
        <w:t>M.2 Naval Deconfliction Protocol</w:t>
      </w:r>
    </w:p>
    <w:p>
      <w:pPr>
        <w:spacing w:after="120"/>
      </w:pPr>
      <w:r>
        <w:rPr>
          <w:i w:val="0"/>
        </w:rPr>
        <w:t>This section states the rules that keep naval forces and commercial traffic separated and that prevent a transit event from reading as a hostile act. The protocol defines engagement posture, patrol zones, and communication channels.</w:t>
      </w:r>
    </w:p>
    <w:p>
      <w:pPr>
        <w:pStyle w:val="Heading3"/>
      </w:pPr>
      <w:r>
        <w:t>M.2.1 — Engagement Posture</w:t>
      </w:r>
    </w:p>
    <w:p>
      <w:pPr>
        <w:spacing w:after="80"/>
        <w:ind w:left="360"/>
      </w:pPr>
      <w:r>
        <w:rPr>
          <w:b/>
        </w:rPr>
        <w:t xml:space="preserve">Defensive posture — </w:t>
      </w:r>
      <w:r>
        <w:rPr>
          <w:b w:val="0"/>
        </w:rPr>
        <w:t>United States forces maintain defensive positions only, consistent with Section 2.2, and the framework architecture excludes offensive naval operations in the Persian Gulf and the Strait.</w:t>
      </w:r>
    </w:p>
    <w:p>
      <w:pPr>
        <w:spacing w:after="80"/>
        <w:ind w:left="360"/>
      </w:pPr>
      <w:r>
        <w:rPr>
          <w:b/>
        </w:rPr>
        <w:t xml:space="preserve">Non-interdiction — </w:t>
      </w:r>
      <w:r>
        <w:rPr>
          <w:b w:val="0"/>
        </w:rPr>
        <w:t>Commercial transit operates under an absolute non-interdiction protocol within the framework; the architecture excludes transit tolls and inspection delays and never conditions passage on a fee. The capped service-fee schedule of Section M.1.4 operates separately and compensates defined marine services only.</w:t>
      </w:r>
    </w:p>
    <w:p>
      <w:pPr>
        <w:spacing w:after="80"/>
        <w:ind w:left="360"/>
      </w:pPr>
      <w:r>
        <w:rPr>
          <w:b/>
        </w:rPr>
        <w:t xml:space="preserve">Incident discipline — </w:t>
      </w:r>
      <w:r>
        <w:rPr>
          <w:b w:val="0"/>
        </w:rPr>
        <w:t>A vessel encounter resolves through the deconfliction channel, not through unilateral escalation, and the no-surprise commitment governs the exchange.</w:t>
      </w:r>
    </w:p>
    <w:p>
      <w:pPr>
        <w:pStyle w:val="Heading3"/>
      </w:pPr>
      <w:r>
        <w:t>M.2.2 — Patrol Zones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Zone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Posture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Coordinating Authority</w:t>
            </w:r>
          </w:p>
        </w:tc>
      </w:tr>
      <w:tr>
        <w:tc>
          <w:tcPr>
            <w:tcW w:type="dxa" w:w="3009"/>
            <w:tcBorders>
              <w:top w:val="single" w:sz="4" w:color="BBBBBB"/>
              <w:left w:val="single" w:sz="4" w:color="BBBBBB"/>
              <w:bottom w:val="single" w:sz="4" w:color="BBBBBB"/>
              <w:right w:val="single" w:sz="4" w:color="BBBBBB"/>
            </w:tcBorders>
          </w:tcPr>
          <w:p>
            <w:r/>
            <w:r>
              <w:rPr>
                <w:sz w:val="19"/>
              </w:rPr>
              <w:t>Commercial transit lanes</w:t>
            </w:r>
          </w:p>
        </w:tc>
        <w:tc>
          <w:tcPr>
            <w:tcW w:type="dxa" w:w="3009"/>
            <w:tcBorders>
              <w:top w:val="single" w:sz="4" w:color="BBBBBB"/>
              <w:left w:val="single" w:sz="4" w:color="BBBBBB"/>
              <w:bottom w:val="single" w:sz="4" w:color="BBBBBB"/>
              <w:right w:val="single" w:sz="4" w:color="BBBBBB"/>
            </w:tcBorders>
          </w:tcPr>
          <w:p>
            <w:r/>
            <w:r>
              <w:rPr>
                <w:sz w:val="19"/>
              </w:rPr>
              <w:t>Unimpeded transit; non-interdiction</w:t>
            </w:r>
          </w:p>
        </w:tc>
        <w:tc>
          <w:tcPr>
            <w:tcW w:type="dxa" w:w="3009"/>
            <w:tcBorders>
              <w:top w:val="single" w:sz="4" w:color="BBBBBB"/>
              <w:left w:val="single" w:sz="4" w:color="BBBBBB"/>
              <w:bottom w:val="single" w:sz="4" w:color="BBBBBB"/>
              <w:right w:val="single" w:sz="4" w:color="BBBBBB"/>
            </w:tcBorders>
          </w:tcPr>
          <w:p>
            <w:r/>
            <w:r>
              <w:rPr>
                <w:sz w:val="19"/>
              </w:rPr>
              <w:t>Joint Maritime Coordination Center</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Defensive naval zones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Defensive positioning only</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Respective national command under deconfliction</w:t>
            </w:r>
          </w:p>
        </w:tc>
      </w:tr>
      <w:tr>
        <w:tc>
          <w:tcPr>
            <w:tcW w:type="dxa" w:w="3009"/>
            <w:tcBorders>
              <w:top w:val="single" w:sz="4" w:color="BBBBBB"/>
              <w:left w:val="single" w:sz="4" w:color="BBBBBB"/>
              <w:bottom w:val="single" w:sz="4" w:color="BBBBBB"/>
              <w:right w:val="single" w:sz="4" w:color="BBBBBB"/>
            </w:tcBorders>
          </w:tcPr>
          <w:p>
            <w:r/>
            <w:r>
              <w:rPr>
                <w:sz w:val="19"/>
              </w:rPr>
              <w:t>Convergence points</w:t>
            </w:r>
          </w:p>
        </w:tc>
        <w:tc>
          <w:tcPr>
            <w:tcW w:type="dxa" w:w="3009"/>
            <w:tcBorders>
              <w:top w:val="single" w:sz="4" w:color="BBBBBB"/>
              <w:left w:val="single" w:sz="4" w:color="BBBBBB"/>
              <w:bottom w:val="single" w:sz="4" w:color="BBBBBB"/>
              <w:right w:val="single" w:sz="4" w:color="BBBBBB"/>
            </w:tcBorders>
          </w:tcPr>
          <w:p>
            <w:r/>
            <w:r>
              <w:rPr>
                <w:sz w:val="19"/>
              </w:rPr>
              <w:t>Pre-agreed separation procedure</w:t>
            </w:r>
          </w:p>
        </w:tc>
        <w:tc>
          <w:tcPr>
            <w:tcW w:type="dxa" w:w="3009"/>
            <w:tcBorders>
              <w:top w:val="single" w:sz="4" w:color="BBBBBB"/>
              <w:left w:val="single" w:sz="4" w:color="BBBBBB"/>
              <w:bottom w:val="single" w:sz="4" w:color="BBBBBB"/>
              <w:right w:val="single" w:sz="4" w:color="BBBBBB"/>
            </w:tcBorders>
          </w:tcPr>
          <w:p>
            <w:r/>
            <w:r>
              <w:rPr>
                <w:sz w:val="19"/>
              </w:rPr>
              <w:t>Center-managed real-time coordination</w:t>
            </w:r>
          </w:p>
        </w:tc>
      </w:tr>
    </w:tbl>
    <w:p>
      <w:pPr>
        <w:spacing w:after="40"/>
      </w:pPr>
    </w:p>
    <w:p>
      <w:pPr>
        <w:pStyle w:val="Heading3"/>
      </w:pPr>
      <w:r>
        <w:t>M.2.3 — Communication Channels</w:t>
      </w:r>
    </w:p>
    <w:p>
      <w:pPr>
        <w:spacing w:after="80"/>
        <w:ind w:left="360"/>
      </w:pPr>
      <w:r>
        <w:rPr>
          <w:b/>
        </w:rPr>
        <w:t xml:space="preserve">Primary channel — </w:t>
      </w:r>
      <w:r>
        <w:rPr>
          <w:b w:val="0"/>
        </w:rPr>
        <w:t>A dedicated maritime deconfliction channel links the two navies through the Joint Maritime Coordination Center, and the channel operates continuously.</w:t>
      </w:r>
    </w:p>
    <w:p>
      <w:pPr>
        <w:spacing w:after="80"/>
        <w:ind w:left="360"/>
      </w:pPr>
      <w:r>
        <w:rPr>
          <w:b/>
        </w:rPr>
        <w:t xml:space="preserve">Escalation-prevention link — </w:t>
      </w:r>
      <w:r>
        <w:rPr>
          <w:b w:val="0"/>
        </w:rPr>
        <w:t>A direct technical-liaison link activates inside the crisis-communication timeline of Annex I when an event exceeds routine coordination.</w:t>
      </w:r>
    </w:p>
    <w:p>
      <w:pPr>
        <w:spacing w:after="80"/>
        <w:ind w:left="360"/>
      </w:pPr>
      <w:r>
        <w:rPr>
          <w:b/>
        </w:rPr>
        <w:t xml:space="preserve">Verbatim relay — </w:t>
      </w:r>
      <w:r>
        <w:rPr>
          <w:b w:val="0"/>
        </w:rPr>
        <w:t>The Center relays each notification verbatim to both Parties and the Neutral Guarantor, so that both navies read the same text.</w:t>
      </w:r>
    </w:p>
    <w:p>
      <w:pPr>
        <w:pStyle w:val="Heading2"/>
      </w:pPr>
      <w:r>
        <w:t>M.3 Coastal-State Rights Legal Framework</w:t>
      </w:r>
    </w:p>
    <w:p>
      <w:pPr>
        <w:spacing w:after="120"/>
      </w:pPr>
      <w:r>
        <w:rPr>
          <w:i w:val="0"/>
        </w:rPr>
        <w:t>This section states the legal framework that grounds Iran's coastal-state position and the corresponding transit rights of all states. It frames the maritime architecture inside recognized law of the sea rather than inside either Party's unilateral assertion.</w:t>
      </w:r>
    </w:p>
    <w:p>
      <w:pPr>
        <w:pStyle w:val="Heading3"/>
      </w:pPr>
      <w:r>
        <w:t>M.3.1 — Coastal-State Position</w:t>
      </w:r>
    </w:p>
    <w:p>
      <w:pPr>
        <w:spacing w:after="80"/>
        <w:ind w:left="360"/>
      </w:pPr>
      <w:r>
        <w:rPr>
          <w:b/>
        </w:rPr>
        <w:t xml:space="preserve">Recognized rights and responsibilities — </w:t>
      </w:r>
      <w:r>
        <w:rPr>
          <w:b w:val="0"/>
        </w:rPr>
        <w:t>Iran holds the rights and responsibilities of a coastal state bordering an international strait, consistent with the maritime-law framework the Compact references.</w:t>
      </w:r>
    </w:p>
    <w:p>
      <w:pPr>
        <w:spacing w:after="80"/>
        <w:ind w:left="360"/>
      </w:pPr>
      <w:r>
        <w:rPr>
          <w:b/>
        </w:rPr>
        <w:t xml:space="preserve">Transit-passage architecture — </w:t>
      </w:r>
      <w:r>
        <w:rPr>
          <w:b w:val="0"/>
        </w:rPr>
        <w:t>The framework treats the Strait as a passage open to the continuous transit of all vessels, and the non-interdiction protocol gives this principle operational force.</w:t>
      </w:r>
    </w:p>
    <w:p>
      <w:pPr>
        <w:spacing w:after="80"/>
        <w:ind w:left="360"/>
      </w:pPr>
      <w:r>
        <w:rPr>
          <w:b/>
        </w:rPr>
        <w:t xml:space="preserve">Balance — </w:t>
      </w:r>
      <w:r>
        <w:rPr>
          <w:b w:val="0"/>
        </w:rPr>
        <w:t>The framework balances the coastal state's rights with the transit rights of all states, so that neither the coastal-state position nor the transit principle overrides the other.</w:t>
      </w:r>
    </w:p>
    <w:p>
      <w:pPr>
        <w:pStyle w:val="Heading3"/>
      </w:pPr>
      <w:r>
        <w:t>M.3.2 — Interpretive Anchors (Model)</w:t>
      </w:r>
    </w:p>
    <w:p>
      <w:pPr>
        <w:spacing w:after="120"/>
      </w:pPr>
      <w:r>
        <w:rPr>
          <w:i w:val="0"/>
        </w:rPr>
        <w:t>The framework anchors its maritime provisions on recognized law-of-the-sea concepts: the regime of transit passage through straits used for international navigation, the coastal state's regulatory rights consistent with non-suspension of passage, and the duty of all vessels to transit without threat. These anchors hold whether or not every party is a formal signatory to a given instrument, because the framework adopts the concepts directly into its own architecture.</w:t>
      </w:r>
    </w:p>
    <w:p>
      <w:pPr>
        <w:pStyle w:val="Heading2"/>
      </w:pPr>
      <w:r>
        <w:t>M.4 Joint Maritime Coordination Center Operating Manual</w:t>
      </w:r>
    </w:p>
    <w:p>
      <w:pPr>
        <w:spacing w:after="120"/>
      </w:pPr>
      <w:r>
        <w:rPr>
          <w:i w:val="0"/>
        </w:rPr>
        <w:t>This section states the operating architecture of the Joint Maritime Coordination Center in Bandar Abbas, with its coordinating partner function in Muscat. It defines staffing, dashboards, and reporting.</w:t>
      </w:r>
    </w:p>
    <w:p>
      <w:pPr>
        <w:pStyle w:val="Heading3"/>
      </w:pPr>
      <w:r>
        <w:t>M.4.1 — Staffing Architecture</w:t>
      </w:r>
    </w:p>
    <w:p>
      <w:pPr>
        <w:spacing w:after="80"/>
        <w:ind w:left="360"/>
      </w:pPr>
      <w:r>
        <w:rPr>
          <w:b/>
        </w:rPr>
        <w:t xml:space="preserve">Composition — </w:t>
      </w:r>
      <w:r>
        <w:rPr>
          <w:b w:val="0"/>
        </w:rPr>
        <w:t>The Center seats maritime liaisons from both Parties and a Neutral-Guarantor coordinator, so that no single Party operates the Center alone.</w:t>
      </w:r>
    </w:p>
    <w:p>
      <w:pPr>
        <w:spacing w:after="80"/>
        <w:ind w:left="360"/>
      </w:pPr>
      <w:r>
        <w:rPr>
          <w:b/>
        </w:rPr>
        <w:t xml:space="preserve">Watch structure — </w:t>
      </w:r>
      <w:r>
        <w:rPr>
          <w:b w:val="0"/>
        </w:rPr>
        <w:t>A continuous watch covers the traffic picture around the clock, and each watch logs its handover to the next.</w:t>
      </w:r>
    </w:p>
    <w:p>
      <w:pPr>
        <w:spacing w:after="80"/>
        <w:ind w:left="360"/>
      </w:pPr>
      <w:r>
        <w:rPr>
          <w:b/>
        </w:rPr>
        <w:t xml:space="preserve">Authority — </w:t>
      </w:r>
      <w:r>
        <w:rPr>
          <w:b w:val="0"/>
        </w:rPr>
        <w:t>The Center coordinates and communicates; it issues no compliance determination, consistent with the guarantor's facilitation role.</w:t>
      </w:r>
    </w:p>
    <w:p>
      <w:pPr>
        <w:pStyle w:val="Heading3"/>
      </w:pPr>
      <w:r>
        <w:t>M.4.2 — Dashboards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Dashboard</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Content</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Audience</w:t>
            </w:r>
          </w:p>
        </w:tc>
      </w:tr>
      <w:tr>
        <w:tc>
          <w:tcPr>
            <w:tcW w:type="dxa" w:w="3009"/>
            <w:tcBorders>
              <w:top w:val="single" w:sz="4" w:color="BBBBBB"/>
              <w:left w:val="single" w:sz="4" w:color="BBBBBB"/>
              <w:bottom w:val="single" w:sz="4" w:color="BBBBBB"/>
              <w:right w:val="single" w:sz="4" w:color="BBBBBB"/>
            </w:tcBorders>
          </w:tcPr>
          <w:p>
            <w:r/>
            <w:r>
              <w:rPr>
                <w:sz w:val="19"/>
              </w:rPr>
              <w:t>Public transit dashboard</w:t>
            </w:r>
          </w:p>
        </w:tc>
        <w:tc>
          <w:tcPr>
            <w:tcW w:type="dxa" w:w="3009"/>
            <w:tcBorders>
              <w:top w:val="single" w:sz="4" w:color="BBBBBB"/>
              <w:left w:val="single" w:sz="4" w:color="BBBBBB"/>
              <w:bottom w:val="single" w:sz="4" w:color="BBBBBB"/>
              <w:right w:val="single" w:sz="4" w:color="BBBBBB"/>
            </w:tcBorders>
          </w:tcPr>
          <w:p>
            <w:r/>
            <w:r>
              <w:rPr>
                <w:sz w:val="19"/>
              </w:rPr>
              <w:t>Aggregate transit volumes and recovery curve</w:t>
            </w:r>
          </w:p>
        </w:tc>
        <w:tc>
          <w:tcPr>
            <w:tcW w:type="dxa" w:w="3009"/>
            <w:tcBorders>
              <w:top w:val="single" w:sz="4" w:color="BBBBBB"/>
              <w:left w:val="single" w:sz="4" w:color="BBBBBB"/>
              <w:bottom w:val="single" w:sz="4" w:color="BBBBBB"/>
              <w:right w:val="single" w:sz="4" w:color="BBBBBB"/>
            </w:tcBorders>
          </w:tcPr>
          <w:p>
            <w:r/>
            <w:r>
              <w:rPr>
                <w:sz w:val="19"/>
              </w:rPr>
              <w:t>Public</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Operational traffic picture</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Real-time vessel positions and convergence alerts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Center watch and both navies</w:t>
            </w:r>
          </w:p>
        </w:tc>
      </w:tr>
      <w:tr>
        <w:tc>
          <w:tcPr>
            <w:tcW w:type="dxa" w:w="3009"/>
            <w:tcBorders>
              <w:top w:val="single" w:sz="4" w:color="BBBBBB"/>
              <w:left w:val="single" w:sz="4" w:color="BBBBBB"/>
              <w:bottom w:val="single" w:sz="4" w:color="BBBBBB"/>
              <w:right w:val="single" w:sz="4" w:color="BBBBBB"/>
            </w:tcBorders>
          </w:tcPr>
          <w:p>
            <w:r/>
            <w:r>
              <w:rPr>
                <w:sz w:val="19"/>
              </w:rPr>
              <w:t>Incident log</w:t>
            </w:r>
          </w:p>
        </w:tc>
        <w:tc>
          <w:tcPr>
            <w:tcW w:type="dxa" w:w="3009"/>
            <w:tcBorders>
              <w:top w:val="single" w:sz="4" w:color="BBBBBB"/>
              <w:left w:val="single" w:sz="4" w:color="BBBBBB"/>
              <w:bottom w:val="single" w:sz="4" w:color="BBBBBB"/>
              <w:right w:val="single" w:sz="4" w:color="BBBBBB"/>
            </w:tcBorders>
          </w:tcPr>
          <w:p>
            <w:r/>
            <w:r>
              <w:rPr>
                <w:sz w:val="19"/>
              </w:rPr>
              <w:t>Logged events and their resolution status</w:t>
            </w:r>
          </w:p>
        </w:tc>
        <w:tc>
          <w:tcPr>
            <w:tcW w:type="dxa" w:w="3009"/>
            <w:tcBorders>
              <w:top w:val="single" w:sz="4" w:color="BBBBBB"/>
              <w:left w:val="single" w:sz="4" w:color="BBBBBB"/>
              <w:bottom w:val="single" w:sz="4" w:color="BBBBBB"/>
              <w:right w:val="single" w:sz="4" w:color="BBBBBB"/>
            </w:tcBorders>
          </w:tcPr>
          <w:p>
            <w:r/>
            <w:r>
              <w:rPr>
                <w:sz w:val="19"/>
              </w:rPr>
              <w:t>Both Parties and the Neutral Guarantor</w:t>
            </w:r>
          </w:p>
        </w:tc>
      </w:tr>
    </w:tbl>
    <w:p>
      <w:pPr>
        <w:spacing w:after="40"/>
      </w:pPr>
    </w:p>
    <w:p>
      <w:pPr>
        <w:pStyle w:val="Heading3"/>
      </w:pPr>
      <w:r>
        <w:t>M.4.3 — Reporting Cadence</w:t>
      </w:r>
    </w:p>
    <w:p>
      <w:pPr>
        <w:spacing w:after="80"/>
        <w:ind w:left="360"/>
      </w:pPr>
      <w:r>
        <w:rPr>
          <w:b/>
        </w:rPr>
        <w:t xml:space="preserve">Weekly recovery report — </w:t>
      </w:r>
      <w:r>
        <w:rPr>
          <w:b w:val="0"/>
        </w:rPr>
        <w:t>The Neutral Guarantor publishes a weekly recovery report during the 30-day window and posts it to the public dashboard.</w:t>
      </w:r>
    </w:p>
    <w:p>
      <w:pPr>
        <w:spacing w:after="80"/>
        <w:ind w:left="360"/>
      </w:pPr>
      <w:r>
        <w:rPr>
          <w:b/>
        </w:rPr>
        <w:t xml:space="preserve">Incident closure — </w:t>
      </w:r>
      <w:r>
        <w:rPr>
          <w:b w:val="0"/>
        </w:rPr>
        <w:t>Each logged incident carries a closure entry that both Parties confirm, and the entry records the factual resolution.</w:t>
      </w:r>
    </w:p>
    <w:p>
      <w:pPr>
        <w:spacing w:after="80"/>
        <w:ind w:left="360"/>
      </w:pPr>
      <w:r>
        <w:rPr>
          <w:b/>
        </w:rPr>
        <w:t xml:space="preserve">Milestone confirmation — </w:t>
      </w:r>
      <w:r>
        <w:rPr>
          <w:b w:val="0"/>
        </w:rPr>
        <w:t>The Center confirms the transit-normalization milestone that pairs with the Day 1 relief tranche, and the confirmation posts to the verification dashboard.</w:t>
      </w:r>
    </w:p>
    <w:p>
      <w:r>
        <w:br w:type="page"/>
      </w:r>
    </w:p>
    <w:p>
      <w:pPr>
        <w:pStyle w:val="Heading1"/>
      </w:pPr>
      <w:r>
        <w:t>Annex N: Verification, Compliance, and Dispute Resolution Frameworks</w:t>
      </w:r>
    </w:p>
    <w:p>
      <w:pPr>
        <w:spacing w:after="120"/>
      </w:pPr>
      <w:r>
        <w:rPr>
          <w:i w:val="0"/>
        </w:rPr>
        <w:t>This annex builds the machinery that Articles V, VI, VII, and VIII operate upon. It states the Human-in-the-Loop Review charter, the neutral-guarantor agreements for Oman, Qatar, and Switzerland, the telemetry dashboard specification, and the Step-Back and Earn-Back protocol. The architecture keeps compliance determinations anchored on the telemetry record and keeps every dispute inside a proportionate, reversible pathway.</w:t>
      </w:r>
    </w:p>
    <w:p>
      <w:pPr>
        <w:pStyle w:val="Heading2"/>
      </w:pPr>
      <w:r>
        <w:t>N.1 Human-in-the-Loop Review Charter</w:t>
      </w:r>
    </w:p>
    <w:p>
      <w:pPr>
        <w:spacing w:after="120"/>
      </w:pPr>
      <w:r>
        <w:rPr>
          <w:i w:val="0"/>
        </w:rPr>
        <w:t>This section states the composition, authority, and timelines of the Human-in-the-Loop Review. The Review supplements the mechanical record: it interprets an anomaly that the telemetry flags, and its judgment refines rather than overrides the sensor data.</w:t>
      </w:r>
    </w:p>
    <w:p>
      <w:pPr>
        <w:pStyle w:val="Heading3"/>
      </w:pPr>
      <w:r>
        <w:t>N.1.1 — Composition</w:t>
      </w:r>
    </w:p>
    <w:p>
      <w:pPr>
        <w:spacing w:after="80"/>
        <w:ind w:left="360"/>
      </w:pPr>
      <w:r>
        <w:rPr>
          <w:b/>
        </w:rPr>
        <w:t xml:space="preserve">Membership — </w:t>
      </w:r>
      <w:r>
        <w:rPr>
          <w:b w:val="0"/>
        </w:rPr>
        <w:t>The Review seats technical representatives from both Parties and a Neutral-Guarantor chair, so that neither Party holds a majority and the chair holds no compliance vote.</w:t>
      </w:r>
    </w:p>
    <w:p>
      <w:pPr>
        <w:spacing w:after="80"/>
        <w:ind w:left="360"/>
      </w:pPr>
      <w:r>
        <w:rPr>
          <w:b/>
        </w:rPr>
        <w:t xml:space="preserve">Technical advisors — </w:t>
      </w:r>
      <w:r>
        <w:rPr>
          <w:b w:val="0"/>
        </w:rPr>
        <w:t>IAEA and maritime technical advisors support the Review with the verification record relevant to the flagged anomaly.</w:t>
      </w:r>
    </w:p>
    <w:p>
      <w:pPr>
        <w:spacing w:after="80"/>
        <w:ind w:left="360"/>
      </w:pPr>
      <w:r>
        <w:rPr>
          <w:b/>
        </w:rPr>
        <w:t xml:space="preserve">Quorum — </w:t>
      </w:r>
      <w:r>
        <w:rPr>
          <w:b w:val="0"/>
        </w:rPr>
        <w:t>The Review convenes with both Parties present; the architecture excludes a determination reached in the absence of either Party.</w:t>
      </w:r>
    </w:p>
    <w:p>
      <w:pPr>
        <w:pStyle w:val="Heading3"/>
      </w:pPr>
      <w:r>
        <w:t>N.1.2 — Authority</w:t>
      </w:r>
    </w:p>
    <w:p>
      <w:pPr>
        <w:spacing w:after="80"/>
        <w:ind w:left="360"/>
      </w:pPr>
      <w:r>
        <w:rPr>
          <w:b/>
        </w:rPr>
        <w:t xml:space="preserve">Interpretive authority — </w:t>
      </w:r>
      <w:r>
        <w:rPr>
          <w:b w:val="0"/>
        </w:rPr>
        <w:t>The Review interprets a flagged anomaly against the telemetry record and recommends a correction pathway.</w:t>
      </w:r>
    </w:p>
    <w:p>
      <w:pPr>
        <w:spacing w:after="80"/>
        <w:ind w:left="360"/>
      </w:pPr>
      <w:r>
        <w:rPr>
          <w:b/>
        </w:rPr>
        <w:t xml:space="preserve">Boundary — </w:t>
      </w:r>
      <w:r>
        <w:rPr>
          <w:b w:val="0"/>
        </w:rPr>
        <w:t>The Review's judgment supplements the mechanical confirmation and refines its interpretation; the architecture excludes any Review action that overrides a clear dashboard-verified reading.</w:t>
      </w:r>
    </w:p>
    <w:p>
      <w:pPr>
        <w:spacing w:after="80"/>
        <w:ind w:left="360"/>
      </w:pPr>
      <w:r>
        <w:rPr>
          <w:b/>
        </w:rPr>
        <w:t xml:space="preserve">Output — </w:t>
      </w:r>
      <w:r>
        <w:rPr>
          <w:b w:val="0"/>
        </w:rPr>
        <w:t>The Review issues a factual finding and a correction window; it issues no penalty beyond the proportionate Step-Back the next protocol defines.</w:t>
      </w:r>
    </w:p>
    <w:p>
      <w:pPr>
        <w:pStyle w:val="Heading3"/>
      </w:pPr>
      <w:r>
        <w:t>N.1.3 — Timelines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Stage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Window</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Action</w:t>
            </w:r>
          </w:p>
        </w:tc>
      </w:tr>
      <w:tr>
        <w:tc>
          <w:tcPr>
            <w:tcW w:type="dxa" w:w="3009"/>
            <w:tcBorders>
              <w:top w:val="single" w:sz="4" w:color="BBBBBB"/>
              <w:left w:val="single" w:sz="4" w:color="BBBBBB"/>
              <w:bottom w:val="single" w:sz="4" w:color="BBBBBB"/>
              <w:right w:val="single" w:sz="4" w:color="BBBBBB"/>
            </w:tcBorders>
          </w:tcPr>
          <w:p>
            <w:r/>
            <w:r>
              <w:rPr>
                <w:sz w:val="19"/>
              </w:rPr>
              <w:t>Convening</w:t>
            </w:r>
          </w:p>
        </w:tc>
        <w:tc>
          <w:tcPr>
            <w:tcW w:type="dxa" w:w="3009"/>
            <w:tcBorders>
              <w:top w:val="single" w:sz="4" w:color="BBBBBB"/>
              <w:left w:val="single" w:sz="4" w:color="BBBBBB"/>
              <w:bottom w:val="single" w:sz="4" w:color="BBBBBB"/>
              <w:right w:val="single" w:sz="4" w:color="BBBBBB"/>
            </w:tcBorders>
          </w:tcPr>
          <w:p>
            <w:r/>
            <w:r>
              <w:rPr>
                <w:sz w:val="19"/>
              </w:rPr>
              <w:t>Inside the charter window after an anomaly flag</w:t>
            </w:r>
          </w:p>
        </w:tc>
        <w:tc>
          <w:tcPr>
            <w:tcW w:type="dxa" w:w="3009"/>
            <w:tcBorders>
              <w:top w:val="single" w:sz="4" w:color="BBBBBB"/>
              <w:left w:val="single" w:sz="4" w:color="BBBBBB"/>
              <w:bottom w:val="single" w:sz="4" w:color="BBBBBB"/>
              <w:right w:val="single" w:sz="4" w:color="BBBBBB"/>
            </w:tcBorders>
          </w:tcPr>
          <w:p>
            <w:r/>
            <w:r>
              <w:rPr>
                <w:sz w:val="19"/>
              </w:rPr>
              <w:t>Review seats both Parties and the chair</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Fact-finding</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Defined fact-finding period</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Review examines the telemetry record</w:t>
            </w:r>
          </w:p>
        </w:tc>
      </w:tr>
      <w:tr>
        <w:tc>
          <w:tcPr>
            <w:tcW w:type="dxa" w:w="3009"/>
            <w:tcBorders>
              <w:top w:val="single" w:sz="4" w:color="BBBBBB"/>
              <w:left w:val="single" w:sz="4" w:color="BBBBBB"/>
              <w:bottom w:val="single" w:sz="4" w:color="BBBBBB"/>
              <w:right w:val="single" w:sz="4" w:color="BBBBBB"/>
            </w:tcBorders>
          </w:tcPr>
          <w:p>
            <w:r/>
            <w:r>
              <w:rPr>
                <w:sz w:val="19"/>
              </w:rPr>
              <w:t>Finding</w:t>
            </w:r>
          </w:p>
        </w:tc>
        <w:tc>
          <w:tcPr>
            <w:tcW w:type="dxa" w:w="3009"/>
            <w:tcBorders>
              <w:top w:val="single" w:sz="4" w:color="BBBBBB"/>
              <w:left w:val="single" w:sz="4" w:color="BBBBBB"/>
              <w:bottom w:val="single" w:sz="4" w:color="BBBBBB"/>
              <w:right w:val="single" w:sz="4" w:color="BBBBBB"/>
            </w:tcBorders>
          </w:tcPr>
          <w:p>
            <w:r/>
            <w:r>
              <w:rPr>
                <w:sz w:val="19"/>
              </w:rPr>
              <w:t>On completion of fact-finding</w:t>
            </w:r>
          </w:p>
        </w:tc>
        <w:tc>
          <w:tcPr>
            <w:tcW w:type="dxa" w:w="3009"/>
            <w:tcBorders>
              <w:top w:val="single" w:sz="4" w:color="BBBBBB"/>
              <w:left w:val="single" w:sz="4" w:color="BBBBBB"/>
              <w:bottom w:val="single" w:sz="4" w:color="BBBBBB"/>
              <w:right w:val="single" w:sz="4" w:color="BBBBBB"/>
            </w:tcBorders>
          </w:tcPr>
          <w:p>
            <w:r/>
            <w:r>
              <w:rPr>
                <w:sz w:val="19"/>
              </w:rPr>
              <w:t>Review issues a factual finding</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Correction window</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Proportionate to the anomaly</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Affected Party corrects; Earn-Back re-activates the paired unit</w:t>
            </w:r>
          </w:p>
        </w:tc>
      </w:tr>
    </w:tbl>
    <w:p>
      <w:pPr>
        <w:spacing w:after="40"/>
      </w:pPr>
    </w:p>
    <w:p>
      <w:pPr>
        <w:pStyle w:val="Heading2"/>
      </w:pPr>
      <w:r>
        <w:t>N.2 Neutral Guarantor Agreements</w:t>
      </w:r>
    </w:p>
    <w:p>
      <w:pPr>
        <w:spacing w:after="120"/>
      </w:pPr>
      <w:r>
        <w:rPr>
          <w:i w:val="0"/>
        </w:rPr>
        <w:t>This section states the distinct roles of the three guarantor functions. Oman serves as the diplomatic guarantor, Switzerland as the technical guarantor, and Qatar as a regional facilitation partner. Each guarantor facilitates and protects infrastructure; none enforces compliance.</w:t>
      </w:r>
    </w:p>
    <w:p>
      <w:pPr>
        <w:pStyle w:val="Heading3"/>
      </w:pPr>
      <w:r>
        <w:t>N.2.1 — Oman (Diplomatic Guarantor)</w:t>
      </w:r>
    </w:p>
    <w:p>
      <w:pPr>
        <w:spacing w:after="80"/>
        <w:ind w:left="360"/>
      </w:pPr>
      <w:r>
        <w:rPr>
          <w:b/>
        </w:rPr>
        <w:t xml:space="preserve">Role — </w:t>
      </w:r>
      <w:r>
        <w:rPr>
          <w:b w:val="0"/>
        </w:rPr>
        <w:t>Oman hosts the Joint Coordination Center, facilitates communication, and offers its good offices to both Parties.</w:t>
      </w:r>
    </w:p>
    <w:p>
      <w:pPr>
        <w:spacing w:after="80"/>
        <w:ind w:left="360"/>
      </w:pPr>
      <w:r>
        <w:rPr>
          <w:b/>
        </w:rPr>
        <w:t xml:space="preserve">Boundary — </w:t>
      </w:r>
      <w:r>
        <w:rPr>
          <w:b w:val="0"/>
        </w:rPr>
        <w:t>Oman facilitates rather than enforces; Oman takes no side and issues no compliance determination.</w:t>
      </w:r>
    </w:p>
    <w:p>
      <w:pPr>
        <w:pStyle w:val="Heading3"/>
      </w:pPr>
      <w:r>
        <w:t>N.2.2 — Switzerland (Technical Guarantor)</w:t>
      </w:r>
    </w:p>
    <w:p>
      <w:pPr>
        <w:spacing w:after="80"/>
        <w:ind w:left="360"/>
      </w:pPr>
      <w:r>
        <w:rPr>
          <w:b/>
        </w:rPr>
        <w:t xml:space="preserve">Role — </w:t>
      </w:r>
      <w:r>
        <w:rPr>
          <w:b w:val="0"/>
        </w:rPr>
        <w:t>Switzerland hosts the verification dashboard and protects the escrow architecture, so that data and financial flows operate transparently.</w:t>
      </w:r>
    </w:p>
    <w:p>
      <w:pPr>
        <w:spacing w:after="80"/>
        <w:ind w:left="360"/>
      </w:pPr>
      <w:r>
        <w:rPr>
          <w:b/>
        </w:rPr>
        <w:t xml:space="preserve">Boundary — </w:t>
      </w:r>
      <w:r>
        <w:rPr>
          <w:b w:val="0"/>
        </w:rPr>
        <w:t>Switzerland provides technical infrastructure rather than political judgment, and it determines neither compliance nor relief.</w:t>
      </w:r>
    </w:p>
    <w:p>
      <w:pPr>
        <w:pStyle w:val="Heading3"/>
      </w:pPr>
      <w:r>
        <w:t>N.2.3 — Qatar (Regional Facilitation Partner)</w:t>
      </w:r>
    </w:p>
    <w:p>
      <w:pPr>
        <w:spacing w:after="80"/>
        <w:ind w:left="360"/>
      </w:pPr>
      <w:r>
        <w:rPr>
          <w:b/>
        </w:rPr>
        <w:t xml:space="preserve">Role — </w:t>
      </w:r>
      <w:r>
        <w:rPr>
          <w:b w:val="0"/>
        </w:rPr>
        <w:t>Qatar supports regional facilitation and backchannel communication, and its long-standing channels with both Parties position it to relay sensitive matters.</w:t>
      </w:r>
    </w:p>
    <w:p>
      <w:pPr>
        <w:spacing w:after="80"/>
        <w:ind w:left="360"/>
      </w:pPr>
      <w:r>
        <w:rPr>
          <w:b/>
        </w:rPr>
        <w:t xml:space="preserve">Boundary — </w:t>
      </w:r>
      <w:r>
        <w:rPr>
          <w:b w:val="0"/>
        </w:rPr>
        <w:t>Qatar facilitates communication and takes no enforcement role, consistent with the neutral-facilitation architecture.</w:t>
      </w:r>
    </w:p>
    <w:p>
      <w:pPr>
        <w:pStyle w:val="Heading3"/>
      </w:pPr>
      <w:r>
        <w:t>N.2.4 — Coordinated Guarantor Function</w:t>
      </w:r>
    </w:p>
    <w:p>
      <w:pPr>
        <w:spacing w:after="120"/>
      </w:pPr>
      <w:r>
        <w:rPr>
          <w:i w:val="0"/>
        </w:rPr>
        <w:t>On each major milestone, the guarantors issue a coordinated factual statement that records the dashboard status and confirms that the escrow mechanisms operate as designed. The coordinated function keeps the guarantor voice factual and aligned, and the architecture excludes any guarantor characterization that assigns blame or claims knowledge beyond the dashboard.</w:t>
      </w:r>
    </w:p>
    <w:p>
      <w:pPr>
        <w:pStyle w:val="Heading2"/>
      </w:pPr>
      <w:r>
        <w:t>N.3 Telemetry Dashboard Specification</w:t>
      </w:r>
    </w:p>
    <w:p>
      <w:pPr>
        <w:spacing w:after="120"/>
      </w:pPr>
      <w:r>
        <w:rPr>
          <w:i w:val="0"/>
        </w:rPr>
        <w:t>This section specifies the dashboard that the Swiss guarantor hosts. It states the data sources, the encryption architecture, and the access rules. The dashboard supplies the single shared record that every compliance determination rests upon.</w:t>
      </w:r>
    </w:p>
    <w:p>
      <w:pPr>
        <w:pStyle w:val="Heading3"/>
      </w:pPr>
      <w:r>
        <w:t>N.3.1 — Data Sources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Source</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Feed</w:t>
            </w:r>
          </w:p>
        </w:tc>
        <w:tc>
          <w:tcPr>
            <w:tcW w:type="dxa" w:w="3009"/>
            <w:shd w:val="clear" w:color="auto" w:fill="1F496E"/>
            <w:tcBorders>
              <w:top w:val="single" w:sz="4" w:color="BBBBBB"/>
              <w:left w:val="single" w:sz="4" w:color="BBBBBB"/>
              <w:bottom w:val="single" w:sz="4" w:color="BBBBBB"/>
              <w:right w:val="single" w:sz="4" w:color="BBBBBB"/>
            </w:tcBorders>
          </w:tcPr>
          <w:p>
            <w:r/>
            <w:r>
              <w:rPr>
                <w:b/>
                <w:color w:val="FFFFFF"/>
                <w:sz w:val="19"/>
              </w:rPr>
              <w:t>Determination Role</w:t>
            </w:r>
          </w:p>
        </w:tc>
      </w:tr>
      <w:tr>
        <w:tc>
          <w:tcPr>
            <w:tcW w:type="dxa" w:w="3009"/>
            <w:tcBorders>
              <w:top w:val="single" w:sz="4" w:color="BBBBBB"/>
              <w:left w:val="single" w:sz="4" w:color="BBBBBB"/>
              <w:bottom w:val="single" w:sz="4" w:color="BBBBBB"/>
              <w:right w:val="single" w:sz="4" w:color="BBBBBB"/>
            </w:tcBorders>
          </w:tcPr>
          <w:p>
            <w:r/>
            <w:r>
              <w:rPr>
                <w:sz w:val="19"/>
              </w:rPr>
              <w:t>Nuclear telemetry</w:t>
            </w:r>
          </w:p>
        </w:tc>
        <w:tc>
          <w:tcPr>
            <w:tcW w:type="dxa" w:w="3009"/>
            <w:tcBorders>
              <w:top w:val="single" w:sz="4" w:color="BBBBBB"/>
              <w:left w:val="single" w:sz="4" w:color="BBBBBB"/>
              <w:bottom w:val="single" w:sz="4" w:color="BBBBBB"/>
              <w:right w:val="single" w:sz="4" w:color="BBBBBB"/>
            </w:tcBorders>
          </w:tcPr>
          <w:p>
            <w:r/>
            <w:r>
              <w:rPr>
                <w:sz w:val="19"/>
              </w:rPr>
              <w:t>IAEA monitors, cameras, electronic seals</w:t>
            </w:r>
          </w:p>
        </w:tc>
        <w:tc>
          <w:tcPr>
            <w:tcW w:type="dxa" w:w="3009"/>
            <w:tcBorders>
              <w:top w:val="single" w:sz="4" w:color="BBBBBB"/>
              <w:left w:val="single" w:sz="4" w:color="BBBBBB"/>
              <w:bottom w:val="single" w:sz="4" w:color="BBBBBB"/>
              <w:right w:val="single" w:sz="4" w:color="BBBBBB"/>
            </w:tcBorders>
          </w:tcPr>
          <w:p>
            <w:r/>
            <w:r>
              <w:rPr>
                <w:sz w:val="19"/>
              </w:rPr>
              <w:t>Anchors nuclear compliance readings</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Financial escrow</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Escrow movement and milestone confirmations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Anchors relief-tranche activation</w:t>
            </w:r>
          </w:p>
        </w:tc>
      </w:tr>
      <w:tr>
        <w:tc>
          <w:tcPr>
            <w:tcW w:type="dxa" w:w="3009"/>
            <w:tcBorders>
              <w:top w:val="single" w:sz="4" w:color="BBBBBB"/>
              <w:left w:val="single" w:sz="4" w:color="BBBBBB"/>
              <w:bottom w:val="single" w:sz="4" w:color="BBBBBB"/>
              <w:right w:val="single" w:sz="4" w:color="BBBBBB"/>
            </w:tcBorders>
          </w:tcPr>
          <w:p>
            <w:r/>
            <w:r>
              <w:rPr>
                <w:sz w:val="19"/>
              </w:rPr>
              <w:t>Maritime traffic</w:t>
            </w:r>
          </w:p>
        </w:tc>
        <w:tc>
          <w:tcPr>
            <w:tcW w:type="dxa" w:w="3009"/>
            <w:tcBorders>
              <w:top w:val="single" w:sz="4" w:color="BBBBBB"/>
              <w:left w:val="single" w:sz="4" w:color="BBBBBB"/>
              <w:bottom w:val="single" w:sz="4" w:color="BBBBBB"/>
              <w:right w:val="single" w:sz="4" w:color="BBBBBB"/>
            </w:tcBorders>
          </w:tcPr>
          <w:p>
            <w:r/>
            <w:r>
              <w:rPr>
                <w:sz w:val="19"/>
              </w:rPr>
              <w:t>Transit volumes and incident log</w:t>
            </w:r>
          </w:p>
        </w:tc>
        <w:tc>
          <w:tcPr>
            <w:tcW w:type="dxa" w:w="3009"/>
            <w:tcBorders>
              <w:top w:val="single" w:sz="4" w:color="BBBBBB"/>
              <w:left w:val="single" w:sz="4" w:color="BBBBBB"/>
              <w:bottom w:val="single" w:sz="4" w:color="BBBBBB"/>
              <w:right w:val="single" w:sz="4" w:color="BBBBBB"/>
            </w:tcBorders>
          </w:tcPr>
          <w:p>
            <w:r/>
            <w:r>
              <w:rPr>
                <w:sz w:val="19"/>
              </w:rPr>
              <w:t>Anchors Strait-reopening confirmation</w:t>
            </w:r>
          </w:p>
        </w:tc>
      </w:tr>
      <w:tr>
        <w:tc>
          <w:tcPr>
            <w:tcW w:type="dxa" w:w="3009"/>
            <w:tcBorders>
              <w:top w:val="single" w:sz="4" w:color="BBBBBB"/>
              <w:left w:val="single" w:sz="4" w:color="BBBBBB"/>
              <w:bottom w:val="single" w:sz="4" w:color="BBBBBB"/>
              <w:right w:val="single" w:sz="4" w:color="BBBBBB"/>
            </w:tcBorders>
            <w:shd w:val="clear" w:color="auto" w:fill="EEF2F7"/>
          </w:tcPr>
          <w:p>
            <w:r/>
            <w:r>
              <w:rPr>
                <w:sz w:val="19"/>
              </w:rPr>
              <w:t>Communication record</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Crisis-channel notifications and closures</w:t>
            </w:r>
          </w:p>
        </w:tc>
        <w:tc>
          <w:tcPr>
            <w:tcW w:type="dxa" w:w="3009"/>
            <w:tcBorders>
              <w:top w:val="single" w:sz="4" w:color="BBBBBB"/>
              <w:left w:val="single" w:sz="4" w:color="BBBBBB"/>
              <w:bottom w:val="single" w:sz="4" w:color="BBBBBB"/>
              <w:right w:val="single" w:sz="4" w:color="BBBBBB"/>
            </w:tcBorders>
            <w:shd w:val="clear" w:color="auto" w:fill="EEF2F7"/>
          </w:tcPr>
          <w:p>
            <w:r/>
            <w:r>
              <w:rPr>
                <w:sz w:val="19"/>
              </w:rPr>
              <w:t>Anchors no-surprise verification</w:t>
            </w:r>
          </w:p>
        </w:tc>
      </w:tr>
    </w:tbl>
    <w:p>
      <w:pPr>
        <w:spacing w:after="40"/>
      </w:pPr>
    </w:p>
    <w:p>
      <w:pPr>
        <w:pStyle w:val="Heading3"/>
      </w:pPr>
      <w:r>
        <w:t>N.3.2 — Encryption and Integrity</w:t>
      </w:r>
    </w:p>
    <w:p>
      <w:pPr>
        <w:spacing w:after="80"/>
        <w:ind w:left="360"/>
      </w:pPr>
      <w:r>
        <w:rPr>
          <w:b/>
        </w:rPr>
        <w:t xml:space="preserve">Encryption — </w:t>
      </w:r>
      <w:r>
        <w:rPr>
          <w:b w:val="0"/>
        </w:rPr>
        <w:t>End-to-end encryption protects every feed, and the architecture excludes unilateral alteration of the record.</w:t>
      </w:r>
    </w:p>
    <w:p>
      <w:pPr>
        <w:spacing w:after="80"/>
        <w:ind w:left="360"/>
      </w:pPr>
      <w:r>
        <w:rPr>
          <w:b/>
        </w:rPr>
        <w:t xml:space="preserve">Tamper evidence — </w:t>
      </w:r>
      <w:r>
        <w:rPr>
          <w:b w:val="0"/>
        </w:rPr>
        <w:t>A break in any feed registers as an anomaly flag rather than a silent gap, and the flag routes to the Human-in-the-Loop Review.</w:t>
      </w:r>
    </w:p>
    <w:p>
      <w:pPr>
        <w:spacing w:after="80"/>
        <w:ind w:left="360"/>
      </w:pPr>
      <w:r>
        <w:rPr>
          <w:b/>
        </w:rPr>
        <w:t xml:space="preserve">Archival integrity — </w:t>
      </w:r>
      <w:r>
        <w:rPr>
          <w:b w:val="0"/>
        </w:rPr>
        <w:t>The Swiss guarantor maintains an immutable archive of every reading for the duration of the framework.</w:t>
      </w:r>
    </w:p>
    <w:p>
      <w:pPr>
        <w:pStyle w:val="Heading3"/>
      </w:pPr>
      <w:r>
        <w:t>N.3.3 — Access Rules</w:t>
      </w:r>
    </w:p>
    <w:p>
      <w:pPr>
        <w:spacing w:after="80"/>
        <w:ind w:left="360"/>
      </w:pPr>
      <w:r>
        <w:rPr>
          <w:b/>
        </w:rPr>
        <w:t xml:space="preserve">Equal access — </w:t>
      </w:r>
      <w:r>
        <w:rPr>
          <w:b w:val="0"/>
        </w:rPr>
        <w:t>Both Parties hold identical access to the dashboard, and neither Party holds a private channel the other lacks.</w:t>
      </w:r>
    </w:p>
    <w:p>
      <w:pPr>
        <w:spacing w:after="80"/>
        <w:ind w:left="360"/>
      </w:pPr>
      <w:r>
        <w:rPr>
          <w:b/>
        </w:rPr>
        <w:t xml:space="preserve">Guarantor access — </w:t>
      </w:r>
      <w:r>
        <w:rPr>
          <w:b w:val="0"/>
        </w:rPr>
        <w:t>The guarantors hold the access their facilitation and protection functions define, and they alter no reading.</w:t>
      </w:r>
    </w:p>
    <w:p>
      <w:pPr>
        <w:spacing w:after="80"/>
        <w:ind w:left="360"/>
      </w:pPr>
      <w:r>
        <w:rPr>
          <w:b/>
        </w:rPr>
        <w:t xml:space="preserve">Public layer — </w:t>
      </w:r>
      <w:r>
        <w:rPr>
          <w:b w:val="0"/>
        </w:rPr>
        <w:t>A public layer publishes the aggregate transit and milestone status that the Compact designates for public release, and it excludes classified operational detail.</w:t>
      </w:r>
    </w:p>
    <w:p>
      <w:pPr>
        <w:pStyle w:val="Heading2"/>
      </w:pPr>
      <w:r>
        <w:t>N.4 Step-Back and Earn-Back Protocol</w:t>
      </w:r>
    </w:p>
    <w:p>
      <w:pPr>
        <w:spacing w:after="120"/>
      </w:pPr>
      <w:r>
        <w:rPr>
          <w:i w:val="0"/>
        </w:rPr>
        <w:t>This section states the proportionality architecture that governs a compliance failure and its correction. A non-compliance event triggers a proportionate Step-Back of the affected reciprocity unit, a correction window opens, and verified correction re-activates the unit through Earn-Back. The protocol keeps every failure inside a reversible, proportionate pathway rather than a binary collapse.</w:t>
      </w:r>
    </w:p>
    <w:p>
      <w:pPr>
        <w:pStyle w:val="Heading3"/>
      </w:pPr>
      <w:r>
        <w:t>N.4.1 — Proportionality Scale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Breach Class</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Step-Back Magnitude</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Correction Window</w:t>
            </w:r>
          </w:p>
        </w:tc>
        <w:tc>
          <w:tcPr>
            <w:tcW w:type="dxa" w:w="2256"/>
            <w:shd w:val="clear" w:color="auto" w:fill="1F496E"/>
            <w:tcBorders>
              <w:top w:val="single" w:sz="4" w:color="BBBBBB"/>
              <w:left w:val="single" w:sz="4" w:color="BBBBBB"/>
              <w:bottom w:val="single" w:sz="4" w:color="BBBBBB"/>
              <w:right w:val="single" w:sz="4" w:color="BBBBBB"/>
            </w:tcBorders>
          </w:tcPr>
          <w:p>
            <w:r/>
            <w:r>
              <w:rPr>
                <w:b/>
                <w:color w:val="FFFFFF"/>
                <w:sz w:val="19"/>
              </w:rPr>
              <w:t>Earn-Back Trigger</w:t>
            </w:r>
          </w:p>
        </w:tc>
      </w:tr>
      <w:tr>
        <w:tc>
          <w:tcPr>
            <w:tcW w:type="dxa" w:w="2256"/>
            <w:tcBorders>
              <w:top w:val="single" w:sz="4" w:color="BBBBBB"/>
              <w:left w:val="single" w:sz="4" w:color="BBBBBB"/>
              <w:bottom w:val="single" w:sz="4" w:color="BBBBBB"/>
              <w:right w:val="single" w:sz="4" w:color="BBBBBB"/>
            </w:tcBorders>
          </w:tcPr>
          <w:p>
            <w:r/>
            <w:r>
              <w:rPr>
                <w:sz w:val="19"/>
              </w:rPr>
              <w:t>Technical anomaly</w:t>
            </w:r>
          </w:p>
        </w:tc>
        <w:tc>
          <w:tcPr>
            <w:tcW w:type="dxa" w:w="2256"/>
            <w:tcBorders>
              <w:top w:val="single" w:sz="4" w:color="BBBBBB"/>
              <w:left w:val="single" w:sz="4" w:color="BBBBBB"/>
              <w:bottom w:val="single" w:sz="4" w:color="BBBBBB"/>
              <w:right w:val="single" w:sz="4" w:color="BBBBBB"/>
            </w:tcBorders>
          </w:tcPr>
          <w:p>
            <w:r/>
            <w:r>
              <w:rPr>
                <w:sz w:val="19"/>
              </w:rPr>
              <w:t>No step-back; flag only</w:t>
            </w:r>
          </w:p>
        </w:tc>
        <w:tc>
          <w:tcPr>
            <w:tcW w:type="dxa" w:w="2256"/>
            <w:tcBorders>
              <w:top w:val="single" w:sz="4" w:color="BBBBBB"/>
              <w:left w:val="single" w:sz="4" w:color="BBBBBB"/>
              <w:bottom w:val="single" w:sz="4" w:color="BBBBBB"/>
              <w:right w:val="single" w:sz="4" w:color="BBBBBB"/>
            </w:tcBorders>
          </w:tcPr>
          <w:p>
            <w:r/>
            <w:r>
              <w:rPr>
                <w:sz w:val="19"/>
              </w:rPr>
              <w:t>Immediate technical conference</w:t>
            </w:r>
          </w:p>
        </w:tc>
        <w:tc>
          <w:tcPr>
            <w:tcW w:type="dxa" w:w="2256"/>
            <w:tcBorders>
              <w:top w:val="single" w:sz="4" w:color="BBBBBB"/>
              <w:left w:val="single" w:sz="4" w:color="BBBBBB"/>
              <w:bottom w:val="single" w:sz="4" w:color="BBBBBB"/>
              <w:right w:val="single" w:sz="4" w:color="BBBBBB"/>
            </w:tcBorders>
          </w:tcPr>
          <w:p>
            <w:r/>
            <w:r>
              <w:rPr>
                <w:sz w:val="19"/>
              </w:rPr>
              <w:t>Anomaly explained on the record</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Single-unit lapse</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Suspend the affected reciprocity unit only</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Proportionate short window</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Verified correction of the unit</w:t>
            </w:r>
          </w:p>
        </w:tc>
      </w:tr>
      <w:tr>
        <w:tc>
          <w:tcPr>
            <w:tcW w:type="dxa" w:w="2256"/>
            <w:tcBorders>
              <w:top w:val="single" w:sz="4" w:color="BBBBBB"/>
              <w:left w:val="single" w:sz="4" w:color="BBBBBB"/>
              <w:bottom w:val="single" w:sz="4" w:color="BBBBBB"/>
              <w:right w:val="single" w:sz="4" w:color="BBBBBB"/>
            </w:tcBorders>
          </w:tcPr>
          <w:p>
            <w:r/>
            <w:r>
              <w:rPr>
                <w:sz w:val="19"/>
              </w:rPr>
              <w:t>Repeated lapse</w:t>
            </w:r>
          </w:p>
        </w:tc>
        <w:tc>
          <w:tcPr>
            <w:tcW w:type="dxa" w:w="2256"/>
            <w:tcBorders>
              <w:top w:val="single" w:sz="4" w:color="BBBBBB"/>
              <w:left w:val="single" w:sz="4" w:color="BBBBBB"/>
              <w:bottom w:val="single" w:sz="4" w:color="BBBBBB"/>
              <w:right w:val="single" w:sz="4" w:color="BBBBBB"/>
            </w:tcBorders>
          </w:tcPr>
          <w:p>
            <w:r/>
            <w:r>
              <w:rPr>
                <w:sz w:val="19"/>
              </w:rPr>
              <w:t>Suspend the unit and the paired tranche</w:t>
            </w:r>
          </w:p>
        </w:tc>
        <w:tc>
          <w:tcPr>
            <w:tcW w:type="dxa" w:w="2256"/>
            <w:tcBorders>
              <w:top w:val="single" w:sz="4" w:color="BBBBBB"/>
              <w:left w:val="single" w:sz="4" w:color="BBBBBB"/>
              <w:bottom w:val="single" w:sz="4" w:color="BBBBBB"/>
              <w:right w:val="single" w:sz="4" w:color="BBBBBB"/>
            </w:tcBorders>
          </w:tcPr>
          <w:p>
            <w:r/>
            <w:r>
              <w:rPr>
                <w:sz w:val="19"/>
              </w:rPr>
              <w:t>Defined medium window</w:t>
            </w:r>
          </w:p>
        </w:tc>
        <w:tc>
          <w:tcPr>
            <w:tcW w:type="dxa" w:w="2256"/>
            <w:tcBorders>
              <w:top w:val="single" w:sz="4" w:color="BBBBBB"/>
              <w:left w:val="single" w:sz="4" w:color="BBBBBB"/>
              <w:bottom w:val="single" w:sz="4" w:color="BBBBBB"/>
              <w:right w:val="single" w:sz="4" w:color="BBBBBB"/>
            </w:tcBorders>
          </w:tcPr>
          <w:p>
            <w:r/>
            <w:r>
              <w:rPr>
                <w:sz w:val="19"/>
              </w:rPr>
              <w:t>Sustained verified correction</w:t>
            </w:r>
          </w:p>
        </w:tc>
      </w:tr>
      <w:tr>
        <w:tc>
          <w:tcPr>
            <w:tcW w:type="dxa" w:w="2256"/>
            <w:tcBorders>
              <w:top w:val="single" w:sz="4" w:color="BBBBBB"/>
              <w:left w:val="single" w:sz="4" w:color="BBBBBB"/>
              <w:bottom w:val="single" w:sz="4" w:color="BBBBBB"/>
              <w:right w:val="single" w:sz="4" w:color="BBBBBB"/>
            </w:tcBorders>
            <w:shd w:val="clear" w:color="auto" w:fill="EEF2F7"/>
          </w:tcPr>
          <w:p>
            <w:r/>
            <w:r>
              <w:rPr>
                <w:sz w:val="19"/>
              </w:rPr>
              <w:t>Material breach</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Suspend the affected module</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Charter-defined window</w:t>
            </w:r>
          </w:p>
        </w:tc>
        <w:tc>
          <w:tcPr>
            <w:tcW w:type="dxa" w:w="2256"/>
            <w:tcBorders>
              <w:top w:val="single" w:sz="4" w:color="BBBBBB"/>
              <w:left w:val="single" w:sz="4" w:color="BBBBBB"/>
              <w:bottom w:val="single" w:sz="4" w:color="BBBBBB"/>
              <w:right w:val="single" w:sz="4" w:color="BBBBBB"/>
            </w:tcBorders>
            <w:shd w:val="clear" w:color="auto" w:fill="EEF2F7"/>
          </w:tcPr>
          <w:p>
            <w:r/>
            <w:r>
              <w:rPr>
                <w:sz w:val="19"/>
              </w:rPr>
              <w:t>Full verified restoration</w:t>
            </w:r>
          </w:p>
        </w:tc>
      </w:tr>
      <w:tr>
        <w:tc>
          <w:tcPr>
            <w:tcW w:type="dxa" w:w="2256"/>
            <w:tcBorders>
              <w:top w:val="single" w:sz="4" w:color="BBBBBB"/>
              <w:left w:val="single" w:sz="4" w:color="BBBBBB"/>
              <w:bottom w:val="single" w:sz="4" w:color="BBBBBB"/>
              <w:right w:val="single" w:sz="4" w:color="BBBBBB"/>
            </w:tcBorders>
          </w:tcPr>
          <w:p>
            <w:r/>
            <w:r>
              <w:rPr>
                <w:sz w:val="19"/>
              </w:rPr>
              <w:t>Sustained uncorrected breach</w:t>
            </w:r>
          </w:p>
        </w:tc>
        <w:tc>
          <w:tcPr>
            <w:tcW w:type="dxa" w:w="2256"/>
            <w:tcBorders>
              <w:top w:val="single" w:sz="4" w:color="BBBBBB"/>
              <w:left w:val="single" w:sz="4" w:color="BBBBBB"/>
              <w:bottom w:val="single" w:sz="4" w:color="BBBBBB"/>
              <w:right w:val="single" w:sz="4" w:color="BBBBBB"/>
            </w:tcBorders>
          </w:tcPr>
          <w:p>
            <w:r/>
            <w:r>
              <w:rPr>
                <w:sz w:val="19"/>
              </w:rPr>
              <w:t>Module exit under Article VI</w:t>
            </w:r>
          </w:p>
        </w:tc>
        <w:tc>
          <w:tcPr>
            <w:tcW w:type="dxa" w:w="2256"/>
            <w:tcBorders>
              <w:top w:val="single" w:sz="4" w:color="BBBBBB"/>
              <w:left w:val="single" w:sz="4" w:color="BBBBBB"/>
              <w:bottom w:val="single" w:sz="4" w:color="BBBBBB"/>
              <w:right w:val="single" w:sz="4" w:color="BBBBBB"/>
            </w:tcBorders>
          </w:tcPr>
          <w:p>
            <w:r/>
            <w:r>
              <w:rPr>
                <w:sz w:val="19"/>
              </w:rPr>
              <w:t>Final window before exit</w:t>
            </w:r>
          </w:p>
        </w:tc>
        <w:tc>
          <w:tcPr>
            <w:tcW w:type="dxa" w:w="2256"/>
            <w:tcBorders>
              <w:top w:val="single" w:sz="4" w:color="BBBBBB"/>
              <w:left w:val="single" w:sz="4" w:color="BBBBBB"/>
              <w:bottom w:val="single" w:sz="4" w:color="BBBBBB"/>
              <w:right w:val="single" w:sz="4" w:color="BBBBBB"/>
            </w:tcBorders>
          </w:tcPr>
          <w:p>
            <w:r/>
            <w:r>
              <w:rPr>
                <w:sz w:val="19"/>
              </w:rPr>
              <w:t>Restoration before window close</w:t>
            </w:r>
          </w:p>
        </w:tc>
      </w:tr>
    </w:tbl>
    <w:p>
      <w:pPr>
        <w:spacing w:after="40"/>
      </w:pPr>
    </w:p>
    <w:p>
      <w:pPr>
        <w:pStyle w:val="Heading3"/>
      </w:pPr>
      <w:r>
        <w:t>N.4.2 — Proportionality Discipline</w:t>
      </w:r>
    </w:p>
    <w:p>
      <w:pPr>
        <w:spacing w:after="80"/>
        <w:ind w:left="360"/>
      </w:pPr>
      <w:r>
        <w:rPr>
          <w:b/>
        </w:rPr>
        <w:t xml:space="preserve">Match — </w:t>
      </w:r>
      <w:r>
        <w:rPr>
          <w:b w:val="0"/>
        </w:rPr>
        <w:t>The Step-Back magnitude matches the breach class; the architecture excludes a disproportionate response that suspends unrelated units.</w:t>
      </w:r>
    </w:p>
    <w:p>
      <w:pPr>
        <w:spacing w:after="80"/>
        <w:ind w:left="360"/>
      </w:pPr>
      <w:r>
        <w:rPr>
          <w:b/>
        </w:rPr>
        <w:t xml:space="preserve">Firewall — </w:t>
      </w:r>
      <w:r>
        <w:rPr>
          <w:b w:val="0"/>
        </w:rPr>
        <w:t>Suspension confines itself to the affected unit, tranche, or module, and every unaffected provision continues operating.</w:t>
      </w:r>
    </w:p>
    <w:p>
      <w:pPr>
        <w:spacing w:after="80"/>
        <w:ind w:left="360"/>
      </w:pPr>
      <w:r>
        <w:rPr>
          <w:b/>
        </w:rPr>
        <w:t xml:space="preserve">Reversibility — </w:t>
      </w:r>
      <w:r>
        <w:rPr>
          <w:b w:val="0"/>
        </w:rPr>
        <w:t>Verified correction re-activates the suspended element through Earn-Back, so that a corrected lapse restores rather than penalizes.</w:t>
      </w:r>
    </w:p>
    <w:p>
      <w:pPr>
        <w:pStyle w:val="Heading3"/>
      </w:pPr>
      <w:r>
        <w:t>N.4.3 — Correction Windows</w:t>
      </w:r>
    </w:p>
    <w:p>
      <w:pPr>
        <w:spacing w:after="120"/>
      </w:pPr>
      <w:r>
        <w:rPr>
          <w:i w:val="0"/>
        </w:rPr>
        <w:t>Each breach class carries a correction window proportionate to its magnitude. The window opens on the finding, runs for its defined duration, and closes on verified correction or, in the sustained-uncorrected case, on activation of the module exit. The Human-in-the-Loop Review sets the window inside its charter, and the dashboard records its open and close.</w:t>
      </w:r>
    </w:p>
    <w:p>
      <w:pPr>
        <w:pStyle w:val="Heading3"/>
      </w:pPr>
      <w:r>
        <w:t>N.4.4 — Exit Architecture</w:t>
      </w:r>
    </w:p>
    <w:p>
      <w:pPr>
        <w:spacing w:after="120"/>
      </w:pPr>
      <w:r>
        <w:rPr>
          <w:i w:val="0"/>
        </w:rPr>
        <w:t>Module exit activates only on a sustained, dashboard-verified, uncorrected material breach after the final correction window closes. Exit confines itself to the affected module; the Firewalled Provisions principle keeps every other module and the core Compact intact. The exiting Party records the dashboard basis for exit, so that the exit rests on the verification record rather than on assertion.</w:t>
      </w:r>
    </w:p>
    <w:sectPr>
      <w:headerReference w:type="default" r:id="rId20"/>
      <w:footerReference w:type="default" r:id="rId21"/>
      <w:pgSz w:w="11906" w:h="16838"/>
      <w:pgMar w:top="57" w:right="0" w:bottom="57" w:left="0" w:header="0" w:footer="0"/>
      <w:pgNumType/>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roman"/>
    <w:pitch w:val="variable"/>
  </w:font>
  <w:font w:name="Cambria">
    <w:charset w:val="00" w:characterSet="iso-8859-1"/>
    <w:family w:val="roman"/>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20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26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32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36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42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46</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50</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00" w:before="0" w:after="160"/>
      <w:jc w:val="both"/>
      <w:rPr/>
    </w:pPr>
    <w:r>
      <w:rPr/>
    </w:r>
  </w:p>
  <w:p>
    <w:pPr>
      <w:pStyle w:val="Normal"/>
      <w:bidi w:val="0"/>
      <w:spacing w:before="0" w:after="160"/>
      <w:jc w:val="end"/>
      <w:rPr/>
    </w:pPr>
    <w:r>
      <w:rPr>
        <w:i/>
        <w:color w:val="7A8288"/>
        <w:sz w:val="16"/>
      </w:rPr>
      <w:t>The Hormuz Synchronization Compact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FreeSans"/>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spacing w:lineRule="auto" w:line="300" w:before="0" w:after="160"/>
      <w:jc w:val="both"/>
    </w:pPr>
    <w:rPr>
      <w:rFonts w:ascii="Cambria" w:hAnsi="Cambria" w:eastAsia="Microsoft YaHei" w:cs="FreeSans"/>
      <w:color w:val="1E2530"/>
      <w:kern w:val="2"/>
      <w:sz w:val="22"/>
      <w:szCs w:val="24"/>
      <w:lang w:val="en-US" w:eastAsia="zh-CN" w:bidi="hi-IN"/>
    </w:rPr>
  </w:style>
  <w:style w:type="paragraph" w:styleId="Heading1">
    <w:name w:val="Heading 1"/>
    <w:basedOn w:val="Normal"/>
    <w:qFormat/>
    <w:pPr>
      <w:keepNext w:val="true"/>
      <w:keepLines/>
      <w:spacing w:before="480" w:after="240"/>
      <w:outlineLvl w:val="0"/>
    </w:pPr>
    <w:rPr>
      <w:rFonts w:ascii="Cambria" w:hAnsi="Cambria" w:eastAsia="Microsoft YaHei"/>
      <w:b/>
      <w:color w:val="1A2744"/>
      <w:sz w:val="40"/>
    </w:rPr>
  </w:style>
  <w:style w:type="paragraph" w:styleId="Heading2">
    <w:name w:val="Heading 2"/>
    <w:basedOn w:val="Normal"/>
    <w:qFormat/>
    <w:pPr>
      <w:keepNext w:val="true"/>
      <w:keepLines/>
      <w:spacing w:before="360" w:after="160"/>
      <w:outlineLvl w:val="1"/>
    </w:pPr>
    <w:rPr>
      <w:rFonts w:ascii="Cambria" w:hAnsi="Cambria" w:eastAsia="Microsoft YaHei"/>
      <w:b/>
      <w:color w:val="2C3E5E"/>
      <w:sz w:val="30"/>
    </w:rPr>
  </w:style>
  <w:style w:type="paragraph" w:styleId="Heading3">
    <w:name w:val="Heading 3"/>
    <w:basedOn w:val="Normal"/>
    <w:qFormat/>
    <w:pPr>
      <w:keepNext w:val="true"/>
      <w:keepLines/>
      <w:spacing w:before="280" w:after="120"/>
      <w:outlineLvl w:val="2"/>
    </w:pPr>
    <w:rPr>
      <w:rFonts w:ascii="Cambria" w:hAnsi="Cambria" w:eastAsia="Microsoft YaHei"/>
      <w:b/>
      <w:color w:val="4A5568"/>
      <w:sz w:val="26"/>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pacing w:before="60" w:after="240"/>
      <w:jc w:val="center"/>
    </w:pPr>
    <w:rPr>
      <w:color w:val="7A8288"/>
      <w:sz w:val="18"/>
    </w:rPr>
  </w:style>
  <w:style w:type="paragraph" w:styleId="Index">
    <w:name w:val="Index"/>
    <w:basedOn w:val="Normal"/>
    <w:qFormat/>
    <w:pPr>
      <w:suppressLineNumbers/>
    </w:pPr>
    <w:rPr>
      <w:rFonts w:cs="FreeSans"/>
    </w:rPr>
  </w:style>
  <w:style w:type="paragraph" w:styleId="Contents1">
    <w:name w:val="TOC 1"/>
    <w:basedOn w:val="Normal"/>
    <w:pPr>
      <w:tabs>
        <w:tab w:val="clear" w:pos="720"/>
        <w:tab w:val="right" w:pos="9350" w:leader="dot"/>
      </w:tabs>
      <w:spacing w:before="200" w:after="60"/>
      <w:ind w:start="0" w:hanging="0"/>
    </w:pPr>
    <w:rPr>
      <w:b/>
      <w:color w:val="1E2530"/>
    </w:rPr>
  </w:style>
  <w:style w:type="paragraph" w:styleId="Contents2">
    <w:name w:val="TOC 2"/>
    <w:basedOn w:val="Normal"/>
    <w:pPr>
      <w:tabs>
        <w:tab w:val="clear" w:pos="720"/>
        <w:tab w:val="right" w:pos="9350" w:leader="dot"/>
      </w:tabs>
      <w:spacing w:before="60" w:after="60"/>
      <w:ind w:start="360" w:hanging="0"/>
    </w:pPr>
    <w:rPr>
      <w:color w:val="4A5568"/>
    </w:rPr>
  </w:style>
  <w:style w:type="paragraph" w:styleId="Contents3">
    <w:name w:val="TOC 3"/>
    <w:basedOn w:val="Normal"/>
    <w:pPr>
      <w:tabs>
        <w:tab w:val="clear" w:pos="720"/>
        <w:tab w:val="right" w:pos="9350" w:leader="dot"/>
      </w:tabs>
      <w:spacing w:before="40" w:after="60"/>
      <w:ind w:start="720" w:hanging="0"/>
    </w:pPr>
    <w:rPr>
      <w:color w:val="4A556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header" Target="header2.xml" /><Relationship Id="rId6" Type="http://schemas.openxmlformats.org/officeDocument/2006/relationships/footer" Target="footer2.xml" /><Relationship Id="rId7" Type="http://schemas.openxmlformats.org/officeDocument/2006/relationships/header" Target="header3.xml" /><Relationship Id="rId8" Type="http://schemas.openxmlformats.org/officeDocument/2006/relationships/footer" Target="footer3.xml" /><Relationship Id="rId9" Type="http://schemas.openxmlformats.org/officeDocument/2006/relationships/header" Target="header4.xml" /><Relationship Id="rId10" Type="http://schemas.openxmlformats.org/officeDocument/2006/relationships/footer" Target="footer4.xml" /><Relationship Id="rId11" Type="http://schemas.openxmlformats.org/officeDocument/2006/relationships/header" Target="header5.xml" /><Relationship Id="rId12" Type="http://schemas.openxmlformats.org/officeDocument/2006/relationships/footer" Target="footer5.xml" /><Relationship Id="rId13" Type="http://schemas.openxmlformats.org/officeDocument/2006/relationships/header" Target="header6.xml" /><Relationship Id="rId14" Type="http://schemas.openxmlformats.org/officeDocument/2006/relationships/footer" Target="footer6.xml" /><Relationship Id="rId15" Type="http://schemas.openxmlformats.org/officeDocument/2006/relationships/header" Target="header7.xml" /><Relationship Id="rId16" Type="http://schemas.openxmlformats.org/officeDocument/2006/relationships/footer" Target="footer7.xml" /><Relationship Id="rId17" Type="http://schemas.openxmlformats.org/officeDocument/2006/relationships/header" Target="header8.xml" /><Relationship Id="rId18" Type="http://schemas.openxmlformats.org/officeDocument/2006/relationships/footer" Target="footer8.xml" /><Relationship Id="rId19" Type="http://schemas.openxmlformats.org/officeDocument/2006/relationships/image" Target="media/image3.png" /><Relationship Id="rId20" Type="http://schemas.openxmlformats.org/officeDocument/2006/relationships/header" Target="header9.xml" /><Relationship Id="rId21" Type="http://schemas.openxmlformats.org/officeDocument/2006/relationships/footer" Target="footer9.xml" /><Relationship Id="rId22" Type="http://schemas.openxmlformats.org/officeDocument/2006/relationships/numbering" Target="numbering.xml" /><Relationship Id="rId23" Type="http://schemas.openxmlformats.org/officeDocument/2006/relationships/fontTable" Target="fontTable.xml" /><Relationship Id="rId24"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2.png" /></Relationships>
</file>

<file path=word/_rels/header7.xml.rels><?xml version='1.0' encoding='UTF-8'?>
<Relationships xmlns="http://schemas.openxmlformats.org/package/2006/relationships"><Relationship Id="rId1" Type="http://schemas.openxmlformats.org/officeDocument/2006/relationships/image" Target="media/image2.png" /></Relationships>
</file>

<file path=word/_rels/header8.xml.rels><?xml version='1.0' encoding='UTF-8'?>
<Relationships xmlns="http://schemas.openxmlformats.org/package/2006/relationships"><Relationship Id="rId1" Type="http://schemas.openxmlformats.org/officeDocument/2006/relationships/image" Target="media/image2.png" /></Relationships>
</file>

<file path=word/_rels/header9.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