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60FE" w14:textId="77777777" w:rsidR="00180E7C" w:rsidRDefault="00180E7C">
      <w:pPr>
        <w:spacing w:before="3400" w:after="0"/>
        <w:jc w:val="center"/>
      </w:pPr>
    </w:p>
    <w:p w14:paraId="7DF5AB9D" w14:textId="77777777" w:rsidR="00180E7C" w:rsidRDefault="00000000">
      <w:pPr>
        <w:spacing w:after="300"/>
        <w:jc w:val="center"/>
      </w:pPr>
      <w:r>
        <w:rPr>
          <w:rFonts w:ascii="Calibri" w:eastAsia="Calibri" w:hAnsi="Calibri" w:cs="Calibri"/>
          <w:b/>
          <w:color w:val="37474F"/>
          <w:spacing w:val="60"/>
          <w:sz w:val="60"/>
          <w:szCs w:val="60"/>
        </w:rPr>
        <w:t>SAVĀHEL-E ĀGHĀZ</w:t>
      </w:r>
    </w:p>
    <w:p w14:paraId="54C5A0D7" w14:textId="37C7AE94" w:rsidR="00180E7C" w:rsidRDefault="004E6DBF">
      <w:pPr>
        <w:spacing w:after="420"/>
        <w:jc w:val="center"/>
      </w:pPr>
      <w:r>
        <w:rPr>
          <w:rFonts w:ascii="Calibri" w:eastAsia="Calibri" w:hAnsi="Calibri" w:cs="Calibri"/>
          <w:i/>
          <w:color w:val="546E7A"/>
          <w:sz w:val="27"/>
          <w:szCs w:val="27"/>
        </w:rPr>
        <w:t>A Comprehensive Treaty of Peace, Maritime Stewardship, and Strategic Normalization between the United States of America and the Islamic Republic of Iran</w:t>
      </w:r>
    </w:p>
    <w:p w14:paraId="3CB84D38" w14:textId="77777777" w:rsidR="00180E7C" w:rsidRDefault="00000000">
      <w:pPr>
        <w:spacing w:after="520"/>
        <w:jc w:val="center"/>
      </w:pPr>
      <w:r>
        <w:rPr>
          <w:rFonts w:ascii="Calibri" w:eastAsia="Calibri" w:hAnsi="Calibri" w:cs="Calibri"/>
          <w:color w:val="546E7A"/>
        </w:rPr>
        <w:t>سواحل آغاز: پیمان جامع صلح</w:t>
      </w:r>
    </w:p>
    <w:p w14:paraId="05773384" w14:textId="77777777" w:rsidR="00180E7C" w:rsidRDefault="00180E7C">
      <w:pPr>
        <w:pBdr>
          <w:bottom w:val="single" w:sz="6" w:space="1" w:color="546E7A"/>
        </w:pBdr>
        <w:spacing w:after="520"/>
        <w:ind w:left="2400" w:right="2400"/>
      </w:pPr>
    </w:p>
    <w:p w14:paraId="48FFFE15" w14:textId="758F8DA0" w:rsidR="00180E7C" w:rsidRDefault="00000000">
      <w:pPr>
        <w:spacing w:after="160"/>
        <w:jc w:val="center"/>
      </w:pPr>
      <w:r>
        <w:rPr>
          <w:rFonts w:ascii="Calibri" w:eastAsia="Calibri" w:hAnsi="Calibri" w:cs="Calibri"/>
        </w:rPr>
        <w:t>Diplomatic Edition  ·  17 August 2026</w:t>
      </w:r>
    </w:p>
    <w:p w14:paraId="22BFAD96" w14:textId="77777777" w:rsidR="00180E7C" w:rsidRDefault="00000000">
      <w:pPr>
        <w:spacing w:after="2600"/>
        <w:jc w:val="center"/>
      </w:pPr>
      <w:r>
        <w:rPr>
          <w:rFonts w:ascii="Calibri" w:eastAsia="Calibri" w:hAnsi="Calibri" w:cs="Calibri"/>
          <w:i/>
          <w:color w:val="78909C"/>
          <w:sz w:val="20"/>
          <w:szCs w:val="20"/>
        </w:rPr>
        <w:t>Drafted in strict adherence to the Immutable Matrix, with the Cothrom Method as first among equals</w:t>
      </w:r>
    </w:p>
    <w:p w14:paraId="2E730BFD" w14:textId="77777777" w:rsidR="00180E7C" w:rsidRDefault="00000000">
      <w:pPr>
        <w:spacing w:after="160"/>
        <w:jc w:val="center"/>
      </w:pPr>
      <w:r>
        <w:rPr>
          <w:rFonts w:ascii="Calibri" w:eastAsia="Calibri" w:hAnsi="Calibri" w:cs="Calibri"/>
          <w:b/>
          <w:color w:val="37474F"/>
          <w:sz w:val="22"/>
          <w:szCs w:val="22"/>
        </w:rPr>
        <w:t>The United States of America  ·  The Islamic Republic of Iran</w:t>
      </w:r>
    </w:p>
    <w:p w14:paraId="0E9FC11B" w14:textId="77777777" w:rsidR="00180E7C" w:rsidRDefault="00000000">
      <w:pPr>
        <w:spacing w:after="160"/>
        <w:jc w:val="center"/>
      </w:pPr>
      <w:r>
        <w:rPr>
          <w:rFonts w:ascii="Calibri" w:eastAsia="Calibri" w:hAnsi="Calibri" w:cs="Calibri"/>
          <w:color w:val="546E7A"/>
          <w:sz w:val="20"/>
          <w:szCs w:val="20"/>
        </w:rPr>
        <w:t>under the facilitation of the Islamic Republic of Pakistan, the Sultanate of Oman, the State of Qatar, and the Swiss Confederation</w:t>
      </w:r>
    </w:p>
    <w:p w14:paraId="21BFD445" w14:textId="77777777" w:rsidR="00180E7C" w:rsidRDefault="00000000">
      <w:pPr>
        <w:spacing w:after="400"/>
        <w:jc w:val="center"/>
      </w:pPr>
      <w:r>
        <w:rPr>
          <w:rFonts w:ascii="Calibri" w:eastAsia="Calibri" w:hAnsi="Calibri" w:cs="Calibri"/>
          <w:color w:val="546E7A"/>
          <w:sz w:val="20"/>
          <w:szCs w:val="20"/>
        </w:rPr>
        <w:t>Depository: The Secretary-General of the United Nations</w:t>
      </w:r>
    </w:p>
    <w:p w14:paraId="573F1C07" w14:textId="77777777" w:rsidR="00180E7C" w:rsidRDefault="00000000">
      <w:pPr>
        <w:spacing w:after="0"/>
        <w:jc w:val="center"/>
      </w:pPr>
      <w:r>
        <w:rPr>
          <w:rFonts w:ascii="Calibri" w:eastAsia="Calibri" w:hAnsi="Calibri" w:cs="Calibri"/>
          <w:i/>
          <w:color w:val="78909C"/>
          <w:sz w:val="18"/>
          <w:szCs w:val="18"/>
        </w:rPr>
        <w:t>Savāhel-e Āghāz: the shores of beginning</w:t>
      </w:r>
    </w:p>
    <w:p w14:paraId="2B2324E4" w14:textId="77777777" w:rsidR="00180E7C" w:rsidRDefault="00180E7C">
      <w:pPr>
        <w:sectPr w:rsidR="00180E7C">
          <w:pgSz w:w="12240" w:h="15840"/>
          <w:pgMar w:top="1134" w:right="1134" w:bottom="1134" w:left="1134" w:header="720" w:footer="720" w:gutter="0"/>
          <w:pgBorders>
            <w:top w:val="double" w:sz="6" w:space="28" w:color="37474F"/>
            <w:left w:val="double" w:sz="6" w:space="28" w:color="37474F"/>
            <w:bottom w:val="double" w:sz="6" w:space="28" w:color="37474F"/>
            <w:right w:val="double" w:sz="6" w:space="28" w:color="37474F"/>
          </w:pgBorders>
          <w:pgNumType w:start="0"/>
          <w:cols w:space="720"/>
        </w:sectPr>
      </w:pPr>
    </w:p>
    <w:p w14:paraId="7E4B0B54" w14:textId="77777777" w:rsidR="00180E7C" w:rsidRDefault="00000000">
      <w:pPr>
        <w:pStyle w:val="TitlePageHeading"/>
      </w:pPr>
      <w:bookmarkStart w:id="0" w:name="_Toc237843063"/>
      <w:r>
        <w:lastRenderedPageBreak/>
        <w:t>SAVĀHEL-E ĀGHĀZ</w:t>
      </w:r>
      <w:bookmarkEnd w:id="0"/>
    </w:p>
    <w:p w14:paraId="1FFE80D1" w14:textId="43DBA544" w:rsidR="00180E7C" w:rsidRDefault="004E6DBF">
      <w:pPr>
        <w:pStyle w:val="Heading2"/>
      </w:pPr>
      <w:bookmarkStart w:id="1" w:name="Xa0d5db69b7d964aa511c5293e43466917e1fb80"/>
      <w:r>
        <w:t>A Comprehensive Treaty of Peace, Maritime Stewardship, and Strategic Normalization between the United States of America and the Islamic Republic of Iran</w:t>
      </w:r>
    </w:p>
    <w:p w14:paraId="01A0899A" w14:textId="77777777" w:rsidR="00180E7C" w:rsidRDefault="00000000">
      <w:pPr>
        <w:pStyle w:val="Heading3"/>
      </w:pPr>
      <w:bookmarkStart w:id="2" w:name="سواحل-آغاز-پیمان-جامع-صلح"/>
      <w:r>
        <w:t>سواحل آغاز: پیمان جامع صلح</w:t>
      </w:r>
    </w:p>
    <w:p w14:paraId="471EE578" w14:textId="77777777" w:rsidR="00180E7C" w:rsidRDefault="00000000">
      <w:r>
        <w:pict w14:anchorId="15FB697E">
          <v:rect id="_x0000_i1025" style="width:0;height:1.5pt" o:hralign="center" o:hrstd="t" o:hr="t"/>
        </w:pict>
      </w:r>
    </w:p>
    <w:p w14:paraId="07560191" w14:textId="77777777" w:rsidR="00180E7C" w:rsidRDefault="00000000">
      <w:pPr>
        <w:pStyle w:val="TOCFront"/>
      </w:pPr>
      <w:bookmarkStart w:id="3" w:name="instrument-of-record"/>
      <w:bookmarkStart w:id="4" w:name="_Toc237843064"/>
      <w:bookmarkEnd w:id="1"/>
      <w:bookmarkEnd w:id="2"/>
      <w:r>
        <w:t>Instrument of Record</w:t>
      </w:r>
      <w:bookmarkEnd w:id="4"/>
    </w:p>
    <w:p w14:paraId="0986CA68" w14:textId="7E08A89E" w:rsidR="00180E7C" w:rsidRDefault="00000000">
      <w:pPr>
        <w:pStyle w:val="FirstParagraph"/>
      </w:pPr>
      <w:r>
        <w:t xml:space="preserve">This instrument constitutes </w:t>
      </w:r>
      <w:r w:rsidR="004E6DBF">
        <w:t xml:space="preserve">a </w:t>
      </w:r>
      <w:r>
        <w:t>comprehensive, and integrated peace treaty contemplated by Point 9 of the Islamabad Memorandum of Understanding of 17 June 2026, concluded within the sixty-day negotiation window that Memorandum establishes. It consolidates into a single operative architecture every layer required for the permanent termination of the 2026 war between the United States of America and the Islamic Republic of Iran: the political settlement, the security and military de-escalation regime, the governance of the Strait of Hormuz, the economic normalization and sanctions framework, the legal, justice, and verification regime, the regional stabilization protocols, and the final provisions for ratification, endorsement, and entry into force.</w:t>
      </w:r>
    </w:p>
    <w:p w14:paraId="130FAA23" w14:textId="77777777" w:rsidR="00180E7C" w:rsidRDefault="00000000">
      <w:pPr>
        <w:pStyle w:val="BodyText"/>
      </w:pPr>
      <w:r>
        <w:rPr>
          <w:b/>
          <w:bCs/>
        </w:rPr>
        <w:t>Depositary:</w:t>
      </w:r>
      <w:r>
        <w:t xml:space="preserve"> The Secretary-General of the United Nations.</w:t>
      </w:r>
    </w:p>
    <w:p w14:paraId="5AFEB696" w14:textId="77777777" w:rsidR="00180E7C" w:rsidRDefault="00000000">
      <w:pPr>
        <w:pStyle w:val="BodyText"/>
      </w:pPr>
      <w:r>
        <w:rPr>
          <w:b/>
          <w:bCs/>
        </w:rPr>
        <w:t>Facilitating States:</w:t>
      </w:r>
      <w:r>
        <w:t xml:space="preserve"> Islamic Republic of Pakistan; Sultanate of Oman; State of Qatar; Swiss Confederation (Facilitator of Record for verification and escrow functions).</w:t>
      </w:r>
    </w:p>
    <w:p w14:paraId="78AF8955" w14:textId="77777777" w:rsidR="00180E7C" w:rsidRDefault="00000000">
      <w:pPr>
        <w:pStyle w:val="BodyText"/>
      </w:pPr>
      <w:r>
        <w:rPr>
          <w:b/>
          <w:bCs/>
        </w:rPr>
        <w:t>Registration:</w:t>
      </w:r>
      <w:r>
        <w:t xml:space="preserve"> Article 102 of the Charter of the United Nations.</w:t>
      </w:r>
    </w:p>
    <w:p w14:paraId="013470DA" w14:textId="77777777" w:rsidR="00180E7C" w:rsidRDefault="00000000">
      <w:r>
        <w:br w:type="page"/>
      </w:r>
    </w:p>
    <w:p w14:paraId="53DA0F1F" w14:textId="77777777" w:rsidR="00180E7C" w:rsidRDefault="00000000">
      <w:pPr>
        <w:pStyle w:val="TOCFront"/>
      </w:pPr>
      <w:bookmarkStart w:id="5" w:name="Xa59894a2a09a4116a4cd97027ffc94362a44e0a"/>
      <w:bookmarkStart w:id="6" w:name="_Toc237843065"/>
      <w:bookmarkEnd w:id="3"/>
      <w:r>
        <w:lastRenderedPageBreak/>
        <w:t>Drafting Convention Note (Immutable Matrix Compliance)</w:t>
      </w:r>
      <w:bookmarkEnd w:id="6"/>
    </w:p>
    <w:p w14:paraId="6F82ED61" w14:textId="77777777" w:rsidR="00180E7C" w:rsidRDefault="00000000">
      <w:pPr>
        <w:pStyle w:val="FirstParagraph"/>
      </w:pPr>
      <w:r>
        <w:t>This Treaty is drafted according to the rules of the Immutable Present-Tense Matrix. The following conventions apply throughout the entire instrument, including all Titles, Articles, Protocols, Annexes, Schedules, and Tables:</w:t>
      </w:r>
    </w:p>
    <w:p w14:paraId="0CD994BB" w14:textId="77777777" w:rsidR="00180E7C" w:rsidRDefault="00000000">
      <w:pPr>
        <w:numPr>
          <w:ilvl w:val="0"/>
          <w:numId w:val="2"/>
        </w:numPr>
      </w:pPr>
      <w:r>
        <w:rPr>
          <w:b/>
          <w:bCs/>
        </w:rPr>
        <w:t>Present-tense operative drafting.</w:t>
      </w:r>
      <w:r>
        <w:t xml:space="preserve"> Every obligation states a direct, active, present-tense operational reality. The words “shall,” “must,” “can,” “may,” “should,” and “will” do not appear as operative verbs anywhere in this instrument. Obligations read as actions performed by named subjects: “The United States terminates,” “Iran down-blends,” “The Authority publishes.”</w:t>
      </w:r>
    </w:p>
    <w:p w14:paraId="122B9264" w14:textId="77777777" w:rsidR="00180E7C" w:rsidRDefault="00000000">
      <w:pPr>
        <w:numPr>
          <w:ilvl w:val="0"/>
          <w:numId w:val="2"/>
        </w:numPr>
      </w:pPr>
      <w:r>
        <w:rPr>
          <w:b/>
          <w:bCs/>
        </w:rPr>
        <w:t>No passive constructions.</w:t>
      </w:r>
      <w:r>
        <w:t xml:space="preserve"> Every sentence identifies the actor performing the action. The instrument contains no constructions of the form “is to be,” “are to be,” or “is required to.”</w:t>
      </w:r>
    </w:p>
    <w:p w14:paraId="2C9BD29B" w14:textId="77777777" w:rsidR="00180E7C" w:rsidRDefault="00000000">
      <w:pPr>
        <w:numPr>
          <w:ilvl w:val="0"/>
          <w:numId w:val="2"/>
        </w:numPr>
      </w:pPr>
      <w:r>
        <w:rPr>
          <w:b/>
          <w:bCs/>
        </w:rPr>
        <w:t>Mutual architecture framing.</w:t>
      </w:r>
      <w:r>
        <w:t xml:space="preserve"> Prohibitions and restraints attach to the framework architecture itself, not to the unilateral restraint of one Party. The framework excludes actions; the architecture prevents outcomes; the system triggers consequences. No clause reads as the concession, magnanimity, or subordination of either Party.</w:t>
      </w:r>
    </w:p>
    <w:p w14:paraId="70EB5AB3" w14:textId="77777777" w:rsidR="00180E7C" w:rsidRDefault="00000000">
      <w:pPr>
        <w:numPr>
          <w:ilvl w:val="0"/>
          <w:numId w:val="2"/>
        </w:numPr>
      </w:pPr>
      <w:r>
        <w:rPr>
          <w:b/>
          <w:bCs/>
        </w:rPr>
        <w:t>Automatic logic triggers.</w:t>
      </w:r>
      <w:r>
        <w:t xml:space="preserve"> Consequences execute automatically and immediately upon the occurrence of defined conditions, without discretionary evaluation, threat, or warning: “Notification automatically pauses operations.”</w:t>
      </w:r>
    </w:p>
    <w:p w14:paraId="10036F6E" w14:textId="77777777" w:rsidR="00180E7C" w:rsidRDefault="00000000">
      <w:pPr>
        <w:numPr>
          <w:ilvl w:val="0"/>
          <w:numId w:val="2"/>
        </w:numPr>
      </w:pPr>
      <w:r>
        <w:rPr>
          <w:b/>
          <w:bCs/>
        </w:rPr>
        <w:t>Prohibition vocabulary.</w:t>
      </w:r>
      <w:r>
        <w:t xml:space="preserve"> Exclusions use the forms “is prohibited from,” “is not permitted to,” “the framework excludes,” or direct prohibitive action statements.</w:t>
      </w:r>
    </w:p>
    <w:p w14:paraId="6ED67FBD" w14:textId="77777777" w:rsidR="00180E7C" w:rsidRDefault="00000000">
      <w:pPr>
        <w:numPr>
          <w:ilvl w:val="0"/>
          <w:numId w:val="2"/>
        </w:numPr>
      </w:pPr>
      <w:r>
        <w:rPr>
          <w:b/>
          <w:bCs/>
        </w:rPr>
        <w:t>Punctuation discipline.</w:t>
      </w:r>
      <w:r>
        <w:t xml:space="preserve"> The instrument contains no em dashes. Every colon is followed by a space.</w:t>
      </w:r>
    </w:p>
    <w:p w14:paraId="35EF5904" w14:textId="77777777" w:rsidR="00180E7C" w:rsidRDefault="00000000">
      <w:pPr>
        <w:numPr>
          <w:ilvl w:val="0"/>
          <w:numId w:val="2"/>
        </w:numPr>
      </w:pPr>
      <w:r>
        <w:rPr>
          <w:b/>
          <w:bCs/>
        </w:rPr>
        <w:t>Humanitarian firewall absolute.</w:t>
      </w:r>
      <w:r>
        <w:t xml:space="preserve"> No provision of this Treaty, and no consequence, penalty, step-back, or dispute outcome under any provision, interrupts, conditions, delays, or reduces the movement of food, medicine, medical equipment, or humanitarian relief cargo, or the protection of civilians, detained persons, or mariners in distress. The humanitarian firewall operates above every other clause of this instrument.</w:t>
      </w:r>
    </w:p>
    <w:p w14:paraId="3A36C2E6" w14:textId="77777777" w:rsidR="00180E7C" w:rsidRDefault="00000000">
      <w:r>
        <w:br w:type="page"/>
      </w:r>
    </w:p>
    <w:bookmarkEnd w:id="5"/>
    <w:p w14:paraId="61DFC03A" w14:textId="77777777" w:rsidR="00180E7C" w:rsidRDefault="00000000">
      <w:pPr>
        <w:keepNext/>
        <w:pageBreakBefore/>
        <w:spacing w:after="360"/>
      </w:pPr>
      <w:r>
        <w:rPr>
          <w:rFonts w:ascii="Calibri" w:eastAsia="Calibri" w:hAnsi="Calibri" w:cs="Calibri"/>
          <w:b/>
          <w:caps/>
          <w:color w:val="37474F"/>
          <w:sz w:val="32"/>
          <w:szCs w:val="32"/>
        </w:rPr>
        <w:lastRenderedPageBreak/>
        <w:t>Table of Contents</w:t>
      </w:r>
    </w:p>
    <w:p w14:paraId="0E4668A5" w14:textId="010B6672" w:rsidR="00523450" w:rsidRDefault="00000000">
      <w:pPr>
        <w:pStyle w:val="TOC1"/>
        <w:rPr>
          <w:rFonts w:asciiTheme="minorHAnsi" w:eastAsiaTheme="minorEastAsia" w:hAnsiTheme="minorHAnsi"/>
          <w:b w:val="0"/>
          <w:noProof/>
          <w:color w:val="auto"/>
          <w:kern w:val="2"/>
          <w:sz w:val="24"/>
          <w:lang w:val="en-CA" w:eastAsia="en-CA"/>
          <w14:ligatures w14:val="standardContextual"/>
        </w:rPr>
      </w:pPr>
      <w:r>
        <w:fldChar w:fldCharType="begin"/>
      </w:r>
      <w:r>
        <w:instrText xml:space="preserve"> TOC \o "1-1" \t "TOC Front,1,TOC Article,2" \h \z \u </w:instrText>
      </w:r>
      <w:r>
        <w:fldChar w:fldCharType="separate"/>
      </w:r>
      <w:hyperlink w:anchor="_Toc237843063" w:history="1">
        <w:r w:rsidR="00523450" w:rsidRPr="00307F1A">
          <w:rPr>
            <w:rStyle w:val="Hyperlink"/>
            <w:noProof/>
          </w:rPr>
          <w:t>SAVĀHEL-E ĀGHĀZ</w:t>
        </w:r>
        <w:r w:rsidR="00523450">
          <w:rPr>
            <w:noProof/>
            <w:webHidden/>
          </w:rPr>
          <w:tab/>
        </w:r>
        <w:r w:rsidR="00523450">
          <w:rPr>
            <w:noProof/>
            <w:webHidden/>
          </w:rPr>
          <w:fldChar w:fldCharType="begin"/>
        </w:r>
        <w:r w:rsidR="00523450">
          <w:rPr>
            <w:noProof/>
            <w:webHidden/>
          </w:rPr>
          <w:instrText xml:space="preserve"> PAGEREF _Toc237843063 \h </w:instrText>
        </w:r>
        <w:r w:rsidR="00523450">
          <w:rPr>
            <w:noProof/>
            <w:webHidden/>
          </w:rPr>
        </w:r>
        <w:r w:rsidR="00523450">
          <w:rPr>
            <w:noProof/>
            <w:webHidden/>
          </w:rPr>
          <w:fldChar w:fldCharType="separate"/>
        </w:r>
        <w:r w:rsidR="00523450">
          <w:rPr>
            <w:noProof/>
            <w:webHidden/>
          </w:rPr>
          <w:t>1</w:t>
        </w:r>
        <w:r w:rsidR="00523450">
          <w:rPr>
            <w:noProof/>
            <w:webHidden/>
          </w:rPr>
          <w:fldChar w:fldCharType="end"/>
        </w:r>
      </w:hyperlink>
    </w:p>
    <w:p w14:paraId="3E29429B" w14:textId="35E0A6CA"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64" w:history="1">
        <w:r w:rsidRPr="00307F1A">
          <w:rPr>
            <w:rStyle w:val="Hyperlink"/>
            <w:noProof/>
          </w:rPr>
          <w:t>Instrument of Record</w:t>
        </w:r>
        <w:r>
          <w:rPr>
            <w:noProof/>
            <w:webHidden/>
          </w:rPr>
          <w:tab/>
        </w:r>
        <w:r>
          <w:rPr>
            <w:noProof/>
            <w:webHidden/>
          </w:rPr>
          <w:fldChar w:fldCharType="begin"/>
        </w:r>
        <w:r>
          <w:rPr>
            <w:noProof/>
            <w:webHidden/>
          </w:rPr>
          <w:instrText xml:space="preserve"> PAGEREF _Toc237843064 \h </w:instrText>
        </w:r>
        <w:r>
          <w:rPr>
            <w:noProof/>
            <w:webHidden/>
          </w:rPr>
        </w:r>
        <w:r>
          <w:rPr>
            <w:noProof/>
            <w:webHidden/>
          </w:rPr>
          <w:fldChar w:fldCharType="separate"/>
        </w:r>
        <w:r>
          <w:rPr>
            <w:noProof/>
            <w:webHidden/>
          </w:rPr>
          <w:t>1</w:t>
        </w:r>
        <w:r>
          <w:rPr>
            <w:noProof/>
            <w:webHidden/>
          </w:rPr>
          <w:fldChar w:fldCharType="end"/>
        </w:r>
      </w:hyperlink>
    </w:p>
    <w:p w14:paraId="4FED04C8" w14:textId="5F6006E6"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65" w:history="1">
        <w:r w:rsidRPr="00307F1A">
          <w:rPr>
            <w:rStyle w:val="Hyperlink"/>
            <w:noProof/>
          </w:rPr>
          <w:t>Drafting Convention Note (Immutable Matrix Compliance)</w:t>
        </w:r>
        <w:r>
          <w:rPr>
            <w:noProof/>
            <w:webHidden/>
          </w:rPr>
          <w:tab/>
        </w:r>
        <w:r>
          <w:rPr>
            <w:noProof/>
            <w:webHidden/>
          </w:rPr>
          <w:fldChar w:fldCharType="begin"/>
        </w:r>
        <w:r>
          <w:rPr>
            <w:noProof/>
            <w:webHidden/>
          </w:rPr>
          <w:instrText xml:space="preserve"> PAGEREF _Toc237843065 \h </w:instrText>
        </w:r>
        <w:r>
          <w:rPr>
            <w:noProof/>
            <w:webHidden/>
          </w:rPr>
        </w:r>
        <w:r>
          <w:rPr>
            <w:noProof/>
            <w:webHidden/>
          </w:rPr>
          <w:fldChar w:fldCharType="separate"/>
        </w:r>
        <w:r>
          <w:rPr>
            <w:noProof/>
            <w:webHidden/>
          </w:rPr>
          <w:t>2</w:t>
        </w:r>
        <w:r>
          <w:rPr>
            <w:noProof/>
            <w:webHidden/>
          </w:rPr>
          <w:fldChar w:fldCharType="end"/>
        </w:r>
      </w:hyperlink>
    </w:p>
    <w:p w14:paraId="52DD49A4" w14:textId="46976426"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66" w:history="1">
        <w:r w:rsidRPr="00307F1A">
          <w:rPr>
            <w:rStyle w:val="Hyperlink"/>
            <w:noProof/>
          </w:rPr>
          <w:t>PREAMBLE</w:t>
        </w:r>
        <w:r>
          <w:rPr>
            <w:noProof/>
            <w:webHidden/>
          </w:rPr>
          <w:tab/>
        </w:r>
        <w:r>
          <w:rPr>
            <w:noProof/>
            <w:webHidden/>
          </w:rPr>
          <w:fldChar w:fldCharType="begin"/>
        </w:r>
        <w:r>
          <w:rPr>
            <w:noProof/>
            <w:webHidden/>
          </w:rPr>
          <w:instrText xml:space="preserve"> PAGEREF _Toc237843066 \h </w:instrText>
        </w:r>
        <w:r>
          <w:rPr>
            <w:noProof/>
            <w:webHidden/>
          </w:rPr>
        </w:r>
        <w:r>
          <w:rPr>
            <w:noProof/>
            <w:webHidden/>
          </w:rPr>
          <w:fldChar w:fldCharType="separate"/>
        </w:r>
        <w:r>
          <w:rPr>
            <w:noProof/>
            <w:webHidden/>
          </w:rPr>
          <w:t>7</w:t>
        </w:r>
        <w:r>
          <w:rPr>
            <w:noProof/>
            <w:webHidden/>
          </w:rPr>
          <w:fldChar w:fldCharType="end"/>
        </w:r>
      </w:hyperlink>
    </w:p>
    <w:p w14:paraId="0E5F0261" w14:textId="01CAC7E0"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67" w:history="1">
        <w:r w:rsidRPr="00307F1A">
          <w:rPr>
            <w:rStyle w:val="Hyperlink"/>
            <w:noProof/>
          </w:rPr>
          <w:t>ARTICLE 0: GENERAL PROVISIONS, DEFINITIONS, AND INTERPRETATION</w:t>
        </w:r>
        <w:r>
          <w:rPr>
            <w:noProof/>
            <w:webHidden/>
          </w:rPr>
          <w:tab/>
        </w:r>
        <w:r>
          <w:rPr>
            <w:noProof/>
            <w:webHidden/>
          </w:rPr>
          <w:fldChar w:fldCharType="begin"/>
        </w:r>
        <w:r>
          <w:rPr>
            <w:noProof/>
            <w:webHidden/>
          </w:rPr>
          <w:instrText xml:space="preserve"> PAGEREF _Toc237843067 \h </w:instrText>
        </w:r>
        <w:r>
          <w:rPr>
            <w:noProof/>
            <w:webHidden/>
          </w:rPr>
        </w:r>
        <w:r>
          <w:rPr>
            <w:noProof/>
            <w:webHidden/>
          </w:rPr>
          <w:fldChar w:fldCharType="separate"/>
        </w:r>
        <w:r>
          <w:rPr>
            <w:noProof/>
            <w:webHidden/>
          </w:rPr>
          <w:t>8</w:t>
        </w:r>
        <w:r>
          <w:rPr>
            <w:noProof/>
            <w:webHidden/>
          </w:rPr>
          <w:fldChar w:fldCharType="end"/>
        </w:r>
      </w:hyperlink>
    </w:p>
    <w:p w14:paraId="6DEB08FE" w14:textId="6F778CE4"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68" w:history="1">
        <w:r w:rsidRPr="00307F1A">
          <w:rPr>
            <w:rStyle w:val="Hyperlink"/>
            <w:noProof/>
          </w:rPr>
          <w:t>TITLE I: POLITICAL SETTLEMENT FRAMEWORK</w:t>
        </w:r>
        <w:r>
          <w:rPr>
            <w:noProof/>
            <w:webHidden/>
          </w:rPr>
          <w:tab/>
        </w:r>
        <w:r>
          <w:rPr>
            <w:noProof/>
            <w:webHidden/>
          </w:rPr>
          <w:fldChar w:fldCharType="begin"/>
        </w:r>
        <w:r>
          <w:rPr>
            <w:noProof/>
            <w:webHidden/>
          </w:rPr>
          <w:instrText xml:space="preserve"> PAGEREF _Toc237843068 \h </w:instrText>
        </w:r>
        <w:r>
          <w:rPr>
            <w:noProof/>
            <w:webHidden/>
          </w:rPr>
        </w:r>
        <w:r>
          <w:rPr>
            <w:noProof/>
            <w:webHidden/>
          </w:rPr>
          <w:fldChar w:fldCharType="separate"/>
        </w:r>
        <w:r>
          <w:rPr>
            <w:noProof/>
            <w:webHidden/>
          </w:rPr>
          <w:t>13</w:t>
        </w:r>
        <w:r>
          <w:rPr>
            <w:noProof/>
            <w:webHidden/>
          </w:rPr>
          <w:fldChar w:fldCharType="end"/>
        </w:r>
      </w:hyperlink>
    </w:p>
    <w:p w14:paraId="6CC4FC98" w14:textId="377807E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69" w:history="1">
        <w:r w:rsidRPr="00307F1A">
          <w:rPr>
            <w:rStyle w:val="Hyperlink"/>
            <w:noProof/>
          </w:rPr>
          <w:t>Article 1: Permanent Ceasefire Mandate</w:t>
        </w:r>
        <w:r>
          <w:rPr>
            <w:noProof/>
            <w:webHidden/>
          </w:rPr>
          <w:tab/>
        </w:r>
        <w:r>
          <w:rPr>
            <w:noProof/>
            <w:webHidden/>
          </w:rPr>
          <w:fldChar w:fldCharType="begin"/>
        </w:r>
        <w:r>
          <w:rPr>
            <w:noProof/>
            <w:webHidden/>
          </w:rPr>
          <w:instrText xml:space="preserve"> PAGEREF _Toc237843069 \h </w:instrText>
        </w:r>
        <w:r>
          <w:rPr>
            <w:noProof/>
            <w:webHidden/>
          </w:rPr>
        </w:r>
        <w:r>
          <w:rPr>
            <w:noProof/>
            <w:webHidden/>
          </w:rPr>
          <w:fldChar w:fldCharType="separate"/>
        </w:r>
        <w:r>
          <w:rPr>
            <w:noProof/>
            <w:webHidden/>
          </w:rPr>
          <w:t>13</w:t>
        </w:r>
        <w:r>
          <w:rPr>
            <w:noProof/>
            <w:webHidden/>
          </w:rPr>
          <w:fldChar w:fldCharType="end"/>
        </w:r>
      </w:hyperlink>
    </w:p>
    <w:p w14:paraId="5C1B4B07" w14:textId="5D65D4D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0" w:history="1">
        <w:r w:rsidRPr="00307F1A">
          <w:rPr>
            <w:rStyle w:val="Hyperlink"/>
            <w:noProof/>
          </w:rPr>
          <w:t>Article 2: Definitions of Hostile Acts</w:t>
        </w:r>
        <w:r>
          <w:rPr>
            <w:noProof/>
            <w:webHidden/>
          </w:rPr>
          <w:tab/>
        </w:r>
        <w:r>
          <w:rPr>
            <w:noProof/>
            <w:webHidden/>
          </w:rPr>
          <w:fldChar w:fldCharType="begin"/>
        </w:r>
        <w:r>
          <w:rPr>
            <w:noProof/>
            <w:webHidden/>
          </w:rPr>
          <w:instrText xml:space="preserve"> PAGEREF _Toc237843070 \h </w:instrText>
        </w:r>
        <w:r>
          <w:rPr>
            <w:noProof/>
            <w:webHidden/>
          </w:rPr>
        </w:r>
        <w:r>
          <w:rPr>
            <w:noProof/>
            <w:webHidden/>
          </w:rPr>
          <w:fldChar w:fldCharType="separate"/>
        </w:r>
        <w:r>
          <w:rPr>
            <w:noProof/>
            <w:webHidden/>
          </w:rPr>
          <w:t>14</w:t>
        </w:r>
        <w:r>
          <w:rPr>
            <w:noProof/>
            <w:webHidden/>
          </w:rPr>
          <w:fldChar w:fldCharType="end"/>
        </w:r>
      </w:hyperlink>
    </w:p>
    <w:p w14:paraId="1E1A3678" w14:textId="3215DD2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1" w:history="1">
        <w:r w:rsidRPr="00307F1A">
          <w:rPr>
            <w:rStyle w:val="Hyperlink"/>
            <w:noProof/>
          </w:rPr>
          <w:t>Article 3: Mutual Recognition and Sovereignty</w:t>
        </w:r>
        <w:r>
          <w:rPr>
            <w:noProof/>
            <w:webHidden/>
          </w:rPr>
          <w:tab/>
        </w:r>
        <w:r>
          <w:rPr>
            <w:noProof/>
            <w:webHidden/>
          </w:rPr>
          <w:fldChar w:fldCharType="begin"/>
        </w:r>
        <w:r>
          <w:rPr>
            <w:noProof/>
            <w:webHidden/>
          </w:rPr>
          <w:instrText xml:space="preserve"> PAGEREF _Toc237843071 \h </w:instrText>
        </w:r>
        <w:r>
          <w:rPr>
            <w:noProof/>
            <w:webHidden/>
          </w:rPr>
        </w:r>
        <w:r>
          <w:rPr>
            <w:noProof/>
            <w:webHidden/>
          </w:rPr>
          <w:fldChar w:fldCharType="separate"/>
        </w:r>
        <w:r>
          <w:rPr>
            <w:noProof/>
            <w:webHidden/>
          </w:rPr>
          <w:t>15</w:t>
        </w:r>
        <w:r>
          <w:rPr>
            <w:noProof/>
            <w:webHidden/>
          </w:rPr>
          <w:fldChar w:fldCharType="end"/>
        </w:r>
      </w:hyperlink>
    </w:p>
    <w:p w14:paraId="6EA854C9" w14:textId="2626809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2" w:history="1">
        <w:r w:rsidRPr="00307F1A">
          <w:rPr>
            <w:rStyle w:val="Hyperlink"/>
            <w:noProof/>
          </w:rPr>
          <w:t>Article 4: Non-Aggression Pact</w:t>
        </w:r>
        <w:r>
          <w:rPr>
            <w:noProof/>
            <w:webHidden/>
          </w:rPr>
          <w:tab/>
        </w:r>
        <w:r>
          <w:rPr>
            <w:noProof/>
            <w:webHidden/>
          </w:rPr>
          <w:fldChar w:fldCharType="begin"/>
        </w:r>
        <w:r>
          <w:rPr>
            <w:noProof/>
            <w:webHidden/>
          </w:rPr>
          <w:instrText xml:space="preserve"> PAGEREF _Toc237843072 \h </w:instrText>
        </w:r>
        <w:r>
          <w:rPr>
            <w:noProof/>
            <w:webHidden/>
          </w:rPr>
        </w:r>
        <w:r>
          <w:rPr>
            <w:noProof/>
            <w:webHidden/>
          </w:rPr>
          <w:fldChar w:fldCharType="separate"/>
        </w:r>
        <w:r>
          <w:rPr>
            <w:noProof/>
            <w:webHidden/>
          </w:rPr>
          <w:t>16</w:t>
        </w:r>
        <w:r>
          <w:rPr>
            <w:noProof/>
            <w:webHidden/>
          </w:rPr>
          <w:fldChar w:fldCharType="end"/>
        </w:r>
      </w:hyperlink>
    </w:p>
    <w:p w14:paraId="4AC98FE4" w14:textId="2ED855E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3" w:history="1">
        <w:r w:rsidRPr="00307F1A">
          <w:rPr>
            <w:rStyle w:val="Hyperlink"/>
            <w:noProof/>
          </w:rPr>
          <w:t>Article 5: Diplomatic Normalization</w:t>
        </w:r>
        <w:r>
          <w:rPr>
            <w:noProof/>
            <w:webHidden/>
          </w:rPr>
          <w:tab/>
        </w:r>
        <w:r>
          <w:rPr>
            <w:noProof/>
            <w:webHidden/>
          </w:rPr>
          <w:fldChar w:fldCharType="begin"/>
        </w:r>
        <w:r>
          <w:rPr>
            <w:noProof/>
            <w:webHidden/>
          </w:rPr>
          <w:instrText xml:space="preserve"> PAGEREF _Toc237843073 \h </w:instrText>
        </w:r>
        <w:r>
          <w:rPr>
            <w:noProof/>
            <w:webHidden/>
          </w:rPr>
        </w:r>
        <w:r>
          <w:rPr>
            <w:noProof/>
            <w:webHidden/>
          </w:rPr>
          <w:fldChar w:fldCharType="separate"/>
        </w:r>
        <w:r>
          <w:rPr>
            <w:noProof/>
            <w:webHidden/>
          </w:rPr>
          <w:t>17</w:t>
        </w:r>
        <w:r>
          <w:rPr>
            <w:noProof/>
            <w:webHidden/>
          </w:rPr>
          <w:fldChar w:fldCharType="end"/>
        </w:r>
      </w:hyperlink>
    </w:p>
    <w:p w14:paraId="31A1F4D2" w14:textId="73DB578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4" w:history="1">
        <w:r w:rsidRPr="00307F1A">
          <w:rPr>
            <w:rStyle w:val="Hyperlink"/>
            <w:noProof/>
          </w:rPr>
          <w:t>Article 6: Political Guarantees and Leadership Security</w:t>
        </w:r>
        <w:r>
          <w:rPr>
            <w:noProof/>
            <w:webHidden/>
          </w:rPr>
          <w:tab/>
        </w:r>
        <w:r>
          <w:rPr>
            <w:noProof/>
            <w:webHidden/>
          </w:rPr>
          <w:fldChar w:fldCharType="begin"/>
        </w:r>
        <w:r>
          <w:rPr>
            <w:noProof/>
            <w:webHidden/>
          </w:rPr>
          <w:instrText xml:space="preserve"> PAGEREF _Toc237843074 \h </w:instrText>
        </w:r>
        <w:r>
          <w:rPr>
            <w:noProof/>
            <w:webHidden/>
          </w:rPr>
        </w:r>
        <w:r>
          <w:rPr>
            <w:noProof/>
            <w:webHidden/>
          </w:rPr>
          <w:fldChar w:fldCharType="separate"/>
        </w:r>
        <w:r>
          <w:rPr>
            <w:noProof/>
            <w:webHidden/>
          </w:rPr>
          <w:t>18</w:t>
        </w:r>
        <w:r>
          <w:rPr>
            <w:noProof/>
            <w:webHidden/>
          </w:rPr>
          <w:fldChar w:fldCharType="end"/>
        </w:r>
      </w:hyperlink>
    </w:p>
    <w:p w14:paraId="2D39F1B5" w14:textId="4EBD30C6"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5" w:history="1">
        <w:r w:rsidRPr="00307F1A">
          <w:rPr>
            <w:rStyle w:val="Hyperlink"/>
            <w:noProof/>
          </w:rPr>
          <w:t>Article 7: Proxy Deactivation and Regional Conduct</w:t>
        </w:r>
        <w:r>
          <w:rPr>
            <w:noProof/>
            <w:webHidden/>
          </w:rPr>
          <w:tab/>
        </w:r>
        <w:r>
          <w:rPr>
            <w:noProof/>
            <w:webHidden/>
          </w:rPr>
          <w:fldChar w:fldCharType="begin"/>
        </w:r>
        <w:r>
          <w:rPr>
            <w:noProof/>
            <w:webHidden/>
          </w:rPr>
          <w:instrText xml:space="preserve"> PAGEREF _Toc237843075 \h </w:instrText>
        </w:r>
        <w:r>
          <w:rPr>
            <w:noProof/>
            <w:webHidden/>
          </w:rPr>
        </w:r>
        <w:r>
          <w:rPr>
            <w:noProof/>
            <w:webHidden/>
          </w:rPr>
          <w:fldChar w:fldCharType="separate"/>
        </w:r>
        <w:r>
          <w:rPr>
            <w:noProof/>
            <w:webHidden/>
          </w:rPr>
          <w:t>19</w:t>
        </w:r>
        <w:r>
          <w:rPr>
            <w:noProof/>
            <w:webHidden/>
          </w:rPr>
          <w:fldChar w:fldCharType="end"/>
        </w:r>
      </w:hyperlink>
    </w:p>
    <w:p w14:paraId="22FA894B" w14:textId="16588F2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6" w:history="1">
        <w:r w:rsidRPr="00307F1A">
          <w:rPr>
            <w:rStyle w:val="Hyperlink"/>
            <w:noProof/>
          </w:rPr>
          <w:t>Article 8: Regional Coordination</w:t>
        </w:r>
        <w:r>
          <w:rPr>
            <w:noProof/>
            <w:webHidden/>
          </w:rPr>
          <w:tab/>
        </w:r>
        <w:r>
          <w:rPr>
            <w:noProof/>
            <w:webHidden/>
          </w:rPr>
          <w:fldChar w:fldCharType="begin"/>
        </w:r>
        <w:r>
          <w:rPr>
            <w:noProof/>
            <w:webHidden/>
          </w:rPr>
          <w:instrText xml:space="preserve"> PAGEREF _Toc237843076 \h </w:instrText>
        </w:r>
        <w:r>
          <w:rPr>
            <w:noProof/>
            <w:webHidden/>
          </w:rPr>
        </w:r>
        <w:r>
          <w:rPr>
            <w:noProof/>
            <w:webHidden/>
          </w:rPr>
          <w:fldChar w:fldCharType="separate"/>
        </w:r>
        <w:r>
          <w:rPr>
            <w:noProof/>
            <w:webHidden/>
          </w:rPr>
          <w:t>20</w:t>
        </w:r>
        <w:r>
          <w:rPr>
            <w:noProof/>
            <w:webHidden/>
          </w:rPr>
          <w:fldChar w:fldCharType="end"/>
        </w:r>
      </w:hyperlink>
    </w:p>
    <w:p w14:paraId="0071C23D" w14:textId="32E37C8F"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7" w:history="1">
        <w:r w:rsidRPr="00307F1A">
          <w:rPr>
            <w:rStyle w:val="Hyperlink"/>
            <w:noProof/>
          </w:rPr>
          <w:t>Article 9: Humanitarian Access and Civilian Protection</w:t>
        </w:r>
        <w:r>
          <w:rPr>
            <w:noProof/>
            <w:webHidden/>
          </w:rPr>
          <w:tab/>
        </w:r>
        <w:r>
          <w:rPr>
            <w:noProof/>
            <w:webHidden/>
          </w:rPr>
          <w:fldChar w:fldCharType="begin"/>
        </w:r>
        <w:r>
          <w:rPr>
            <w:noProof/>
            <w:webHidden/>
          </w:rPr>
          <w:instrText xml:space="preserve"> PAGEREF _Toc237843077 \h </w:instrText>
        </w:r>
        <w:r>
          <w:rPr>
            <w:noProof/>
            <w:webHidden/>
          </w:rPr>
        </w:r>
        <w:r>
          <w:rPr>
            <w:noProof/>
            <w:webHidden/>
          </w:rPr>
          <w:fldChar w:fldCharType="separate"/>
        </w:r>
        <w:r>
          <w:rPr>
            <w:noProof/>
            <w:webHidden/>
          </w:rPr>
          <w:t>20</w:t>
        </w:r>
        <w:r>
          <w:rPr>
            <w:noProof/>
            <w:webHidden/>
          </w:rPr>
          <w:fldChar w:fldCharType="end"/>
        </w:r>
      </w:hyperlink>
    </w:p>
    <w:p w14:paraId="27355649" w14:textId="77A1E5F1"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8" w:history="1">
        <w:r w:rsidRPr="00307F1A">
          <w:rPr>
            <w:rStyle w:val="Hyperlink"/>
            <w:noProof/>
          </w:rPr>
          <w:t>Article 10: Political Timelines and Sequencing</w:t>
        </w:r>
        <w:r>
          <w:rPr>
            <w:noProof/>
            <w:webHidden/>
          </w:rPr>
          <w:tab/>
        </w:r>
        <w:r>
          <w:rPr>
            <w:noProof/>
            <w:webHidden/>
          </w:rPr>
          <w:fldChar w:fldCharType="begin"/>
        </w:r>
        <w:r>
          <w:rPr>
            <w:noProof/>
            <w:webHidden/>
          </w:rPr>
          <w:instrText xml:space="preserve"> PAGEREF _Toc237843078 \h </w:instrText>
        </w:r>
        <w:r>
          <w:rPr>
            <w:noProof/>
            <w:webHidden/>
          </w:rPr>
        </w:r>
        <w:r>
          <w:rPr>
            <w:noProof/>
            <w:webHidden/>
          </w:rPr>
          <w:fldChar w:fldCharType="separate"/>
        </w:r>
        <w:r>
          <w:rPr>
            <w:noProof/>
            <w:webHidden/>
          </w:rPr>
          <w:t>21</w:t>
        </w:r>
        <w:r>
          <w:rPr>
            <w:noProof/>
            <w:webHidden/>
          </w:rPr>
          <w:fldChar w:fldCharType="end"/>
        </w:r>
      </w:hyperlink>
    </w:p>
    <w:p w14:paraId="443BE3DF" w14:textId="12D9922E"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79" w:history="1">
        <w:r w:rsidRPr="00307F1A">
          <w:rPr>
            <w:rStyle w:val="Hyperlink"/>
            <w:noProof/>
          </w:rPr>
          <w:t>Article 11: Prohibition of Targeted Destabilization</w:t>
        </w:r>
        <w:r>
          <w:rPr>
            <w:noProof/>
            <w:webHidden/>
          </w:rPr>
          <w:tab/>
        </w:r>
        <w:r>
          <w:rPr>
            <w:noProof/>
            <w:webHidden/>
          </w:rPr>
          <w:fldChar w:fldCharType="begin"/>
        </w:r>
        <w:r>
          <w:rPr>
            <w:noProof/>
            <w:webHidden/>
          </w:rPr>
          <w:instrText xml:space="preserve"> PAGEREF _Toc237843079 \h </w:instrText>
        </w:r>
        <w:r>
          <w:rPr>
            <w:noProof/>
            <w:webHidden/>
          </w:rPr>
        </w:r>
        <w:r>
          <w:rPr>
            <w:noProof/>
            <w:webHidden/>
          </w:rPr>
          <w:fldChar w:fldCharType="separate"/>
        </w:r>
        <w:r>
          <w:rPr>
            <w:noProof/>
            <w:webHidden/>
          </w:rPr>
          <w:t>22</w:t>
        </w:r>
        <w:r>
          <w:rPr>
            <w:noProof/>
            <w:webHidden/>
          </w:rPr>
          <w:fldChar w:fldCharType="end"/>
        </w:r>
      </w:hyperlink>
    </w:p>
    <w:p w14:paraId="48A1AD94" w14:textId="36B5EDB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0" w:history="1">
        <w:r w:rsidRPr="00307F1A">
          <w:rPr>
            <w:rStyle w:val="Hyperlink"/>
            <w:noProof/>
          </w:rPr>
          <w:t>Article 12: Public Communication and Rhetoric De-escalation</w:t>
        </w:r>
        <w:r>
          <w:rPr>
            <w:noProof/>
            <w:webHidden/>
          </w:rPr>
          <w:tab/>
        </w:r>
        <w:r>
          <w:rPr>
            <w:noProof/>
            <w:webHidden/>
          </w:rPr>
          <w:fldChar w:fldCharType="begin"/>
        </w:r>
        <w:r>
          <w:rPr>
            <w:noProof/>
            <w:webHidden/>
          </w:rPr>
          <w:instrText xml:space="preserve"> PAGEREF _Toc237843080 \h </w:instrText>
        </w:r>
        <w:r>
          <w:rPr>
            <w:noProof/>
            <w:webHidden/>
          </w:rPr>
        </w:r>
        <w:r>
          <w:rPr>
            <w:noProof/>
            <w:webHidden/>
          </w:rPr>
          <w:fldChar w:fldCharType="separate"/>
        </w:r>
        <w:r>
          <w:rPr>
            <w:noProof/>
            <w:webHidden/>
          </w:rPr>
          <w:t>22</w:t>
        </w:r>
        <w:r>
          <w:rPr>
            <w:noProof/>
            <w:webHidden/>
          </w:rPr>
          <w:fldChar w:fldCharType="end"/>
        </w:r>
      </w:hyperlink>
    </w:p>
    <w:p w14:paraId="7D8CD48A" w14:textId="11DC2EA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1" w:history="1">
        <w:r w:rsidRPr="00307F1A">
          <w:rPr>
            <w:rStyle w:val="Hyperlink"/>
            <w:noProof/>
          </w:rPr>
          <w:t>Article 13: Domestic Ratification</w:t>
        </w:r>
        <w:r>
          <w:rPr>
            <w:noProof/>
            <w:webHidden/>
          </w:rPr>
          <w:tab/>
        </w:r>
        <w:r>
          <w:rPr>
            <w:noProof/>
            <w:webHidden/>
          </w:rPr>
          <w:fldChar w:fldCharType="begin"/>
        </w:r>
        <w:r>
          <w:rPr>
            <w:noProof/>
            <w:webHidden/>
          </w:rPr>
          <w:instrText xml:space="preserve"> PAGEREF _Toc237843081 \h </w:instrText>
        </w:r>
        <w:r>
          <w:rPr>
            <w:noProof/>
            <w:webHidden/>
          </w:rPr>
        </w:r>
        <w:r>
          <w:rPr>
            <w:noProof/>
            <w:webHidden/>
          </w:rPr>
          <w:fldChar w:fldCharType="separate"/>
        </w:r>
        <w:r>
          <w:rPr>
            <w:noProof/>
            <w:webHidden/>
          </w:rPr>
          <w:t>23</w:t>
        </w:r>
        <w:r>
          <w:rPr>
            <w:noProof/>
            <w:webHidden/>
          </w:rPr>
          <w:fldChar w:fldCharType="end"/>
        </w:r>
      </w:hyperlink>
    </w:p>
    <w:p w14:paraId="1EC2A0CE" w14:textId="124E552F"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2" w:history="1">
        <w:r w:rsidRPr="00307F1A">
          <w:rPr>
            <w:rStyle w:val="Hyperlink"/>
            <w:noProof/>
          </w:rPr>
          <w:t>Article 14: International Depository and Registration</w:t>
        </w:r>
        <w:r>
          <w:rPr>
            <w:noProof/>
            <w:webHidden/>
          </w:rPr>
          <w:tab/>
        </w:r>
        <w:r>
          <w:rPr>
            <w:noProof/>
            <w:webHidden/>
          </w:rPr>
          <w:fldChar w:fldCharType="begin"/>
        </w:r>
        <w:r>
          <w:rPr>
            <w:noProof/>
            <w:webHidden/>
          </w:rPr>
          <w:instrText xml:space="preserve"> PAGEREF _Toc237843082 \h </w:instrText>
        </w:r>
        <w:r>
          <w:rPr>
            <w:noProof/>
            <w:webHidden/>
          </w:rPr>
        </w:r>
        <w:r>
          <w:rPr>
            <w:noProof/>
            <w:webHidden/>
          </w:rPr>
          <w:fldChar w:fldCharType="separate"/>
        </w:r>
        <w:r>
          <w:rPr>
            <w:noProof/>
            <w:webHidden/>
          </w:rPr>
          <w:t>23</w:t>
        </w:r>
        <w:r>
          <w:rPr>
            <w:noProof/>
            <w:webHidden/>
          </w:rPr>
          <w:fldChar w:fldCharType="end"/>
        </w:r>
      </w:hyperlink>
    </w:p>
    <w:p w14:paraId="2B9FBD41" w14:textId="7E1CFD64"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3" w:history="1">
        <w:r w:rsidRPr="00307F1A">
          <w:rPr>
            <w:rStyle w:val="Hyperlink"/>
            <w:noProof/>
          </w:rPr>
          <w:t>Article 15: Political Contingencies</w:t>
        </w:r>
        <w:r>
          <w:rPr>
            <w:noProof/>
            <w:webHidden/>
          </w:rPr>
          <w:tab/>
        </w:r>
        <w:r>
          <w:rPr>
            <w:noProof/>
            <w:webHidden/>
          </w:rPr>
          <w:fldChar w:fldCharType="begin"/>
        </w:r>
        <w:r>
          <w:rPr>
            <w:noProof/>
            <w:webHidden/>
          </w:rPr>
          <w:instrText xml:space="preserve"> PAGEREF _Toc237843083 \h </w:instrText>
        </w:r>
        <w:r>
          <w:rPr>
            <w:noProof/>
            <w:webHidden/>
          </w:rPr>
        </w:r>
        <w:r>
          <w:rPr>
            <w:noProof/>
            <w:webHidden/>
          </w:rPr>
          <w:fldChar w:fldCharType="separate"/>
        </w:r>
        <w:r>
          <w:rPr>
            <w:noProof/>
            <w:webHidden/>
          </w:rPr>
          <w:t>24</w:t>
        </w:r>
        <w:r>
          <w:rPr>
            <w:noProof/>
            <w:webHidden/>
          </w:rPr>
          <w:fldChar w:fldCharType="end"/>
        </w:r>
      </w:hyperlink>
    </w:p>
    <w:p w14:paraId="2A2C25DB" w14:textId="4B8155AB"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084" w:history="1">
        <w:r w:rsidRPr="00307F1A">
          <w:rPr>
            <w:rStyle w:val="Hyperlink"/>
            <w:noProof/>
          </w:rPr>
          <w:t>TITLE II: SECURITY AND MILITARY DE-ESCALATION REGIME</w:t>
        </w:r>
        <w:r>
          <w:rPr>
            <w:noProof/>
            <w:webHidden/>
          </w:rPr>
          <w:tab/>
        </w:r>
        <w:r>
          <w:rPr>
            <w:noProof/>
            <w:webHidden/>
          </w:rPr>
          <w:fldChar w:fldCharType="begin"/>
        </w:r>
        <w:r>
          <w:rPr>
            <w:noProof/>
            <w:webHidden/>
          </w:rPr>
          <w:instrText xml:space="preserve"> PAGEREF _Toc237843084 \h </w:instrText>
        </w:r>
        <w:r>
          <w:rPr>
            <w:noProof/>
            <w:webHidden/>
          </w:rPr>
        </w:r>
        <w:r>
          <w:rPr>
            <w:noProof/>
            <w:webHidden/>
          </w:rPr>
          <w:fldChar w:fldCharType="separate"/>
        </w:r>
        <w:r>
          <w:rPr>
            <w:noProof/>
            <w:webHidden/>
          </w:rPr>
          <w:t>25</w:t>
        </w:r>
        <w:r>
          <w:rPr>
            <w:noProof/>
            <w:webHidden/>
          </w:rPr>
          <w:fldChar w:fldCharType="end"/>
        </w:r>
      </w:hyperlink>
    </w:p>
    <w:p w14:paraId="7AB501B8" w14:textId="5E3A77D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5" w:history="1">
        <w:r w:rsidRPr="00307F1A">
          <w:rPr>
            <w:rStyle w:val="Hyperlink"/>
            <w:noProof/>
          </w:rPr>
          <w:t>Article 16: Mutual Force Withdrawal and Posture Rebalancing</w:t>
        </w:r>
        <w:r>
          <w:rPr>
            <w:noProof/>
            <w:webHidden/>
          </w:rPr>
          <w:tab/>
        </w:r>
        <w:r>
          <w:rPr>
            <w:noProof/>
            <w:webHidden/>
          </w:rPr>
          <w:fldChar w:fldCharType="begin"/>
        </w:r>
        <w:r>
          <w:rPr>
            <w:noProof/>
            <w:webHidden/>
          </w:rPr>
          <w:instrText xml:space="preserve"> PAGEREF _Toc237843085 \h </w:instrText>
        </w:r>
        <w:r>
          <w:rPr>
            <w:noProof/>
            <w:webHidden/>
          </w:rPr>
        </w:r>
        <w:r>
          <w:rPr>
            <w:noProof/>
            <w:webHidden/>
          </w:rPr>
          <w:fldChar w:fldCharType="separate"/>
        </w:r>
        <w:r>
          <w:rPr>
            <w:noProof/>
            <w:webHidden/>
          </w:rPr>
          <w:t>25</w:t>
        </w:r>
        <w:r>
          <w:rPr>
            <w:noProof/>
            <w:webHidden/>
          </w:rPr>
          <w:fldChar w:fldCharType="end"/>
        </w:r>
      </w:hyperlink>
    </w:p>
    <w:p w14:paraId="0D0FF4C5" w14:textId="32EB70C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6" w:history="1">
        <w:r w:rsidRPr="00307F1A">
          <w:rPr>
            <w:rStyle w:val="Hyperlink"/>
            <w:noProof/>
          </w:rPr>
          <w:t>Article 17: Buffer Zones and Restricted Military Areas</w:t>
        </w:r>
        <w:r>
          <w:rPr>
            <w:noProof/>
            <w:webHidden/>
          </w:rPr>
          <w:tab/>
        </w:r>
        <w:r>
          <w:rPr>
            <w:noProof/>
            <w:webHidden/>
          </w:rPr>
          <w:fldChar w:fldCharType="begin"/>
        </w:r>
        <w:r>
          <w:rPr>
            <w:noProof/>
            <w:webHidden/>
          </w:rPr>
          <w:instrText xml:space="preserve"> PAGEREF _Toc237843086 \h </w:instrText>
        </w:r>
        <w:r>
          <w:rPr>
            <w:noProof/>
            <w:webHidden/>
          </w:rPr>
        </w:r>
        <w:r>
          <w:rPr>
            <w:noProof/>
            <w:webHidden/>
          </w:rPr>
          <w:fldChar w:fldCharType="separate"/>
        </w:r>
        <w:r>
          <w:rPr>
            <w:noProof/>
            <w:webHidden/>
          </w:rPr>
          <w:t>26</w:t>
        </w:r>
        <w:r>
          <w:rPr>
            <w:noProof/>
            <w:webHidden/>
          </w:rPr>
          <w:fldChar w:fldCharType="end"/>
        </w:r>
      </w:hyperlink>
    </w:p>
    <w:p w14:paraId="382DE609" w14:textId="4ECD611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7" w:history="1">
        <w:r w:rsidRPr="00307F1A">
          <w:rPr>
            <w:rStyle w:val="Hyperlink"/>
            <w:noProof/>
          </w:rPr>
          <w:t>Article 18: Rules of Engagement</w:t>
        </w:r>
        <w:r>
          <w:rPr>
            <w:noProof/>
            <w:webHidden/>
          </w:rPr>
          <w:tab/>
        </w:r>
        <w:r>
          <w:rPr>
            <w:noProof/>
            <w:webHidden/>
          </w:rPr>
          <w:fldChar w:fldCharType="begin"/>
        </w:r>
        <w:r>
          <w:rPr>
            <w:noProof/>
            <w:webHidden/>
          </w:rPr>
          <w:instrText xml:space="preserve"> PAGEREF _Toc237843087 \h </w:instrText>
        </w:r>
        <w:r>
          <w:rPr>
            <w:noProof/>
            <w:webHidden/>
          </w:rPr>
        </w:r>
        <w:r>
          <w:rPr>
            <w:noProof/>
            <w:webHidden/>
          </w:rPr>
          <w:fldChar w:fldCharType="separate"/>
        </w:r>
        <w:r>
          <w:rPr>
            <w:noProof/>
            <w:webHidden/>
          </w:rPr>
          <w:t>27</w:t>
        </w:r>
        <w:r>
          <w:rPr>
            <w:noProof/>
            <w:webHidden/>
          </w:rPr>
          <w:fldChar w:fldCharType="end"/>
        </w:r>
      </w:hyperlink>
    </w:p>
    <w:p w14:paraId="53DEB126" w14:textId="4F22832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8" w:history="1">
        <w:r w:rsidRPr="00307F1A">
          <w:rPr>
            <w:rStyle w:val="Hyperlink"/>
            <w:noProof/>
          </w:rPr>
          <w:t>Article 19: Airspace Control and Flight Corridors</w:t>
        </w:r>
        <w:r>
          <w:rPr>
            <w:noProof/>
            <w:webHidden/>
          </w:rPr>
          <w:tab/>
        </w:r>
        <w:r>
          <w:rPr>
            <w:noProof/>
            <w:webHidden/>
          </w:rPr>
          <w:fldChar w:fldCharType="begin"/>
        </w:r>
        <w:r>
          <w:rPr>
            <w:noProof/>
            <w:webHidden/>
          </w:rPr>
          <w:instrText xml:space="preserve"> PAGEREF _Toc237843088 \h </w:instrText>
        </w:r>
        <w:r>
          <w:rPr>
            <w:noProof/>
            <w:webHidden/>
          </w:rPr>
        </w:r>
        <w:r>
          <w:rPr>
            <w:noProof/>
            <w:webHidden/>
          </w:rPr>
          <w:fldChar w:fldCharType="separate"/>
        </w:r>
        <w:r>
          <w:rPr>
            <w:noProof/>
            <w:webHidden/>
          </w:rPr>
          <w:t>27</w:t>
        </w:r>
        <w:r>
          <w:rPr>
            <w:noProof/>
            <w:webHidden/>
          </w:rPr>
          <w:fldChar w:fldCharType="end"/>
        </w:r>
      </w:hyperlink>
    </w:p>
    <w:p w14:paraId="213EDC64" w14:textId="6A14848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89" w:history="1">
        <w:r w:rsidRPr="00307F1A">
          <w:rPr>
            <w:rStyle w:val="Hyperlink"/>
            <w:noProof/>
          </w:rPr>
          <w:t>Article 20: Naval Deconfliction</w:t>
        </w:r>
        <w:r>
          <w:rPr>
            <w:noProof/>
            <w:webHidden/>
          </w:rPr>
          <w:tab/>
        </w:r>
        <w:r>
          <w:rPr>
            <w:noProof/>
            <w:webHidden/>
          </w:rPr>
          <w:fldChar w:fldCharType="begin"/>
        </w:r>
        <w:r>
          <w:rPr>
            <w:noProof/>
            <w:webHidden/>
          </w:rPr>
          <w:instrText xml:space="preserve"> PAGEREF _Toc237843089 \h </w:instrText>
        </w:r>
        <w:r>
          <w:rPr>
            <w:noProof/>
            <w:webHidden/>
          </w:rPr>
        </w:r>
        <w:r>
          <w:rPr>
            <w:noProof/>
            <w:webHidden/>
          </w:rPr>
          <w:fldChar w:fldCharType="separate"/>
        </w:r>
        <w:r>
          <w:rPr>
            <w:noProof/>
            <w:webHidden/>
          </w:rPr>
          <w:t>28</w:t>
        </w:r>
        <w:r>
          <w:rPr>
            <w:noProof/>
            <w:webHidden/>
          </w:rPr>
          <w:fldChar w:fldCharType="end"/>
        </w:r>
      </w:hyperlink>
    </w:p>
    <w:p w14:paraId="0399BD27" w14:textId="67DB084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0" w:history="1">
        <w:r w:rsidRPr="00307F1A">
          <w:rPr>
            <w:rStyle w:val="Hyperlink"/>
            <w:noProof/>
          </w:rPr>
          <w:t>Article 21: Missile Stand-Down and Dialogue Framework</w:t>
        </w:r>
        <w:r>
          <w:rPr>
            <w:noProof/>
            <w:webHidden/>
          </w:rPr>
          <w:tab/>
        </w:r>
        <w:r>
          <w:rPr>
            <w:noProof/>
            <w:webHidden/>
          </w:rPr>
          <w:fldChar w:fldCharType="begin"/>
        </w:r>
        <w:r>
          <w:rPr>
            <w:noProof/>
            <w:webHidden/>
          </w:rPr>
          <w:instrText xml:space="preserve"> PAGEREF _Toc237843090 \h </w:instrText>
        </w:r>
        <w:r>
          <w:rPr>
            <w:noProof/>
            <w:webHidden/>
          </w:rPr>
        </w:r>
        <w:r>
          <w:rPr>
            <w:noProof/>
            <w:webHidden/>
          </w:rPr>
          <w:fldChar w:fldCharType="separate"/>
        </w:r>
        <w:r>
          <w:rPr>
            <w:noProof/>
            <w:webHidden/>
          </w:rPr>
          <w:t>29</w:t>
        </w:r>
        <w:r>
          <w:rPr>
            <w:noProof/>
            <w:webHidden/>
          </w:rPr>
          <w:fldChar w:fldCharType="end"/>
        </w:r>
      </w:hyperlink>
    </w:p>
    <w:p w14:paraId="3BFA25F5" w14:textId="4B89A5F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1" w:history="1">
        <w:r w:rsidRPr="00307F1A">
          <w:rPr>
            <w:rStyle w:val="Hyperlink"/>
            <w:noProof/>
          </w:rPr>
          <w:t>Article 22: Cyber Restraints</w:t>
        </w:r>
        <w:r>
          <w:rPr>
            <w:noProof/>
            <w:webHidden/>
          </w:rPr>
          <w:tab/>
        </w:r>
        <w:r>
          <w:rPr>
            <w:noProof/>
            <w:webHidden/>
          </w:rPr>
          <w:fldChar w:fldCharType="begin"/>
        </w:r>
        <w:r>
          <w:rPr>
            <w:noProof/>
            <w:webHidden/>
          </w:rPr>
          <w:instrText xml:space="preserve"> PAGEREF _Toc237843091 \h </w:instrText>
        </w:r>
        <w:r>
          <w:rPr>
            <w:noProof/>
            <w:webHidden/>
          </w:rPr>
        </w:r>
        <w:r>
          <w:rPr>
            <w:noProof/>
            <w:webHidden/>
          </w:rPr>
          <w:fldChar w:fldCharType="separate"/>
        </w:r>
        <w:r>
          <w:rPr>
            <w:noProof/>
            <w:webHidden/>
          </w:rPr>
          <w:t>30</w:t>
        </w:r>
        <w:r>
          <w:rPr>
            <w:noProof/>
            <w:webHidden/>
          </w:rPr>
          <w:fldChar w:fldCharType="end"/>
        </w:r>
      </w:hyperlink>
    </w:p>
    <w:p w14:paraId="068F08F7" w14:textId="1161198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2" w:history="1">
        <w:r w:rsidRPr="00307F1A">
          <w:rPr>
            <w:rStyle w:val="Hyperlink"/>
            <w:noProof/>
          </w:rPr>
          <w:t>Article 23: Proxy Demobilization Support Architecture</w:t>
        </w:r>
        <w:r>
          <w:rPr>
            <w:noProof/>
            <w:webHidden/>
          </w:rPr>
          <w:tab/>
        </w:r>
        <w:r>
          <w:rPr>
            <w:noProof/>
            <w:webHidden/>
          </w:rPr>
          <w:fldChar w:fldCharType="begin"/>
        </w:r>
        <w:r>
          <w:rPr>
            <w:noProof/>
            <w:webHidden/>
          </w:rPr>
          <w:instrText xml:space="preserve"> PAGEREF _Toc237843092 \h </w:instrText>
        </w:r>
        <w:r>
          <w:rPr>
            <w:noProof/>
            <w:webHidden/>
          </w:rPr>
        </w:r>
        <w:r>
          <w:rPr>
            <w:noProof/>
            <w:webHidden/>
          </w:rPr>
          <w:fldChar w:fldCharType="separate"/>
        </w:r>
        <w:r>
          <w:rPr>
            <w:noProof/>
            <w:webHidden/>
          </w:rPr>
          <w:t>30</w:t>
        </w:r>
        <w:r>
          <w:rPr>
            <w:noProof/>
            <w:webHidden/>
          </w:rPr>
          <w:fldChar w:fldCharType="end"/>
        </w:r>
      </w:hyperlink>
    </w:p>
    <w:p w14:paraId="3857A0DB" w14:textId="6B35D879"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3" w:history="1">
        <w:r w:rsidRPr="00307F1A">
          <w:rPr>
            <w:rStyle w:val="Hyperlink"/>
            <w:noProof/>
          </w:rPr>
          <w:t>Article 24: Joint Operations Centers</w:t>
        </w:r>
        <w:r>
          <w:rPr>
            <w:noProof/>
            <w:webHidden/>
          </w:rPr>
          <w:tab/>
        </w:r>
        <w:r>
          <w:rPr>
            <w:noProof/>
            <w:webHidden/>
          </w:rPr>
          <w:fldChar w:fldCharType="begin"/>
        </w:r>
        <w:r>
          <w:rPr>
            <w:noProof/>
            <w:webHidden/>
          </w:rPr>
          <w:instrText xml:space="preserve"> PAGEREF _Toc237843093 \h </w:instrText>
        </w:r>
        <w:r>
          <w:rPr>
            <w:noProof/>
            <w:webHidden/>
          </w:rPr>
        </w:r>
        <w:r>
          <w:rPr>
            <w:noProof/>
            <w:webHidden/>
          </w:rPr>
          <w:fldChar w:fldCharType="separate"/>
        </w:r>
        <w:r>
          <w:rPr>
            <w:noProof/>
            <w:webHidden/>
          </w:rPr>
          <w:t>31</w:t>
        </w:r>
        <w:r>
          <w:rPr>
            <w:noProof/>
            <w:webHidden/>
          </w:rPr>
          <w:fldChar w:fldCharType="end"/>
        </w:r>
      </w:hyperlink>
    </w:p>
    <w:p w14:paraId="14C2C315" w14:textId="27C5C45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4" w:history="1">
        <w:r w:rsidRPr="00307F1A">
          <w:rPr>
            <w:rStyle w:val="Hyperlink"/>
            <w:noProof/>
          </w:rPr>
          <w:t>Article 25: Incident Reporting and Notification</w:t>
        </w:r>
        <w:r>
          <w:rPr>
            <w:noProof/>
            <w:webHidden/>
          </w:rPr>
          <w:tab/>
        </w:r>
        <w:r>
          <w:rPr>
            <w:noProof/>
            <w:webHidden/>
          </w:rPr>
          <w:fldChar w:fldCharType="begin"/>
        </w:r>
        <w:r>
          <w:rPr>
            <w:noProof/>
            <w:webHidden/>
          </w:rPr>
          <w:instrText xml:space="preserve"> PAGEREF _Toc237843094 \h </w:instrText>
        </w:r>
        <w:r>
          <w:rPr>
            <w:noProof/>
            <w:webHidden/>
          </w:rPr>
        </w:r>
        <w:r>
          <w:rPr>
            <w:noProof/>
            <w:webHidden/>
          </w:rPr>
          <w:fldChar w:fldCharType="separate"/>
        </w:r>
        <w:r>
          <w:rPr>
            <w:noProof/>
            <w:webHidden/>
          </w:rPr>
          <w:t>31</w:t>
        </w:r>
        <w:r>
          <w:rPr>
            <w:noProof/>
            <w:webHidden/>
          </w:rPr>
          <w:fldChar w:fldCharType="end"/>
        </w:r>
      </w:hyperlink>
    </w:p>
    <w:p w14:paraId="0EC2C816" w14:textId="219CA4E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5" w:history="1">
        <w:r w:rsidRPr="00307F1A">
          <w:rPr>
            <w:rStyle w:val="Hyperlink"/>
            <w:noProof/>
          </w:rPr>
          <w:t>Article 26: Security Guarantees and the Guarantor Matrix</w:t>
        </w:r>
        <w:r>
          <w:rPr>
            <w:noProof/>
            <w:webHidden/>
          </w:rPr>
          <w:tab/>
        </w:r>
        <w:r>
          <w:rPr>
            <w:noProof/>
            <w:webHidden/>
          </w:rPr>
          <w:fldChar w:fldCharType="begin"/>
        </w:r>
        <w:r>
          <w:rPr>
            <w:noProof/>
            <w:webHidden/>
          </w:rPr>
          <w:instrText xml:space="preserve"> PAGEREF _Toc237843095 \h </w:instrText>
        </w:r>
        <w:r>
          <w:rPr>
            <w:noProof/>
            <w:webHidden/>
          </w:rPr>
        </w:r>
        <w:r>
          <w:rPr>
            <w:noProof/>
            <w:webHidden/>
          </w:rPr>
          <w:fldChar w:fldCharType="separate"/>
        </w:r>
        <w:r>
          <w:rPr>
            <w:noProof/>
            <w:webHidden/>
          </w:rPr>
          <w:t>32</w:t>
        </w:r>
        <w:r>
          <w:rPr>
            <w:noProof/>
            <w:webHidden/>
          </w:rPr>
          <w:fldChar w:fldCharType="end"/>
        </w:r>
      </w:hyperlink>
    </w:p>
    <w:p w14:paraId="6182A418" w14:textId="6809B25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6" w:history="1">
        <w:r w:rsidRPr="00307F1A">
          <w:rPr>
            <w:rStyle w:val="Hyperlink"/>
            <w:noProof/>
          </w:rPr>
          <w:t>Article 27: Conventional Arms Limitations</w:t>
        </w:r>
        <w:r>
          <w:rPr>
            <w:noProof/>
            <w:webHidden/>
          </w:rPr>
          <w:tab/>
        </w:r>
        <w:r>
          <w:rPr>
            <w:noProof/>
            <w:webHidden/>
          </w:rPr>
          <w:fldChar w:fldCharType="begin"/>
        </w:r>
        <w:r>
          <w:rPr>
            <w:noProof/>
            <w:webHidden/>
          </w:rPr>
          <w:instrText xml:space="preserve"> PAGEREF _Toc237843096 \h </w:instrText>
        </w:r>
        <w:r>
          <w:rPr>
            <w:noProof/>
            <w:webHidden/>
          </w:rPr>
        </w:r>
        <w:r>
          <w:rPr>
            <w:noProof/>
            <w:webHidden/>
          </w:rPr>
          <w:fldChar w:fldCharType="separate"/>
        </w:r>
        <w:r>
          <w:rPr>
            <w:noProof/>
            <w:webHidden/>
          </w:rPr>
          <w:t>33</w:t>
        </w:r>
        <w:r>
          <w:rPr>
            <w:noProof/>
            <w:webHidden/>
          </w:rPr>
          <w:fldChar w:fldCharType="end"/>
        </w:r>
      </w:hyperlink>
    </w:p>
    <w:p w14:paraId="6BDE1E15" w14:textId="039FAC6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7" w:history="1">
        <w:r w:rsidRPr="00307F1A">
          <w:rPr>
            <w:rStyle w:val="Hyperlink"/>
            <w:noProof/>
          </w:rPr>
          <w:t>Article 28: Inspection Rights and Military Verification</w:t>
        </w:r>
        <w:r>
          <w:rPr>
            <w:noProof/>
            <w:webHidden/>
          </w:rPr>
          <w:tab/>
        </w:r>
        <w:r>
          <w:rPr>
            <w:noProof/>
            <w:webHidden/>
          </w:rPr>
          <w:fldChar w:fldCharType="begin"/>
        </w:r>
        <w:r>
          <w:rPr>
            <w:noProof/>
            <w:webHidden/>
          </w:rPr>
          <w:instrText xml:space="preserve"> PAGEREF _Toc237843097 \h </w:instrText>
        </w:r>
        <w:r>
          <w:rPr>
            <w:noProof/>
            <w:webHidden/>
          </w:rPr>
        </w:r>
        <w:r>
          <w:rPr>
            <w:noProof/>
            <w:webHidden/>
          </w:rPr>
          <w:fldChar w:fldCharType="separate"/>
        </w:r>
        <w:r>
          <w:rPr>
            <w:noProof/>
            <w:webHidden/>
          </w:rPr>
          <w:t>33</w:t>
        </w:r>
        <w:r>
          <w:rPr>
            <w:noProof/>
            <w:webHidden/>
          </w:rPr>
          <w:fldChar w:fldCharType="end"/>
        </w:r>
      </w:hyperlink>
    </w:p>
    <w:p w14:paraId="43350503" w14:textId="13DAEAC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8" w:history="1">
        <w:r w:rsidRPr="00307F1A">
          <w:rPr>
            <w:rStyle w:val="Hyperlink"/>
            <w:noProof/>
          </w:rPr>
          <w:t>Article 29: Emergency Stabilization Mechanisms</w:t>
        </w:r>
        <w:r>
          <w:rPr>
            <w:noProof/>
            <w:webHidden/>
          </w:rPr>
          <w:tab/>
        </w:r>
        <w:r>
          <w:rPr>
            <w:noProof/>
            <w:webHidden/>
          </w:rPr>
          <w:fldChar w:fldCharType="begin"/>
        </w:r>
        <w:r>
          <w:rPr>
            <w:noProof/>
            <w:webHidden/>
          </w:rPr>
          <w:instrText xml:space="preserve"> PAGEREF _Toc237843098 \h </w:instrText>
        </w:r>
        <w:r>
          <w:rPr>
            <w:noProof/>
            <w:webHidden/>
          </w:rPr>
        </w:r>
        <w:r>
          <w:rPr>
            <w:noProof/>
            <w:webHidden/>
          </w:rPr>
          <w:fldChar w:fldCharType="separate"/>
        </w:r>
        <w:r>
          <w:rPr>
            <w:noProof/>
            <w:webHidden/>
          </w:rPr>
          <w:t>34</w:t>
        </w:r>
        <w:r>
          <w:rPr>
            <w:noProof/>
            <w:webHidden/>
          </w:rPr>
          <w:fldChar w:fldCharType="end"/>
        </w:r>
      </w:hyperlink>
    </w:p>
    <w:p w14:paraId="640E27D1" w14:textId="7A53756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099" w:history="1">
        <w:r w:rsidRPr="00307F1A">
          <w:rPr>
            <w:rStyle w:val="Hyperlink"/>
            <w:noProof/>
          </w:rPr>
          <w:t>Article 30: Security Compliance Benchmarks</w:t>
        </w:r>
        <w:r>
          <w:rPr>
            <w:noProof/>
            <w:webHidden/>
          </w:rPr>
          <w:tab/>
        </w:r>
        <w:r>
          <w:rPr>
            <w:noProof/>
            <w:webHidden/>
          </w:rPr>
          <w:fldChar w:fldCharType="begin"/>
        </w:r>
        <w:r>
          <w:rPr>
            <w:noProof/>
            <w:webHidden/>
          </w:rPr>
          <w:instrText xml:space="preserve"> PAGEREF _Toc237843099 \h </w:instrText>
        </w:r>
        <w:r>
          <w:rPr>
            <w:noProof/>
            <w:webHidden/>
          </w:rPr>
        </w:r>
        <w:r>
          <w:rPr>
            <w:noProof/>
            <w:webHidden/>
          </w:rPr>
          <w:fldChar w:fldCharType="separate"/>
        </w:r>
        <w:r>
          <w:rPr>
            <w:noProof/>
            <w:webHidden/>
          </w:rPr>
          <w:t>34</w:t>
        </w:r>
        <w:r>
          <w:rPr>
            <w:noProof/>
            <w:webHidden/>
          </w:rPr>
          <w:fldChar w:fldCharType="end"/>
        </w:r>
      </w:hyperlink>
    </w:p>
    <w:p w14:paraId="0E1A7411" w14:textId="04C5B90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00" w:history="1">
        <w:r w:rsidRPr="00307F1A">
          <w:rPr>
            <w:rStyle w:val="Hyperlink"/>
            <w:noProof/>
          </w:rPr>
          <w:t>TITLE III: GOVERNANCE OF THE STRAIT OF HORMUZ AND REGIONAL MARITIME ORDER</w:t>
        </w:r>
        <w:r>
          <w:rPr>
            <w:noProof/>
            <w:webHidden/>
          </w:rPr>
          <w:tab/>
        </w:r>
        <w:r>
          <w:rPr>
            <w:noProof/>
            <w:webHidden/>
          </w:rPr>
          <w:fldChar w:fldCharType="begin"/>
        </w:r>
        <w:r>
          <w:rPr>
            <w:noProof/>
            <w:webHidden/>
          </w:rPr>
          <w:instrText xml:space="preserve"> PAGEREF _Toc237843100 \h </w:instrText>
        </w:r>
        <w:r>
          <w:rPr>
            <w:noProof/>
            <w:webHidden/>
          </w:rPr>
        </w:r>
        <w:r>
          <w:rPr>
            <w:noProof/>
            <w:webHidden/>
          </w:rPr>
          <w:fldChar w:fldCharType="separate"/>
        </w:r>
        <w:r>
          <w:rPr>
            <w:noProof/>
            <w:webHidden/>
          </w:rPr>
          <w:t>36</w:t>
        </w:r>
        <w:r>
          <w:rPr>
            <w:noProof/>
            <w:webHidden/>
          </w:rPr>
          <w:fldChar w:fldCharType="end"/>
        </w:r>
      </w:hyperlink>
    </w:p>
    <w:p w14:paraId="27E35C4F" w14:textId="3F364F3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1" w:history="1">
        <w:r w:rsidRPr="00307F1A">
          <w:rPr>
            <w:rStyle w:val="Hyperlink"/>
            <w:noProof/>
          </w:rPr>
          <w:t>Article 31: The Hormuz Authority</w:t>
        </w:r>
        <w:r>
          <w:rPr>
            <w:noProof/>
            <w:webHidden/>
          </w:rPr>
          <w:tab/>
        </w:r>
        <w:r>
          <w:rPr>
            <w:noProof/>
            <w:webHidden/>
          </w:rPr>
          <w:fldChar w:fldCharType="begin"/>
        </w:r>
        <w:r>
          <w:rPr>
            <w:noProof/>
            <w:webHidden/>
          </w:rPr>
          <w:instrText xml:space="preserve"> PAGEREF _Toc237843101 \h </w:instrText>
        </w:r>
        <w:r>
          <w:rPr>
            <w:noProof/>
            <w:webHidden/>
          </w:rPr>
        </w:r>
        <w:r>
          <w:rPr>
            <w:noProof/>
            <w:webHidden/>
          </w:rPr>
          <w:fldChar w:fldCharType="separate"/>
        </w:r>
        <w:r>
          <w:rPr>
            <w:noProof/>
            <w:webHidden/>
          </w:rPr>
          <w:t>36</w:t>
        </w:r>
        <w:r>
          <w:rPr>
            <w:noProof/>
            <w:webHidden/>
          </w:rPr>
          <w:fldChar w:fldCharType="end"/>
        </w:r>
      </w:hyperlink>
    </w:p>
    <w:p w14:paraId="58591C03" w14:textId="6172D62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2" w:history="1">
        <w:r w:rsidRPr="00307F1A">
          <w:rPr>
            <w:rStyle w:val="Hyperlink"/>
            <w:noProof/>
          </w:rPr>
          <w:t>Article 32: The Four-Corridor System and Lane Publication</w:t>
        </w:r>
        <w:r>
          <w:rPr>
            <w:noProof/>
            <w:webHidden/>
          </w:rPr>
          <w:tab/>
        </w:r>
        <w:r>
          <w:rPr>
            <w:noProof/>
            <w:webHidden/>
          </w:rPr>
          <w:fldChar w:fldCharType="begin"/>
        </w:r>
        <w:r>
          <w:rPr>
            <w:noProof/>
            <w:webHidden/>
          </w:rPr>
          <w:instrText xml:space="preserve"> PAGEREF _Toc237843102 \h </w:instrText>
        </w:r>
        <w:r>
          <w:rPr>
            <w:noProof/>
            <w:webHidden/>
          </w:rPr>
        </w:r>
        <w:r>
          <w:rPr>
            <w:noProof/>
            <w:webHidden/>
          </w:rPr>
          <w:fldChar w:fldCharType="separate"/>
        </w:r>
        <w:r>
          <w:rPr>
            <w:noProof/>
            <w:webHidden/>
          </w:rPr>
          <w:t>37</w:t>
        </w:r>
        <w:r>
          <w:rPr>
            <w:noProof/>
            <w:webHidden/>
          </w:rPr>
          <w:fldChar w:fldCharType="end"/>
        </w:r>
      </w:hyperlink>
    </w:p>
    <w:p w14:paraId="6D948CB5" w14:textId="14D75DF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3" w:history="1">
        <w:r w:rsidRPr="00307F1A">
          <w:rPr>
            <w:rStyle w:val="Hyperlink"/>
            <w:noProof/>
          </w:rPr>
          <w:t>Article 33: Verification Cells</w:t>
        </w:r>
        <w:r>
          <w:rPr>
            <w:noProof/>
            <w:webHidden/>
          </w:rPr>
          <w:tab/>
        </w:r>
        <w:r>
          <w:rPr>
            <w:noProof/>
            <w:webHidden/>
          </w:rPr>
          <w:fldChar w:fldCharType="begin"/>
        </w:r>
        <w:r>
          <w:rPr>
            <w:noProof/>
            <w:webHidden/>
          </w:rPr>
          <w:instrText xml:space="preserve"> PAGEREF _Toc237843103 \h </w:instrText>
        </w:r>
        <w:r>
          <w:rPr>
            <w:noProof/>
            <w:webHidden/>
          </w:rPr>
        </w:r>
        <w:r>
          <w:rPr>
            <w:noProof/>
            <w:webHidden/>
          </w:rPr>
          <w:fldChar w:fldCharType="separate"/>
        </w:r>
        <w:r>
          <w:rPr>
            <w:noProof/>
            <w:webHidden/>
          </w:rPr>
          <w:t>39</w:t>
        </w:r>
        <w:r>
          <w:rPr>
            <w:noProof/>
            <w:webHidden/>
          </w:rPr>
          <w:fldChar w:fldCharType="end"/>
        </w:r>
      </w:hyperlink>
    </w:p>
    <w:p w14:paraId="76E6F1FD" w14:textId="3D1B11D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4" w:history="1">
        <w:r w:rsidRPr="00307F1A">
          <w:rPr>
            <w:rStyle w:val="Hyperlink"/>
            <w:noProof/>
          </w:rPr>
          <w:t>Article 34: Transit Rules</w:t>
        </w:r>
        <w:r>
          <w:rPr>
            <w:noProof/>
            <w:webHidden/>
          </w:rPr>
          <w:tab/>
        </w:r>
        <w:r>
          <w:rPr>
            <w:noProof/>
            <w:webHidden/>
          </w:rPr>
          <w:fldChar w:fldCharType="begin"/>
        </w:r>
        <w:r>
          <w:rPr>
            <w:noProof/>
            <w:webHidden/>
          </w:rPr>
          <w:instrText xml:space="preserve"> PAGEREF _Toc237843104 \h </w:instrText>
        </w:r>
        <w:r>
          <w:rPr>
            <w:noProof/>
            <w:webHidden/>
          </w:rPr>
        </w:r>
        <w:r>
          <w:rPr>
            <w:noProof/>
            <w:webHidden/>
          </w:rPr>
          <w:fldChar w:fldCharType="separate"/>
        </w:r>
        <w:r>
          <w:rPr>
            <w:noProof/>
            <w:webHidden/>
          </w:rPr>
          <w:t>39</w:t>
        </w:r>
        <w:r>
          <w:rPr>
            <w:noProof/>
            <w:webHidden/>
          </w:rPr>
          <w:fldChar w:fldCharType="end"/>
        </w:r>
      </w:hyperlink>
    </w:p>
    <w:p w14:paraId="14DE6907" w14:textId="40FA475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5" w:history="1">
        <w:r w:rsidRPr="00307F1A">
          <w:rPr>
            <w:rStyle w:val="Hyperlink"/>
            <w:noProof/>
          </w:rPr>
          <w:t>Article 35: Sovereignty and Functional Control Clauses</w:t>
        </w:r>
        <w:r>
          <w:rPr>
            <w:noProof/>
            <w:webHidden/>
          </w:rPr>
          <w:tab/>
        </w:r>
        <w:r>
          <w:rPr>
            <w:noProof/>
            <w:webHidden/>
          </w:rPr>
          <w:fldChar w:fldCharType="begin"/>
        </w:r>
        <w:r>
          <w:rPr>
            <w:noProof/>
            <w:webHidden/>
          </w:rPr>
          <w:instrText xml:space="preserve"> PAGEREF _Toc237843105 \h </w:instrText>
        </w:r>
        <w:r>
          <w:rPr>
            <w:noProof/>
            <w:webHidden/>
          </w:rPr>
        </w:r>
        <w:r>
          <w:rPr>
            <w:noProof/>
            <w:webHidden/>
          </w:rPr>
          <w:fldChar w:fldCharType="separate"/>
        </w:r>
        <w:r>
          <w:rPr>
            <w:noProof/>
            <w:webHidden/>
          </w:rPr>
          <w:t>40</w:t>
        </w:r>
        <w:r>
          <w:rPr>
            <w:noProof/>
            <w:webHidden/>
          </w:rPr>
          <w:fldChar w:fldCharType="end"/>
        </w:r>
      </w:hyperlink>
    </w:p>
    <w:p w14:paraId="336FFD99" w14:textId="0199790F"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6" w:history="1">
        <w:r w:rsidRPr="00307F1A">
          <w:rPr>
            <w:rStyle w:val="Hyperlink"/>
            <w:noProof/>
          </w:rPr>
          <w:t>Article 36: Incident Management</w:t>
        </w:r>
        <w:r>
          <w:rPr>
            <w:noProof/>
            <w:webHidden/>
          </w:rPr>
          <w:tab/>
        </w:r>
        <w:r>
          <w:rPr>
            <w:noProof/>
            <w:webHidden/>
          </w:rPr>
          <w:fldChar w:fldCharType="begin"/>
        </w:r>
        <w:r>
          <w:rPr>
            <w:noProof/>
            <w:webHidden/>
          </w:rPr>
          <w:instrText xml:space="preserve"> PAGEREF _Toc237843106 \h </w:instrText>
        </w:r>
        <w:r>
          <w:rPr>
            <w:noProof/>
            <w:webHidden/>
          </w:rPr>
        </w:r>
        <w:r>
          <w:rPr>
            <w:noProof/>
            <w:webHidden/>
          </w:rPr>
          <w:fldChar w:fldCharType="separate"/>
        </w:r>
        <w:r>
          <w:rPr>
            <w:noProof/>
            <w:webHidden/>
          </w:rPr>
          <w:t>41</w:t>
        </w:r>
        <w:r>
          <w:rPr>
            <w:noProof/>
            <w:webHidden/>
          </w:rPr>
          <w:fldChar w:fldCharType="end"/>
        </w:r>
      </w:hyperlink>
    </w:p>
    <w:p w14:paraId="6A609811" w14:textId="7BB8DF4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7" w:history="1">
        <w:r w:rsidRPr="00307F1A">
          <w:rPr>
            <w:rStyle w:val="Hyperlink"/>
            <w:noProof/>
          </w:rPr>
          <w:t>Article 37: Free Transit and the Verified Services Fee System</w:t>
        </w:r>
        <w:r>
          <w:rPr>
            <w:noProof/>
            <w:webHidden/>
          </w:rPr>
          <w:tab/>
        </w:r>
        <w:r>
          <w:rPr>
            <w:noProof/>
            <w:webHidden/>
          </w:rPr>
          <w:fldChar w:fldCharType="begin"/>
        </w:r>
        <w:r>
          <w:rPr>
            <w:noProof/>
            <w:webHidden/>
          </w:rPr>
          <w:instrText xml:space="preserve"> PAGEREF _Toc237843107 \h </w:instrText>
        </w:r>
        <w:r>
          <w:rPr>
            <w:noProof/>
            <w:webHidden/>
          </w:rPr>
        </w:r>
        <w:r>
          <w:rPr>
            <w:noProof/>
            <w:webHidden/>
          </w:rPr>
          <w:fldChar w:fldCharType="separate"/>
        </w:r>
        <w:r>
          <w:rPr>
            <w:noProof/>
            <w:webHidden/>
          </w:rPr>
          <w:t>42</w:t>
        </w:r>
        <w:r>
          <w:rPr>
            <w:noProof/>
            <w:webHidden/>
          </w:rPr>
          <w:fldChar w:fldCharType="end"/>
        </w:r>
      </w:hyperlink>
    </w:p>
    <w:p w14:paraId="16B6BAF1" w14:textId="05F3A78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8" w:history="1">
        <w:r w:rsidRPr="00307F1A">
          <w:rPr>
            <w:rStyle w:val="Hyperlink"/>
            <w:noProof/>
          </w:rPr>
          <w:t>Article 38: Jurisdiction Allocation</w:t>
        </w:r>
        <w:r>
          <w:rPr>
            <w:noProof/>
            <w:webHidden/>
          </w:rPr>
          <w:tab/>
        </w:r>
        <w:r>
          <w:rPr>
            <w:noProof/>
            <w:webHidden/>
          </w:rPr>
          <w:fldChar w:fldCharType="begin"/>
        </w:r>
        <w:r>
          <w:rPr>
            <w:noProof/>
            <w:webHidden/>
          </w:rPr>
          <w:instrText xml:space="preserve"> PAGEREF _Toc237843108 \h </w:instrText>
        </w:r>
        <w:r>
          <w:rPr>
            <w:noProof/>
            <w:webHidden/>
          </w:rPr>
        </w:r>
        <w:r>
          <w:rPr>
            <w:noProof/>
            <w:webHidden/>
          </w:rPr>
          <w:fldChar w:fldCharType="separate"/>
        </w:r>
        <w:r>
          <w:rPr>
            <w:noProof/>
            <w:webHidden/>
          </w:rPr>
          <w:t>43</w:t>
        </w:r>
        <w:r>
          <w:rPr>
            <w:noProof/>
            <w:webHidden/>
          </w:rPr>
          <w:fldChar w:fldCharType="end"/>
        </w:r>
      </w:hyperlink>
    </w:p>
    <w:p w14:paraId="7B2E5F34" w14:textId="11E7927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09" w:history="1">
        <w:r w:rsidRPr="00307F1A">
          <w:rPr>
            <w:rStyle w:val="Hyperlink"/>
            <w:noProof/>
          </w:rPr>
          <w:t>Article 39: Environmental Protections</w:t>
        </w:r>
        <w:r>
          <w:rPr>
            <w:noProof/>
            <w:webHidden/>
          </w:rPr>
          <w:tab/>
        </w:r>
        <w:r>
          <w:rPr>
            <w:noProof/>
            <w:webHidden/>
          </w:rPr>
          <w:fldChar w:fldCharType="begin"/>
        </w:r>
        <w:r>
          <w:rPr>
            <w:noProof/>
            <w:webHidden/>
          </w:rPr>
          <w:instrText xml:space="preserve"> PAGEREF _Toc237843109 \h </w:instrText>
        </w:r>
        <w:r>
          <w:rPr>
            <w:noProof/>
            <w:webHidden/>
          </w:rPr>
        </w:r>
        <w:r>
          <w:rPr>
            <w:noProof/>
            <w:webHidden/>
          </w:rPr>
          <w:fldChar w:fldCharType="separate"/>
        </w:r>
        <w:r>
          <w:rPr>
            <w:noProof/>
            <w:webHidden/>
          </w:rPr>
          <w:t>43</w:t>
        </w:r>
        <w:r>
          <w:rPr>
            <w:noProof/>
            <w:webHidden/>
          </w:rPr>
          <w:fldChar w:fldCharType="end"/>
        </w:r>
      </w:hyperlink>
    </w:p>
    <w:p w14:paraId="3D073BD0" w14:textId="104213E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0" w:history="1">
        <w:r w:rsidRPr="00307F1A">
          <w:rPr>
            <w:rStyle w:val="Hyperlink"/>
            <w:noProof/>
          </w:rPr>
          <w:t>Article 40: Search and Rescue</w:t>
        </w:r>
        <w:r>
          <w:rPr>
            <w:noProof/>
            <w:webHidden/>
          </w:rPr>
          <w:tab/>
        </w:r>
        <w:r>
          <w:rPr>
            <w:noProof/>
            <w:webHidden/>
          </w:rPr>
          <w:fldChar w:fldCharType="begin"/>
        </w:r>
        <w:r>
          <w:rPr>
            <w:noProof/>
            <w:webHidden/>
          </w:rPr>
          <w:instrText xml:space="preserve"> PAGEREF _Toc237843110 \h </w:instrText>
        </w:r>
        <w:r>
          <w:rPr>
            <w:noProof/>
            <w:webHidden/>
          </w:rPr>
        </w:r>
        <w:r>
          <w:rPr>
            <w:noProof/>
            <w:webHidden/>
          </w:rPr>
          <w:fldChar w:fldCharType="separate"/>
        </w:r>
        <w:r>
          <w:rPr>
            <w:noProof/>
            <w:webHidden/>
          </w:rPr>
          <w:t>44</w:t>
        </w:r>
        <w:r>
          <w:rPr>
            <w:noProof/>
            <w:webHidden/>
          </w:rPr>
          <w:fldChar w:fldCharType="end"/>
        </w:r>
      </w:hyperlink>
    </w:p>
    <w:p w14:paraId="598E6005" w14:textId="3C4B3491"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1" w:history="1">
        <w:r w:rsidRPr="00307F1A">
          <w:rPr>
            <w:rStyle w:val="Hyperlink"/>
            <w:noProof/>
          </w:rPr>
          <w:t>Article 41: Data Sharing and Maritime Domain Awareness</w:t>
        </w:r>
        <w:r>
          <w:rPr>
            <w:noProof/>
            <w:webHidden/>
          </w:rPr>
          <w:tab/>
        </w:r>
        <w:r>
          <w:rPr>
            <w:noProof/>
            <w:webHidden/>
          </w:rPr>
          <w:fldChar w:fldCharType="begin"/>
        </w:r>
        <w:r>
          <w:rPr>
            <w:noProof/>
            <w:webHidden/>
          </w:rPr>
          <w:instrText xml:space="preserve"> PAGEREF _Toc237843111 \h </w:instrText>
        </w:r>
        <w:r>
          <w:rPr>
            <w:noProof/>
            <w:webHidden/>
          </w:rPr>
        </w:r>
        <w:r>
          <w:rPr>
            <w:noProof/>
            <w:webHidden/>
          </w:rPr>
          <w:fldChar w:fldCharType="separate"/>
        </w:r>
        <w:r>
          <w:rPr>
            <w:noProof/>
            <w:webHidden/>
          </w:rPr>
          <w:t>44</w:t>
        </w:r>
        <w:r>
          <w:rPr>
            <w:noProof/>
            <w:webHidden/>
          </w:rPr>
          <w:fldChar w:fldCharType="end"/>
        </w:r>
      </w:hyperlink>
    </w:p>
    <w:p w14:paraId="46068844" w14:textId="425FE2E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2" w:history="1">
        <w:r w:rsidRPr="00307F1A">
          <w:rPr>
            <w:rStyle w:val="Hyperlink"/>
            <w:noProof/>
          </w:rPr>
          <w:t>Article 42: Harbor Access</w:t>
        </w:r>
        <w:r>
          <w:rPr>
            <w:noProof/>
            <w:webHidden/>
          </w:rPr>
          <w:tab/>
        </w:r>
        <w:r>
          <w:rPr>
            <w:noProof/>
            <w:webHidden/>
          </w:rPr>
          <w:fldChar w:fldCharType="begin"/>
        </w:r>
        <w:r>
          <w:rPr>
            <w:noProof/>
            <w:webHidden/>
          </w:rPr>
          <w:instrText xml:space="preserve"> PAGEREF _Toc237843112 \h </w:instrText>
        </w:r>
        <w:r>
          <w:rPr>
            <w:noProof/>
            <w:webHidden/>
          </w:rPr>
        </w:r>
        <w:r>
          <w:rPr>
            <w:noProof/>
            <w:webHidden/>
          </w:rPr>
          <w:fldChar w:fldCharType="separate"/>
        </w:r>
        <w:r>
          <w:rPr>
            <w:noProof/>
            <w:webHidden/>
          </w:rPr>
          <w:t>45</w:t>
        </w:r>
        <w:r>
          <w:rPr>
            <w:noProof/>
            <w:webHidden/>
          </w:rPr>
          <w:fldChar w:fldCharType="end"/>
        </w:r>
      </w:hyperlink>
    </w:p>
    <w:p w14:paraId="03A67A7D" w14:textId="6DFA6D4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3" w:history="1">
        <w:r w:rsidRPr="00307F1A">
          <w:rPr>
            <w:rStyle w:val="Hyperlink"/>
            <w:noProof/>
          </w:rPr>
          <w:t>Article 43: Regional Integration and the Outer Charter Layer</w:t>
        </w:r>
        <w:r>
          <w:rPr>
            <w:noProof/>
            <w:webHidden/>
          </w:rPr>
          <w:tab/>
        </w:r>
        <w:r>
          <w:rPr>
            <w:noProof/>
            <w:webHidden/>
          </w:rPr>
          <w:fldChar w:fldCharType="begin"/>
        </w:r>
        <w:r>
          <w:rPr>
            <w:noProof/>
            <w:webHidden/>
          </w:rPr>
          <w:instrText xml:space="preserve"> PAGEREF _Toc237843113 \h </w:instrText>
        </w:r>
        <w:r>
          <w:rPr>
            <w:noProof/>
            <w:webHidden/>
          </w:rPr>
        </w:r>
        <w:r>
          <w:rPr>
            <w:noProof/>
            <w:webHidden/>
          </w:rPr>
          <w:fldChar w:fldCharType="separate"/>
        </w:r>
        <w:r>
          <w:rPr>
            <w:noProof/>
            <w:webHidden/>
          </w:rPr>
          <w:t>45</w:t>
        </w:r>
        <w:r>
          <w:rPr>
            <w:noProof/>
            <w:webHidden/>
          </w:rPr>
          <w:fldChar w:fldCharType="end"/>
        </w:r>
      </w:hyperlink>
    </w:p>
    <w:p w14:paraId="24B5C276" w14:textId="1650025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4" w:history="1">
        <w:r w:rsidRPr="00307F1A">
          <w:rPr>
            <w:rStyle w:val="Hyperlink"/>
            <w:noProof/>
          </w:rPr>
          <w:t>Article 44: Governance Activation Timeline</w:t>
        </w:r>
        <w:r>
          <w:rPr>
            <w:noProof/>
            <w:webHidden/>
          </w:rPr>
          <w:tab/>
        </w:r>
        <w:r>
          <w:rPr>
            <w:noProof/>
            <w:webHidden/>
          </w:rPr>
          <w:fldChar w:fldCharType="begin"/>
        </w:r>
        <w:r>
          <w:rPr>
            <w:noProof/>
            <w:webHidden/>
          </w:rPr>
          <w:instrText xml:space="preserve"> PAGEREF _Toc237843114 \h </w:instrText>
        </w:r>
        <w:r>
          <w:rPr>
            <w:noProof/>
            <w:webHidden/>
          </w:rPr>
        </w:r>
        <w:r>
          <w:rPr>
            <w:noProof/>
            <w:webHidden/>
          </w:rPr>
          <w:fldChar w:fldCharType="separate"/>
        </w:r>
        <w:r>
          <w:rPr>
            <w:noProof/>
            <w:webHidden/>
          </w:rPr>
          <w:t>46</w:t>
        </w:r>
        <w:r>
          <w:rPr>
            <w:noProof/>
            <w:webHidden/>
          </w:rPr>
          <w:fldChar w:fldCharType="end"/>
        </w:r>
      </w:hyperlink>
    </w:p>
    <w:p w14:paraId="6BF1F36B" w14:textId="7AA0D7C3"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5" w:history="1">
        <w:r w:rsidRPr="00307F1A">
          <w:rPr>
            <w:rStyle w:val="Hyperlink"/>
            <w:noProof/>
          </w:rPr>
          <w:t>Article 45: Maritime Dispute Panels</w:t>
        </w:r>
        <w:r>
          <w:rPr>
            <w:noProof/>
            <w:webHidden/>
          </w:rPr>
          <w:tab/>
        </w:r>
        <w:r>
          <w:rPr>
            <w:noProof/>
            <w:webHidden/>
          </w:rPr>
          <w:fldChar w:fldCharType="begin"/>
        </w:r>
        <w:r>
          <w:rPr>
            <w:noProof/>
            <w:webHidden/>
          </w:rPr>
          <w:instrText xml:space="preserve"> PAGEREF _Toc237843115 \h </w:instrText>
        </w:r>
        <w:r>
          <w:rPr>
            <w:noProof/>
            <w:webHidden/>
          </w:rPr>
        </w:r>
        <w:r>
          <w:rPr>
            <w:noProof/>
            <w:webHidden/>
          </w:rPr>
          <w:fldChar w:fldCharType="separate"/>
        </w:r>
        <w:r>
          <w:rPr>
            <w:noProof/>
            <w:webHidden/>
          </w:rPr>
          <w:t>47</w:t>
        </w:r>
        <w:r>
          <w:rPr>
            <w:noProof/>
            <w:webHidden/>
          </w:rPr>
          <w:fldChar w:fldCharType="end"/>
        </w:r>
      </w:hyperlink>
    </w:p>
    <w:p w14:paraId="3C1445CF" w14:textId="2B5DF882"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16" w:history="1">
        <w:r w:rsidRPr="00307F1A">
          <w:rPr>
            <w:rStyle w:val="Hyperlink"/>
            <w:noProof/>
          </w:rPr>
          <w:t>TITLE IV: ECONOMIC NORMALIZATION AND SANCTIONS FRAMEWORK</w:t>
        </w:r>
        <w:r>
          <w:rPr>
            <w:noProof/>
            <w:webHidden/>
          </w:rPr>
          <w:tab/>
        </w:r>
        <w:r>
          <w:rPr>
            <w:noProof/>
            <w:webHidden/>
          </w:rPr>
          <w:fldChar w:fldCharType="begin"/>
        </w:r>
        <w:r>
          <w:rPr>
            <w:noProof/>
            <w:webHidden/>
          </w:rPr>
          <w:instrText xml:space="preserve"> PAGEREF _Toc237843116 \h </w:instrText>
        </w:r>
        <w:r>
          <w:rPr>
            <w:noProof/>
            <w:webHidden/>
          </w:rPr>
        </w:r>
        <w:r>
          <w:rPr>
            <w:noProof/>
            <w:webHidden/>
          </w:rPr>
          <w:fldChar w:fldCharType="separate"/>
        </w:r>
        <w:r>
          <w:rPr>
            <w:noProof/>
            <w:webHidden/>
          </w:rPr>
          <w:t>48</w:t>
        </w:r>
        <w:r>
          <w:rPr>
            <w:noProof/>
            <w:webHidden/>
          </w:rPr>
          <w:fldChar w:fldCharType="end"/>
        </w:r>
      </w:hyperlink>
    </w:p>
    <w:p w14:paraId="70C6EC70" w14:textId="36F89A99"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7" w:history="1">
        <w:r w:rsidRPr="00307F1A">
          <w:rPr>
            <w:rStyle w:val="Hyperlink"/>
            <w:noProof/>
          </w:rPr>
          <w:t>Article 46: Sanctions Termination Roadmap</w:t>
        </w:r>
        <w:r>
          <w:rPr>
            <w:noProof/>
            <w:webHidden/>
          </w:rPr>
          <w:tab/>
        </w:r>
        <w:r>
          <w:rPr>
            <w:noProof/>
            <w:webHidden/>
          </w:rPr>
          <w:fldChar w:fldCharType="begin"/>
        </w:r>
        <w:r>
          <w:rPr>
            <w:noProof/>
            <w:webHidden/>
          </w:rPr>
          <w:instrText xml:space="preserve"> PAGEREF _Toc237843117 \h </w:instrText>
        </w:r>
        <w:r>
          <w:rPr>
            <w:noProof/>
            <w:webHidden/>
          </w:rPr>
        </w:r>
        <w:r>
          <w:rPr>
            <w:noProof/>
            <w:webHidden/>
          </w:rPr>
          <w:fldChar w:fldCharType="separate"/>
        </w:r>
        <w:r>
          <w:rPr>
            <w:noProof/>
            <w:webHidden/>
          </w:rPr>
          <w:t>48</w:t>
        </w:r>
        <w:r>
          <w:rPr>
            <w:noProof/>
            <w:webHidden/>
          </w:rPr>
          <w:fldChar w:fldCharType="end"/>
        </w:r>
      </w:hyperlink>
    </w:p>
    <w:p w14:paraId="1A698784" w14:textId="60218F0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8" w:history="1">
        <w:r w:rsidRPr="00307F1A">
          <w:rPr>
            <w:rStyle w:val="Hyperlink"/>
            <w:noProof/>
          </w:rPr>
          <w:t>Article 47: Frozen Asset Release</w:t>
        </w:r>
        <w:r>
          <w:rPr>
            <w:noProof/>
            <w:webHidden/>
          </w:rPr>
          <w:tab/>
        </w:r>
        <w:r>
          <w:rPr>
            <w:noProof/>
            <w:webHidden/>
          </w:rPr>
          <w:fldChar w:fldCharType="begin"/>
        </w:r>
        <w:r>
          <w:rPr>
            <w:noProof/>
            <w:webHidden/>
          </w:rPr>
          <w:instrText xml:space="preserve"> PAGEREF _Toc237843118 \h </w:instrText>
        </w:r>
        <w:r>
          <w:rPr>
            <w:noProof/>
            <w:webHidden/>
          </w:rPr>
        </w:r>
        <w:r>
          <w:rPr>
            <w:noProof/>
            <w:webHidden/>
          </w:rPr>
          <w:fldChar w:fldCharType="separate"/>
        </w:r>
        <w:r>
          <w:rPr>
            <w:noProof/>
            <w:webHidden/>
          </w:rPr>
          <w:t>49</w:t>
        </w:r>
        <w:r>
          <w:rPr>
            <w:noProof/>
            <w:webHidden/>
          </w:rPr>
          <w:fldChar w:fldCharType="end"/>
        </w:r>
      </w:hyperlink>
    </w:p>
    <w:p w14:paraId="5D808C1F" w14:textId="156BB554"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19" w:history="1">
        <w:r w:rsidRPr="00307F1A">
          <w:rPr>
            <w:rStyle w:val="Hyperlink"/>
            <w:noProof/>
          </w:rPr>
          <w:t>Article 48: Oil Export Guarantees</w:t>
        </w:r>
        <w:r>
          <w:rPr>
            <w:noProof/>
            <w:webHidden/>
          </w:rPr>
          <w:tab/>
        </w:r>
        <w:r>
          <w:rPr>
            <w:noProof/>
            <w:webHidden/>
          </w:rPr>
          <w:fldChar w:fldCharType="begin"/>
        </w:r>
        <w:r>
          <w:rPr>
            <w:noProof/>
            <w:webHidden/>
          </w:rPr>
          <w:instrText xml:space="preserve"> PAGEREF _Toc237843119 \h </w:instrText>
        </w:r>
        <w:r>
          <w:rPr>
            <w:noProof/>
            <w:webHidden/>
          </w:rPr>
        </w:r>
        <w:r>
          <w:rPr>
            <w:noProof/>
            <w:webHidden/>
          </w:rPr>
          <w:fldChar w:fldCharType="separate"/>
        </w:r>
        <w:r>
          <w:rPr>
            <w:noProof/>
            <w:webHidden/>
          </w:rPr>
          <w:t>50</w:t>
        </w:r>
        <w:r>
          <w:rPr>
            <w:noProof/>
            <w:webHidden/>
          </w:rPr>
          <w:fldChar w:fldCharType="end"/>
        </w:r>
      </w:hyperlink>
    </w:p>
    <w:p w14:paraId="278C71CE" w14:textId="19362F3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0" w:history="1">
        <w:r w:rsidRPr="00307F1A">
          <w:rPr>
            <w:rStyle w:val="Hyperlink"/>
            <w:noProof/>
          </w:rPr>
          <w:t>Article 49: Banking Channels and SWIFT Restoration</w:t>
        </w:r>
        <w:r>
          <w:rPr>
            <w:noProof/>
            <w:webHidden/>
          </w:rPr>
          <w:tab/>
        </w:r>
        <w:r>
          <w:rPr>
            <w:noProof/>
            <w:webHidden/>
          </w:rPr>
          <w:fldChar w:fldCharType="begin"/>
        </w:r>
        <w:r>
          <w:rPr>
            <w:noProof/>
            <w:webHidden/>
          </w:rPr>
          <w:instrText xml:space="preserve"> PAGEREF _Toc237843120 \h </w:instrText>
        </w:r>
        <w:r>
          <w:rPr>
            <w:noProof/>
            <w:webHidden/>
          </w:rPr>
        </w:r>
        <w:r>
          <w:rPr>
            <w:noProof/>
            <w:webHidden/>
          </w:rPr>
          <w:fldChar w:fldCharType="separate"/>
        </w:r>
        <w:r>
          <w:rPr>
            <w:noProof/>
            <w:webHidden/>
          </w:rPr>
          <w:t>51</w:t>
        </w:r>
        <w:r>
          <w:rPr>
            <w:noProof/>
            <w:webHidden/>
          </w:rPr>
          <w:fldChar w:fldCharType="end"/>
        </w:r>
      </w:hyperlink>
    </w:p>
    <w:p w14:paraId="51F6BEEE" w14:textId="0FC8C38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1" w:history="1">
        <w:r w:rsidRPr="00307F1A">
          <w:rPr>
            <w:rStyle w:val="Hyperlink"/>
            <w:noProof/>
          </w:rPr>
          <w:t>Article 50: Trade Normalization</w:t>
        </w:r>
        <w:r>
          <w:rPr>
            <w:noProof/>
            <w:webHidden/>
          </w:rPr>
          <w:tab/>
        </w:r>
        <w:r>
          <w:rPr>
            <w:noProof/>
            <w:webHidden/>
          </w:rPr>
          <w:fldChar w:fldCharType="begin"/>
        </w:r>
        <w:r>
          <w:rPr>
            <w:noProof/>
            <w:webHidden/>
          </w:rPr>
          <w:instrText xml:space="preserve"> PAGEREF _Toc237843121 \h </w:instrText>
        </w:r>
        <w:r>
          <w:rPr>
            <w:noProof/>
            <w:webHidden/>
          </w:rPr>
        </w:r>
        <w:r>
          <w:rPr>
            <w:noProof/>
            <w:webHidden/>
          </w:rPr>
          <w:fldChar w:fldCharType="separate"/>
        </w:r>
        <w:r>
          <w:rPr>
            <w:noProof/>
            <w:webHidden/>
          </w:rPr>
          <w:t>51</w:t>
        </w:r>
        <w:r>
          <w:rPr>
            <w:noProof/>
            <w:webHidden/>
          </w:rPr>
          <w:fldChar w:fldCharType="end"/>
        </w:r>
      </w:hyperlink>
    </w:p>
    <w:p w14:paraId="02079B2A" w14:textId="7C3B46CF"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2" w:history="1">
        <w:r w:rsidRPr="00307F1A">
          <w:rPr>
            <w:rStyle w:val="Hyperlink"/>
            <w:noProof/>
          </w:rPr>
          <w:t>Article 51: Energy Security</w:t>
        </w:r>
        <w:r>
          <w:rPr>
            <w:noProof/>
            <w:webHidden/>
          </w:rPr>
          <w:tab/>
        </w:r>
        <w:r>
          <w:rPr>
            <w:noProof/>
            <w:webHidden/>
          </w:rPr>
          <w:fldChar w:fldCharType="begin"/>
        </w:r>
        <w:r>
          <w:rPr>
            <w:noProof/>
            <w:webHidden/>
          </w:rPr>
          <w:instrText xml:space="preserve"> PAGEREF _Toc237843122 \h </w:instrText>
        </w:r>
        <w:r>
          <w:rPr>
            <w:noProof/>
            <w:webHidden/>
          </w:rPr>
        </w:r>
        <w:r>
          <w:rPr>
            <w:noProof/>
            <w:webHidden/>
          </w:rPr>
          <w:fldChar w:fldCharType="separate"/>
        </w:r>
        <w:r>
          <w:rPr>
            <w:noProof/>
            <w:webHidden/>
          </w:rPr>
          <w:t>52</w:t>
        </w:r>
        <w:r>
          <w:rPr>
            <w:noProof/>
            <w:webHidden/>
          </w:rPr>
          <w:fldChar w:fldCharType="end"/>
        </w:r>
      </w:hyperlink>
    </w:p>
    <w:p w14:paraId="78D8408B" w14:textId="08E235D3"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3" w:history="1">
        <w:r w:rsidRPr="00307F1A">
          <w:rPr>
            <w:rStyle w:val="Hyperlink"/>
            <w:noProof/>
          </w:rPr>
          <w:t>Article 52: The Reconstruction and Development Fund</w:t>
        </w:r>
        <w:r>
          <w:rPr>
            <w:noProof/>
            <w:webHidden/>
          </w:rPr>
          <w:tab/>
        </w:r>
        <w:r>
          <w:rPr>
            <w:noProof/>
            <w:webHidden/>
          </w:rPr>
          <w:fldChar w:fldCharType="begin"/>
        </w:r>
        <w:r>
          <w:rPr>
            <w:noProof/>
            <w:webHidden/>
          </w:rPr>
          <w:instrText xml:space="preserve"> PAGEREF _Toc237843123 \h </w:instrText>
        </w:r>
        <w:r>
          <w:rPr>
            <w:noProof/>
            <w:webHidden/>
          </w:rPr>
        </w:r>
        <w:r>
          <w:rPr>
            <w:noProof/>
            <w:webHidden/>
          </w:rPr>
          <w:fldChar w:fldCharType="separate"/>
        </w:r>
        <w:r>
          <w:rPr>
            <w:noProof/>
            <w:webHidden/>
          </w:rPr>
          <w:t>53</w:t>
        </w:r>
        <w:r>
          <w:rPr>
            <w:noProof/>
            <w:webHidden/>
          </w:rPr>
          <w:fldChar w:fldCharType="end"/>
        </w:r>
      </w:hyperlink>
    </w:p>
    <w:p w14:paraId="1B310DBC" w14:textId="11F4E31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4" w:history="1">
        <w:r w:rsidRPr="00307F1A">
          <w:rPr>
            <w:rStyle w:val="Hyperlink"/>
            <w:noProof/>
          </w:rPr>
          <w:t>Article 53: Investment Protections</w:t>
        </w:r>
        <w:r>
          <w:rPr>
            <w:noProof/>
            <w:webHidden/>
          </w:rPr>
          <w:tab/>
        </w:r>
        <w:r>
          <w:rPr>
            <w:noProof/>
            <w:webHidden/>
          </w:rPr>
          <w:fldChar w:fldCharType="begin"/>
        </w:r>
        <w:r>
          <w:rPr>
            <w:noProof/>
            <w:webHidden/>
          </w:rPr>
          <w:instrText xml:space="preserve"> PAGEREF _Toc237843124 \h </w:instrText>
        </w:r>
        <w:r>
          <w:rPr>
            <w:noProof/>
            <w:webHidden/>
          </w:rPr>
        </w:r>
        <w:r>
          <w:rPr>
            <w:noProof/>
            <w:webHidden/>
          </w:rPr>
          <w:fldChar w:fldCharType="separate"/>
        </w:r>
        <w:r>
          <w:rPr>
            <w:noProof/>
            <w:webHidden/>
          </w:rPr>
          <w:t>53</w:t>
        </w:r>
        <w:r>
          <w:rPr>
            <w:noProof/>
            <w:webHidden/>
          </w:rPr>
          <w:fldChar w:fldCharType="end"/>
        </w:r>
      </w:hyperlink>
    </w:p>
    <w:p w14:paraId="43E8ABCE" w14:textId="3010ACE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5" w:history="1">
        <w:r w:rsidRPr="00307F1A">
          <w:rPr>
            <w:rStyle w:val="Hyperlink"/>
            <w:noProof/>
          </w:rPr>
          <w:t>Article 54: Tariff and Trade Facilitation</w:t>
        </w:r>
        <w:r>
          <w:rPr>
            <w:noProof/>
            <w:webHidden/>
          </w:rPr>
          <w:tab/>
        </w:r>
        <w:r>
          <w:rPr>
            <w:noProof/>
            <w:webHidden/>
          </w:rPr>
          <w:fldChar w:fldCharType="begin"/>
        </w:r>
        <w:r>
          <w:rPr>
            <w:noProof/>
            <w:webHidden/>
          </w:rPr>
          <w:instrText xml:space="preserve"> PAGEREF _Toc237843125 \h </w:instrText>
        </w:r>
        <w:r>
          <w:rPr>
            <w:noProof/>
            <w:webHidden/>
          </w:rPr>
        </w:r>
        <w:r>
          <w:rPr>
            <w:noProof/>
            <w:webHidden/>
          </w:rPr>
          <w:fldChar w:fldCharType="separate"/>
        </w:r>
        <w:r>
          <w:rPr>
            <w:noProof/>
            <w:webHidden/>
          </w:rPr>
          <w:t>54</w:t>
        </w:r>
        <w:r>
          <w:rPr>
            <w:noProof/>
            <w:webHidden/>
          </w:rPr>
          <w:fldChar w:fldCharType="end"/>
        </w:r>
      </w:hyperlink>
    </w:p>
    <w:p w14:paraId="5013D4C1" w14:textId="03CCE11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6" w:history="1">
        <w:r w:rsidRPr="00307F1A">
          <w:rPr>
            <w:rStyle w:val="Hyperlink"/>
            <w:noProof/>
          </w:rPr>
          <w:t>Article 55: Economic Monitoring</w:t>
        </w:r>
        <w:r>
          <w:rPr>
            <w:noProof/>
            <w:webHidden/>
          </w:rPr>
          <w:tab/>
        </w:r>
        <w:r>
          <w:rPr>
            <w:noProof/>
            <w:webHidden/>
          </w:rPr>
          <w:fldChar w:fldCharType="begin"/>
        </w:r>
        <w:r>
          <w:rPr>
            <w:noProof/>
            <w:webHidden/>
          </w:rPr>
          <w:instrText xml:space="preserve"> PAGEREF _Toc237843126 \h </w:instrText>
        </w:r>
        <w:r>
          <w:rPr>
            <w:noProof/>
            <w:webHidden/>
          </w:rPr>
        </w:r>
        <w:r>
          <w:rPr>
            <w:noProof/>
            <w:webHidden/>
          </w:rPr>
          <w:fldChar w:fldCharType="separate"/>
        </w:r>
        <w:r>
          <w:rPr>
            <w:noProof/>
            <w:webHidden/>
          </w:rPr>
          <w:t>54</w:t>
        </w:r>
        <w:r>
          <w:rPr>
            <w:noProof/>
            <w:webHidden/>
          </w:rPr>
          <w:fldChar w:fldCharType="end"/>
        </w:r>
      </w:hyperlink>
    </w:p>
    <w:p w14:paraId="23D5BE91" w14:textId="142013D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7" w:history="1">
        <w:r w:rsidRPr="00307F1A">
          <w:rPr>
            <w:rStyle w:val="Hyperlink"/>
            <w:noProof/>
          </w:rPr>
          <w:t>Article 56: Currency Stabilization</w:t>
        </w:r>
        <w:r>
          <w:rPr>
            <w:noProof/>
            <w:webHidden/>
          </w:rPr>
          <w:tab/>
        </w:r>
        <w:r>
          <w:rPr>
            <w:noProof/>
            <w:webHidden/>
          </w:rPr>
          <w:fldChar w:fldCharType="begin"/>
        </w:r>
        <w:r>
          <w:rPr>
            <w:noProof/>
            <w:webHidden/>
          </w:rPr>
          <w:instrText xml:space="preserve"> PAGEREF _Toc237843127 \h </w:instrText>
        </w:r>
        <w:r>
          <w:rPr>
            <w:noProof/>
            <w:webHidden/>
          </w:rPr>
        </w:r>
        <w:r>
          <w:rPr>
            <w:noProof/>
            <w:webHidden/>
          </w:rPr>
          <w:fldChar w:fldCharType="separate"/>
        </w:r>
        <w:r>
          <w:rPr>
            <w:noProof/>
            <w:webHidden/>
          </w:rPr>
          <w:t>55</w:t>
        </w:r>
        <w:r>
          <w:rPr>
            <w:noProof/>
            <w:webHidden/>
          </w:rPr>
          <w:fldChar w:fldCharType="end"/>
        </w:r>
      </w:hyperlink>
    </w:p>
    <w:p w14:paraId="59FC7AF8" w14:textId="60E810D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8" w:history="1">
        <w:r w:rsidRPr="00307F1A">
          <w:rPr>
            <w:rStyle w:val="Hyperlink"/>
            <w:noProof/>
          </w:rPr>
          <w:t>Article 57: Humanitarian Funding Channels</w:t>
        </w:r>
        <w:r>
          <w:rPr>
            <w:noProof/>
            <w:webHidden/>
          </w:rPr>
          <w:tab/>
        </w:r>
        <w:r>
          <w:rPr>
            <w:noProof/>
            <w:webHidden/>
          </w:rPr>
          <w:fldChar w:fldCharType="begin"/>
        </w:r>
        <w:r>
          <w:rPr>
            <w:noProof/>
            <w:webHidden/>
          </w:rPr>
          <w:instrText xml:space="preserve"> PAGEREF _Toc237843128 \h </w:instrText>
        </w:r>
        <w:r>
          <w:rPr>
            <w:noProof/>
            <w:webHidden/>
          </w:rPr>
        </w:r>
        <w:r>
          <w:rPr>
            <w:noProof/>
            <w:webHidden/>
          </w:rPr>
          <w:fldChar w:fldCharType="separate"/>
        </w:r>
        <w:r>
          <w:rPr>
            <w:noProof/>
            <w:webHidden/>
          </w:rPr>
          <w:t>55</w:t>
        </w:r>
        <w:r>
          <w:rPr>
            <w:noProof/>
            <w:webHidden/>
          </w:rPr>
          <w:fldChar w:fldCharType="end"/>
        </w:r>
      </w:hyperlink>
    </w:p>
    <w:p w14:paraId="46066212" w14:textId="09A9DE1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29" w:history="1">
        <w:r w:rsidRPr="00307F1A">
          <w:rPr>
            <w:rStyle w:val="Hyperlink"/>
            <w:noProof/>
          </w:rPr>
          <w:t>Article 58: Infrastructure Access</w:t>
        </w:r>
        <w:r>
          <w:rPr>
            <w:noProof/>
            <w:webHidden/>
          </w:rPr>
          <w:tab/>
        </w:r>
        <w:r>
          <w:rPr>
            <w:noProof/>
            <w:webHidden/>
          </w:rPr>
          <w:fldChar w:fldCharType="begin"/>
        </w:r>
        <w:r>
          <w:rPr>
            <w:noProof/>
            <w:webHidden/>
          </w:rPr>
          <w:instrText xml:space="preserve"> PAGEREF _Toc237843129 \h </w:instrText>
        </w:r>
        <w:r>
          <w:rPr>
            <w:noProof/>
            <w:webHidden/>
          </w:rPr>
        </w:r>
        <w:r>
          <w:rPr>
            <w:noProof/>
            <w:webHidden/>
          </w:rPr>
          <w:fldChar w:fldCharType="separate"/>
        </w:r>
        <w:r>
          <w:rPr>
            <w:noProof/>
            <w:webHidden/>
          </w:rPr>
          <w:t>55</w:t>
        </w:r>
        <w:r>
          <w:rPr>
            <w:noProof/>
            <w:webHidden/>
          </w:rPr>
          <w:fldChar w:fldCharType="end"/>
        </w:r>
      </w:hyperlink>
    </w:p>
    <w:p w14:paraId="7DED2E8B" w14:textId="6D75E7A6"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0" w:history="1">
        <w:r w:rsidRPr="00307F1A">
          <w:rPr>
            <w:rStyle w:val="Hyperlink"/>
            <w:noProof/>
          </w:rPr>
          <w:t>Article 59: Private Sector Integration</w:t>
        </w:r>
        <w:r>
          <w:rPr>
            <w:noProof/>
            <w:webHidden/>
          </w:rPr>
          <w:tab/>
        </w:r>
        <w:r>
          <w:rPr>
            <w:noProof/>
            <w:webHidden/>
          </w:rPr>
          <w:fldChar w:fldCharType="begin"/>
        </w:r>
        <w:r>
          <w:rPr>
            <w:noProof/>
            <w:webHidden/>
          </w:rPr>
          <w:instrText xml:space="preserve"> PAGEREF _Toc237843130 \h </w:instrText>
        </w:r>
        <w:r>
          <w:rPr>
            <w:noProof/>
            <w:webHidden/>
          </w:rPr>
        </w:r>
        <w:r>
          <w:rPr>
            <w:noProof/>
            <w:webHidden/>
          </w:rPr>
          <w:fldChar w:fldCharType="separate"/>
        </w:r>
        <w:r>
          <w:rPr>
            <w:noProof/>
            <w:webHidden/>
          </w:rPr>
          <w:t>56</w:t>
        </w:r>
        <w:r>
          <w:rPr>
            <w:noProof/>
            <w:webHidden/>
          </w:rPr>
          <w:fldChar w:fldCharType="end"/>
        </w:r>
      </w:hyperlink>
    </w:p>
    <w:p w14:paraId="0F1F7AD1" w14:textId="6996F62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1" w:history="1">
        <w:r w:rsidRPr="00307F1A">
          <w:rPr>
            <w:rStyle w:val="Hyperlink"/>
            <w:noProof/>
          </w:rPr>
          <w:t>Article 60: Economic Contingencies and Shock Absorbers</w:t>
        </w:r>
        <w:r>
          <w:rPr>
            <w:noProof/>
            <w:webHidden/>
          </w:rPr>
          <w:tab/>
        </w:r>
        <w:r>
          <w:rPr>
            <w:noProof/>
            <w:webHidden/>
          </w:rPr>
          <w:fldChar w:fldCharType="begin"/>
        </w:r>
        <w:r>
          <w:rPr>
            <w:noProof/>
            <w:webHidden/>
          </w:rPr>
          <w:instrText xml:space="preserve"> PAGEREF _Toc237843131 \h </w:instrText>
        </w:r>
        <w:r>
          <w:rPr>
            <w:noProof/>
            <w:webHidden/>
          </w:rPr>
        </w:r>
        <w:r>
          <w:rPr>
            <w:noProof/>
            <w:webHidden/>
          </w:rPr>
          <w:fldChar w:fldCharType="separate"/>
        </w:r>
        <w:r>
          <w:rPr>
            <w:noProof/>
            <w:webHidden/>
          </w:rPr>
          <w:t>56</w:t>
        </w:r>
        <w:r>
          <w:rPr>
            <w:noProof/>
            <w:webHidden/>
          </w:rPr>
          <w:fldChar w:fldCharType="end"/>
        </w:r>
      </w:hyperlink>
    </w:p>
    <w:p w14:paraId="45B76231" w14:textId="00C10CE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32" w:history="1">
        <w:r w:rsidRPr="00307F1A">
          <w:rPr>
            <w:rStyle w:val="Hyperlink"/>
            <w:noProof/>
          </w:rPr>
          <w:t>TITLE V: LEGAL, JUSTICE, AND VERIFICATION REGIME</w:t>
        </w:r>
        <w:r>
          <w:rPr>
            <w:noProof/>
            <w:webHidden/>
          </w:rPr>
          <w:tab/>
        </w:r>
        <w:r>
          <w:rPr>
            <w:noProof/>
            <w:webHidden/>
          </w:rPr>
          <w:fldChar w:fldCharType="begin"/>
        </w:r>
        <w:r>
          <w:rPr>
            <w:noProof/>
            <w:webHidden/>
          </w:rPr>
          <w:instrText xml:space="preserve"> PAGEREF _Toc237843132 \h </w:instrText>
        </w:r>
        <w:r>
          <w:rPr>
            <w:noProof/>
            <w:webHidden/>
          </w:rPr>
        </w:r>
        <w:r>
          <w:rPr>
            <w:noProof/>
            <w:webHidden/>
          </w:rPr>
          <w:fldChar w:fldCharType="separate"/>
        </w:r>
        <w:r>
          <w:rPr>
            <w:noProof/>
            <w:webHidden/>
          </w:rPr>
          <w:t>58</w:t>
        </w:r>
        <w:r>
          <w:rPr>
            <w:noProof/>
            <w:webHidden/>
          </w:rPr>
          <w:fldChar w:fldCharType="end"/>
        </w:r>
      </w:hyperlink>
    </w:p>
    <w:p w14:paraId="273EC978" w14:textId="3E43783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3" w:history="1">
        <w:r w:rsidRPr="00307F1A">
          <w:rPr>
            <w:rStyle w:val="Hyperlink"/>
            <w:noProof/>
          </w:rPr>
          <w:t>Article 61: Nuclear Limits and the Final Disposition of Enriched Uranium</w:t>
        </w:r>
        <w:r>
          <w:rPr>
            <w:noProof/>
            <w:webHidden/>
          </w:rPr>
          <w:tab/>
        </w:r>
        <w:r>
          <w:rPr>
            <w:noProof/>
            <w:webHidden/>
          </w:rPr>
          <w:fldChar w:fldCharType="begin"/>
        </w:r>
        <w:r>
          <w:rPr>
            <w:noProof/>
            <w:webHidden/>
          </w:rPr>
          <w:instrText xml:space="preserve"> PAGEREF _Toc237843133 \h </w:instrText>
        </w:r>
        <w:r>
          <w:rPr>
            <w:noProof/>
            <w:webHidden/>
          </w:rPr>
        </w:r>
        <w:r>
          <w:rPr>
            <w:noProof/>
            <w:webHidden/>
          </w:rPr>
          <w:fldChar w:fldCharType="separate"/>
        </w:r>
        <w:r>
          <w:rPr>
            <w:noProof/>
            <w:webHidden/>
          </w:rPr>
          <w:t>58</w:t>
        </w:r>
        <w:r>
          <w:rPr>
            <w:noProof/>
            <w:webHidden/>
          </w:rPr>
          <w:fldChar w:fldCharType="end"/>
        </w:r>
      </w:hyperlink>
    </w:p>
    <w:p w14:paraId="2EC3C800" w14:textId="5F39C46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4" w:history="1">
        <w:r w:rsidRPr="00307F1A">
          <w:rPr>
            <w:rStyle w:val="Hyperlink"/>
            <w:noProof/>
          </w:rPr>
          <w:t>Article 62: IAEA Access and Continuous Verification Presence</w:t>
        </w:r>
        <w:r>
          <w:rPr>
            <w:noProof/>
            <w:webHidden/>
          </w:rPr>
          <w:tab/>
        </w:r>
        <w:r>
          <w:rPr>
            <w:noProof/>
            <w:webHidden/>
          </w:rPr>
          <w:fldChar w:fldCharType="begin"/>
        </w:r>
        <w:r>
          <w:rPr>
            <w:noProof/>
            <w:webHidden/>
          </w:rPr>
          <w:instrText xml:space="preserve"> PAGEREF _Toc237843134 \h </w:instrText>
        </w:r>
        <w:r>
          <w:rPr>
            <w:noProof/>
            <w:webHidden/>
          </w:rPr>
        </w:r>
        <w:r>
          <w:rPr>
            <w:noProof/>
            <w:webHidden/>
          </w:rPr>
          <w:fldChar w:fldCharType="separate"/>
        </w:r>
        <w:r>
          <w:rPr>
            <w:noProof/>
            <w:webHidden/>
          </w:rPr>
          <w:t>61</w:t>
        </w:r>
        <w:r>
          <w:rPr>
            <w:noProof/>
            <w:webHidden/>
          </w:rPr>
          <w:fldChar w:fldCharType="end"/>
        </w:r>
      </w:hyperlink>
    </w:p>
    <w:p w14:paraId="27DC85D0" w14:textId="4F36482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5" w:history="1">
        <w:r w:rsidRPr="00307F1A">
          <w:rPr>
            <w:rStyle w:val="Hyperlink"/>
            <w:noProof/>
          </w:rPr>
          <w:t>Article 63: Arms Control and Advanced Weapons Restrictions</w:t>
        </w:r>
        <w:r>
          <w:rPr>
            <w:noProof/>
            <w:webHidden/>
          </w:rPr>
          <w:tab/>
        </w:r>
        <w:r>
          <w:rPr>
            <w:noProof/>
            <w:webHidden/>
          </w:rPr>
          <w:fldChar w:fldCharType="begin"/>
        </w:r>
        <w:r>
          <w:rPr>
            <w:noProof/>
            <w:webHidden/>
          </w:rPr>
          <w:instrText xml:space="preserve"> PAGEREF _Toc237843135 \h </w:instrText>
        </w:r>
        <w:r>
          <w:rPr>
            <w:noProof/>
            <w:webHidden/>
          </w:rPr>
        </w:r>
        <w:r>
          <w:rPr>
            <w:noProof/>
            <w:webHidden/>
          </w:rPr>
          <w:fldChar w:fldCharType="separate"/>
        </w:r>
        <w:r>
          <w:rPr>
            <w:noProof/>
            <w:webHidden/>
          </w:rPr>
          <w:t>62</w:t>
        </w:r>
        <w:r>
          <w:rPr>
            <w:noProof/>
            <w:webHidden/>
          </w:rPr>
          <w:fldChar w:fldCharType="end"/>
        </w:r>
      </w:hyperlink>
    </w:p>
    <w:p w14:paraId="52063FEC" w14:textId="2A3FC12C"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6" w:history="1">
        <w:r w:rsidRPr="00307F1A">
          <w:rPr>
            <w:rStyle w:val="Hyperlink"/>
            <w:noProof/>
          </w:rPr>
          <w:t>Article 64: Detention Protocols, Prisoner Release, and Missing Persons</w:t>
        </w:r>
        <w:r>
          <w:rPr>
            <w:noProof/>
            <w:webHidden/>
          </w:rPr>
          <w:tab/>
        </w:r>
        <w:r>
          <w:rPr>
            <w:noProof/>
            <w:webHidden/>
          </w:rPr>
          <w:fldChar w:fldCharType="begin"/>
        </w:r>
        <w:r>
          <w:rPr>
            <w:noProof/>
            <w:webHidden/>
          </w:rPr>
          <w:instrText xml:space="preserve"> PAGEREF _Toc237843136 \h </w:instrText>
        </w:r>
        <w:r>
          <w:rPr>
            <w:noProof/>
            <w:webHidden/>
          </w:rPr>
        </w:r>
        <w:r>
          <w:rPr>
            <w:noProof/>
            <w:webHidden/>
          </w:rPr>
          <w:fldChar w:fldCharType="separate"/>
        </w:r>
        <w:r>
          <w:rPr>
            <w:noProof/>
            <w:webHidden/>
          </w:rPr>
          <w:t>63</w:t>
        </w:r>
        <w:r>
          <w:rPr>
            <w:noProof/>
            <w:webHidden/>
          </w:rPr>
          <w:fldChar w:fldCharType="end"/>
        </w:r>
      </w:hyperlink>
    </w:p>
    <w:p w14:paraId="54CF25E3" w14:textId="0E9F9C9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7" w:history="1">
        <w:r w:rsidRPr="00307F1A">
          <w:rPr>
            <w:rStyle w:val="Hyperlink"/>
            <w:noProof/>
          </w:rPr>
          <w:t>Article 65: Accountability and Mutual Claims Mechanisms</w:t>
        </w:r>
        <w:r>
          <w:rPr>
            <w:noProof/>
            <w:webHidden/>
          </w:rPr>
          <w:tab/>
        </w:r>
        <w:r>
          <w:rPr>
            <w:noProof/>
            <w:webHidden/>
          </w:rPr>
          <w:fldChar w:fldCharType="begin"/>
        </w:r>
        <w:r>
          <w:rPr>
            <w:noProof/>
            <w:webHidden/>
          </w:rPr>
          <w:instrText xml:space="preserve"> PAGEREF _Toc237843137 \h </w:instrText>
        </w:r>
        <w:r>
          <w:rPr>
            <w:noProof/>
            <w:webHidden/>
          </w:rPr>
        </w:r>
        <w:r>
          <w:rPr>
            <w:noProof/>
            <w:webHidden/>
          </w:rPr>
          <w:fldChar w:fldCharType="separate"/>
        </w:r>
        <w:r>
          <w:rPr>
            <w:noProof/>
            <w:webHidden/>
          </w:rPr>
          <w:t>63</w:t>
        </w:r>
        <w:r>
          <w:rPr>
            <w:noProof/>
            <w:webHidden/>
          </w:rPr>
          <w:fldChar w:fldCharType="end"/>
        </w:r>
      </w:hyperlink>
    </w:p>
    <w:p w14:paraId="29ED578C" w14:textId="50D7BA96"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8" w:history="1">
        <w:r w:rsidRPr="00307F1A">
          <w:rPr>
            <w:rStyle w:val="Hyperlink"/>
            <w:noProof/>
          </w:rPr>
          <w:t>Article 66: Legal Definitions and Terminology Register</w:t>
        </w:r>
        <w:r>
          <w:rPr>
            <w:noProof/>
            <w:webHidden/>
          </w:rPr>
          <w:tab/>
        </w:r>
        <w:r>
          <w:rPr>
            <w:noProof/>
            <w:webHidden/>
          </w:rPr>
          <w:fldChar w:fldCharType="begin"/>
        </w:r>
        <w:r>
          <w:rPr>
            <w:noProof/>
            <w:webHidden/>
          </w:rPr>
          <w:instrText xml:space="preserve"> PAGEREF _Toc237843138 \h </w:instrText>
        </w:r>
        <w:r>
          <w:rPr>
            <w:noProof/>
            <w:webHidden/>
          </w:rPr>
        </w:r>
        <w:r>
          <w:rPr>
            <w:noProof/>
            <w:webHidden/>
          </w:rPr>
          <w:fldChar w:fldCharType="separate"/>
        </w:r>
        <w:r>
          <w:rPr>
            <w:noProof/>
            <w:webHidden/>
          </w:rPr>
          <w:t>64</w:t>
        </w:r>
        <w:r>
          <w:rPr>
            <w:noProof/>
            <w:webHidden/>
          </w:rPr>
          <w:fldChar w:fldCharType="end"/>
        </w:r>
      </w:hyperlink>
    </w:p>
    <w:p w14:paraId="114466C9" w14:textId="3A4ACED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39" w:history="1">
        <w:r w:rsidRPr="00307F1A">
          <w:rPr>
            <w:rStyle w:val="Hyperlink"/>
            <w:noProof/>
          </w:rPr>
          <w:t>Article 67: The Cothrom Verification Engine</w:t>
        </w:r>
        <w:r>
          <w:rPr>
            <w:noProof/>
            <w:webHidden/>
          </w:rPr>
          <w:tab/>
        </w:r>
        <w:r>
          <w:rPr>
            <w:noProof/>
            <w:webHidden/>
          </w:rPr>
          <w:fldChar w:fldCharType="begin"/>
        </w:r>
        <w:r>
          <w:rPr>
            <w:noProof/>
            <w:webHidden/>
          </w:rPr>
          <w:instrText xml:space="preserve"> PAGEREF _Toc237843139 \h </w:instrText>
        </w:r>
        <w:r>
          <w:rPr>
            <w:noProof/>
            <w:webHidden/>
          </w:rPr>
        </w:r>
        <w:r>
          <w:rPr>
            <w:noProof/>
            <w:webHidden/>
          </w:rPr>
          <w:fldChar w:fldCharType="separate"/>
        </w:r>
        <w:r>
          <w:rPr>
            <w:noProof/>
            <w:webHidden/>
          </w:rPr>
          <w:t>64</w:t>
        </w:r>
        <w:r>
          <w:rPr>
            <w:noProof/>
            <w:webHidden/>
          </w:rPr>
          <w:fldChar w:fldCharType="end"/>
        </w:r>
      </w:hyperlink>
    </w:p>
    <w:p w14:paraId="0827E718" w14:textId="5F5D58C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0" w:history="1">
        <w:r w:rsidRPr="00307F1A">
          <w:rPr>
            <w:rStyle w:val="Hyperlink"/>
            <w:noProof/>
          </w:rPr>
          <w:t>Article 68: Reporting Cycles</w:t>
        </w:r>
        <w:r>
          <w:rPr>
            <w:noProof/>
            <w:webHidden/>
          </w:rPr>
          <w:tab/>
        </w:r>
        <w:r>
          <w:rPr>
            <w:noProof/>
            <w:webHidden/>
          </w:rPr>
          <w:fldChar w:fldCharType="begin"/>
        </w:r>
        <w:r>
          <w:rPr>
            <w:noProof/>
            <w:webHidden/>
          </w:rPr>
          <w:instrText xml:space="preserve"> PAGEREF _Toc237843140 \h </w:instrText>
        </w:r>
        <w:r>
          <w:rPr>
            <w:noProof/>
            <w:webHidden/>
          </w:rPr>
        </w:r>
        <w:r>
          <w:rPr>
            <w:noProof/>
            <w:webHidden/>
          </w:rPr>
          <w:fldChar w:fldCharType="separate"/>
        </w:r>
        <w:r>
          <w:rPr>
            <w:noProof/>
            <w:webHidden/>
          </w:rPr>
          <w:t>66</w:t>
        </w:r>
        <w:r>
          <w:rPr>
            <w:noProof/>
            <w:webHidden/>
          </w:rPr>
          <w:fldChar w:fldCharType="end"/>
        </w:r>
      </w:hyperlink>
    </w:p>
    <w:p w14:paraId="7DD92E6D" w14:textId="1E4E51C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1" w:history="1">
        <w:r w:rsidRPr="00307F1A">
          <w:rPr>
            <w:rStyle w:val="Hyperlink"/>
            <w:noProof/>
          </w:rPr>
          <w:t>Article 69: Dispute Resolution</w:t>
        </w:r>
        <w:r>
          <w:rPr>
            <w:noProof/>
            <w:webHidden/>
          </w:rPr>
          <w:tab/>
        </w:r>
        <w:r>
          <w:rPr>
            <w:noProof/>
            <w:webHidden/>
          </w:rPr>
          <w:fldChar w:fldCharType="begin"/>
        </w:r>
        <w:r>
          <w:rPr>
            <w:noProof/>
            <w:webHidden/>
          </w:rPr>
          <w:instrText xml:space="preserve"> PAGEREF _Toc237843141 \h </w:instrText>
        </w:r>
        <w:r>
          <w:rPr>
            <w:noProof/>
            <w:webHidden/>
          </w:rPr>
        </w:r>
        <w:r>
          <w:rPr>
            <w:noProof/>
            <w:webHidden/>
          </w:rPr>
          <w:fldChar w:fldCharType="separate"/>
        </w:r>
        <w:r>
          <w:rPr>
            <w:noProof/>
            <w:webHidden/>
          </w:rPr>
          <w:t>66</w:t>
        </w:r>
        <w:r>
          <w:rPr>
            <w:noProof/>
            <w:webHidden/>
          </w:rPr>
          <w:fldChar w:fldCharType="end"/>
        </w:r>
      </w:hyperlink>
    </w:p>
    <w:p w14:paraId="0FD6F9F8" w14:textId="5D75E73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2" w:history="1">
        <w:r w:rsidRPr="00307F1A">
          <w:rPr>
            <w:rStyle w:val="Hyperlink"/>
            <w:noProof/>
          </w:rPr>
          <w:t>Article 70: Penalty Framework: Step-Back and Earn-Back</w:t>
        </w:r>
        <w:r>
          <w:rPr>
            <w:noProof/>
            <w:webHidden/>
          </w:rPr>
          <w:tab/>
        </w:r>
        <w:r>
          <w:rPr>
            <w:noProof/>
            <w:webHidden/>
          </w:rPr>
          <w:fldChar w:fldCharType="begin"/>
        </w:r>
        <w:r>
          <w:rPr>
            <w:noProof/>
            <w:webHidden/>
          </w:rPr>
          <w:instrText xml:space="preserve"> PAGEREF _Toc237843142 \h </w:instrText>
        </w:r>
        <w:r>
          <w:rPr>
            <w:noProof/>
            <w:webHidden/>
          </w:rPr>
        </w:r>
        <w:r>
          <w:rPr>
            <w:noProof/>
            <w:webHidden/>
          </w:rPr>
          <w:fldChar w:fldCharType="separate"/>
        </w:r>
        <w:r>
          <w:rPr>
            <w:noProof/>
            <w:webHidden/>
          </w:rPr>
          <w:t>68</w:t>
        </w:r>
        <w:r>
          <w:rPr>
            <w:noProof/>
            <w:webHidden/>
          </w:rPr>
          <w:fldChar w:fldCharType="end"/>
        </w:r>
      </w:hyperlink>
    </w:p>
    <w:p w14:paraId="45406800" w14:textId="6BE3EE92"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3" w:history="1">
        <w:r w:rsidRPr="00307F1A">
          <w:rPr>
            <w:rStyle w:val="Hyperlink"/>
            <w:noProof/>
          </w:rPr>
          <w:t>Article 71: Legal Immunities</w:t>
        </w:r>
        <w:r>
          <w:rPr>
            <w:noProof/>
            <w:webHidden/>
          </w:rPr>
          <w:tab/>
        </w:r>
        <w:r>
          <w:rPr>
            <w:noProof/>
            <w:webHidden/>
          </w:rPr>
          <w:fldChar w:fldCharType="begin"/>
        </w:r>
        <w:r>
          <w:rPr>
            <w:noProof/>
            <w:webHidden/>
          </w:rPr>
          <w:instrText xml:space="preserve"> PAGEREF _Toc237843143 \h </w:instrText>
        </w:r>
        <w:r>
          <w:rPr>
            <w:noProof/>
            <w:webHidden/>
          </w:rPr>
        </w:r>
        <w:r>
          <w:rPr>
            <w:noProof/>
            <w:webHidden/>
          </w:rPr>
          <w:fldChar w:fldCharType="separate"/>
        </w:r>
        <w:r>
          <w:rPr>
            <w:noProof/>
            <w:webHidden/>
          </w:rPr>
          <w:t>68</w:t>
        </w:r>
        <w:r>
          <w:rPr>
            <w:noProof/>
            <w:webHidden/>
          </w:rPr>
          <w:fldChar w:fldCharType="end"/>
        </w:r>
      </w:hyperlink>
    </w:p>
    <w:p w14:paraId="52E297B9" w14:textId="31584858"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4" w:history="1">
        <w:r w:rsidRPr="00307F1A">
          <w:rPr>
            <w:rStyle w:val="Hyperlink"/>
            <w:noProof/>
          </w:rPr>
          <w:t>Article 72: Treaty Amendments</w:t>
        </w:r>
        <w:r>
          <w:rPr>
            <w:noProof/>
            <w:webHidden/>
          </w:rPr>
          <w:tab/>
        </w:r>
        <w:r>
          <w:rPr>
            <w:noProof/>
            <w:webHidden/>
          </w:rPr>
          <w:fldChar w:fldCharType="begin"/>
        </w:r>
        <w:r>
          <w:rPr>
            <w:noProof/>
            <w:webHidden/>
          </w:rPr>
          <w:instrText xml:space="preserve"> PAGEREF _Toc237843144 \h </w:instrText>
        </w:r>
        <w:r>
          <w:rPr>
            <w:noProof/>
            <w:webHidden/>
          </w:rPr>
        </w:r>
        <w:r>
          <w:rPr>
            <w:noProof/>
            <w:webHidden/>
          </w:rPr>
          <w:fldChar w:fldCharType="separate"/>
        </w:r>
        <w:r>
          <w:rPr>
            <w:noProof/>
            <w:webHidden/>
          </w:rPr>
          <w:t>69</w:t>
        </w:r>
        <w:r>
          <w:rPr>
            <w:noProof/>
            <w:webHidden/>
          </w:rPr>
          <w:fldChar w:fldCharType="end"/>
        </w:r>
      </w:hyperlink>
    </w:p>
    <w:p w14:paraId="59E3783C" w14:textId="70B26EEF"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5" w:history="1">
        <w:r w:rsidRPr="00307F1A">
          <w:rPr>
            <w:rStyle w:val="Hyperlink"/>
            <w:noProof/>
          </w:rPr>
          <w:t>Article 73: Compliance Benchmarks and Objective Criteria</w:t>
        </w:r>
        <w:r>
          <w:rPr>
            <w:noProof/>
            <w:webHidden/>
          </w:rPr>
          <w:tab/>
        </w:r>
        <w:r>
          <w:rPr>
            <w:noProof/>
            <w:webHidden/>
          </w:rPr>
          <w:fldChar w:fldCharType="begin"/>
        </w:r>
        <w:r>
          <w:rPr>
            <w:noProof/>
            <w:webHidden/>
          </w:rPr>
          <w:instrText xml:space="preserve"> PAGEREF _Toc237843145 \h </w:instrText>
        </w:r>
        <w:r>
          <w:rPr>
            <w:noProof/>
            <w:webHidden/>
          </w:rPr>
        </w:r>
        <w:r>
          <w:rPr>
            <w:noProof/>
            <w:webHidden/>
          </w:rPr>
          <w:fldChar w:fldCharType="separate"/>
        </w:r>
        <w:r>
          <w:rPr>
            <w:noProof/>
            <w:webHidden/>
          </w:rPr>
          <w:t>69</w:t>
        </w:r>
        <w:r>
          <w:rPr>
            <w:noProof/>
            <w:webHidden/>
          </w:rPr>
          <w:fldChar w:fldCharType="end"/>
        </w:r>
      </w:hyperlink>
    </w:p>
    <w:p w14:paraId="06888272" w14:textId="02BC992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6" w:history="1">
        <w:r w:rsidRPr="00307F1A">
          <w:rPr>
            <w:rStyle w:val="Hyperlink"/>
            <w:noProof/>
          </w:rPr>
          <w:t>Article 74: International Registration</w:t>
        </w:r>
        <w:r>
          <w:rPr>
            <w:noProof/>
            <w:webHidden/>
          </w:rPr>
          <w:tab/>
        </w:r>
        <w:r>
          <w:rPr>
            <w:noProof/>
            <w:webHidden/>
          </w:rPr>
          <w:fldChar w:fldCharType="begin"/>
        </w:r>
        <w:r>
          <w:rPr>
            <w:noProof/>
            <w:webHidden/>
          </w:rPr>
          <w:instrText xml:space="preserve"> PAGEREF _Toc237843146 \h </w:instrText>
        </w:r>
        <w:r>
          <w:rPr>
            <w:noProof/>
            <w:webHidden/>
          </w:rPr>
        </w:r>
        <w:r>
          <w:rPr>
            <w:noProof/>
            <w:webHidden/>
          </w:rPr>
          <w:fldChar w:fldCharType="separate"/>
        </w:r>
        <w:r>
          <w:rPr>
            <w:noProof/>
            <w:webHidden/>
          </w:rPr>
          <w:t>69</w:t>
        </w:r>
        <w:r>
          <w:rPr>
            <w:noProof/>
            <w:webHidden/>
          </w:rPr>
          <w:fldChar w:fldCharType="end"/>
        </w:r>
      </w:hyperlink>
    </w:p>
    <w:p w14:paraId="3E01116D" w14:textId="14770DC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7" w:history="1">
        <w:r w:rsidRPr="00307F1A">
          <w:rPr>
            <w:rStyle w:val="Hyperlink"/>
            <w:noProof/>
          </w:rPr>
          <w:t>Article 75: Sunset, Review, and Permanence Clauses</w:t>
        </w:r>
        <w:r>
          <w:rPr>
            <w:noProof/>
            <w:webHidden/>
          </w:rPr>
          <w:tab/>
        </w:r>
        <w:r>
          <w:rPr>
            <w:noProof/>
            <w:webHidden/>
          </w:rPr>
          <w:fldChar w:fldCharType="begin"/>
        </w:r>
        <w:r>
          <w:rPr>
            <w:noProof/>
            <w:webHidden/>
          </w:rPr>
          <w:instrText xml:space="preserve"> PAGEREF _Toc237843147 \h </w:instrText>
        </w:r>
        <w:r>
          <w:rPr>
            <w:noProof/>
            <w:webHidden/>
          </w:rPr>
        </w:r>
        <w:r>
          <w:rPr>
            <w:noProof/>
            <w:webHidden/>
          </w:rPr>
          <w:fldChar w:fldCharType="separate"/>
        </w:r>
        <w:r>
          <w:rPr>
            <w:noProof/>
            <w:webHidden/>
          </w:rPr>
          <w:t>70</w:t>
        </w:r>
        <w:r>
          <w:rPr>
            <w:noProof/>
            <w:webHidden/>
          </w:rPr>
          <w:fldChar w:fldCharType="end"/>
        </w:r>
      </w:hyperlink>
    </w:p>
    <w:p w14:paraId="4A065D69" w14:textId="17EDAD4B"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48" w:history="1">
        <w:r w:rsidRPr="00307F1A">
          <w:rPr>
            <w:rStyle w:val="Hyperlink"/>
            <w:noProof/>
          </w:rPr>
          <w:t>TITLE VI: REGIONAL STABILIZATION PROTOCOLS</w:t>
        </w:r>
        <w:r>
          <w:rPr>
            <w:noProof/>
            <w:webHidden/>
          </w:rPr>
          <w:tab/>
        </w:r>
        <w:r>
          <w:rPr>
            <w:noProof/>
            <w:webHidden/>
          </w:rPr>
          <w:fldChar w:fldCharType="begin"/>
        </w:r>
        <w:r>
          <w:rPr>
            <w:noProof/>
            <w:webHidden/>
          </w:rPr>
          <w:instrText xml:space="preserve"> PAGEREF _Toc237843148 \h </w:instrText>
        </w:r>
        <w:r>
          <w:rPr>
            <w:noProof/>
            <w:webHidden/>
          </w:rPr>
        </w:r>
        <w:r>
          <w:rPr>
            <w:noProof/>
            <w:webHidden/>
          </w:rPr>
          <w:fldChar w:fldCharType="separate"/>
        </w:r>
        <w:r>
          <w:rPr>
            <w:noProof/>
            <w:webHidden/>
          </w:rPr>
          <w:t>71</w:t>
        </w:r>
        <w:r>
          <w:rPr>
            <w:noProof/>
            <w:webHidden/>
          </w:rPr>
          <w:fldChar w:fldCharType="end"/>
        </w:r>
      </w:hyperlink>
    </w:p>
    <w:p w14:paraId="713A64AD" w14:textId="56F5C2B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49" w:history="1">
        <w:r w:rsidRPr="00307F1A">
          <w:rPr>
            <w:rStyle w:val="Hyperlink"/>
            <w:noProof/>
          </w:rPr>
          <w:t>Article 76: Lebanon Stabilization and the Parallel Binding Ceasefire</w:t>
        </w:r>
        <w:r>
          <w:rPr>
            <w:noProof/>
            <w:webHidden/>
          </w:rPr>
          <w:tab/>
        </w:r>
        <w:r>
          <w:rPr>
            <w:noProof/>
            <w:webHidden/>
          </w:rPr>
          <w:fldChar w:fldCharType="begin"/>
        </w:r>
        <w:r>
          <w:rPr>
            <w:noProof/>
            <w:webHidden/>
          </w:rPr>
          <w:instrText xml:space="preserve"> PAGEREF _Toc237843149 \h </w:instrText>
        </w:r>
        <w:r>
          <w:rPr>
            <w:noProof/>
            <w:webHidden/>
          </w:rPr>
        </w:r>
        <w:r>
          <w:rPr>
            <w:noProof/>
            <w:webHidden/>
          </w:rPr>
          <w:fldChar w:fldCharType="separate"/>
        </w:r>
        <w:r>
          <w:rPr>
            <w:noProof/>
            <w:webHidden/>
          </w:rPr>
          <w:t>71</w:t>
        </w:r>
        <w:r>
          <w:rPr>
            <w:noProof/>
            <w:webHidden/>
          </w:rPr>
          <w:fldChar w:fldCharType="end"/>
        </w:r>
      </w:hyperlink>
    </w:p>
    <w:p w14:paraId="68353163" w14:textId="403DA8E5"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0" w:history="1">
        <w:r w:rsidRPr="00307F1A">
          <w:rPr>
            <w:rStyle w:val="Hyperlink"/>
            <w:noProof/>
          </w:rPr>
          <w:t>Article 77: Yemen Political Settlement Support</w:t>
        </w:r>
        <w:r>
          <w:rPr>
            <w:noProof/>
            <w:webHidden/>
          </w:rPr>
          <w:tab/>
        </w:r>
        <w:r>
          <w:rPr>
            <w:noProof/>
            <w:webHidden/>
          </w:rPr>
          <w:fldChar w:fldCharType="begin"/>
        </w:r>
        <w:r>
          <w:rPr>
            <w:noProof/>
            <w:webHidden/>
          </w:rPr>
          <w:instrText xml:space="preserve"> PAGEREF _Toc237843150 \h </w:instrText>
        </w:r>
        <w:r>
          <w:rPr>
            <w:noProof/>
            <w:webHidden/>
          </w:rPr>
        </w:r>
        <w:r>
          <w:rPr>
            <w:noProof/>
            <w:webHidden/>
          </w:rPr>
          <w:fldChar w:fldCharType="separate"/>
        </w:r>
        <w:r>
          <w:rPr>
            <w:noProof/>
            <w:webHidden/>
          </w:rPr>
          <w:t>72</w:t>
        </w:r>
        <w:r>
          <w:rPr>
            <w:noProof/>
            <w:webHidden/>
          </w:rPr>
          <w:fldChar w:fldCharType="end"/>
        </w:r>
      </w:hyperlink>
    </w:p>
    <w:p w14:paraId="5BB49C92" w14:textId="4A9039BB"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1" w:history="1">
        <w:r w:rsidRPr="00307F1A">
          <w:rPr>
            <w:rStyle w:val="Hyperlink"/>
            <w:noProof/>
          </w:rPr>
          <w:t>Article 78: Iraq Stabilization and Militia Integration Roadmap</w:t>
        </w:r>
        <w:r>
          <w:rPr>
            <w:noProof/>
            <w:webHidden/>
          </w:rPr>
          <w:tab/>
        </w:r>
        <w:r>
          <w:rPr>
            <w:noProof/>
            <w:webHidden/>
          </w:rPr>
          <w:fldChar w:fldCharType="begin"/>
        </w:r>
        <w:r>
          <w:rPr>
            <w:noProof/>
            <w:webHidden/>
          </w:rPr>
          <w:instrText xml:space="preserve"> PAGEREF _Toc237843151 \h </w:instrText>
        </w:r>
        <w:r>
          <w:rPr>
            <w:noProof/>
            <w:webHidden/>
          </w:rPr>
        </w:r>
        <w:r>
          <w:rPr>
            <w:noProof/>
            <w:webHidden/>
          </w:rPr>
          <w:fldChar w:fldCharType="separate"/>
        </w:r>
        <w:r>
          <w:rPr>
            <w:noProof/>
            <w:webHidden/>
          </w:rPr>
          <w:t>72</w:t>
        </w:r>
        <w:r>
          <w:rPr>
            <w:noProof/>
            <w:webHidden/>
          </w:rPr>
          <w:fldChar w:fldCharType="end"/>
        </w:r>
      </w:hyperlink>
    </w:p>
    <w:p w14:paraId="3AE785AD" w14:textId="1760B6BE"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2" w:history="1">
        <w:r w:rsidRPr="00307F1A">
          <w:rPr>
            <w:rStyle w:val="Hyperlink"/>
            <w:noProof/>
          </w:rPr>
          <w:t>Article 79: Syria De-escalation and Advisory Presence Drawdown</w:t>
        </w:r>
        <w:r>
          <w:rPr>
            <w:noProof/>
            <w:webHidden/>
          </w:rPr>
          <w:tab/>
        </w:r>
        <w:r>
          <w:rPr>
            <w:noProof/>
            <w:webHidden/>
          </w:rPr>
          <w:fldChar w:fldCharType="begin"/>
        </w:r>
        <w:r>
          <w:rPr>
            <w:noProof/>
            <w:webHidden/>
          </w:rPr>
          <w:instrText xml:space="preserve"> PAGEREF _Toc237843152 \h </w:instrText>
        </w:r>
        <w:r>
          <w:rPr>
            <w:noProof/>
            <w:webHidden/>
          </w:rPr>
        </w:r>
        <w:r>
          <w:rPr>
            <w:noProof/>
            <w:webHidden/>
          </w:rPr>
          <w:fldChar w:fldCharType="separate"/>
        </w:r>
        <w:r>
          <w:rPr>
            <w:noProof/>
            <w:webHidden/>
          </w:rPr>
          <w:t>73</w:t>
        </w:r>
        <w:r>
          <w:rPr>
            <w:noProof/>
            <w:webHidden/>
          </w:rPr>
          <w:fldChar w:fldCharType="end"/>
        </w:r>
      </w:hyperlink>
    </w:p>
    <w:p w14:paraId="5F000241" w14:textId="20B6248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3" w:history="1">
        <w:r w:rsidRPr="00307F1A">
          <w:rPr>
            <w:rStyle w:val="Hyperlink"/>
            <w:noProof/>
          </w:rPr>
          <w:t>Article 80: Regional Non-Aggression and No-Strike Zones</w:t>
        </w:r>
        <w:r>
          <w:rPr>
            <w:noProof/>
            <w:webHidden/>
          </w:rPr>
          <w:tab/>
        </w:r>
        <w:r>
          <w:rPr>
            <w:noProof/>
            <w:webHidden/>
          </w:rPr>
          <w:fldChar w:fldCharType="begin"/>
        </w:r>
        <w:r>
          <w:rPr>
            <w:noProof/>
            <w:webHidden/>
          </w:rPr>
          <w:instrText xml:space="preserve"> PAGEREF _Toc237843153 \h </w:instrText>
        </w:r>
        <w:r>
          <w:rPr>
            <w:noProof/>
            <w:webHidden/>
          </w:rPr>
        </w:r>
        <w:r>
          <w:rPr>
            <w:noProof/>
            <w:webHidden/>
          </w:rPr>
          <w:fldChar w:fldCharType="separate"/>
        </w:r>
        <w:r>
          <w:rPr>
            <w:noProof/>
            <w:webHidden/>
          </w:rPr>
          <w:t>73</w:t>
        </w:r>
        <w:r>
          <w:rPr>
            <w:noProof/>
            <w:webHidden/>
          </w:rPr>
          <w:fldChar w:fldCharType="end"/>
        </w:r>
      </w:hyperlink>
    </w:p>
    <w:p w14:paraId="1E637199" w14:textId="3A100C73"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4" w:history="1">
        <w:r w:rsidRPr="00307F1A">
          <w:rPr>
            <w:rStyle w:val="Hyperlink"/>
            <w:noProof/>
          </w:rPr>
          <w:t>Article 81: Israel Security Protocol (Non-Signatory Track)</w:t>
        </w:r>
        <w:r>
          <w:rPr>
            <w:noProof/>
            <w:webHidden/>
          </w:rPr>
          <w:tab/>
        </w:r>
        <w:r>
          <w:rPr>
            <w:noProof/>
            <w:webHidden/>
          </w:rPr>
          <w:fldChar w:fldCharType="begin"/>
        </w:r>
        <w:r>
          <w:rPr>
            <w:noProof/>
            <w:webHidden/>
          </w:rPr>
          <w:instrText xml:space="preserve"> PAGEREF _Toc237843154 \h </w:instrText>
        </w:r>
        <w:r>
          <w:rPr>
            <w:noProof/>
            <w:webHidden/>
          </w:rPr>
        </w:r>
        <w:r>
          <w:rPr>
            <w:noProof/>
            <w:webHidden/>
          </w:rPr>
          <w:fldChar w:fldCharType="separate"/>
        </w:r>
        <w:r>
          <w:rPr>
            <w:noProof/>
            <w:webHidden/>
          </w:rPr>
          <w:t>74</w:t>
        </w:r>
        <w:r>
          <w:rPr>
            <w:noProof/>
            <w:webHidden/>
          </w:rPr>
          <w:fldChar w:fldCharType="end"/>
        </w:r>
      </w:hyperlink>
    </w:p>
    <w:p w14:paraId="6809C954" w14:textId="51493930"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5" w:history="1">
        <w:r w:rsidRPr="00307F1A">
          <w:rPr>
            <w:rStyle w:val="Hyperlink"/>
            <w:noProof/>
          </w:rPr>
          <w:t>Article 82: Refugee Return and Displacement</w:t>
        </w:r>
        <w:r>
          <w:rPr>
            <w:noProof/>
            <w:webHidden/>
          </w:rPr>
          <w:tab/>
        </w:r>
        <w:r>
          <w:rPr>
            <w:noProof/>
            <w:webHidden/>
          </w:rPr>
          <w:fldChar w:fldCharType="begin"/>
        </w:r>
        <w:r>
          <w:rPr>
            <w:noProof/>
            <w:webHidden/>
          </w:rPr>
          <w:instrText xml:space="preserve"> PAGEREF _Toc237843155 \h </w:instrText>
        </w:r>
        <w:r>
          <w:rPr>
            <w:noProof/>
            <w:webHidden/>
          </w:rPr>
        </w:r>
        <w:r>
          <w:rPr>
            <w:noProof/>
            <w:webHidden/>
          </w:rPr>
          <w:fldChar w:fldCharType="separate"/>
        </w:r>
        <w:r>
          <w:rPr>
            <w:noProof/>
            <w:webHidden/>
          </w:rPr>
          <w:t>74</w:t>
        </w:r>
        <w:r>
          <w:rPr>
            <w:noProof/>
            <w:webHidden/>
          </w:rPr>
          <w:fldChar w:fldCharType="end"/>
        </w:r>
      </w:hyperlink>
    </w:p>
    <w:p w14:paraId="5A7D980C" w14:textId="5554A14A"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6" w:history="1">
        <w:r w:rsidRPr="00307F1A">
          <w:rPr>
            <w:rStyle w:val="Hyperlink"/>
            <w:noProof/>
          </w:rPr>
          <w:t>Article 83: Environmental, Water, and Anti-Narcotics Cooperation</w:t>
        </w:r>
        <w:r>
          <w:rPr>
            <w:noProof/>
            <w:webHidden/>
          </w:rPr>
          <w:tab/>
        </w:r>
        <w:r>
          <w:rPr>
            <w:noProof/>
            <w:webHidden/>
          </w:rPr>
          <w:fldChar w:fldCharType="begin"/>
        </w:r>
        <w:r>
          <w:rPr>
            <w:noProof/>
            <w:webHidden/>
          </w:rPr>
          <w:instrText xml:space="preserve"> PAGEREF _Toc237843156 \h </w:instrText>
        </w:r>
        <w:r>
          <w:rPr>
            <w:noProof/>
            <w:webHidden/>
          </w:rPr>
        </w:r>
        <w:r>
          <w:rPr>
            <w:noProof/>
            <w:webHidden/>
          </w:rPr>
          <w:fldChar w:fldCharType="separate"/>
        </w:r>
        <w:r>
          <w:rPr>
            <w:noProof/>
            <w:webHidden/>
          </w:rPr>
          <w:t>75</w:t>
        </w:r>
        <w:r>
          <w:rPr>
            <w:noProof/>
            <w:webHidden/>
          </w:rPr>
          <w:fldChar w:fldCharType="end"/>
        </w:r>
      </w:hyperlink>
    </w:p>
    <w:p w14:paraId="1F3ED9DB" w14:textId="1B1D6016"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7" w:history="1">
        <w:r w:rsidRPr="00307F1A">
          <w:rPr>
            <w:rStyle w:val="Hyperlink"/>
            <w:noProof/>
          </w:rPr>
          <w:t>Article 84: Cultural, Academic, and Track II Exchange</w:t>
        </w:r>
        <w:r>
          <w:rPr>
            <w:noProof/>
            <w:webHidden/>
          </w:rPr>
          <w:tab/>
        </w:r>
        <w:r>
          <w:rPr>
            <w:noProof/>
            <w:webHidden/>
          </w:rPr>
          <w:fldChar w:fldCharType="begin"/>
        </w:r>
        <w:r>
          <w:rPr>
            <w:noProof/>
            <w:webHidden/>
          </w:rPr>
          <w:instrText xml:space="preserve"> PAGEREF _Toc237843157 \h </w:instrText>
        </w:r>
        <w:r>
          <w:rPr>
            <w:noProof/>
            <w:webHidden/>
          </w:rPr>
        </w:r>
        <w:r>
          <w:rPr>
            <w:noProof/>
            <w:webHidden/>
          </w:rPr>
          <w:fldChar w:fldCharType="separate"/>
        </w:r>
        <w:r>
          <w:rPr>
            <w:noProof/>
            <w:webHidden/>
          </w:rPr>
          <w:t>75</w:t>
        </w:r>
        <w:r>
          <w:rPr>
            <w:noProof/>
            <w:webHidden/>
          </w:rPr>
          <w:fldChar w:fldCharType="end"/>
        </w:r>
      </w:hyperlink>
    </w:p>
    <w:p w14:paraId="493863B3" w14:textId="6A512969"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58" w:history="1">
        <w:r w:rsidRPr="00307F1A">
          <w:rPr>
            <w:rStyle w:val="Hyperlink"/>
            <w:noProof/>
          </w:rPr>
          <w:t>TITLE VII: FINAL PROVISIONS</w:t>
        </w:r>
        <w:r>
          <w:rPr>
            <w:noProof/>
            <w:webHidden/>
          </w:rPr>
          <w:tab/>
        </w:r>
        <w:r>
          <w:rPr>
            <w:noProof/>
            <w:webHidden/>
          </w:rPr>
          <w:fldChar w:fldCharType="begin"/>
        </w:r>
        <w:r>
          <w:rPr>
            <w:noProof/>
            <w:webHidden/>
          </w:rPr>
          <w:instrText xml:space="preserve"> PAGEREF _Toc237843158 \h </w:instrText>
        </w:r>
        <w:r>
          <w:rPr>
            <w:noProof/>
            <w:webHidden/>
          </w:rPr>
        </w:r>
        <w:r>
          <w:rPr>
            <w:noProof/>
            <w:webHidden/>
          </w:rPr>
          <w:fldChar w:fldCharType="separate"/>
        </w:r>
        <w:r>
          <w:rPr>
            <w:noProof/>
            <w:webHidden/>
          </w:rPr>
          <w:t>77</w:t>
        </w:r>
        <w:r>
          <w:rPr>
            <w:noProof/>
            <w:webHidden/>
          </w:rPr>
          <w:fldChar w:fldCharType="end"/>
        </w:r>
      </w:hyperlink>
    </w:p>
    <w:p w14:paraId="1355AC43" w14:textId="3062F3B1"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59" w:history="1">
        <w:r w:rsidRPr="00307F1A">
          <w:rPr>
            <w:rStyle w:val="Hyperlink"/>
            <w:noProof/>
          </w:rPr>
          <w:t>Article 85: Signature and Ratification</w:t>
        </w:r>
        <w:r>
          <w:rPr>
            <w:noProof/>
            <w:webHidden/>
          </w:rPr>
          <w:tab/>
        </w:r>
        <w:r>
          <w:rPr>
            <w:noProof/>
            <w:webHidden/>
          </w:rPr>
          <w:fldChar w:fldCharType="begin"/>
        </w:r>
        <w:r>
          <w:rPr>
            <w:noProof/>
            <w:webHidden/>
          </w:rPr>
          <w:instrText xml:space="preserve"> PAGEREF _Toc237843159 \h </w:instrText>
        </w:r>
        <w:r>
          <w:rPr>
            <w:noProof/>
            <w:webHidden/>
          </w:rPr>
        </w:r>
        <w:r>
          <w:rPr>
            <w:noProof/>
            <w:webHidden/>
          </w:rPr>
          <w:fldChar w:fldCharType="separate"/>
        </w:r>
        <w:r>
          <w:rPr>
            <w:noProof/>
            <w:webHidden/>
          </w:rPr>
          <w:t>77</w:t>
        </w:r>
        <w:r>
          <w:rPr>
            <w:noProof/>
            <w:webHidden/>
          </w:rPr>
          <w:fldChar w:fldCharType="end"/>
        </w:r>
      </w:hyperlink>
    </w:p>
    <w:p w14:paraId="58BE3ED6" w14:textId="2761D124"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60" w:history="1">
        <w:r w:rsidRPr="00307F1A">
          <w:rPr>
            <w:rStyle w:val="Hyperlink"/>
            <w:noProof/>
          </w:rPr>
          <w:t>Article 86: United Nations Security Council Endorsement</w:t>
        </w:r>
        <w:r>
          <w:rPr>
            <w:noProof/>
            <w:webHidden/>
          </w:rPr>
          <w:tab/>
        </w:r>
        <w:r>
          <w:rPr>
            <w:noProof/>
            <w:webHidden/>
          </w:rPr>
          <w:fldChar w:fldCharType="begin"/>
        </w:r>
        <w:r>
          <w:rPr>
            <w:noProof/>
            <w:webHidden/>
          </w:rPr>
          <w:instrText xml:space="preserve"> PAGEREF _Toc237843160 \h </w:instrText>
        </w:r>
        <w:r>
          <w:rPr>
            <w:noProof/>
            <w:webHidden/>
          </w:rPr>
        </w:r>
        <w:r>
          <w:rPr>
            <w:noProof/>
            <w:webHidden/>
          </w:rPr>
          <w:fldChar w:fldCharType="separate"/>
        </w:r>
        <w:r>
          <w:rPr>
            <w:noProof/>
            <w:webHidden/>
          </w:rPr>
          <w:t>77</w:t>
        </w:r>
        <w:r>
          <w:rPr>
            <w:noProof/>
            <w:webHidden/>
          </w:rPr>
          <w:fldChar w:fldCharType="end"/>
        </w:r>
      </w:hyperlink>
    </w:p>
    <w:p w14:paraId="157D6FF0" w14:textId="36CE572D"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61" w:history="1">
        <w:r w:rsidRPr="00307F1A">
          <w:rPr>
            <w:rStyle w:val="Hyperlink"/>
            <w:noProof/>
          </w:rPr>
          <w:t>Article 87: Entry into Force and Activation Sequencing</w:t>
        </w:r>
        <w:r>
          <w:rPr>
            <w:noProof/>
            <w:webHidden/>
          </w:rPr>
          <w:tab/>
        </w:r>
        <w:r>
          <w:rPr>
            <w:noProof/>
            <w:webHidden/>
          </w:rPr>
          <w:fldChar w:fldCharType="begin"/>
        </w:r>
        <w:r>
          <w:rPr>
            <w:noProof/>
            <w:webHidden/>
          </w:rPr>
          <w:instrText xml:space="preserve"> PAGEREF _Toc237843161 \h </w:instrText>
        </w:r>
        <w:r>
          <w:rPr>
            <w:noProof/>
            <w:webHidden/>
          </w:rPr>
        </w:r>
        <w:r>
          <w:rPr>
            <w:noProof/>
            <w:webHidden/>
          </w:rPr>
          <w:fldChar w:fldCharType="separate"/>
        </w:r>
        <w:r>
          <w:rPr>
            <w:noProof/>
            <w:webHidden/>
          </w:rPr>
          <w:t>77</w:t>
        </w:r>
        <w:r>
          <w:rPr>
            <w:noProof/>
            <w:webHidden/>
          </w:rPr>
          <w:fldChar w:fldCharType="end"/>
        </w:r>
      </w:hyperlink>
    </w:p>
    <w:p w14:paraId="083BF5A6" w14:textId="1E75E75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62" w:history="1">
        <w:r w:rsidRPr="00307F1A">
          <w:rPr>
            <w:rStyle w:val="Hyperlink"/>
            <w:noProof/>
          </w:rPr>
          <w:t>Article 88: Relationship to Prior Instruments</w:t>
        </w:r>
        <w:r>
          <w:rPr>
            <w:noProof/>
            <w:webHidden/>
          </w:rPr>
          <w:tab/>
        </w:r>
        <w:r>
          <w:rPr>
            <w:noProof/>
            <w:webHidden/>
          </w:rPr>
          <w:fldChar w:fldCharType="begin"/>
        </w:r>
        <w:r>
          <w:rPr>
            <w:noProof/>
            <w:webHidden/>
          </w:rPr>
          <w:instrText xml:space="preserve"> PAGEREF _Toc237843162 \h </w:instrText>
        </w:r>
        <w:r>
          <w:rPr>
            <w:noProof/>
            <w:webHidden/>
          </w:rPr>
        </w:r>
        <w:r>
          <w:rPr>
            <w:noProof/>
            <w:webHidden/>
          </w:rPr>
          <w:fldChar w:fldCharType="separate"/>
        </w:r>
        <w:r>
          <w:rPr>
            <w:noProof/>
            <w:webHidden/>
          </w:rPr>
          <w:t>78</w:t>
        </w:r>
        <w:r>
          <w:rPr>
            <w:noProof/>
            <w:webHidden/>
          </w:rPr>
          <w:fldChar w:fldCharType="end"/>
        </w:r>
      </w:hyperlink>
    </w:p>
    <w:p w14:paraId="7F4BA244" w14:textId="161BEDB7"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63" w:history="1">
        <w:r w:rsidRPr="00307F1A">
          <w:rPr>
            <w:rStyle w:val="Hyperlink"/>
            <w:noProof/>
          </w:rPr>
          <w:t>Article 89: Depositary Functions</w:t>
        </w:r>
        <w:r>
          <w:rPr>
            <w:noProof/>
            <w:webHidden/>
          </w:rPr>
          <w:tab/>
        </w:r>
        <w:r>
          <w:rPr>
            <w:noProof/>
            <w:webHidden/>
          </w:rPr>
          <w:fldChar w:fldCharType="begin"/>
        </w:r>
        <w:r>
          <w:rPr>
            <w:noProof/>
            <w:webHidden/>
          </w:rPr>
          <w:instrText xml:space="preserve"> PAGEREF _Toc237843163 \h </w:instrText>
        </w:r>
        <w:r>
          <w:rPr>
            <w:noProof/>
            <w:webHidden/>
          </w:rPr>
        </w:r>
        <w:r>
          <w:rPr>
            <w:noProof/>
            <w:webHidden/>
          </w:rPr>
          <w:fldChar w:fldCharType="separate"/>
        </w:r>
        <w:r>
          <w:rPr>
            <w:noProof/>
            <w:webHidden/>
          </w:rPr>
          <w:t>78</w:t>
        </w:r>
        <w:r>
          <w:rPr>
            <w:noProof/>
            <w:webHidden/>
          </w:rPr>
          <w:fldChar w:fldCharType="end"/>
        </w:r>
      </w:hyperlink>
    </w:p>
    <w:p w14:paraId="139CF70D" w14:textId="3C728796" w:rsidR="00523450" w:rsidRDefault="00523450">
      <w:pPr>
        <w:pStyle w:val="TOC2"/>
        <w:rPr>
          <w:rFonts w:asciiTheme="minorHAnsi" w:eastAsiaTheme="minorEastAsia" w:hAnsiTheme="minorHAnsi"/>
          <w:noProof/>
          <w:color w:val="auto"/>
          <w:kern w:val="2"/>
          <w:sz w:val="24"/>
          <w:lang w:val="en-CA" w:eastAsia="en-CA"/>
          <w14:ligatures w14:val="standardContextual"/>
        </w:rPr>
      </w:pPr>
      <w:hyperlink w:anchor="_Toc237843164" w:history="1">
        <w:r w:rsidRPr="00307F1A">
          <w:rPr>
            <w:rStyle w:val="Hyperlink"/>
            <w:noProof/>
          </w:rPr>
          <w:t>Article 90: Authentic Texts</w:t>
        </w:r>
        <w:r>
          <w:rPr>
            <w:noProof/>
            <w:webHidden/>
          </w:rPr>
          <w:tab/>
        </w:r>
        <w:r>
          <w:rPr>
            <w:noProof/>
            <w:webHidden/>
          </w:rPr>
          <w:fldChar w:fldCharType="begin"/>
        </w:r>
        <w:r>
          <w:rPr>
            <w:noProof/>
            <w:webHidden/>
          </w:rPr>
          <w:instrText xml:space="preserve"> PAGEREF _Toc237843164 \h </w:instrText>
        </w:r>
        <w:r>
          <w:rPr>
            <w:noProof/>
            <w:webHidden/>
          </w:rPr>
        </w:r>
        <w:r>
          <w:rPr>
            <w:noProof/>
            <w:webHidden/>
          </w:rPr>
          <w:fldChar w:fldCharType="separate"/>
        </w:r>
        <w:r>
          <w:rPr>
            <w:noProof/>
            <w:webHidden/>
          </w:rPr>
          <w:t>79</w:t>
        </w:r>
        <w:r>
          <w:rPr>
            <w:noProof/>
            <w:webHidden/>
          </w:rPr>
          <w:fldChar w:fldCharType="end"/>
        </w:r>
      </w:hyperlink>
    </w:p>
    <w:p w14:paraId="07BE7A61" w14:textId="72D887B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65" w:history="1">
        <w:r w:rsidRPr="00307F1A">
          <w:rPr>
            <w:rStyle w:val="Hyperlink"/>
            <w:noProof/>
          </w:rPr>
          <w:t>ANNEXES</w:t>
        </w:r>
        <w:r>
          <w:rPr>
            <w:noProof/>
            <w:webHidden/>
          </w:rPr>
          <w:tab/>
        </w:r>
        <w:r>
          <w:rPr>
            <w:noProof/>
            <w:webHidden/>
          </w:rPr>
          <w:fldChar w:fldCharType="begin"/>
        </w:r>
        <w:r>
          <w:rPr>
            <w:noProof/>
            <w:webHidden/>
          </w:rPr>
          <w:instrText xml:space="preserve"> PAGEREF _Toc237843165 \h </w:instrText>
        </w:r>
        <w:r>
          <w:rPr>
            <w:noProof/>
            <w:webHidden/>
          </w:rPr>
        </w:r>
        <w:r>
          <w:rPr>
            <w:noProof/>
            <w:webHidden/>
          </w:rPr>
          <w:fldChar w:fldCharType="separate"/>
        </w:r>
        <w:r>
          <w:rPr>
            <w:noProof/>
            <w:webHidden/>
          </w:rPr>
          <w:t>80</w:t>
        </w:r>
        <w:r>
          <w:rPr>
            <w:noProof/>
            <w:webHidden/>
          </w:rPr>
          <w:fldChar w:fldCharType="end"/>
        </w:r>
      </w:hyperlink>
    </w:p>
    <w:p w14:paraId="316987BF" w14:textId="3E484FB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66" w:history="1">
        <w:r w:rsidRPr="00307F1A">
          <w:rPr>
            <w:rStyle w:val="Hyperlink"/>
            <w:noProof/>
          </w:rPr>
          <w:t>ANNEX A: CONSOLIDATED DEFINITIONS AND TERMINOLOGY REGISTER</w:t>
        </w:r>
        <w:r>
          <w:rPr>
            <w:noProof/>
            <w:webHidden/>
          </w:rPr>
          <w:tab/>
        </w:r>
        <w:r>
          <w:rPr>
            <w:noProof/>
            <w:webHidden/>
          </w:rPr>
          <w:fldChar w:fldCharType="begin"/>
        </w:r>
        <w:r>
          <w:rPr>
            <w:noProof/>
            <w:webHidden/>
          </w:rPr>
          <w:instrText xml:space="preserve"> PAGEREF _Toc237843166 \h </w:instrText>
        </w:r>
        <w:r>
          <w:rPr>
            <w:noProof/>
            <w:webHidden/>
          </w:rPr>
        </w:r>
        <w:r>
          <w:rPr>
            <w:noProof/>
            <w:webHidden/>
          </w:rPr>
          <w:fldChar w:fldCharType="separate"/>
        </w:r>
        <w:r>
          <w:rPr>
            <w:noProof/>
            <w:webHidden/>
          </w:rPr>
          <w:t>80</w:t>
        </w:r>
        <w:r>
          <w:rPr>
            <w:noProof/>
            <w:webHidden/>
          </w:rPr>
          <w:fldChar w:fldCharType="end"/>
        </w:r>
      </w:hyperlink>
    </w:p>
    <w:p w14:paraId="3889802E" w14:textId="5A49C95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67" w:history="1">
        <w:r w:rsidRPr="00307F1A">
          <w:rPr>
            <w:rStyle w:val="Hyperlink"/>
            <w:noProof/>
          </w:rPr>
          <w:t>ANNEX B: HORMUZ CORRIDOR COORDINATES, TECHNICAL METRICS, AND CHARTS REGISTER</w:t>
        </w:r>
        <w:r>
          <w:rPr>
            <w:noProof/>
            <w:webHidden/>
          </w:rPr>
          <w:tab/>
        </w:r>
        <w:r>
          <w:rPr>
            <w:noProof/>
            <w:webHidden/>
          </w:rPr>
          <w:fldChar w:fldCharType="begin"/>
        </w:r>
        <w:r>
          <w:rPr>
            <w:noProof/>
            <w:webHidden/>
          </w:rPr>
          <w:instrText xml:space="preserve"> PAGEREF _Toc237843167 \h </w:instrText>
        </w:r>
        <w:r>
          <w:rPr>
            <w:noProof/>
            <w:webHidden/>
          </w:rPr>
        </w:r>
        <w:r>
          <w:rPr>
            <w:noProof/>
            <w:webHidden/>
          </w:rPr>
          <w:fldChar w:fldCharType="separate"/>
        </w:r>
        <w:r>
          <w:rPr>
            <w:noProof/>
            <w:webHidden/>
          </w:rPr>
          <w:t>85</w:t>
        </w:r>
        <w:r>
          <w:rPr>
            <w:noProof/>
            <w:webHidden/>
          </w:rPr>
          <w:fldChar w:fldCharType="end"/>
        </w:r>
      </w:hyperlink>
    </w:p>
    <w:p w14:paraId="0E073DBB" w14:textId="29DFB81C"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68" w:history="1">
        <w:r w:rsidRPr="00307F1A">
          <w:rPr>
            <w:rStyle w:val="Hyperlink"/>
            <w:noProof/>
          </w:rPr>
          <w:t>ANNEX C: THE COTHROM VERIFICATION METHOD (INTEGRATED PROTOCOL)</w:t>
        </w:r>
        <w:r>
          <w:rPr>
            <w:noProof/>
            <w:webHidden/>
          </w:rPr>
          <w:tab/>
        </w:r>
        <w:r>
          <w:rPr>
            <w:noProof/>
            <w:webHidden/>
          </w:rPr>
          <w:fldChar w:fldCharType="begin"/>
        </w:r>
        <w:r>
          <w:rPr>
            <w:noProof/>
            <w:webHidden/>
          </w:rPr>
          <w:instrText xml:space="preserve"> PAGEREF _Toc237843168 \h </w:instrText>
        </w:r>
        <w:r>
          <w:rPr>
            <w:noProof/>
            <w:webHidden/>
          </w:rPr>
        </w:r>
        <w:r>
          <w:rPr>
            <w:noProof/>
            <w:webHidden/>
          </w:rPr>
          <w:fldChar w:fldCharType="separate"/>
        </w:r>
        <w:r>
          <w:rPr>
            <w:noProof/>
            <w:webHidden/>
          </w:rPr>
          <w:t>91</w:t>
        </w:r>
        <w:r>
          <w:rPr>
            <w:noProof/>
            <w:webHidden/>
          </w:rPr>
          <w:fldChar w:fldCharType="end"/>
        </w:r>
      </w:hyperlink>
    </w:p>
    <w:p w14:paraId="46D7DA51" w14:textId="46B2105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69" w:history="1">
        <w:r w:rsidRPr="00307F1A">
          <w:rPr>
            <w:rStyle w:val="Hyperlink"/>
            <w:noProof/>
          </w:rPr>
          <w:t>ANNEX D: THE DEMERIT POINT MATRIX</w:t>
        </w:r>
        <w:r>
          <w:rPr>
            <w:noProof/>
            <w:webHidden/>
          </w:rPr>
          <w:tab/>
        </w:r>
        <w:r>
          <w:rPr>
            <w:noProof/>
            <w:webHidden/>
          </w:rPr>
          <w:fldChar w:fldCharType="begin"/>
        </w:r>
        <w:r>
          <w:rPr>
            <w:noProof/>
            <w:webHidden/>
          </w:rPr>
          <w:instrText xml:space="preserve"> PAGEREF _Toc237843169 \h </w:instrText>
        </w:r>
        <w:r>
          <w:rPr>
            <w:noProof/>
            <w:webHidden/>
          </w:rPr>
        </w:r>
        <w:r>
          <w:rPr>
            <w:noProof/>
            <w:webHidden/>
          </w:rPr>
          <w:fldChar w:fldCharType="separate"/>
        </w:r>
        <w:r>
          <w:rPr>
            <w:noProof/>
            <w:webHidden/>
          </w:rPr>
          <w:t>98</w:t>
        </w:r>
        <w:r>
          <w:rPr>
            <w:noProof/>
            <w:webHidden/>
          </w:rPr>
          <w:fldChar w:fldCharType="end"/>
        </w:r>
      </w:hyperlink>
    </w:p>
    <w:p w14:paraId="61DF35C8" w14:textId="61DC507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0" w:history="1">
        <w:r w:rsidRPr="00307F1A">
          <w:rPr>
            <w:rStyle w:val="Hyperlink"/>
            <w:noProof/>
          </w:rPr>
          <w:t>ANNEX E: STEP-BACK AND EARN-BACK SCHEDULES</w:t>
        </w:r>
        <w:r>
          <w:rPr>
            <w:noProof/>
            <w:webHidden/>
          </w:rPr>
          <w:tab/>
        </w:r>
        <w:r>
          <w:rPr>
            <w:noProof/>
            <w:webHidden/>
          </w:rPr>
          <w:fldChar w:fldCharType="begin"/>
        </w:r>
        <w:r>
          <w:rPr>
            <w:noProof/>
            <w:webHidden/>
          </w:rPr>
          <w:instrText xml:space="preserve"> PAGEREF _Toc237843170 \h </w:instrText>
        </w:r>
        <w:r>
          <w:rPr>
            <w:noProof/>
            <w:webHidden/>
          </w:rPr>
        </w:r>
        <w:r>
          <w:rPr>
            <w:noProof/>
            <w:webHidden/>
          </w:rPr>
          <w:fldChar w:fldCharType="separate"/>
        </w:r>
        <w:r>
          <w:rPr>
            <w:noProof/>
            <w:webHidden/>
          </w:rPr>
          <w:t>102</w:t>
        </w:r>
        <w:r>
          <w:rPr>
            <w:noProof/>
            <w:webHidden/>
          </w:rPr>
          <w:fldChar w:fldCharType="end"/>
        </w:r>
      </w:hyperlink>
    </w:p>
    <w:p w14:paraId="4B1F2A20" w14:textId="3694DE03"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1" w:history="1">
        <w:r w:rsidRPr="00307F1A">
          <w:rPr>
            <w:rStyle w:val="Hyperlink"/>
            <w:noProof/>
          </w:rPr>
          <w:t>ANNEX F: NUCLEAR DISPOSITION PROTOCOL: IN-IRAN DOWN-BLENDING ARCHITECTURE</w:t>
        </w:r>
        <w:r>
          <w:rPr>
            <w:noProof/>
            <w:webHidden/>
          </w:rPr>
          <w:tab/>
        </w:r>
        <w:r>
          <w:rPr>
            <w:noProof/>
            <w:webHidden/>
          </w:rPr>
          <w:fldChar w:fldCharType="begin"/>
        </w:r>
        <w:r>
          <w:rPr>
            <w:noProof/>
            <w:webHidden/>
          </w:rPr>
          <w:instrText xml:space="preserve"> PAGEREF _Toc237843171 \h </w:instrText>
        </w:r>
        <w:r>
          <w:rPr>
            <w:noProof/>
            <w:webHidden/>
          </w:rPr>
        </w:r>
        <w:r>
          <w:rPr>
            <w:noProof/>
            <w:webHidden/>
          </w:rPr>
          <w:fldChar w:fldCharType="separate"/>
        </w:r>
        <w:r>
          <w:rPr>
            <w:noProof/>
            <w:webHidden/>
          </w:rPr>
          <w:t>105</w:t>
        </w:r>
        <w:r>
          <w:rPr>
            <w:noProof/>
            <w:webHidden/>
          </w:rPr>
          <w:fldChar w:fldCharType="end"/>
        </w:r>
      </w:hyperlink>
    </w:p>
    <w:p w14:paraId="059FD9C2" w14:textId="4E2959B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2" w:history="1">
        <w:r w:rsidRPr="00307F1A">
          <w:rPr>
            <w:rStyle w:val="Hyperlink"/>
            <w:noProof/>
          </w:rPr>
          <w:t>ANNEX G: SANCTIONS RELIEF AND COMPLIANCE SCHEDULE</w:t>
        </w:r>
        <w:r>
          <w:rPr>
            <w:noProof/>
            <w:webHidden/>
          </w:rPr>
          <w:tab/>
        </w:r>
        <w:r>
          <w:rPr>
            <w:noProof/>
            <w:webHidden/>
          </w:rPr>
          <w:fldChar w:fldCharType="begin"/>
        </w:r>
        <w:r>
          <w:rPr>
            <w:noProof/>
            <w:webHidden/>
          </w:rPr>
          <w:instrText xml:space="preserve"> PAGEREF _Toc237843172 \h </w:instrText>
        </w:r>
        <w:r>
          <w:rPr>
            <w:noProof/>
            <w:webHidden/>
          </w:rPr>
        </w:r>
        <w:r>
          <w:rPr>
            <w:noProof/>
            <w:webHidden/>
          </w:rPr>
          <w:fldChar w:fldCharType="separate"/>
        </w:r>
        <w:r>
          <w:rPr>
            <w:noProof/>
            <w:webHidden/>
          </w:rPr>
          <w:t>110</w:t>
        </w:r>
        <w:r>
          <w:rPr>
            <w:noProof/>
            <w:webHidden/>
          </w:rPr>
          <w:fldChar w:fldCharType="end"/>
        </w:r>
      </w:hyperlink>
    </w:p>
    <w:p w14:paraId="60718991" w14:textId="432CFDB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3" w:history="1">
        <w:r w:rsidRPr="00307F1A">
          <w:rPr>
            <w:rStyle w:val="Hyperlink"/>
            <w:noProof/>
          </w:rPr>
          <w:t>ANNEX H: FROZEN ASSET RELEASE AND TWO-POOL ESCROW MECHANICS</w:t>
        </w:r>
        <w:r>
          <w:rPr>
            <w:noProof/>
            <w:webHidden/>
          </w:rPr>
          <w:tab/>
        </w:r>
        <w:r>
          <w:rPr>
            <w:noProof/>
            <w:webHidden/>
          </w:rPr>
          <w:fldChar w:fldCharType="begin"/>
        </w:r>
        <w:r>
          <w:rPr>
            <w:noProof/>
            <w:webHidden/>
          </w:rPr>
          <w:instrText xml:space="preserve"> PAGEREF _Toc237843173 \h </w:instrText>
        </w:r>
        <w:r>
          <w:rPr>
            <w:noProof/>
            <w:webHidden/>
          </w:rPr>
        </w:r>
        <w:r>
          <w:rPr>
            <w:noProof/>
            <w:webHidden/>
          </w:rPr>
          <w:fldChar w:fldCharType="separate"/>
        </w:r>
        <w:r>
          <w:rPr>
            <w:noProof/>
            <w:webHidden/>
          </w:rPr>
          <w:t>114</w:t>
        </w:r>
        <w:r>
          <w:rPr>
            <w:noProof/>
            <w:webHidden/>
          </w:rPr>
          <w:fldChar w:fldCharType="end"/>
        </w:r>
      </w:hyperlink>
    </w:p>
    <w:p w14:paraId="7EB77250" w14:textId="2A31BA5C"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4" w:history="1">
        <w:r w:rsidRPr="00307F1A">
          <w:rPr>
            <w:rStyle w:val="Hyperlink"/>
            <w:noProof/>
          </w:rPr>
          <w:t>ANNEX I: RECONSTRUCTION AND DEVELOPMENT FUND GOVERNANCE CHARTER</w:t>
        </w:r>
        <w:r>
          <w:rPr>
            <w:noProof/>
            <w:webHidden/>
          </w:rPr>
          <w:tab/>
        </w:r>
        <w:r>
          <w:rPr>
            <w:noProof/>
            <w:webHidden/>
          </w:rPr>
          <w:fldChar w:fldCharType="begin"/>
        </w:r>
        <w:r>
          <w:rPr>
            <w:noProof/>
            <w:webHidden/>
          </w:rPr>
          <w:instrText xml:space="preserve"> PAGEREF _Toc237843174 \h </w:instrText>
        </w:r>
        <w:r>
          <w:rPr>
            <w:noProof/>
            <w:webHidden/>
          </w:rPr>
        </w:r>
        <w:r>
          <w:rPr>
            <w:noProof/>
            <w:webHidden/>
          </w:rPr>
          <w:fldChar w:fldCharType="separate"/>
        </w:r>
        <w:r>
          <w:rPr>
            <w:noProof/>
            <w:webHidden/>
          </w:rPr>
          <w:t>117</w:t>
        </w:r>
        <w:r>
          <w:rPr>
            <w:noProof/>
            <w:webHidden/>
          </w:rPr>
          <w:fldChar w:fldCharType="end"/>
        </w:r>
      </w:hyperlink>
    </w:p>
    <w:p w14:paraId="5EA963D1" w14:textId="0495658D"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5" w:history="1">
        <w:r w:rsidRPr="00307F1A">
          <w:rPr>
            <w:rStyle w:val="Hyperlink"/>
            <w:noProof/>
          </w:rPr>
          <w:t>ANNEX J: NAVAL DECONFLICTION AND MARITIME SAFETY PROTOCOL</w:t>
        </w:r>
        <w:r>
          <w:rPr>
            <w:noProof/>
            <w:webHidden/>
          </w:rPr>
          <w:tab/>
        </w:r>
        <w:r>
          <w:rPr>
            <w:noProof/>
            <w:webHidden/>
          </w:rPr>
          <w:fldChar w:fldCharType="begin"/>
        </w:r>
        <w:r>
          <w:rPr>
            <w:noProof/>
            <w:webHidden/>
          </w:rPr>
          <w:instrText xml:space="preserve"> PAGEREF _Toc237843175 \h </w:instrText>
        </w:r>
        <w:r>
          <w:rPr>
            <w:noProof/>
            <w:webHidden/>
          </w:rPr>
        </w:r>
        <w:r>
          <w:rPr>
            <w:noProof/>
            <w:webHidden/>
          </w:rPr>
          <w:fldChar w:fldCharType="separate"/>
        </w:r>
        <w:r>
          <w:rPr>
            <w:noProof/>
            <w:webHidden/>
          </w:rPr>
          <w:t>120</w:t>
        </w:r>
        <w:r>
          <w:rPr>
            <w:noProof/>
            <w:webHidden/>
          </w:rPr>
          <w:fldChar w:fldCharType="end"/>
        </w:r>
      </w:hyperlink>
    </w:p>
    <w:p w14:paraId="23673367" w14:textId="3C39F08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6" w:history="1">
        <w:r w:rsidRPr="00307F1A">
          <w:rPr>
            <w:rStyle w:val="Hyperlink"/>
            <w:noProof/>
          </w:rPr>
          <w:t>ANNEX K: BALLISTIC MISSILE DIALOGUE FRAMEWORK</w:t>
        </w:r>
        <w:r>
          <w:rPr>
            <w:noProof/>
            <w:webHidden/>
          </w:rPr>
          <w:tab/>
        </w:r>
        <w:r>
          <w:rPr>
            <w:noProof/>
            <w:webHidden/>
          </w:rPr>
          <w:fldChar w:fldCharType="begin"/>
        </w:r>
        <w:r>
          <w:rPr>
            <w:noProof/>
            <w:webHidden/>
          </w:rPr>
          <w:instrText xml:space="preserve"> PAGEREF _Toc237843176 \h </w:instrText>
        </w:r>
        <w:r>
          <w:rPr>
            <w:noProof/>
            <w:webHidden/>
          </w:rPr>
        </w:r>
        <w:r>
          <w:rPr>
            <w:noProof/>
            <w:webHidden/>
          </w:rPr>
          <w:fldChar w:fldCharType="separate"/>
        </w:r>
        <w:r>
          <w:rPr>
            <w:noProof/>
            <w:webHidden/>
          </w:rPr>
          <w:t>122</w:t>
        </w:r>
        <w:r>
          <w:rPr>
            <w:noProof/>
            <w:webHidden/>
          </w:rPr>
          <w:fldChar w:fldCharType="end"/>
        </w:r>
      </w:hyperlink>
    </w:p>
    <w:p w14:paraId="492BAE2A" w14:textId="7D17F7F2"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7" w:history="1">
        <w:r w:rsidRPr="00307F1A">
          <w:rPr>
            <w:rStyle w:val="Hyperlink"/>
            <w:noProof/>
          </w:rPr>
          <w:t>ANNEX L: LEBANON AND REGIONAL NON-STATE ACTOR PROTOCOLS</w:t>
        </w:r>
        <w:r>
          <w:rPr>
            <w:noProof/>
            <w:webHidden/>
          </w:rPr>
          <w:tab/>
        </w:r>
        <w:r>
          <w:rPr>
            <w:noProof/>
            <w:webHidden/>
          </w:rPr>
          <w:fldChar w:fldCharType="begin"/>
        </w:r>
        <w:r>
          <w:rPr>
            <w:noProof/>
            <w:webHidden/>
          </w:rPr>
          <w:instrText xml:space="preserve"> PAGEREF _Toc237843177 \h </w:instrText>
        </w:r>
        <w:r>
          <w:rPr>
            <w:noProof/>
            <w:webHidden/>
          </w:rPr>
        </w:r>
        <w:r>
          <w:rPr>
            <w:noProof/>
            <w:webHidden/>
          </w:rPr>
          <w:fldChar w:fldCharType="separate"/>
        </w:r>
        <w:r>
          <w:rPr>
            <w:noProof/>
            <w:webHidden/>
          </w:rPr>
          <w:t>124</w:t>
        </w:r>
        <w:r>
          <w:rPr>
            <w:noProof/>
            <w:webHidden/>
          </w:rPr>
          <w:fldChar w:fldCharType="end"/>
        </w:r>
      </w:hyperlink>
    </w:p>
    <w:p w14:paraId="2BC5607E" w14:textId="7CC54474"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8" w:history="1">
        <w:r w:rsidRPr="00307F1A">
          <w:rPr>
            <w:rStyle w:val="Hyperlink"/>
            <w:noProof/>
          </w:rPr>
          <w:t>ANNEX M: HUMANITARIAN EXCHANGE, PRISONER RELEASE, AND MISSING PERSONS PROTOCOL</w:t>
        </w:r>
        <w:r>
          <w:rPr>
            <w:noProof/>
            <w:webHidden/>
          </w:rPr>
          <w:tab/>
        </w:r>
        <w:r>
          <w:rPr>
            <w:noProof/>
            <w:webHidden/>
          </w:rPr>
          <w:fldChar w:fldCharType="begin"/>
        </w:r>
        <w:r>
          <w:rPr>
            <w:noProof/>
            <w:webHidden/>
          </w:rPr>
          <w:instrText xml:space="preserve"> PAGEREF _Toc237843178 \h </w:instrText>
        </w:r>
        <w:r>
          <w:rPr>
            <w:noProof/>
            <w:webHidden/>
          </w:rPr>
        </w:r>
        <w:r>
          <w:rPr>
            <w:noProof/>
            <w:webHidden/>
          </w:rPr>
          <w:fldChar w:fldCharType="separate"/>
        </w:r>
        <w:r>
          <w:rPr>
            <w:noProof/>
            <w:webHidden/>
          </w:rPr>
          <w:t>127</w:t>
        </w:r>
        <w:r>
          <w:rPr>
            <w:noProof/>
            <w:webHidden/>
          </w:rPr>
          <w:fldChar w:fldCharType="end"/>
        </w:r>
      </w:hyperlink>
    </w:p>
    <w:p w14:paraId="4E139671" w14:textId="4E8C56B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79" w:history="1">
        <w:r w:rsidRPr="00307F1A">
          <w:rPr>
            <w:rStyle w:val="Hyperlink"/>
            <w:noProof/>
          </w:rPr>
          <w:t>ANNEX N: THE GUARANTOR MATRIX PROTOCOL</w:t>
        </w:r>
        <w:r>
          <w:rPr>
            <w:noProof/>
            <w:webHidden/>
          </w:rPr>
          <w:tab/>
        </w:r>
        <w:r>
          <w:rPr>
            <w:noProof/>
            <w:webHidden/>
          </w:rPr>
          <w:fldChar w:fldCharType="begin"/>
        </w:r>
        <w:r>
          <w:rPr>
            <w:noProof/>
            <w:webHidden/>
          </w:rPr>
          <w:instrText xml:space="preserve"> PAGEREF _Toc237843179 \h </w:instrText>
        </w:r>
        <w:r>
          <w:rPr>
            <w:noProof/>
            <w:webHidden/>
          </w:rPr>
        </w:r>
        <w:r>
          <w:rPr>
            <w:noProof/>
            <w:webHidden/>
          </w:rPr>
          <w:fldChar w:fldCharType="separate"/>
        </w:r>
        <w:r>
          <w:rPr>
            <w:noProof/>
            <w:webHidden/>
          </w:rPr>
          <w:t>129</w:t>
        </w:r>
        <w:r>
          <w:rPr>
            <w:noProof/>
            <w:webHidden/>
          </w:rPr>
          <w:fldChar w:fldCharType="end"/>
        </w:r>
      </w:hyperlink>
    </w:p>
    <w:p w14:paraId="607F50A1" w14:textId="681C094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0" w:history="1">
        <w:r w:rsidRPr="00307F1A">
          <w:rPr>
            <w:rStyle w:val="Hyperlink"/>
            <w:noProof/>
          </w:rPr>
          <w:t>ANNEX O: DISPUTE RESOLUTION AND ARBITRATION RULES</w:t>
        </w:r>
        <w:r>
          <w:rPr>
            <w:noProof/>
            <w:webHidden/>
          </w:rPr>
          <w:tab/>
        </w:r>
        <w:r>
          <w:rPr>
            <w:noProof/>
            <w:webHidden/>
          </w:rPr>
          <w:fldChar w:fldCharType="begin"/>
        </w:r>
        <w:r>
          <w:rPr>
            <w:noProof/>
            <w:webHidden/>
          </w:rPr>
          <w:instrText xml:space="preserve"> PAGEREF _Toc237843180 \h </w:instrText>
        </w:r>
        <w:r>
          <w:rPr>
            <w:noProof/>
            <w:webHidden/>
          </w:rPr>
        </w:r>
        <w:r>
          <w:rPr>
            <w:noProof/>
            <w:webHidden/>
          </w:rPr>
          <w:fldChar w:fldCharType="separate"/>
        </w:r>
        <w:r>
          <w:rPr>
            <w:noProof/>
            <w:webHidden/>
          </w:rPr>
          <w:t>131</w:t>
        </w:r>
        <w:r>
          <w:rPr>
            <w:noProof/>
            <w:webHidden/>
          </w:rPr>
          <w:fldChar w:fldCharType="end"/>
        </w:r>
      </w:hyperlink>
    </w:p>
    <w:p w14:paraId="0F4519B1" w14:textId="469C2CE3"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1" w:history="1">
        <w:r w:rsidRPr="00307F1A">
          <w:rPr>
            <w:rStyle w:val="Hyperlink"/>
            <w:noProof/>
          </w:rPr>
          <w:t>ANNEX P: MASTER IMPLEMENTATION TIMELINE (DAY 0 TO DAY 1825)</w:t>
        </w:r>
        <w:r>
          <w:rPr>
            <w:noProof/>
            <w:webHidden/>
          </w:rPr>
          <w:tab/>
        </w:r>
        <w:r>
          <w:rPr>
            <w:noProof/>
            <w:webHidden/>
          </w:rPr>
          <w:fldChar w:fldCharType="begin"/>
        </w:r>
        <w:r>
          <w:rPr>
            <w:noProof/>
            <w:webHidden/>
          </w:rPr>
          <w:instrText xml:space="preserve"> PAGEREF _Toc237843181 \h </w:instrText>
        </w:r>
        <w:r>
          <w:rPr>
            <w:noProof/>
            <w:webHidden/>
          </w:rPr>
        </w:r>
        <w:r>
          <w:rPr>
            <w:noProof/>
            <w:webHidden/>
          </w:rPr>
          <w:fldChar w:fldCharType="separate"/>
        </w:r>
        <w:r>
          <w:rPr>
            <w:noProof/>
            <w:webHidden/>
          </w:rPr>
          <w:t>133</w:t>
        </w:r>
        <w:r>
          <w:rPr>
            <w:noProof/>
            <w:webHidden/>
          </w:rPr>
          <w:fldChar w:fldCharType="end"/>
        </w:r>
      </w:hyperlink>
    </w:p>
    <w:p w14:paraId="68F74FAC" w14:textId="03BD168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2" w:history="1">
        <w:r w:rsidRPr="00307F1A">
          <w:rPr>
            <w:rStyle w:val="Hyperlink"/>
            <w:noProof/>
          </w:rPr>
          <w:t>SUPPLEMENTARY PROTOCOL SP-1: IMPLEMENTATION PROTOCOLS FOR TITLE I (POLITICAL SETTLEMENT)</w:t>
        </w:r>
        <w:r>
          <w:rPr>
            <w:noProof/>
            <w:webHidden/>
          </w:rPr>
          <w:tab/>
        </w:r>
        <w:r>
          <w:rPr>
            <w:noProof/>
            <w:webHidden/>
          </w:rPr>
          <w:fldChar w:fldCharType="begin"/>
        </w:r>
        <w:r>
          <w:rPr>
            <w:noProof/>
            <w:webHidden/>
          </w:rPr>
          <w:instrText xml:space="preserve"> PAGEREF _Toc237843182 \h </w:instrText>
        </w:r>
        <w:r>
          <w:rPr>
            <w:noProof/>
            <w:webHidden/>
          </w:rPr>
        </w:r>
        <w:r>
          <w:rPr>
            <w:noProof/>
            <w:webHidden/>
          </w:rPr>
          <w:fldChar w:fldCharType="separate"/>
        </w:r>
        <w:r>
          <w:rPr>
            <w:noProof/>
            <w:webHidden/>
          </w:rPr>
          <w:t>136</w:t>
        </w:r>
        <w:r>
          <w:rPr>
            <w:noProof/>
            <w:webHidden/>
          </w:rPr>
          <w:fldChar w:fldCharType="end"/>
        </w:r>
      </w:hyperlink>
    </w:p>
    <w:p w14:paraId="72B87869" w14:textId="493F9D1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3" w:history="1">
        <w:r w:rsidRPr="00307F1A">
          <w:rPr>
            <w:rStyle w:val="Hyperlink"/>
            <w:noProof/>
          </w:rPr>
          <w:t>SUPPLEMENTARY PROTOCOL SP-2: IMPLEMENTATION PROTOCOLS FOR TITLE II (SECURITY AND MILITARY DE-ESCALATION)</w:t>
        </w:r>
        <w:r>
          <w:rPr>
            <w:noProof/>
            <w:webHidden/>
          </w:rPr>
          <w:tab/>
        </w:r>
        <w:r>
          <w:rPr>
            <w:noProof/>
            <w:webHidden/>
          </w:rPr>
          <w:fldChar w:fldCharType="begin"/>
        </w:r>
        <w:r>
          <w:rPr>
            <w:noProof/>
            <w:webHidden/>
          </w:rPr>
          <w:instrText xml:space="preserve"> PAGEREF _Toc237843183 \h </w:instrText>
        </w:r>
        <w:r>
          <w:rPr>
            <w:noProof/>
            <w:webHidden/>
          </w:rPr>
        </w:r>
        <w:r>
          <w:rPr>
            <w:noProof/>
            <w:webHidden/>
          </w:rPr>
          <w:fldChar w:fldCharType="separate"/>
        </w:r>
        <w:r>
          <w:rPr>
            <w:noProof/>
            <w:webHidden/>
          </w:rPr>
          <w:t>140</w:t>
        </w:r>
        <w:r>
          <w:rPr>
            <w:noProof/>
            <w:webHidden/>
          </w:rPr>
          <w:fldChar w:fldCharType="end"/>
        </w:r>
      </w:hyperlink>
    </w:p>
    <w:p w14:paraId="29F048CF" w14:textId="00B18E4B"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4" w:history="1">
        <w:r w:rsidRPr="00307F1A">
          <w:rPr>
            <w:rStyle w:val="Hyperlink"/>
            <w:noProof/>
          </w:rPr>
          <w:t>SUPPLEMENTARY PROTOCOL SP-3: IMPLEMENTATION PROTOCOLS FOR TITLE III (HORMUZ GOVERNANCE)</w:t>
        </w:r>
        <w:r>
          <w:rPr>
            <w:noProof/>
            <w:webHidden/>
          </w:rPr>
          <w:tab/>
        </w:r>
        <w:r>
          <w:rPr>
            <w:noProof/>
            <w:webHidden/>
          </w:rPr>
          <w:fldChar w:fldCharType="begin"/>
        </w:r>
        <w:r>
          <w:rPr>
            <w:noProof/>
            <w:webHidden/>
          </w:rPr>
          <w:instrText xml:space="preserve"> PAGEREF _Toc237843184 \h </w:instrText>
        </w:r>
        <w:r>
          <w:rPr>
            <w:noProof/>
            <w:webHidden/>
          </w:rPr>
        </w:r>
        <w:r>
          <w:rPr>
            <w:noProof/>
            <w:webHidden/>
          </w:rPr>
          <w:fldChar w:fldCharType="separate"/>
        </w:r>
        <w:r>
          <w:rPr>
            <w:noProof/>
            <w:webHidden/>
          </w:rPr>
          <w:t>143</w:t>
        </w:r>
        <w:r>
          <w:rPr>
            <w:noProof/>
            <w:webHidden/>
          </w:rPr>
          <w:fldChar w:fldCharType="end"/>
        </w:r>
      </w:hyperlink>
    </w:p>
    <w:p w14:paraId="02260000" w14:textId="147CB01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5" w:history="1">
        <w:r w:rsidRPr="00307F1A">
          <w:rPr>
            <w:rStyle w:val="Hyperlink"/>
            <w:noProof/>
          </w:rPr>
          <w:t>SUPPLEMENTARY PROTOCOL SP-4: IMPLEMENTATION PROTOCOLS FOR TITLE IV (ECONOMIC NORMALIZATION)</w:t>
        </w:r>
        <w:r>
          <w:rPr>
            <w:noProof/>
            <w:webHidden/>
          </w:rPr>
          <w:tab/>
        </w:r>
        <w:r>
          <w:rPr>
            <w:noProof/>
            <w:webHidden/>
          </w:rPr>
          <w:fldChar w:fldCharType="begin"/>
        </w:r>
        <w:r>
          <w:rPr>
            <w:noProof/>
            <w:webHidden/>
          </w:rPr>
          <w:instrText xml:space="preserve"> PAGEREF _Toc237843185 \h </w:instrText>
        </w:r>
        <w:r>
          <w:rPr>
            <w:noProof/>
            <w:webHidden/>
          </w:rPr>
        </w:r>
        <w:r>
          <w:rPr>
            <w:noProof/>
            <w:webHidden/>
          </w:rPr>
          <w:fldChar w:fldCharType="separate"/>
        </w:r>
        <w:r>
          <w:rPr>
            <w:noProof/>
            <w:webHidden/>
          </w:rPr>
          <w:t>147</w:t>
        </w:r>
        <w:r>
          <w:rPr>
            <w:noProof/>
            <w:webHidden/>
          </w:rPr>
          <w:fldChar w:fldCharType="end"/>
        </w:r>
      </w:hyperlink>
    </w:p>
    <w:p w14:paraId="06DAA877" w14:textId="49447F37"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6" w:history="1">
        <w:r w:rsidRPr="00307F1A">
          <w:rPr>
            <w:rStyle w:val="Hyperlink"/>
            <w:noProof/>
          </w:rPr>
          <w:t>SUPPLEMENTARY PROTOCOL SP-5: IMPLEMENTATION PROTOCOLS FOR TITLE V (LEGAL, JUSTICE, AND VERIFICATION)</w:t>
        </w:r>
        <w:r>
          <w:rPr>
            <w:noProof/>
            <w:webHidden/>
          </w:rPr>
          <w:tab/>
        </w:r>
        <w:r>
          <w:rPr>
            <w:noProof/>
            <w:webHidden/>
          </w:rPr>
          <w:fldChar w:fldCharType="begin"/>
        </w:r>
        <w:r>
          <w:rPr>
            <w:noProof/>
            <w:webHidden/>
          </w:rPr>
          <w:instrText xml:space="preserve"> PAGEREF _Toc237843186 \h </w:instrText>
        </w:r>
        <w:r>
          <w:rPr>
            <w:noProof/>
            <w:webHidden/>
          </w:rPr>
        </w:r>
        <w:r>
          <w:rPr>
            <w:noProof/>
            <w:webHidden/>
          </w:rPr>
          <w:fldChar w:fldCharType="separate"/>
        </w:r>
        <w:r>
          <w:rPr>
            <w:noProof/>
            <w:webHidden/>
          </w:rPr>
          <w:t>149</w:t>
        </w:r>
        <w:r>
          <w:rPr>
            <w:noProof/>
            <w:webHidden/>
          </w:rPr>
          <w:fldChar w:fldCharType="end"/>
        </w:r>
      </w:hyperlink>
    </w:p>
    <w:p w14:paraId="0D7D9402" w14:textId="6C883EE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7" w:history="1">
        <w:r w:rsidRPr="00307F1A">
          <w:rPr>
            <w:rStyle w:val="Hyperlink"/>
            <w:noProof/>
          </w:rPr>
          <w:t>SUPPLEMENTARY PROTOCOL SP-6: IMPLEMENTATION PROTOCOLS FOR TITLES VI AND VII (REGIONAL AND FINAL)</w:t>
        </w:r>
        <w:r>
          <w:rPr>
            <w:noProof/>
            <w:webHidden/>
          </w:rPr>
          <w:tab/>
        </w:r>
        <w:r>
          <w:rPr>
            <w:noProof/>
            <w:webHidden/>
          </w:rPr>
          <w:fldChar w:fldCharType="begin"/>
        </w:r>
        <w:r>
          <w:rPr>
            <w:noProof/>
            <w:webHidden/>
          </w:rPr>
          <w:instrText xml:space="preserve"> PAGEREF _Toc237843187 \h </w:instrText>
        </w:r>
        <w:r>
          <w:rPr>
            <w:noProof/>
            <w:webHidden/>
          </w:rPr>
        </w:r>
        <w:r>
          <w:rPr>
            <w:noProof/>
            <w:webHidden/>
          </w:rPr>
          <w:fldChar w:fldCharType="separate"/>
        </w:r>
        <w:r>
          <w:rPr>
            <w:noProof/>
            <w:webHidden/>
          </w:rPr>
          <w:t>152</w:t>
        </w:r>
        <w:r>
          <w:rPr>
            <w:noProof/>
            <w:webHidden/>
          </w:rPr>
          <w:fldChar w:fldCharType="end"/>
        </w:r>
      </w:hyperlink>
    </w:p>
    <w:p w14:paraId="25A3D2BB" w14:textId="46723D30"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8" w:history="1">
        <w:r w:rsidRPr="00307F1A">
          <w:rPr>
            <w:rStyle w:val="Hyperlink"/>
            <w:noProof/>
          </w:rPr>
          <w:t>SUPPLEMENTARY PROTOCOL SP-7: OPERATIONAL TEMPLATES AND MODEL INSTRUMENTS</w:t>
        </w:r>
        <w:r>
          <w:rPr>
            <w:noProof/>
            <w:webHidden/>
          </w:rPr>
          <w:tab/>
        </w:r>
        <w:r>
          <w:rPr>
            <w:noProof/>
            <w:webHidden/>
          </w:rPr>
          <w:fldChar w:fldCharType="begin"/>
        </w:r>
        <w:r>
          <w:rPr>
            <w:noProof/>
            <w:webHidden/>
          </w:rPr>
          <w:instrText xml:space="preserve"> PAGEREF _Toc237843188 \h </w:instrText>
        </w:r>
        <w:r>
          <w:rPr>
            <w:noProof/>
            <w:webHidden/>
          </w:rPr>
        </w:r>
        <w:r>
          <w:rPr>
            <w:noProof/>
            <w:webHidden/>
          </w:rPr>
          <w:fldChar w:fldCharType="separate"/>
        </w:r>
        <w:r>
          <w:rPr>
            <w:noProof/>
            <w:webHidden/>
          </w:rPr>
          <w:t>154</w:t>
        </w:r>
        <w:r>
          <w:rPr>
            <w:noProof/>
            <w:webHidden/>
          </w:rPr>
          <w:fldChar w:fldCharType="end"/>
        </w:r>
      </w:hyperlink>
    </w:p>
    <w:p w14:paraId="18D81B80" w14:textId="155A725B"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89" w:history="1">
        <w:r w:rsidRPr="00307F1A">
          <w:rPr>
            <w:rStyle w:val="Hyperlink"/>
            <w:noProof/>
          </w:rPr>
          <w:t>SUPPLEMENTARY PROTOCOL SP-8: CRISIS RESPONSE PLAYBOOKS</w:t>
        </w:r>
        <w:r>
          <w:rPr>
            <w:noProof/>
            <w:webHidden/>
          </w:rPr>
          <w:tab/>
        </w:r>
        <w:r>
          <w:rPr>
            <w:noProof/>
            <w:webHidden/>
          </w:rPr>
          <w:fldChar w:fldCharType="begin"/>
        </w:r>
        <w:r>
          <w:rPr>
            <w:noProof/>
            <w:webHidden/>
          </w:rPr>
          <w:instrText xml:space="preserve"> PAGEREF _Toc237843189 \h </w:instrText>
        </w:r>
        <w:r>
          <w:rPr>
            <w:noProof/>
            <w:webHidden/>
          </w:rPr>
        </w:r>
        <w:r>
          <w:rPr>
            <w:noProof/>
            <w:webHidden/>
          </w:rPr>
          <w:fldChar w:fldCharType="separate"/>
        </w:r>
        <w:r>
          <w:rPr>
            <w:noProof/>
            <w:webHidden/>
          </w:rPr>
          <w:t>159</w:t>
        </w:r>
        <w:r>
          <w:rPr>
            <w:noProof/>
            <w:webHidden/>
          </w:rPr>
          <w:fldChar w:fldCharType="end"/>
        </w:r>
      </w:hyperlink>
    </w:p>
    <w:p w14:paraId="35A3CB3D" w14:textId="7519F423"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0" w:history="1">
        <w:r w:rsidRPr="00307F1A">
          <w:rPr>
            <w:rStyle w:val="Hyperlink"/>
            <w:noProof/>
          </w:rPr>
          <w:t>SUPPLEMENTARY PROTOCOL SP-9: TRAVAUX DIGEST AND ARTICLE-BY-ARTICLE COMMENTARY</w:t>
        </w:r>
        <w:r>
          <w:rPr>
            <w:noProof/>
            <w:webHidden/>
          </w:rPr>
          <w:tab/>
        </w:r>
        <w:r>
          <w:rPr>
            <w:noProof/>
            <w:webHidden/>
          </w:rPr>
          <w:fldChar w:fldCharType="begin"/>
        </w:r>
        <w:r>
          <w:rPr>
            <w:noProof/>
            <w:webHidden/>
          </w:rPr>
          <w:instrText xml:space="preserve"> PAGEREF _Toc237843190 \h </w:instrText>
        </w:r>
        <w:r>
          <w:rPr>
            <w:noProof/>
            <w:webHidden/>
          </w:rPr>
        </w:r>
        <w:r>
          <w:rPr>
            <w:noProof/>
            <w:webHidden/>
          </w:rPr>
          <w:fldChar w:fldCharType="separate"/>
        </w:r>
        <w:r>
          <w:rPr>
            <w:noProof/>
            <w:webHidden/>
          </w:rPr>
          <w:t>162</w:t>
        </w:r>
        <w:r>
          <w:rPr>
            <w:noProof/>
            <w:webHidden/>
          </w:rPr>
          <w:fldChar w:fldCharType="end"/>
        </w:r>
      </w:hyperlink>
    </w:p>
    <w:p w14:paraId="67B8BB29" w14:textId="4A24DEBD"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1" w:history="1">
        <w:r w:rsidRPr="00307F1A">
          <w:rPr>
            <w:rStyle w:val="Hyperlink"/>
            <w:noProof/>
          </w:rPr>
          <w:t>SUPPLEMENTARY PROTOCOL SP-10: THE FIRST-YEAR OPERATIONAL CALENDAR</w:t>
        </w:r>
        <w:r>
          <w:rPr>
            <w:noProof/>
            <w:webHidden/>
          </w:rPr>
          <w:tab/>
        </w:r>
        <w:r>
          <w:rPr>
            <w:noProof/>
            <w:webHidden/>
          </w:rPr>
          <w:fldChar w:fldCharType="begin"/>
        </w:r>
        <w:r>
          <w:rPr>
            <w:noProof/>
            <w:webHidden/>
          </w:rPr>
          <w:instrText xml:space="preserve"> PAGEREF _Toc237843191 \h </w:instrText>
        </w:r>
        <w:r>
          <w:rPr>
            <w:noProof/>
            <w:webHidden/>
          </w:rPr>
        </w:r>
        <w:r>
          <w:rPr>
            <w:noProof/>
            <w:webHidden/>
          </w:rPr>
          <w:fldChar w:fldCharType="separate"/>
        </w:r>
        <w:r>
          <w:rPr>
            <w:noProof/>
            <w:webHidden/>
          </w:rPr>
          <w:t>167</w:t>
        </w:r>
        <w:r>
          <w:rPr>
            <w:noProof/>
            <w:webHidden/>
          </w:rPr>
          <w:fldChar w:fldCharType="end"/>
        </w:r>
      </w:hyperlink>
    </w:p>
    <w:p w14:paraId="34F10DE1" w14:textId="27CE3AA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2" w:history="1">
        <w:r w:rsidRPr="00307F1A">
          <w:rPr>
            <w:rStyle w:val="Hyperlink"/>
            <w:noProof/>
          </w:rPr>
          <w:t>SUPPLEMENTARY PROTOCOL SP-11: ORGAN CHARTERS AND REPORTING TEMPLATES</w:t>
        </w:r>
        <w:r>
          <w:rPr>
            <w:noProof/>
            <w:webHidden/>
          </w:rPr>
          <w:tab/>
        </w:r>
        <w:r>
          <w:rPr>
            <w:noProof/>
            <w:webHidden/>
          </w:rPr>
          <w:fldChar w:fldCharType="begin"/>
        </w:r>
        <w:r>
          <w:rPr>
            <w:noProof/>
            <w:webHidden/>
          </w:rPr>
          <w:instrText xml:space="preserve"> PAGEREF _Toc237843192 \h </w:instrText>
        </w:r>
        <w:r>
          <w:rPr>
            <w:noProof/>
            <w:webHidden/>
          </w:rPr>
        </w:r>
        <w:r>
          <w:rPr>
            <w:noProof/>
            <w:webHidden/>
          </w:rPr>
          <w:fldChar w:fldCharType="separate"/>
        </w:r>
        <w:r>
          <w:rPr>
            <w:noProof/>
            <w:webHidden/>
          </w:rPr>
          <w:t>169</w:t>
        </w:r>
        <w:r>
          <w:rPr>
            <w:noProof/>
            <w:webHidden/>
          </w:rPr>
          <w:fldChar w:fldCharType="end"/>
        </w:r>
      </w:hyperlink>
    </w:p>
    <w:p w14:paraId="1EAE3F7E" w14:textId="5F6FF06E"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3" w:history="1">
        <w:r w:rsidRPr="00307F1A">
          <w:rPr>
            <w:rStyle w:val="Hyperlink"/>
            <w:noProof/>
          </w:rPr>
          <w:t>SUPPLEMENTARY PROTOCOL SP-12: REGIONAL PROTOCOLS: DETAILED OPERATING SCHEDULES</w:t>
        </w:r>
        <w:r>
          <w:rPr>
            <w:noProof/>
            <w:webHidden/>
          </w:rPr>
          <w:tab/>
        </w:r>
        <w:r>
          <w:rPr>
            <w:noProof/>
            <w:webHidden/>
          </w:rPr>
          <w:fldChar w:fldCharType="begin"/>
        </w:r>
        <w:r>
          <w:rPr>
            <w:noProof/>
            <w:webHidden/>
          </w:rPr>
          <w:instrText xml:space="preserve"> PAGEREF _Toc237843193 \h </w:instrText>
        </w:r>
        <w:r>
          <w:rPr>
            <w:noProof/>
            <w:webHidden/>
          </w:rPr>
        </w:r>
        <w:r>
          <w:rPr>
            <w:noProof/>
            <w:webHidden/>
          </w:rPr>
          <w:fldChar w:fldCharType="separate"/>
        </w:r>
        <w:r>
          <w:rPr>
            <w:noProof/>
            <w:webHidden/>
          </w:rPr>
          <w:t>172</w:t>
        </w:r>
        <w:r>
          <w:rPr>
            <w:noProof/>
            <w:webHidden/>
          </w:rPr>
          <w:fldChar w:fldCharType="end"/>
        </w:r>
      </w:hyperlink>
    </w:p>
    <w:p w14:paraId="1DC67495" w14:textId="76113246"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4" w:history="1">
        <w:r w:rsidRPr="00307F1A">
          <w:rPr>
            <w:rStyle w:val="Hyperlink"/>
            <w:noProof/>
          </w:rPr>
          <w:t>SUPPLEMENTARY PROTOCOL SP-13: ECONOMIC TECHNICAL SCHEDULES AND THE RDF PROJECT PIPELINE</w:t>
        </w:r>
        <w:r>
          <w:rPr>
            <w:noProof/>
            <w:webHidden/>
          </w:rPr>
          <w:tab/>
        </w:r>
        <w:r>
          <w:rPr>
            <w:noProof/>
            <w:webHidden/>
          </w:rPr>
          <w:fldChar w:fldCharType="begin"/>
        </w:r>
        <w:r>
          <w:rPr>
            <w:noProof/>
            <w:webHidden/>
          </w:rPr>
          <w:instrText xml:space="preserve"> PAGEREF _Toc237843194 \h </w:instrText>
        </w:r>
        <w:r>
          <w:rPr>
            <w:noProof/>
            <w:webHidden/>
          </w:rPr>
        </w:r>
        <w:r>
          <w:rPr>
            <w:noProof/>
            <w:webHidden/>
          </w:rPr>
          <w:fldChar w:fldCharType="separate"/>
        </w:r>
        <w:r>
          <w:rPr>
            <w:noProof/>
            <w:webHidden/>
          </w:rPr>
          <w:t>174</w:t>
        </w:r>
        <w:r>
          <w:rPr>
            <w:noProof/>
            <w:webHidden/>
          </w:rPr>
          <w:fldChar w:fldCharType="end"/>
        </w:r>
      </w:hyperlink>
    </w:p>
    <w:p w14:paraId="61732742" w14:textId="22E500C1"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5" w:history="1">
        <w:r w:rsidRPr="00307F1A">
          <w:rPr>
            <w:rStyle w:val="Hyperlink"/>
            <w:noProof/>
          </w:rPr>
          <w:t>SUPPLEMENTARY PROTOCOL SP-14: NUCLEAR FACILITY PROFILES AND VERIFICATION ARRANGEMENTS</w:t>
        </w:r>
        <w:r>
          <w:rPr>
            <w:noProof/>
            <w:webHidden/>
          </w:rPr>
          <w:tab/>
        </w:r>
        <w:r>
          <w:rPr>
            <w:noProof/>
            <w:webHidden/>
          </w:rPr>
          <w:fldChar w:fldCharType="begin"/>
        </w:r>
        <w:r>
          <w:rPr>
            <w:noProof/>
            <w:webHidden/>
          </w:rPr>
          <w:instrText xml:space="preserve"> PAGEREF _Toc237843195 \h </w:instrText>
        </w:r>
        <w:r>
          <w:rPr>
            <w:noProof/>
            <w:webHidden/>
          </w:rPr>
        </w:r>
        <w:r>
          <w:rPr>
            <w:noProof/>
            <w:webHidden/>
          </w:rPr>
          <w:fldChar w:fldCharType="separate"/>
        </w:r>
        <w:r>
          <w:rPr>
            <w:noProof/>
            <w:webHidden/>
          </w:rPr>
          <w:t>177</w:t>
        </w:r>
        <w:r>
          <w:rPr>
            <w:noProof/>
            <w:webHidden/>
          </w:rPr>
          <w:fldChar w:fldCharType="end"/>
        </w:r>
      </w:hyperlink>
    </w:p>
    <w:p w14:paraId="19B5F27C" w14:textId="224C601E"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6" w:history="1">
        <w:r w:rsidRPr="00307F1A">
          <w:rPr>
            <w:rStyle w:val="Hyperlink"/>
            <w:noProof/>
          </w:rPr>
          <w:t>SUPPLEMENTARY PROTOCOL SP-15: THE HORMUZ AUTHORITY FIRST-YEAR WORK PROGRAM</w:t>
        </w:r>
        <w:r>
          <w:rPr>
            <w:noProof/>
            <w:webHidden/>
          </w:rPr>
          <w:tab/>
        </w:r>
        <w:r>
          <w:rPr>
            <w:noProof/>
            <w:webHidden/>
          </w:rPr>
          <w:fldChar w:fldCharType="begin"/>
        </w:r>
        <w:r>
          <w:rPr>
            <w:noProof/>
            <w:webHidden/>
          </w:rPr>
          <w:instrText xml:space="preserve"> PAGEREF _Toc237843196 \h </w:instrText>
        </w:r>
        <w:r>
          <w:rPr>
            <w:noProof/>
            <w:webHidden/>
          </w:rPr>
        </w:r>
        <w:r>
          <w:rPr>
            <w:noProof/>
            <w:webHidden/>
          </w:rPr>
          <w:fldChar w:fldCharType="separate"/>
        </w:r>
        <w:r>
          <w:rPr>
            <w:noProof/>
            <w:webHidden/>
          </w:rPr>
          <w:t>179</w:t>
        </w:r>
        <w:r>
          <w:rPr>
            <w:noProof/>
            <w:webHidden/>
          </w:rPr>
          <w:fldChar w:fldCharType="end"/>
        </w:r>
      </w:hyperlink>
    </w:p>
    <w:p w14:paraId="74243AE9" w14:textId="7232B54A"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7" w:history="1">
        <w:r w:rsidRPr="00307F1A">
          <w:rPr>
            <w:rStyle w:val="Hyperlink"/>
            <w:noProof/>
          </w:rPr>
          <w:t>SUPPLEMENTARY PROTOCOL SP-16: VERIFICATION METHOD HARMONIZATION NOTE</w:t>
        </w:r>
        <w:r>
          <w:rPr>
            <w:noProof/>
            <w:webHidden/>
          </w:rPr>
          <w:tab/>
        </w:r>
        <w:r>
          <w:rPr>
            <w:noProof/>
            <w:webHidden/>
          </w:rPr>
          <w:fldChar w:fldCharType="begin"/>
        </w:r>
        <w:r>
          <w:rPr>
            <w:noProof/>
            <w:webHidden/>
          </w:rPr>
          <w:instrText xml:space="preserve"> PAGEREF _Toc237843197 \h </w:instrText>
        </w:r>
        <w:r>
          <w:rPr>
            <w:noProof/>
            <w:webHidden/>
          </w:rPr>
        </w:r>
        <w:r>
          <w:rPr>
            <w:noProof/>
            <w:webHidden/>
          </w:rPr>
          <w:fldChar w:fldCharType="separate"/>
        </w:r>
        <w:r>
          <w:rPr>
            <w:noProof/>
            <w:webHidden/>
          </w:rPr>
          <w:t>179</w:t>
        </w:r>
        <w:r>
          <w:rPr>
            <w:noProof/>
            <w:webHidden/>
          </w:rPr>
          <w:fldChar w:fldCharType="end"/>
        </w:r>
      </w:hyperlink>
    </w:p>
    <w:p w14:paraId="2CF501DE" w14:textId="29108829"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8" w:history="1">
        <w:r w:rsidRPr="00307F1A">
          <w:rPr>
            <w:rStyle w:val="Hyperlink"/>
            <w:noProof/>
          </w:rPr>
          <w:t>SUPPLEMENTARY PROTOCOL SP-17: THE CONSOLIDATION YEARS (YEAR 2 TO YEAR 5 OUTLOOK)</w:t>
        </w:r>
        <w:r>
          <w:rPr>
            <w:noProof/>
            <w:webHidden/>
          </w:rPr>
          <w:tab/>
        </w:r>
        <w:r>
          <w:rPr>
            <w:noProof/>
            <w:webHidden/>
          </w:rPr>
          <w:fldChar w:fldCharType="begin"/>
        </w:r>
        <w:r>
          <w:rPr>
            <w:noProof/>
            <w:webHidden/>
          </w:rPr>
          <w:instrText xml:space="preserve"> PAGEREF _Toc237843198 \h </w:instrText>
        </w:r>
        <w:r>
          <w:rPr>
            <w:noProof/>
            <w:webHidden/>
          </w:rPr>
        </w:r>
        <w:r>
          <w:rPr>
            <w:noProof/>
            <w:webHidden/>
          </w:rPr>
          <w:fldChar w:fldCharType="separate"/>
        </w:r>
        <w:r>
          <w:rPr>
            <w:noProof/>
            <w:webHidden/>
          </w:rPr>
          <w:t>181</w:t>
        </w:r>
        <w:r>
          <w:rPr>
            <w:noProof/>
            <w:webHidden/>
          </w:rPr>
          <w:fldChar w:fldCharType="end"/>
        </w:r>
      </w:hyperlink>
    </w:p>
    <w:p w14:paraId="4E5579FD" w14:textId="2968D709"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199" w:history="1">
        <w:r w:rsidRPr="00307F1A">
          <w:rPr>
            <w:rStyle w:val="Hyperlink"/>
            <w:noProof/>
          </w:rPr>
          <w:t>SUPPLEMENTARY PROTOCOL SP-18: RECORD OF CONSOLIDATION: HOW THE ARCHITECTURE ASSEMBLED</w:t>
        </w:r>
        <w:r>
          <w:rPr>
            <w:noProof/>
            <w:webHidden/>
          </w:rPr>
          <w:tab/>
        </w:r>
        <w:r>
          <w:rPr>
            <w:noProof/>
            <w:webHidden/>
          </w:rPr>
          <w:fldChar w:fldCharType="begin"/>
        </w:r>
        <w:r>
          <w:rPr>
            <w:noProof/>
            <w:webHidden/>
          </w:rPr>
          <w:instrText xml:space="preserve"> PAGEREF _Toc237843199 \h </w:instrText>
        </w:r>
        <w:r>
          <w:rPr>
            <w:noProof/>
            <w:webHidden/>
          </w:rPr>
        </w:r>
        <w:r>
          <w:rPr>
            <w:noProof/>
            <w:webHidden/>
          </w:rPr>
          <w:fldChar w:fldCharType="separate"/>
        </w:r>
        <w:r>
          <w:rPr>
            <w:noProof/>
            <w:webHidden/>
          </w:rPr>
          <w:t>182</w:t>
        </w:r>
        <w:r>
          <w:rPr>
            <w:noProof/>
            <w:webHidden/>
          </w:rPr>
          <w:fldChar w:fldCharType="end"/>
        </w:r>
      </w:hyperlink>
    </w:p>
    <w:p w14:paraId="4035BEAB" w14:textId="5C78A99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0" w:history="1">
        <w:r w:rsidRPr="00307F1A">
          <w:rPr>
            <w:rStyle w:val="Hyperlink"/>
            <w:noProof/>
          </w:rPr>
          <w:t>SUPPLEMENTARY PROTOCOL SP-19: ORGAN DEPLOYMENT AND STAFFING PLANS</w:t>
        </w:r>
        <w:r>
          <w:rPr>
            <w:noProof/>
            <w:webHidden/>
          </w:rPr>
          <w:tab/>
        </w:r>
        <w:r>
          <w:rPr>
            <w:noProof/>
            <w:webHidden/>
          </w:rPr>
          <w:fldChar w:fldCharType="begin"/>
        </w:r>
        <w:r>
          <w:rPr>
            <w:noProof/>
            <w:webHidden/>
          </w:rPr>
          <w:instrText xml:space="preserve"> PAGEREF _Toc237843200 \h </w:instrText>
        </w:r>
        <w:r>
          <w:rPr>
            <w:noProof/>
            <w:webHidden/>
          </w:rPr>
        </w:r>
        <w:r>
          <w:rPr>
            <w:noProof/>
            <w:webHidden/>
          </w:rPr>
          <w:fldChar w:fldCharType="separate"/>
        </w:r>
        <w:r>
          <w:rPr>
            <w:noProof/>
            <w:webHidden/>
          </w:rPr>
          <w:t>184</w:t>
        </w:r>
        <w:r>
          <w:rPr>
            <w:noProof/>
            <w:webHidden/>
          </w:rPr>
          <w:fldChar w:fldCharType="end"/>
        </w:r>
      </w:hyperlink>
    </w:p>
    <w:p w14:paraId="68E08534" w14:textId="30306969"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1" w:history="1">
        <w:r w:rsidRPr="00307F1A">
          <w:rPr>
            <w:rStyle w:val="Hyperlink"/>
            <w:noProof/>
          </w:rPr>
          <w:t>SUPPLEMENTARY PROTOCOL SP-20: MARITIME TRAFFIC, SAFETY TARGETS, AND SERVICE STANDARDS</w:t>
        </w:r>
        <w:r>
          <w:rPr>
            <w:noProof/>
            <w:webHidden/>
          </w:rPr>
          <w:tab/>
        </w:r>
        <w:r>
          <w:rPr>
            <w:noProof/>
            <w:webHidden/>
          </w:rPr>
          <w:fldChar w:fldCharType="begin"/>
        </w:r>
        <w:r>
          <w:rPr>
            <w:noProof/>
            <w:webHidden/>
          </w:rPr>
          <w:instrText xml:space="preserve"> PAGEREF _Toc237843201 \h </w:instrText>
        </w:r>
        <w:r>
          <w:rPr>
            <w:noProof/>
            <w:webHidden/>
          </w:rPr>
        </w:r>
        <w:r>
          <w:rPr>
            <w:noProof/>
            <w:webHidden/>
          </w:rPr>
          <w:fldChar w:fldCharType="separate"/>
        </w:r>
        <w:r>
          <w:rPr>
            <w:noProof/>
            <w:webHidden/>
          </w:rPr>
          <w:t>186</w:t>
        </w:r>
        <w:r>
          <w:rPr>
            <w:noProof/>
            <w:webHidden/>
          </w:rPr>
          <w:fldChar w:fldCharType="end"/>
        </w:r>
      </w:hyperlink>
    </w:p>
    <w:p w14:paraId="086308FD" w14:textId="1C42F25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2" w:history="1">
        <w:r w:rsidRPr="00307F1A">
          <w:rPr>
            <w:rStyle w:val="Hyperlink"/>
            <w:noProof/>
          </w:rPr>
          <w:t>ADDENDUM TO ANNEX C: TECHNICAL SCHEDULES (NON-CLASSIFIED SUMMARY LEVEL)</w:t>
        </w:r>
        <w:r>
          <w:rPr>
            <w:noProof/>
            <w:webHidden/>
          </w:rPr>
          <w:tab/>
        </w:r>
        <w:r>
          <w:rPr>
            <w:noProof/>
            <w:webHidden/>
          </w:rPr>
          <w:fldChar w:fldCharType="begin"/>
        </w:r>
        <w:r>
          <w:rPr>
            <w:noProof/>
            <w:webHidden/>
          </w:rPr>
          <w:instrText xml:space="preserve"> PAGEREF _Toc237843202 \h </w:instrText>
        </w:r>
        <w:r>
          <w:rPr>
            <w:noProof/>
            <w:webHidden/>
          </w:rPr>
        </w:r>
        <w:r>
          <w:rPr>
            <w:noProof/>
            <w:webHidden/>
          </w:rPr>
          <w:fldChar w:fldCharType="separate"/>
        </w:r>
        <w:r>
          <w:rPr>
            <w:noProof/>
            <w:webHidden/>
          </w:rPr>
          <w:t>187</w:t>
        </w:r>
        <w:r>
          <w:rPr>
            <w:noProof/>
            <w:webHidden/>
          </w:rPr>
          <w:fldChar w:fldCharType="end"/>
        </w:r>
      </w:hyperlink>
    </w:p>
    <w:p w14:paraId="5A5C975E" w14:textId="77BED115"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3" w:history="1">
        <w:r w:rsidRPr="00307F1A">
          <w:rPr>
            <w:rStyle w:val="Hyperlink"/>
            <w:noProof/>
          </w:rPr>
          <w:t>ADDENDUM TO ANNEX F: CAMPAIGN ENGINEERING DETAIL AND RISK REGISTER</w:t>
        </w:r>
        <w:r>
          <w:rPr>
            <w:noProof/>
            <w:webHidden/>
          </w:rPr>
          <w:tab/>
        </w:r>
        <w:r>
          <w:rPr>
            <w:noProof/>
            <w:webHidden/>
          </w:rPr>
          <w:fldChar w:fldCharType="begin"/>
        </w:r>
        <w:r>
          <w:rPr>
            <w:noProof/>
            <w:webHidden/>
          </w:rPr>
          <w:instrText xml:space="preserve"> PAGEREF _Toc237843203 \h </w:instrText>
        </w:r>
        <w:r>
          <w:rPr>
            <w:noProof/>
            <w:webHidden/>
          </w:rPr>
        </w:r>
        <w:r>
          <w:rPr>
            <w:noProof/>
            <w:webHidden/>
          </w:rPr>
          <w:fldChar w:fldCharType="separate"/>
        </w:r>
        <w:r>
          <w:rPr>
            <w:noProof/>
            <w:webHidden/>
          </w:rPr>
          <w:t>187</w:t>
        </w:r>
        <w:r>
          <w:rPr>
            <w:noProof/>
            <w:webHidden/>
          </w:rPr>
          <w:fldChar w:fldCharType="end"/>
        </w:r>
      </w:hyperlink>
    </w:p>
    <w:p w14:paraId="2D27D99A" w14:textId="26EFA66D"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4" w:history="1">
        <w:r w:rsidRPr="00307F1A">
          <w:rPr>
            <w:rStyle w:val="Hyperlink"/>
            <w:noProof/>
          </w:rPr>
          <w:t>ADDENDUM TO ANNEX G: MEASURE-BY-MEASURE TERMINATION ENUMERATION</w:t>
        </w:r>
        <w:r>
          <w:rPr>
            <w:noProof/>
            <w:webHidden/>
          </w:rPr>
          <w:tab/>
        </w:r>
        <w:r>
          <w:rPr>
            <w:noProof/>
            <w:webHidden/>
          </w:rPr>
          <w:fldChar w:fldCharType="begin"/>
        </w:r>
        <w:r>
          <w:rPr>
            <w:noProof/>
            <w:webHidden/>
          </w:rPr>
          <w:instrText xml:space="preserve"> PAGEREF _Toc237843204 \h </w:instrText>
        </w:r>
        <w:r>
          <w:rPr>
            <w:noProof/>
            <w:webHidden/>
          </w:rPr>
        </w:r>
        <w:r>
          <w:rPr>
            <w:noProof/>
            <w:webHidden/>
          </w:rPr>
          <w:fldChar w:fldCharType="separate"/>
        </w:r>
        <w:r>
          <w:rPr>
            <w:noProof/>
            <w:webHidden/>
          </w:rPr>
          <w:t>188</w:t>
        </w:r>
        <w:r>
          <w:rPr>
            <w:noProof/>
            <w:webHidden/>
          </w:rPr>
          <w:fldChar w:fldCharType="end"/>
        </w:r>
      </w:hyperlink>
    </w:p>
    <w:p w14:paraId="6CD3A45C" w14:textId="1EA07A74"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5" w:history="1">
        <w:r w:rsidRPr="00307F1A">
          <w:rPr>
            <w:rStyle w:val="Hyperlink"/>
            <w:noProof/>
          </w:rPr>
          <w:t>ADDENDUM TO ANNEX H: ESCROW OPERATIONS MANUAL</w:t>
        </w:r>
        <w:r>
          <w:rPr>
            <w:noProof/>
            <w:webHidden/>
          </w:rPr>
          <w:tab/>
        </w:r>
        <w:r>
          <w:rPr>
            <w:noProof/>
            <w:webHidden/>
          </w:rPr>
          <w:fldChar w:fldCharType="begin"/>
        </w:r>
        <w:r>
          <w:rPr>
            <w:noProof/>
            <w:webHidden/>
          </w:rPr>
          <w:instrText xml:space="preserve"> PAGEREF _Toc237843205 \h </w:instrText>
        </w:r>
        <w:r>
          <w:rPr>
            <w:noProof/>
            <w:webHidden/>
          </w:rPr>
        </w:r>
        <w:r>
          <w:rPr>
            <w:noProof/>
            <w:webHidden/>
          </w:rPr>
          <w:fldChar w:fldCharType="separate"/>
        </w:r>
        <w:r>
          <w:rPr>
            <w:noProof/>
            <w:webHidden/>
          </w:rPr>
          <w:t>189</w:t>
        </w:r>
        <w:r>
          <w:rPr>
            <w:noProof/>
            <w:webHidden/>
          </w:rPr>
          <w:fldChar w:fldCharType="end"/>
        </w:r>
      </w:hyperlink>
    </w:p>
    <w:p w14:paraId="0E555F33" w14:textId="7C91B86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6" w:history="1">
        <w:r w:rsidRPr="00307F1A">
          <w:rPr>
            <w:rStyle w:val="Hyperlink"/>
            <w:noProof/>
          </w:rPr>
          <w:t>SUPPLEMENTARY PROTOCOL SP-21: THE SIGNING CEREMONY AND PUBLIC COMMUNICATION PLAN</w:t>
        </w:r>
        <w:r>
          <w:rPr>
            <w:noProof/>
            <w:webHidden/>
          </w:rPr>
          <w:tab/>
        </w:r>
        <w:r>
          <w:rPr>
            <w:noProof/>
            <w:webHidden/>
          </w:rPr>
          <w:fldChar w:fldCharType="begin"/>
        </w:r>
        <w:r>
          <w:rPr>
            <w:noProof/>
            <w:webHidden/>
          </w:rPr>
          <w:instrText xml:space="preserve"> PAGEREF _Toc237843206 \h </w:instrText>
        </w:r>
        <w:r>
          <w:rPr>
            <w:noProof/>
            <w:webHidden/>
          </w:rPr>
        </w:r>
        <w:r>
          <w:rPr>
            <w:noProof/>
            <w:webHidden/>
          </w:rPr>
          <w:fldChar w:fldCharType="separate"/>
        </w:r>
        <w:r>
          <w:rPr>
            <w:noProof/>
            <w:webHidden/>
          </w:rPr>
          <w:t>190</w:t>
        </w:r>
        <w:r>
          <w:rPr>
            <w:noProof/>
            <w:webHidden/>
          </w:rPr>
          <w:fldChar w:fldCharType="end"/>
        </w:r>
      </w:hyperlink>
    </w:p>
    <w:p w14:paraId="7C31F214" w14:textId="5C72FF9F"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7" w:history="1">
        <w:r w:rsidRPr="00307F1A">
          <w:rPr>
            <w:rStyle w:val="Hyperlink"/>
            <w:noProof/>
          </w:rPr>
          <w:t>SUPPLEMENTARY PROTOCOL SP-22: THE ISSUE BOOK (FIFTY ISSUES IN OPERATIVE DEPTH)</w:t>
        </w:r>
        <w:r>
          <w:rPr>
            <w:noProof/>
            <w:webHidden/>
          </w:rPr>
          <w:tab/>
        </w:r>
        <w:r>
          <w:rPr>
            <w:noProof/>
            <w:webHidden/>
          </w:rPr>
          <w:fldChar w:fldCharType="begin"/>
        </w:r>
        <w:r>
          <w:rPr>
            <w:noProof/>
            <w:webHidden/>
          </w:rPr>
          <w:instrText xml:space="preserve"> PAGEREF _Toc237843207 \h </w:instrText>
        </w:r>
        <w:r>
          <w:rPr>
            <w:noProof/>
            <w:webHidden/>
          </w:rPr>
        </w:r>
        <w:r>
          <w:rPr>
            <w:noProof/>
            <w:webHidden/>
          </w:rPr>
          <w:fldChar w:fldCharType="separate"/>
        </w:r>
        <w:r>
          <w:rPr>
            <w:noProof/>
            <w:webHidden/>
          </w:rPr>
          <w:t>191</w:t>
        </w:r>
        <w:r>
          <w:rPr>
            <w:noProof/>
            <w:webHidden/>
          </w:rPr>
          <w:fldChar w:fldCharType="end"/>
        </w:r>
      </w:hyperlink>
    </w:p>
    <w:p w14:paraId="2320DF34" w14:textId="29F3901D"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8" w:history="1">
        <w:r w:rsidRPr="00307F1A">
          <w:rPr>
            <w:rStyle w:val="Hyperlink"/>
            <w:noProof/>
          </w:rPr>
          <w:t>SUPPLEMENTARY PROTOCOL SP-22 (CONTINUED): THE ISSUE BOOK, TIERS 3 AND 4</w:t>
        </w:r>
        <w:r>
          <w:rPr>
            <w:noProof/>
            <w:webHidden/>
          </w:rPr>
          <w:tab/>
        </w:r>
        <w:r>
          <w:rPr>
            <w:noProof/>
            <w:webHidden/>
          </w:rPr>
          <w:fldChar w:fldCharType="begin"/>
        </w:r>
        <w:r>
          <w:rPr>
            <w:noProof/>
            <w:webHidden/>
          </w:rPr>
          <w:instrText xml:space="preserve"> PAGEREF _Toc237843208 \h </w:instrText>
        </w:r>
        <w:r>
          <w:rPr>
            <w:noProof/>
            <w:webHidden/>
          </w:rPr>
        </w:r>
        <w:r>
          <w:rPr>
            <w:noProof/>
            <w:webHidden/>
          </w:rPr>
          <w:fldChar w:fldCharType="separate"/>
        </w:r>
        <w:r>
          <w:rPr>
            <w:noProof/>
            <w:webHidden/>
          </w:rPr>
          <w:t>202</w:t>
        </w:r>
        <w:r>
          <w:rPr>
            <w:noProof/>
            <w:webHidden/>
          </w:rPr>
          <w:fldChar w:fldCharType="end"/>
        </w:r>
      </w:hyperlink>
    </w:p>
    <w:p w14:paraId="3F1FA422" w14:textId="2E60F969"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09" w:history="1">
        <w:r w:rsidRPr="00307F1A">
          <w:rPr>
            <w:rStyle w:val="Hyperlink"/>
            <w:noProof/>
          </w:rPr>
          <w:t>SUPPLEMENTARY PROTOCOL SP-23: THE SCENARIO STRESS-TEST ATLAS</w:t>
        </w:r>
        <w:r>
          <w:rPr>
            <w:noProof/>
            <w:webHidden/>
          </w:rPr>
          <w:tab/>
        </w:r>
        <w:r>
          <w:rPr>
            <w:noProof/>
            <w:webHidden/>
          </w:rPr>
          <w:fldChar w:fldCharType="begin"/>
        </w:r>
        <w:r>
          <w:rPr>
            <w:noProof/>
            <w:webHidden/>
          </w:rPr>
          <w:instrText xml:space="preserve"> PAGEREF _Toc237843209 \h </w:instrText>
        </w:r>
        <w:r>
          <w:rPr>
            <w:noProof/>
            <w:webHidden/>
          </w:rPr>
        </w:r>
        <w:r>
          <w:rPr>
            <w:noProof/>
            <w:webHidden/>
          </w:rPr>
          <w:fldChar w:fldCharType="separate"/>
        </w:r>
        <w:r>
          <w:rPr>
            <w:noProof/>
            <w:webHidden/>
          </w:rPr>
          <w:t>222</w:t>
        </w:r>
        <w:r>
          <w:rPr>
            <w:noProof/>
            <w:webHidden/>
          </w:rPr>
          <w:fldChar w:fldCharType="end"/>
        </w:r>
      </w:hyperlink>
    </w:p>
    <w:p w14:paraId="3BE888D0" w14:textId="7BC2362E"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0" w:history="1">
        <w:r w:rsidRPr="00307F1A">
          <w:rPr>
            <w:rStyle w:val="Hyperlink"/>
            <w:noProof/>
          </w:rPr>
          <w:t>SUPPLEMENTARY PROTOCOL SP-24: RATIFICATION AND CONSTITUTIONAL DOSSIERS</w:t>
        </w:r>
        <w:r>
          <w:rPr>
            <w:noProof/>
            <w:webHidden/>
          </w:rPr>
          <w:tab/>
        </w:r>
        <w:r>
          <w:rPr>
            <w:noProof/>
            <w:webHidden/>
          </w:rPr>
          <w:fldChar w:fldCharType="begin"/>
        </w:r>
        <w:r>
          <w:rPr>
            <w:noProof/>
            <w:webHidden/>
          </w:rPr>
          <w:instrText xml:space="preserve"> PAGEREF _Toc237843210 \h </w:instrText>
        </w:r>
        <w:r>
          <w:rPr>
            <w:noProof/>
            <w:webHidden/>
          </w:rPr>
        </w:r>
        <w:r>
          <w:rPr>
            <w:noProof/>
            <w:webHidden/>
          </w:rPr>
          <w:fldChar w:fldCharType="separate"/>
        </w:r>
        <w:r>
          <w:rPr>
            <w:noProof/>
            <w:webHidden/>
          </w:rPr>
          <w:t>241</w:t>
        </w:r>
        <w:r>
          <w:rPr>
            <w:noProof/>
            <w:webHidden/>
          </w:rPr>
          <w:fldChar w:fldCharType="end"/>
        </w:r>
      </w:hyperlink>
    </w:p>
    <w:p w14:paraId="62D572F2" w14:textId="3D59D438"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1" w:history="1">
        <w:r w:rsidRPr="00307F1A">
          <w:rPr>
            <w:rStyle w:val="Hyperlink"/>
            <w:noProof/>
          </w:rPr>
          <w:t>SUPPLEMENTARY PROTOCOL SP-25: THE RED-LINE COMPLIANCE LEDGER</w:t>
        </w:r>
        <w:r>
          <w:rPr>
            <w:noProof/>
            <w:webHidden/>
          </w:rPr>
          <w:tab/>
        </w:r>
        <w:r>
          <w:rPr>
            <w:noProof/>
            <w:webHidden/>
          </w:rPr>
          <w:fldChar w:fldCharType="begin"/>
        </w:r>
        <w:r>
          <w:rPr>
            <w:noProof/>
            <w:webHidden/>
          </w:rPr>
          <w:instrText xml:space="preserve"> PAGEREF _Toc237843211 \h </w:instrText>
        </w:r>
        <w:r>
          <w:rPr>
            <w:noProof/>
            <w:webHidden/>
          </w:rPr>
        </w:r>
        <w:r>
          <w:rPr>
            <w:noProof/>
            <w:webHidden/>
          </w:rPr>
          <w:fldChar w:fldCharType="separate"/>
        </w:r>
        <w:r>
          <w:rPr>
            <w:noProof/>
            <w:webHidden/>
          </w:rPr>
          <w:t>249</w:t>
        </w:r>
        <w:r>
          <w:rPr>
            <w:noProof/>
            <w:webHidden/>
          </w:rPr>
          <w:fldChar w:fldCharType="end"/>
        </w:r>
      </w:hyperlink>
    </w:p>
    <w:p w14:paraId="31A79085" w14:textId="4280B172"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2" w:history="1">
        <w:r w:rsidRPr="00307F1A">
          <w:rPr>
            <w:rStyle w:val="Hyperlink"/>
            <w:noProof/>
          </w:rPr>
          <w:t>SUPPLEMENTARY PROTOCOL SP-26: THE FIRST HUNDRED DAYS: ORGAN ACTIVATION DIARIES</w:t>
        </w:r>
        <w:r>
          <w:rPr>
            <w:noProof/>
            <w:webHidden/>
          </w:rPr>
          <w:tab/>
        </w:r>
        <w:r>
          <w:rPr>
            <w:noProof/>
            <w:webHidden/>
          </w:rPr>
          <w:fldChar w:fldCharType="begin"/>
        </w:r>
        <w:r>
          <w:rPr>
            <w:noProof/>
            <w:webHidden/>
          </w:rPr>
          <w:instrText xml:space="preserve"> PAGEREF _Toc237843212 \h </w:instrText>
        </w:r>
        <w:r>
          <w:rPr>
            <w:noProof/>
            <w:webHidden/>
          </w:rPr>
        </w:r>
        <w:r>
          <w:rPr>
            <w:noProof/>
            <w:webHidden/>
          </w:rPr>
          <w:fldChar w:fldCharType="separate"/>
        </w:r>
        <w:r>
          <w:rPr>
            <w:noProof/>
            <w:webHidden/>
          </w:rPr>
          <w:t>261</w:t>
        </w:r>
        <w:r>
          <w:rPr>
            <w:noProof/>
            <w:webHidden/>
          </w:rPr>
          <w:fldChar w:fldCharType="end"/>
        </w:r>
      </w:hyperlink>
    </w:p>
    <w:p w14:paraId="046019A8" w14:textId="2CC416D5"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3" w:history="1">
        <w:r w:rsidRPr="00307F1A">
          <w:rPr>
            <w:rStyle w:val="Hyperlink"/>
            <w:noProof/>
          </w:rPr>
          <w:t>SUPPLEMENTARY PROTOCOL SP-27: MASTER CROSS-REFERENCE INDEX AND COMPLETENESS CERTIFICATIONS</w:t>
        </w:r>
        <w:r>
          <w:rPr>
            <w:noProof/>
            <w:webHidden/>
          </w:rPr>
          <w:tab/>
        </w:r>
        <w:r>
          <w:rPr>
            <w:noProof/>
            <w:webHidden/>
          </w:rPr>
          <w:fldChar w:fldCharType="begin"/>
        </w:r>
        <w:r>
          <w:rPr>
            <w:noProof/>
            <w:webHidden/>
          </w:rPr>
          <w:instrText xml:space="preserve"> PAGEREF _Toc237843213 \h </w:instrText>
        </w:r>
        <w:r>
          <w:rPr>
            <w:noProof/>
            <w:webHidden/>
          </w:rPr>
        </w:r>
        <w:r>
          <w:rPr>
            <w:noProof/>
            <w:webHidden/>
          </w:rPr>
          <w:fldChar w:fldCharType="separate"/>
        </w:r>
        <w:r>
          <w:rPr>
            <w:noProof/>
            <w:webHidden/>
          </w:rPr>
          <w:t>271</w:t>
        </w:r>
        <w:r>
          <w:rPr>
            <w:noProof/>
            <w:webHidden/>
          </w:rPr>
          <w:fldChar w:fldCharType="end"/>
        </w:r>
      </w:hyperlink>
    </w:p>
    <w:p w14:paraId="75C5059D" w14:textId="730975AD"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4" w:history="1">
        <w:r w:rsidRPr="00307F1A">
          <w:rPr>
            <w:rStyle w:val="Hyperlink"/>
            <w:noProof/>
          </w:rPr>
          <w:t>ANNEX Q: ISSUE RESOLUTION CONCORDANCE (FIFTY ISSUES, FULL DEMAND SET, AND RED-LINE REGISTER)</w:t>
        </w:r>
        <w:r>
          <w:rPr>
            <w:noProof/>
            <w:webHidden/>
          </w:rPr>
          <w:tab/>
        </w:r>
        <w:r>
          <w:rPr>
            <w:noProof/>
            <w:webHidden/>
          </w:rPr>
          <w:fldChar w:fldCharType="begin"/>
        </w:r>
        <w:r>
          <w:rPr>
            <w:noProof/>
            <w:webHidden/>
          </w:rPr>
          <w:instrText xml:space="preserve"> PAGEREF _Toc237843214 \h </w:instrText>
        </w:r>
        <w:r>
          <w:rPr>
            <w:noProof/>
            <w:webHidden/>
          </w:rPr>
        </w:r>
        <w:r>
          <w:rPr>
            <w:noProof/>
            <w:webHidden/>
          </w:rPr>
          <w:fldChar w:fldCharType="separate"/>
        </w:r>
        <w:r>
          <w:rPr>
            <w:noProof/>
            <w:webHidden/>
          </w:rPr>
          <w:t>280</w:t>
        </w:r>
        <w:r>
          <w:rPr>
            <w:noProof/>
            <w:webHidden/>
          </w:rPr>
          <w:fldChar w:fldCharType="end"/>
        </w:r>
      </w:hyperlink>
    </w:p>
    <w:p w14:paraId="22755218" w14:textId="5942AE0E" w:rsidR="00523450" w:rsidRDefault="00523450">
      <w:pPr>
        <w:pStyle w:val="TOC1"/>
        <w:rPr>
          <w:rFonts w:asciiTheme="minorHAnsi" w:eastAsiaTheme="minorEastAsia" w:hAnsiTheme="minorHAnsi"/>
          <w:b w:val="0"/>
          <w:noProof/>
          <w:color w:val="auto"/>
          <w:kern w:val="2"/>
          <w:sz w:val="24"/>
          <w:lang w:val="en-CA" w:eastAsia="en-CA"/>
          <w14:ligatures w14:val="standardContextual"/>
        </w:rPr>
      </w:pPr>
      <w:hyperlink w:anchor="_Toc237843215" w:history="1">
        <w:r w:rsidRPr="00307F1A">
          <w:rPr>
            <w:rStyle w:val="Hyperlink"/>
            <w:noProof/>
          </w:rPr>
          <w:t>ANNEX R: SIGNATURE BLOCKS, INSTRUMENTS OF RATIFICATION, AND DRAFT SECURITY COUNCIL RESOLUTION</w:t>
        </w:r>
        <w:r>
          <w:rPr>
            <w:noProof/>
            <w:webHidden/>
          </w:rPr>
          <w:tab/>
        </w:r>
        <w:r>
          <w:rPr>
            <w:noProof/>
            <w:webHidden/>
          </w:rPr>
          <w:fldChar w:fldCharType="begin"/>
        </w:r>
        <w:r>
          <w:rPr>
            <w:noProof/>
            <w:webHidden/>
          </w:rPr>
          <w:instrText xml:space="preserve"> PAGEREF _Toc237843215 \h </w:instrText>
        </w:r>
        <w:r>
          <w:rPr>
            <w:noProof/>
            <w:webHidden/>
          </w:rPr>
        </w:r>
        <w:r>
          <w:rPr>
            <w:noProof/>
            <w:webHidden/>
          </w:rPr>
          <w:fldChar w:fldCharType="separate"/>
        </w:r>
        <w:r>
          <w:rPr>
            <w:noProof/>
            <w:webHidden/>
          </w:rPr>
          <w:t>290</w:t>
        </w:r>
        <w:r>
          <w:rPr>
            <w:noProof/>
            <w:webHidden/>
          </w:rPr>
          <w:fldChar w:fldCharType="end"/>
        </w:r>
      </w:hyperlink>
    </w:p>
    <w:p w14:paraId="39144B61" w14:textId="09DB3884" w:rsidR="00180E7C" w:rsidRDefault="00000000">
      <w:pPr>
        <w:pStyle w:val="TOC1"/>
      </w:pPr>
      <w:r>
        <w:fldChar w:fldCharType="end"/>
      </w:r>
    </w:p>
    <w:p w14:paraId="5A9CAA8B" w14:textId="77777777" w:rsidR="00180E7C" w:rsidRDefault="00000000">
      <w:pPr>
        <w:pStyle w:val="Heading1"/>
      </w:pPr>
      <w:bookmarkStart w:id="7" w:name="_Toc237843066"/>
      <w:r>
        <w:lastRenderedPageBreak/>
        <w:t>PREAMBLE</w:t>
      </w:r>
      <w:bookmarkEnd w:id="7"/>
    </w:p>
    <w:p w14:paraId="47477C53" w14:textId="77777777" w:rsidR="00180E7C" w:rsidRDefault="00000000">
      <w:pPr>
        <w:pStyle w:val="FirstParagraph"/>
      </w:pPr>
      <w:r>
        <w:t>The United States of America and the Islamic Republic of Iran (hereinafter “the Parties”),</w:t>
      </w:r>
    </w:p>
    <w:p w14:paraId="1C795039" w14:textId="77777777" w:rsidR="00180E7C" w:rsidRDefault="00000000">
      <w:pPr>
        <w:pStyle w:val="BodyText"/>
      </w:pPr>
      <w:r>
        <w:rPr>
          <w:b/>
          <w:bCs/>
        </w:rPr>
        <w:t>Recalling</w:t>
      </w:r>
      <w:r>
        <w:t xml:space="preserve"> the outbreak of open armed conflict between the Parties in February 2026, the ensuing closure and crisis in the Strait of Hormuz, the naval blockades, the strikes and counter-strikes across the region, and the immense human, economic, and environmental costs of that war to both nations and to the peoples of the region,</w:t>
      </w:r>
    </w:p>
    <w:p w14:paraId="75076CE7" w14:textId="77777777" w:rsidR="00180E7C" w:rsidRDefault="00000000">
      <w:pPr>
        <w:pStyle w:val="BodyText"/>
      </w:pPr>
      <w:r>
        <w:rPr>
          <w:b/>
          <w:bCs/>
        </w:rPr>
        <w:t>Recalling</w:t>
      </w:r>
      <w:r>
        <w:t xml:space="preserve"> the ceasefire of 8 April 2026, mediated by the Islamic Republic of Pakistan, the subsequent breakdown and resumption of hostilities, the renewed ceasefire understandings of 12 June 2026, and the Islamabad Memorandum of Understanding signed on 17 June 2026, which formalized the process of ending the war and established a sixty-day period to negotiate the final terms of a comprehensive settlement,</w:t>
      </w:r>
    </w:p>
    <w:p w14:paraId="38E9BDB9" w14:textId="77777777" w:rsidR="00180E7C" w:rsidRDefault="00000000">
      <w:pPr>
        <w:pStyle w:val="BodyText"/>
      </w:pPr>
      <w:r>
        <w:rPr>
          <w:b/>
          <w:bCs/>
        </w:rPr>
        <w:t>Acknowledging</w:t>
      </w:r>
      <w:r>
        <w:t xml:space="preserve"> the persistent mediation of the Islamic Republic of Pakistan, the Sultanate of Oman, and the State of Qatar, the facilitation and protective mandate of the Swiss Confederation, and the constructive engagement of the Secretary-General of the United Nations, the International Atomic Energy Agency, and the International Maritime Organization,</w:t>
      </w:r>
    </w:p>
    <w:p w14:paraId="7A2039F2" w14:textId="77777777" w:rsidR="00180E7C" w:rsidRDefault="00000000">
      <w:pPr>
        <w:pStyle w:val="BodyText"/>
      </w:pPr>
      <w:r>
        <w:rPr>
          <w:b/>
          <w:bCs/>
        </w:rPr>
        <w:t>Recognizing</w:t>
      </w:r>
      <w:r>
        <w:t xml:space="preserve"> that the Strait of Hormuz carries approximately one-fifth of the world’s traded oil and liquefied natural gas, that its uninterrupted and safe operation serves the common interest of all nations, and that its governance requires a cooperative architecture that respects the sovereignty of the coastal states while guaranteeing freedom of navigation,</w:t>
      </w:r>
    </w:p>
    <w:p w14:paraId="415BEDA7" w14:textId="77777777" w:rsidR="00180E7C" w:rsidRDefault="00000000">
      <w:pPr>
        <w:pStyle w:val="BodyText"/>
      </w:pPr>
      <w:r>
        <w:rPr>
          <w:b/>
          <w:bCs/>
        </w:rPr>
        <w:t>Affirming</w:t>
      </w:r>
      <w:r>
        <w:t xml:space="preserve"> the sovereign equality of states, the right of every nation to the peaceful uses of nuclear energy under Article IV of the Treaty on the Non-Proliferation of Nuclear Weapons, and the corresponding imperative that nuclear weapons never again threaten the region or the world,</w:t>
      </w:r>
    </w:p>
    <w:p w14:paraId="7EB8F981" w14:textId="77777777" w:rsidR="00180E7C" w:rsidRDefault="00000000">
      <w:pPr>
        <w:pStyle w:val="BodyText"/>
      </w:pPr>
      <w:r>
        <w:rPr>
          <w:b/>
          <w:bCs/>
        </w:rPr>
        <w:t>Affirming</w:t>
      </w:r>
      <w:r>
        <w:t xml:space="preserve"> that durable peace requires the simultaneous resolution of the military, nuclear, maritime, economic, and regional dimensions of the conflict, and that a single-stage instrument addressing only one dimension invites collapse,</w:t>
      </w:r>
    </w:p>
    <w:p w14:paraId="1948C1E7" w14:textId="77777777" w:rsidR="00180E7C" w:rsidRDefault="00000000">
      <w:pPr>
        <w:pStyle w:val="BodyText"/>
      </w:pPr>
      <w:r>
        <w:rPr>
          <w:b/>
          <w:bCs/>
        </w:rPr>
        <w:t>Determined</w:t>
      </w:r>
      <w:r>
        <w:t xml:space="preserve"> to replace the architecture of confrontation with an architecture of managed, verified, and reversible stability in which compliance earns benefits, proportionate and reversible consequences address violations, and no single infraction collapses the whole,</w:t>
      </w:r>
    </w:p>
    <w:p w14:paraId="17436E19" w14:textId="77777777" w:rsidR="00180E7C" w:rsidRDefault="00000000">
      <w:pPr>
        <w:pStyle w:val="BodyText"/>
      </w:pPr>
      <w:r>
        <w:rPr>
          <w:b/>
          <w:bCs/>
        </w:rPr>
        <w:t>Convinced</w:t>
      </w:r>
      <w:r>
        <w:t xml:space="preserve"> that fairness, reciprocity, and balance constitute the only durable foundation for peace between two sovereign nations whose red lines this Treaty respects absolutely and crosses nowhere,</w:t>
      </w:r>
    </w:p>
    <w:p w14:paraId="10E36AE2" w14:textId="77777777" w:rsidR="00180E7C" w:rsidRDefault="00000000">
      <w:pPr>
        <w:pStyle w:val="BodyText"/>
      </w:pPr>
      <w:r>
        <w:rPr>
          <w:b/>
          <w:bCs/>
        </w:rPr>
        <w:t>Hereby agree</w:t>
      </w:r>
      <w:r>
        <w:t xml:space="preserve"> as follows:</w:t>
      </w:r>
    </w:p>
    <w:p w14:paraId="7F88239C" w14:textId="77777777" w:rsidR="00180E7C" w:rsidRDefault="00000000">
      <w:r>
        <w:br w:type="page"/>
      </w:r>
    </w:p>
    <w:p w14:paraId="24CB0AC4" w14:textId="77777777" w:rsidR="00180E7C" w:rsidRDefault="00000000">
      <w:pPr>
        <w:pStyle w:val="Heading1"/>
      </w:pPr>
      <w:bookmarkStart w:id="8" w:name="X3a0b40d60baf002fb016366a675ab7e727328b2"/>
      <w:bookmarkStart w:id="9" w:name="_Toc237843067"/>
      <w:r>
        <w:lastRenderedPageBreak/>
        <w:t>ARTICLE 0: GENERAL PROVISIONS, DEFINITIONS, AND INTERPRETATION</w:t>
      </w:r>
      <w:bookmarkEnd w:id="9"/>
    </w:p>
    <w:p w14:paraId="1C68B4AE" w14:textId="77777777" w:rsidR="00180E7C" w:rsidRDefault="00000000">
      <w:pPr>
        <w:pStyle w:val="Heading2"/>
      </w:pPr>
      <w:bookmarkStart w:id="10" w:name="nature-of-the-instrument"/>
      <w:r>
        <w:t>0.1 Nature of the Instrument</w:t>
      </w:r>
    </w:p>
    <w:p w14:paraId="77E848E1" w14:textId="77777777" w:rsidR="00180E7C" w:rsidRDefault="00000000">
      <w:pPr>
        <w:pStyle w:val="FirstParagraph"/>
      </w:pPr>
      <w:r>
        <w:t>0.1.1 This Treaty constitutes a single, integrated, and indivisible instrument of peace. Its seven Titles, ninety-one Articles, and eighteen Annexes operate as one whole. No Party invokes one provision to defeat another. Where provisions intersect, the interpretation that preserves the operation of both prevails.</w:t>
      </w:r>
    </w:p>
    <w:p w14:paraId="2540DF7E" w14:textId="77777777" w:rsidR="00180E7C" w:rsidRDefault="00000000">
      <w:pPr>
        <w:pStyle w:val="BodyText"/>
      </w:pPr>
      <w:r>
        <w:t>0.1.2 The Treaty binds the Parties as a treaty under international law upon entry into force pursuant to Article 87. Pending entry into force, the Parties observe the provisional application regime set out in Article 87.4.</w:t>
      </w:r>
    </w:p>
    <w:p w14:paraId="44CAB313" w14:textId="77777777" w:rsidR="00180E7C" w:rsidRDefault="00000000">
      <w:pPr>
        <w:pStyle w:val="BodyText"/>
      </w:pPr>
      <w:r>
        <w:t>0.1.3 The Annexes form an integral part of this Treaty. A reference to an Article incorporates the corresponding Annex; a reference to an Annex incorporates the parent Article. In the event of an apparent conflict between an Article and its Annex, the Article governs the principle and the Annex governs the technical execution.</w:t>
      </w:r>
    </w:p>
    <w:p w14:paraId="2F44B2A0" w14:textId="77777777" w:rsidR="00180E7C" w:rsidRDefault="00000000">
      <w:pPr>
        <w:pStyle w:val="Heading2"/>
      </w:pPr>
      <w:bookmarkStart w:id="11" w:name="guiding-principles"/>
      <w:bookmarkEnd w:id="10"/>
      <w:r>
        <w:t>0.2 Guiding Principles</w:t>
      </w:r>
    </w:p>
    <w:p w14:paraId="79856BFA" w14:textId="77777777" w:rsidR="00180E7C" w:rsidRDefault="00000000">
      <w:pPr>
        <w:pStyle w:val="FirstParagraph"/>
      </w:pPr>
      <w:r>
        <w:t xml:space="preserve">0.2.1 </w:t>
      </w:r>
      <w:r>
        <w:rPr>
          <w:b/>
          <w:bCs/>
        </w:rPr>
        <w:t>Sovereign equality.</w:t>
      </w:r>
      <w:r>
        <w:t xml:space="preserve"> The Parties conclude this Treaty as sovereign equals. No provision subordinates one Party to the other, and no interpretation imputes hierarchy, capitulation, or asymmetric burden.</w:t>
      </w:r>
    </w:p>
    <w:p w14:paraId="0E8C5D72" w14:textId="77777777" w:rsidR="00180E7C" w:rsidRDefault="00000000">
      <w:pPr>
        <w:pStyle w:val="BodyText"/>
      </w:pPr>
      <w:r>
        <w:t xml:space="preserve">0.2.2 </w:t>
      </w:r>
      <w:r>
        <w:rPr>
          <w:b/>
          <w:bCs/>
        </w:rPr>
        <w:t>Red-line integrity.</w:t>
      </w:r>
      <w:r>
        <w:t xml:space="preserve"> The Treaty respects the declared red lines of both Parties as catalogued in Annex Q. The architecture resolves every substantive issue without crossing any registered red line of either Party. Where two red lines appear to collide, the Treaty resolves the collision through structural redesign rather than through concession: the framework changes the shape of the issue so that both red lines remain intact.</w:t>
      </w:r>
    </w:p>
    <w:p w14:paraId="39E98933" w14:textId="77777777" w:rsidR="00180E7C" w:rsidRDefault="00000000">
      <w:pPr>
        <w:pStyle w:val="BodyText"/>
      </w:pPr>
      <w:r>
        <w:t xml:space="preserve">0.2.3 </w:t>
      </w:r>
      <w:r>
        <w:rPr>
          <w:b/>
          <w:bCs/>
        </w:rPr>
        <w:t>Reciprocity and balance (Cothrom).</w:t>
      </w:r>
      <w:r>
        <w:t xml:space="preserve"> Obligations, benefits, verification rights, and consequences distribute evenly between the Parties. Every verification mechanism that examines one Party contains a mirror mechanism that examines the other. Every benefit that one Party earns corresponds to a benefit the other Party earns in the same phase.</w:t>
      </w:r>
    </w:p>
    <w:p w14:paraId="4F413880" w14:textId="77777777" w:rsidR="00180E7C" w:rsidRDefault="00000000">
      <w:pPr>
        <w:pStyle w:val="BodyText"/>
      </w:pPr>
      <w:r>
        <w:t xml:space="preserve">0.2.4 </w:t>
      </w:r>
      <w:r>
        <w:rPr>
          <w:b/>
          <w:bCs/>
        </w:rPr>
        <w:t>Proportionality and reversibility.</w:t>
      </w:r>
      <w:r>
        <w:t xml:space="preserve"> Consequences for non-compliance remain proportionate to the gravity of the violation, execute automatically, and reverse automatically upon remediation. The Treaty contains no mechanism of total, permanent, or irreversible punishment short of the material breach procedure of Article 69.6, and even that procedure preserves the humanitarian firewall and the re-entry pathway of Article 75.4.</w:t>
      </w:r>
    </w:p>
    <w:p w14:paraId="14217193" w14:textId="77777777" w:rsidR="00180E7C" w:rsidRDefault="00000000">
      <w:pPr>
        <w:pStyle w:val="BodyText"/>
      </w:pPr>
      <w:r>
        <w:t xml:space="preserve">0.2.5 </w:t>
      </w:r>
      <w:r>
        <w:rPr>
          <w:b/>
          <w:bCs/>
        </w:rPr>
        <w:t>Humanitarian firewall.</w:t>
      </w:r>
      <w:r>
        <w:t xml:space="preserve"> The protections of Article 9, Article 57, and Annex M operate absolutely. No compliance dispute, penalty, step-back, arbitration outcome, or political crisis interrupts humanitarian flows, civilian protection, or the treatment of detained persons.</w:t>
      </w:r>
    </w:p>
    <w:p w14:paraId="620EDD88" w14:textId="77777777" w:rsidR="00180E7C" w:rsidRDefault="00000000">
      <w:pPr>
        <w:pStyle w:val="BodyText"/>
      </w:pPr>
      <w:r>
        <w:lastRenderedPageBreak/>
        <w:t xml:space="preserve">0.2.6 </w:t>
      </w:r>
      <w:r>
        <w:rPr>
          <w:b/>
          <w:bCs/>
        </w:rPr>
        <w:t>Verification, not trust.</w:t>
      </w:r>
      <w:r>
        <w:t xml:space="preserve"> The Treaty asks neither Party to trust the other. It asks both Parties to verify. Every material obligation carries an objective, measurable, technically verifiable indicator, and every indicator feeds the Shared Digital Registry under Annex C.</w:t>
      </w:r>
    </w:p>
    <w:p w14:paraId="6F558F08" w14:textId="77777777" w:rsidR="00180E7C" w:rsidRDefault="00000000">
      <w:pPr>
        <w:pStyle w:val="BodyText"/>
      </w:pPr>
      <w:r>
        <w:t xml:space="preserve">0.2.7 </w:t>
      </w:r>
      <w:r>
        <w:rPr>
          <w:b/>
          <w:bCs/>
        </w:rPr>
        <w:t>Durability across political cycles.</w:t>
      </w:r>
      <w:r>
        <w:t xml:space="preserve"> The Treaty embeds institutional continuity mechanisms that insulate its operation from electoral cycles, leadership transitions, and domestic political shifts in both countries, per Article 13 and Annex N.</w:t>
      </w:r>
    </w:p>
    <w:p w14:paraId="405D23F0" w14:textId="77777777" w:rsidR="00180E7C" w:rsidRDefault="00000000">
      <w:pPr>
        <w:pStyle w:val="Heading2"/>
      </w:pPr>
      <w:bookmarkStart w:id="12" w:name="interpretation-rules"/>
      <w:bookmarkEnd w:id="11"/>
      <w:r>
        <w:t>0.3 Interpretation Rules</w:t>
      </w:r>
    </w:p>
    <w:p w14:paraId="503875BE" w14:textId="77777777" w:rsidR="00180E7C" w:rsidRDefault="00000000">
      <w:pPr>
        <w:pStyle w:val="FirstParagraph"/>
      </w:pPr>
      <w:r>
        <w:t>0.3.1 The ordinary meaning of terms governs, read in context and in light of the object and purpose of the Treaty: the permanent termination of war and the construction of durable, verified peace.</w:t>
      </w:r>
    </w:p>
    <w:p w14:paraId="2109E5C6" w14:textId="77777777" w:rsidR="00180E7C" w:rsidRDefault="00000000">
      <w:pPr>
        <w:pStyle w:val="BodyText"/>
      </w:pPr>
      <w:r>
        <w:t>0.3.2 The definitions in Article 0.4 and Annex A apply uniformly across all Titles and Annexes. A term defined once carries the same meaning everywhere.</w:t>
      </w:r>
    </w:p>
    <w:p w14:paraId="13C0980D" w14:textId="77777777" w:rsidR="00180E7C" w:rsidRDefault="00000000">
      <w:pPr>
        <w:pStyle w:val="BodyText"/>
      </w:pPr>
      <w:r>
        <w:t>0.3.3 Headings serve navigation only and carry no interpretive weight.</w:t>
      </w:r>
    </w:p>
    <w:p w14:paraId="5E95EA43" w14:textId="77777777" w:rsidR="00180E7C" w:rsidRDefault="00000000">
      <w:pPr>
        <w:pStyle w:val="BodyText"/>
      </w:pPr>
      <w:r>
        <w:t>0.3.4 Time computations: a reference to “Day N” counts from Entry into Force (Day 0) unless the provision states another anchor. A reference to “hours” runs continuously. Deadlines expiring on a non-business day at the place of performance extend to the next business day, except deadlines within the Anomaly Response Playbook of Annex C, which run without extension.</w:t>
      </w:r>
    </w:p>
    <w:p w14:paraId="3848E761" w14:textId="77777777" w:rsidR="00180E7C" w:rsidRDefault="00000000">
      <w:pPr>
        <w:pStyle w:val="BodyText"/>
      </w:pPr>
      <w:r>
        <w:t>0.3.5 The Persian and English texts are equally authentic per Article 90. In case of divergence, the Parties convene the Joint Linguistic Panel of Annex O, Section 9, which issues a harmonized reading binding on both Parties.</w:t>
      </w:r>
    </w:p>
    <w:p w14:paraId="5FE14250" w14:textId="77777777" w:rsidR="00180E7C" w:rsidRDefault="00000000">
      <w:pPr>
        <w:pStyle w:val="BodyText"/>
      </w:pPr>
      <w:r>
        <w:t>0.3.6 No provision of this Treaty derogates from the peremptory norms of international law (jus cogens), from the Charter of the United Nations, or from the inherent right of self-defense under Article 51 of that Charter as structured by Article 4.6 of this Treaty.</w:t>
      </w:r>
    </w:p>
    <w:p w14:paraId="5FB9DB3D" w14:textId="77777777" w:rsidR="00180E7C" w:rsidRDefault="00000000">
      <w:pPr>
        <w:pStyle w:val="Heading2"/>
      </w:pPr>
      <w:bookmarkStart w:id="13" w:name="core-definitions"/>
      <w:bookmarkEnd w:id="12"/>
      <w:r>
        <w:t>0.4 Core Definitions</w:t>
      </w:r>
    </w:p>
    <w:p w14:paraId="781CADBD" w14:textId="77777777" w:rsidR="00180E7C" w:rsidRDefault="00000000">
      <w:pPr>
        <w:pStyle w:val="FirstParagraph"/>
      </w:pPr>
      <w:r>
        <w:t>The following definitions anchor the instrument. Annex A contains the complete register of the defined terms of this Treaty.</w:t>
      </w:r>
    </w:p>
    <w:p w14:paraId="7F423227" w14:textId="77777777" w:rsidR="00180E7C" w:rsidRDefault="00000000">
      <w:pPr>
        <w:pStyle w:val="BodyText"/>
      </w:pPr>
      <w:r>
        <w:t xml:space="preserve">0.4.1 </w:t>
      </w:r>
      <w:r>
        <w:rPr>
          <w:b/>
          <w:bCs/>
        </w:rPr>
        <w:t>“Treaty” or “this Treaty”</w:t>
      </w:r>
      <w:r>
        <w:t xml:space="preserve"> means the Savāhel-e Āghāz Comprehensive Treaty, including its Preamble, all Titles, all Articles, all Annexes, and all instruments of accession and amendment adopted under Article 72.</w:t>
      </w:r>
    </w:p>
    <w:p w14:paraId="298B042C" w14:textId="77777777" w:rsidR="00180E7C" w:rsidRDefault="00000000">
      <w:pPr>
        <w:pStyle w:val="BodyText"/>
      </w:pPr>
      <w:r>
        <w:t xml:space="preserve">0.4.2 </w:t>
      </w:r>
      <w:r>
        <w:rPr>
          <w:b/>
          <w:bCs/>
        </w:rPr>
        <w:t>“Party”</w:t>
      </w:r>
      <w:r>
        <w:t xml:space="preserve"> means the United States of America or the Islamic Republic of Iran; “the Parties” means both.</w:t>
      </w:r>
    </w:p>
    <w:p w14:paraId="552BC527" w14:textId="77777777" w:rsidR="00180E7C" w:rsidRDefault="00000000">
      <w:pPr>
        <w:pStyle w:val="BodyText"/>
      </w:pPr>
      <w:r>
        <w:t xml:space="preserve">0.4.3 </w:t>
      </w:r>
      <w:r>
        <w:rPr>
          <w:b/>
          <w:bCs/>
        </w:rPr>
        <w:t>“Entry into Force” (EIF)</w:t>
      </w:r>
      <w:r>
        <w:t xml:space="preserve"> means the moment defined in Article 87.1. “Day 0” denotes the date of Entry into Force.</w:t>
      </w:r>
    </w:p>
    <w:p w14:paraId="0B3759B7" w14:textId="77777777" w:rsidR="00180E7C" w:rsidRDefault="00000000">
      <w:pPr>
        <w:pStyle w:val="BodyText"/>
      </w:pPr>
      <w:r>
        <w:t xml:space="preserve">0.4.4 </w:t>
      </w:r>
      <w:r>
        <w:rPr>
          <w:b/>
          <w:bCs/>
        </w:rPr>
        <w:t>“Ceasefire Line”</w:t>
      </w:r>
      <w:r>
        <w:t xml:space="preserve"> means the aggregate of the cessation obligations of Article 1 across land, air, sea, cyber, space, and proxy domains.</w:t>
      </w:r>
    </w:p>
    <w:p w14:paraId="65796E36" w14:textId="77777777" w:rsidR="00180E7C" w:rsidRDefault="00000000">
      <w:pPr>
        <w:pStyle w:val="BodyText"/>
      </w:pPr>
      <w:r>
        <w:lastRenderedPageBreak/>
        <w:t xml:space="preserve">0.4.5 </w:t>
      </w:r>
      <w:r>
        <w:rPr>
          <w:b/>
          <w:bCs/>
        </w:rPr>
        <w:t>“Governance Area”</w:t>
      </w:r>
      <w:r>
        <w:t xml:space="preserve"> means the maritime area defined in Annex B, Section 2, encompassing the Strait of Hormuz and its approaches between the coordinates there specified.</w:t>
      </w:r>
    </w:p>
    <w:p w14:paraId="7E85F850" w14:textId="77777777" w:rsidR="00180E7C" w:rsidRDefault="00000000">
      <w:pPr>
        <w:pStyle w:val="BodyText"/>
      </w:pPr>
      <w:r>
        <w:t xml:space="preserve">0.4.6 </w:t>
      </w:r>
      <w:r>
        <w:rPr>
          <w:b/>
          <w:bCs/>
        </w:rPr>
        <w:t>“Hormuz Authority”</w:t>
      </w:r>
      <w:r>
        <w:t xml:space="preserve"> means the joint governance body established by Article 31.</w:t>
      </w:r>
    </w:p>
    <w:p w14:paraId="74940813" w14:textId="77777777" w:rsidR="00180E7C" w:rsidRDefault="00000000">
      <w:pPr>
        <w:pStyle w:val="BodyText"/>
      </w:pPr>
      <w:r>
        <w:t xml:space="preserve">0.4.7 </w:t>
      </w:r>
      <w:r>
        <w:rPr>
          <w:b/>
          <w:bCs/>
        </w:rPr>
        <w:t>“Covered Nuclear Material”</w:t>
      </w:r>
      <w:r>
        <w:t xml:space="preserve"> means all uranium in any chemical or physical form enriched above 0.711 percent U-235 located anywhere within the territory or under the jurisdiction or control of Iran, together with all uranium enriched above 0.711 percent U-235 previously removed from Iran and held abroad, as inventoried in Annex F, Schedule F-1.</w:t>
      </w:r>
    </w:p>
    <w:p w14:paraId="6E06BA35" w14:textId="77777777" w:rsidR="00180E7C" w:rsidRDefault="00000000">
      <w:pPr>
        <w:pStyle w:val="BodyText"/>
      </w:pPr>
      <w:r>
        <w:t xml:space="preserve">0.4.8 </w:t>
      </w:r>
      <w:r>
        <w:rPr>
          <w:b/>
          <w:bCs/>
        </w:rPr>
        <w:t>“Down-Blending”</w:t>
      </w:r>
      <w:r>
        <w:t xml:space="preserve"> means the isotopic dilution of enriched uranium with natural or depleted uranium to a product assay at or below the target assay specified in Annex F, executed inside Iranian territory under continuous IAEA presence pursuant to Article 61 and Annex F.</w:t>
      </w:r>
    </w:p>
    <w:p w14:paraId="13228675" w14:textId="77777777" w:rsidR="00180E7C" w:rsidRDefault="00000000">
      <w:pPr>
        <w:pStyle w:val="BodyText"/>
      </w:pPr>
      <w:r>
        <w:t xml:space="preserve">0.4.9 </w:t>
      </w:r>
      <w:r>
        <w:rPr>
          <w:b/>
          <w:bCs/>
        </w:rPr>
        <w:t>“Breakout Floor”</w:t>
      </w:r>
      <w:r>
        <w:t xml:space="preserve"> means the minimum verified time interval between a hypothetical decision by Iran to produce weapons-grade uranium and the production of one significant quantity, as computed by the IAEA under the methodology of Annex F, Section 11. The Breakout Floor stands at twelve months throughout the duration of this Treaty and permanently thereafter per Article 75.2.</w:t>
      </w:r>
    </w:p>
    <w:p w14:paraId="2E8CEC14" w14:textId="77777777" w:rsidR="00180E7C" w:rsidRDefault="00000000">
      <w:pPr>
        <w:pStyle w:val="BodyText"/>
      </w:pPr>
      <w:r>
        <w:t xml:space="preserve">0.4.10 </w:t>
      </w:r>
      <w:r>
        <w:rPr>
          <w:b/>
          <w:bCs/>
        </w:rPr>
        <w:t>“Frozen Assets”</w:t>
      </w:r>
      <w:r>
        <w:t xml:space="preserve"> means the funds and assets listed in Annex H, Schedule H-1, including the approximately twenty-four billion United States dollars held in the jurisdictions there specified.</w:t>
      </w:r>
    </w:p>
    <w:p w14:paraId="6F49903B" w14:textId="77777777" w:rsidR="00180E7C" w:rsidRDefault="00000000">
      <w:pPr>
        <w:pStyle w:val="BodyText"/>
      </w:pPr>
      <w:r>
        <w:t xml:space="preserve">0.4.11 </w:t>
      </w:r>
      <w:r>
        <w:rPr>
          <w:b/>
          <w:bCs/>
        </w:rPr>
        <w:t>“Sanctions Architecture”</w:t>
      </w:r>
      <w:r>
        <w:t xml:space="preserve"> means the totality of measures listed in Annex G, Schedule G-1: United States primary and secondary sanctions, United Nations Security Council measures, IAEA Board of Governors resolutions of censure, and autonomous measures of other jurisdictions as identified therein.</w:t>
      </w:r>
    </w:p>
    <w:p w14:paraId="742F26E2" w14:textId="77777777" w:rsidR="00180E7C" w:rsidRDefault="00000000">
      <w:pPr>
        <w:pStyle w:val="BodyText"/>
      </w:pPr>
      <w:r>
        <w:t xml:space="preserve">0.4.12 </w:t>
      </w:r>
      <w:r>
        <w:rPr>
          <w:b/>
          <w:bCs/>
        </w:rPr>
        <w:t>“Cothrom Engine”</w:t>
      </w:r>
      <w:r>
        <w:t xml:space="preserve"> means the verification and proportional compliance architecture of Article 67 and Annex C, integrating the Joint Monitoring Cell, the Shared Digital Registry, the anomaly response system, the demerit point system, and the step-back and earn-back schedules.</w:t>
      </w:r>
    </w:p>
    <w:p w14:paraId="4FF3AB41" w14:textId="77777777" w:rsidR="00180E7C" w:rsidRDefault="00000000">
      <w:pPr>
        <w:pStyle w:val="BodyText"/>
      </w:pPr>
      <w:r>
        <w:t xml:space="preserve">0.4.13 </w:t>
      </w:r>
      <w:r>
        <w:rPr>
          <w:b/>
          <w:bCs/>
        </w:rPr>
        <w:t>“Step-Back”</w:t>
      </w:r>
      <w:r>
        <w:t xml:space="preserve"> means a proportionate, reversible pause of defined benefits under Article 70 and Annex E. </w:t>
      </w:r>
      <w:r>
        <w:rPr>
          <w:b/>
          <w:bCs/>
        </w:rPr>
        <w:t>“Earn-Back”</w:t>
      </w:r>
      <w:r>
        <w:t xml:space="preserve"> means the automatic restoration of paused benefits upon verified remediation under the same provisions.</w:t>
      </w:r>
    </w:p>
    <w:p w14:paraId="51FDBFE4" w14:textId="77777777" w:rsidR="00180E7C" w:rsidRDefault="00000000">
      <w:pPr>
        <w:pStyle w:val="BodyText"/>
      </w:pPr>
      <w:r>
        <w:t xml:space="preserve">0.4.14 </w:t>
      </w:r>
      <w:r>
        <w:rPr>
          <w:b/>
          <w:bCs/>
        </w:rPr>
        <w:t>“Guarantor Matrix”</w:t>
      </w:r>
      <w:r>
        <w:t xml:space="preserve"> means the body of Facilitating States and institutions constituted under Article 26 and Annex N.</w:t>
      </w:r>
    </w:p>
    <w:p w14:paraId="0EB78185" w14:textId="77777777" w:rsidR="00180E7C" w:rsidRDefault="00000000">
      <w:pPr>
        <w:pStyle w:val="BodyText"/>
      </w:pPr>
      <w:r>
        <w:t xml:space="preserve">0.4.15 </w:t>
      </w:r>
      <w:r>
        <w:rPr>
          <w:b/>
          <w:bCs/>
        </w:rPr>
        <w:t>“Joint Monitoring Cell” (JMC)</w:t>
      </w:r>
      <w:r>
        <w:t xml:space="preserve"> means the standing verification organ of Annex C, Section 3.</w:t>
      </w:r>
    </w:p>
    <w:p w14:paraId="30F0902D" w14:textId="77777777" w:rsidR="00180E7C" w:rsidRDefault="00000000">
      <w:pPr>
        <w:pStyle w:val="BodyText"/>
      </w:pPr>
      <w:r>
        <w:t xml:space="preserve">0.4.16 </w:t>
      </w:r>
      <w:r>
        <w:rPr>
          <w:b/>
          <w:bCs/>
        </w:rPr>
        <w:t>“Shared Digital Registry” (SDR)</w:t>
      </w:r>
      <w:r>
        <w:t xml:space="preserve"> means the cryptographically secured data repository of Annex C, Section 4.</w:t>
      </w:r>
    </w:p>
    <w:p w14:paraId="17D7E56B" w14:textId="77777777" w:rsidR="00180E7C" w:rsidRDefault="00000000">
      <w:pPr>
        <w:pStyle w:val="BodyText"/>
      </w:pPr>
      <w:r>
        <w:lastRenderedPageBreak/>
        <w:t xml:space="preserve">0.4.17 </w:t>
      </w:r>
      <w:r>
        <w:rPr>
          <w:b/>
          <w:bCs/>
        </w:rPr>
        <w:t>“Swiss Facilitator”</w:t>
      </w:r>
      <w:r>
        <w:t xml:space="preserve"> means the Swiss Confederation acting through the Federal Department of Foreign Affairs in its capacity as Facilitator of Record, including its roles as escrow agent, expert pool administrator, and tie-breaker appointing authority.</w:t>
      </w:r>
    </w:p>
    <w:p w14:paraId="5088EFE5" w14:textId="77777777" w:rsidR="00180E7C" w:rsidRDefault="00000000">
      <w:pPr>
        <w:pStyle w:val="BodyText"/>
      </w:pPr>
      <w:r>
        <w:t xml:space="preserve">0.4.18 </w:t>
      </w:r>
      <w:r>
        <w:rPr>
          <w:b/>
          <w:bCs/>
        </w:rPr>
        <w:t>“High Contracting Council” (HCC)</w:t>
      </w:r>
      <w:r>
        <w:t xml:space="preserve"> means the principal political organ of the Treaty established by Article 69.1, composed of one minister-level representative of each Party plus the Swiss Facilitator as chair without a vote.</w:t>
      </w:r>
    </w:p>
    <w:p w14:paraId="3067FC9C" w14:textId="77777777" w:rsidR="00180E7C" w:rsidRDefault="00000000">
      <w:pPr>
        <w:pStyle w:val="BodyText"/>
      </w:pPr>
      <w:r>
        <w:t xml:space="preserve">0.4.19 </w:t>
      </w:r>
      <w:r>
        <w:rPr>
          <w:b/>
          <w:bCs/>
        </w:rPr>
        <w:t>“Red Line”</w:t>
      </w:r>
      <w:r>
        <w:t xml:space="preserve"> means a position registered in Annex Q, Part III, by a Party as non-negotiable, the crossing of which that Party declares incompatible with its signature or continued participation.</w:t>
      </w:r>
    </w:p>
    <w:p w14:paraId="2052AD0A" w14:textId="77777777" w:rsidR="00180E7C" w:rsidRDefault="00000000">
      <w:pPr>
        <w:pStyle w:val="BodyText"/>
      </w:pPr>
      <w:r>
        <w:t xml:space="preserve">0.4.20 </w:t>
      </w:r>
      <w:r>
        <w:rPr>
          <w:b/>
          <w:bCs/>
        </w:rPr>
        <w:t>“Material Breach”</w:t>
      </w:r>
      <w:r>
        <w:t xml:space="preserve"> means a violation defined as such in Article 69.6.1, limited to the exhaustive list there stated.</w:t>
      </w:r>
    </w:p>
    <w:p w14:paraId="1EC50D3C" w14:textId="77777777" w:rsidR="00180E7C" w:rsidRDefault="00000000">
      <w:pPr>
        <w:pStyle w:val="BodyText"/>
      </w:pPr>
      <w:r>
        <w:t xml:space="preserve">0.4.21 </w:t>
      </w:r>
      <w:r>
        <w:rPr>
          <w:b/>
          <w:bCs/>
        </w:rPr>
        <w:t>“Proxy Domain”</w:t>
      </w:r>
      <w:r>
        <w:t xml:space="preserve"> means the field of activity of non-state armed groups addressed by Article 7, Article 23, and Annex L.</w:t>
      </w:r>
    </w:p>
    <w:p w14:paraId="08997DE8" w14:textId="77777777" w:rsidR="00180E7C" w:rsidRDefault="00000000">
      <w:pPr>
        <w:pStyle w:val="BodyText"/>
      </w:pPr>
      <w:r>
        <w:t xml:space="preserve">0.4.22 </w:t>
      </w:r>
      <w:r>
        <w:rPr>
          <w:b/>
          <w:bCs/>
        </w:rPr>
        <w:t>“Humanitarian Corridor”</w:t>
      </w:r>
      <w:r>
        <w:t xml:space="preserve"> means any route, lane, channel, account, or procedure dedicated to humanitarian movement under Article 9, Article 57, or Annex M.</w:t>
      </w:r>
    </w:p>
    <w:p w14:paraId="037FEF39" w14:textId="77777777" w:rsidR="00180E7C" w:rsidRDefault="00000000">
      <w:pPr>
        <w:pStyle w:val="BodyText"/>
      </w:pPr>
      <w:r>
        <w:t xml:space="preserve">0.4.23 </w:t>
      </w:r>
      <w:r>
        <w:rPr>
          <w:b/>
          <w:bCs/>
        </w:rPr>
        <w:t>“Transit Passage”</w:t>
      </w:r>
      <w:r>
        <w:t xml:space="preserve"> means the exercise of the freedom of navigation and overflight through the Strait of Hormuz solely for the purpose of continuous and expeditious transit, consistent with the international law of the sea.</w:t>
      </w:r>
    </w:p>
    <w:p w14:paraId="5E090B30" w14:textId="77777777" w:rsidR="00180E7C" w:rsidRDefault="00000000">
      <w:pPr>
        <w:pStyle w:val="BodyText"/>
      </w:pPr>
      <w:r>
        <w:t xml:space="preserve">0.4.24 </w:t>
      </w:r>
      <w:r>
        <w:rPr>
          <w:b/>
          <w:bCs/>
        </w:rPr>
        <w:t>“Verified Services Catalog”</w:t>
      </w:r>
      <w:r>
        <w:t xml:space="preserve"> means the closed list of reimbursable maritime services under Article 37.4 and Annex B, Section 9.</w:t>
      </w:r>
    </w:p>
    <w:p w14:paraId="1BFF1418" w14:textId="77777777" w:rsidR="00180E7C" w:rsidRDefault="00000000">
      <w:pPr>
        <w:pStyle w:val="BodyText"/>
      </w:pPr>
      <w:r>
        <w:t xml:space="preserve">0.4.25 </w:t>
      </w:r>
      <w:r>
        <w:rPr>
          <w:b/>
          <w:bCs/>
        </w:rPr>
        <w:t>“Business Day”</w:t>
      </w:r>
      <w:r>
        <w:t xml:space="preserve"> means a day other than Saturday, Sunday, or a public holiday at the place where the relevant act occurs; for escrow operations, the place is Bern.</w:t>
      </w:r>
    </w:p>
    <w:p w14:paraId="23B2A686" w14:textId="77777777" w:rsidR="00180E7C" w:rsidRDefault="00000000">
      <w:pPr>
        <w:pStyle w:val="Heading2"/>
      </w:pPr>
      <w:bookmarkStart w:id="14" w:name="relationship-among-the-titles"/>
      <w:bookmarkEnd w:id="13"/>
      <w:r>
        <w:t>0.5 Relationship Among the Titles</w:t>
      </w:r>
    </w:p>
    <w:p w14:paraId="17AB394D" w14:textId="77777777" w:rsidR="00180E7C" w:rsidRDefault="00000000">
      <w:pPr>
        <w:pStyle w:val="FirstParagraph"/>
      </w:pPr>
      <w:r>
        <w:t>0.5.1 Title I establishes the political foundation: the war ends, recognition is exchanged, and diplomatic architecture rises.</w:t>
      </w:r>
    </w:p>
    <w:p w14:paraId="1EC1F18D" w14:textId="77777777" w:rsidR="00180E7C" w:rsidRDefault="00000000">
      <w:pPr>
        <w:pStyle w:val="BodyText"/>
      </w:pPr>
      <w:r>
        <w:t>0.5.2 Title II establishes the security foundation: forces separate, buffers form, and the machinery of deconfliction replaces the machinery of war.</w:t>
      </w:r>
    </w:p>
    <w:p w14:paraId="115C7901" w14:textId="77777777" w:rsidR="00180E7C" w:rsidRDefault="00000000">
      <w:pPr>
        <w:pStyle w:val="BodyText"/>
      </w:pPr>
      <w:r>
        <w:t>0.5.3 Title III establishes the maritime foundation: the Strait of Hormuz reopens under the Hormuz Authority and the four-corridor system.</w:t>
      </w:r>
    </w:p>
    <w:p w14:paraId="239AD97B" w14:textId="77777777" w:rsidR="00180E7C" w:rsidRDefault="00000000">
      <w:pPr>
        <w:pStyle w:val="BodyText"/>
      </w:pPr>
      <w:r>
        <w:t>0.5.4 Title IV establishes the economic foundation: sanctions terminate on a verified schedule, frozen assets flow through monitored channels, and reconstruction begins.</w:t>
      </w:r>
    </w:p>
    <w:p w14:paraId="06960D6B" w14:textId="77777777" w:rsidR="00180E7C" w:rsidRDefault="00000000">
      <w:pPr>
        <w:pStyle w:val="BodyText"/>
      </w:pPr>
      <w:r>
        <w:t>0.5.5 Title V establishes the legal and verification foundation: the nuclear file closes permanently, the Cothrom Engine watches everything, and disputes resolve through structured channels.</w:t>
      </w:r>
    </w:p>
    <w:p w14:paraId="458D6B28" w14:textId="77777777" w:rsidR="00180E7C" w:rsidRDefault="00000000">
      <w:pPr>
        <w:pStyle w:val="BodyText"/>
      </w:pPr>
      <w:r>
        <w:t>0.5.6 Title VI establishes the regional foundation: Lebanon, Yemen, Iraq, and Syria stabilize, and the proxy domain transforms.</w:t>
      </w:r>
    </w:p>
    <w:p w14:paraId="5D54BA97" w14:textId="77777777" w:rsidR="00180E7C" w:rsidRDefault="00000000">
      <w:pPr>
        <w:pStyle w:val="BodyText"/>
      </w:pPr>
      <w:r>
        <w:lastRenderedPageBreak/>
        <w:t>0.5.7 Title VII establishes the legal finality: signature, ratification, endorsement, and entry into force.</w:t>
      </w:r>
    </w:p>
    <w:p w14:paraId="168723A0" w14:textId="77777777" w:rsidR="00180E7C" w:rsidRDefault="00000000">
      <w:pPr>
        <w:pStyle w:val="BodyText"/>
      </w:pPr>
      <w:r>
        <w:t>0.5.8 The Titles interlock through the synchronization matrix of Annex P: no Title advances beyond the phase gate that the verification of another Title unlocks, and no Title retreats without the proportionality discipline of the Cothrom Engine.</w:t>
      </w:r>
    </w:p>
    <w:p w14:paraId="596E72C3" w14:textId="77777777" w:rsidR="00180E7C" w:rsidRDefault="00000000">
      <w:pPr>
        <w:pStyle w:val="Heading2"/>
      </w:pPr>
      <w:bookmarkStart w:id="15" w:name="the-four-framework-folding-clause"/>
      <w:bookmarkEnd w:id="14"/>
      <w:r>
        <w:t>0.6 The Four-Framework Folding Clause</w:t>
      </w:r>
    </w:p>
    <w:p w14:paraId="7D35812C" w14:textId="77777777" w:rsidR="00180E7C" w:rsidRDefault="00000000">
      <w:pPr>
        <w:pStyle w:val="FirstParagraph"/>
      </w:pPr>
      <w:r>
        <w:t>0.6.1 The Parties acknowledge the negotiating record’s identification of four necessary frameworks: the Immediate Humanitarian and De-escalation Agreement; the Bilateral Coastal-State Corridor Agreement; the Strategic United States-Iran Framework; and the Regional Multilateral Charter.</w:t>
      </w:r>
    </w:p>
    <w:p w14:paraId="08A96920" w14:textId="77777777" w:rsidR="00180E7C" w:rsidRDefault="00000000">
      <w:pPr>
        <w:pStyle w:val="BodyText"/>
      </w:pPr>
      <w:r>
        <w:t>0.6.2 This Treaty folds all four frameworks into one operative text. The humanitarian and de-escalation framework lives in Article 1, Article 9, Article 57, and Annex M. The coastal-state corridor framework lives in Title III and Annexes B and J, incorporating in full the joint Oman-Iran governance draft transmitted for final approval as recorded in Article 31.2. The strategic framework lives in Titles I, II, IV, and V. The regional charter framework lives in Title VI and Article 43, with the outer regional layer open for accession per Article 43.6.</w:t>
      </w:r>
    </w:p>
    <w:p w14:paraId="6632B914" w14:textId="77777777" w:rsidR="00180E7C" w:rsidRDefault="00000000">
      <w:pPr>
        <w:pStyle w:val="BodyText"/>
      </w:pPr>
      <w:r>
        <w:t>0.6.3 The folding operates without loss: every operative element of each framework appears somewhere in this instrument, and Annex Q, Part IV, maps each element to its location.</w:t>
      </w:r>
    </w:p>
    <w:p w14:paraId="42F326E8" w14:textId="77777777" w:rsidR="00180E7C" w:rsidRDefault="00000000">
      <w:pPr>
        <w:pStyle w:val="Heading2"/>
      </w:pPr>
      <w:bookmarkStart w:id="16" w:name="Xaccbea0c885a8d212806d17b9f284ddc7c6d982"/>
      <w:bookmarkEnd w:id="15"/>
      <w:r>
        <w:t>0.7 Provisional Standing of Mediators and Technical Bodies</w:t>
      </w:r>
    </w:p>
    <w:p w14:paraId="052868AD" w14:textId="77777777" w:rsidR="00180E7C" w:rsidRDefault="00000000">
      <w:pPr>
        <w:pStyle w:val="FirstParagraph"/>
      </w:pPr>
      <w:r>
        <w:t>0.7.1 The Islamic Republic of Pakistan, the Sultanate of Oman, the State of Qatar, and the Swiss Confederation hold the status of Facilitating States. Their rights and functions appear in Annex N. Facilitating States assume no obligation to use force and no financial obligation beyond those they expressly accept in writing.</w:t>
      </w:r>
    </w:p>
    <w:p w14:paraId="7A4478E1" w14:textId="77777777" w:rsidR="00180E7C" w:rsidRDefault="00000000">
      <w:pPr>
        <w:pStyle w:val="BodyText"/>
      </w:pPr>
      <w:r>
        <w:t>0.7.2 The International Atomic Energy Agency, the International Maritime Organization, the International Hydrographic Organization, the United Nations Mine Action Service, and the United Nations Office for the Coordination of Humanitarian Affairs hold the technical roles assigned in the respective Titles and Annexes. Each technical body executes its role within its mandate and budget as supplemented by the funding provisions of Annex I, Section 8.</w:t>
      </w:r>
    </w:p>
    <w:p w14:paraId="2FDE4D3F" w14:textId="77777777" w:rsidR="00180E7C" w:rsidRDefault="00000000">
      <w:pPr>
        <w:pStyle w:val="BodyText"/>
      </w:pPr>
      <w:r>
        <w:t>0.7.3 No provision of this Treaty binds a state or organization that is not a Party, except as that state or organization expressly accepts in a deposited instrument.</w:t>
      </w:r>
    </w:p>
    <w:p w14:paraId="7E4626F3" w14:textId="77777777" w:rsidR="00180E7C" w:rsidRDefault="00000000">
      <w:r>
        <w:br w:type="page"/>
      </w:r>
    </w:p>
    <w:p w14:paraId="645139E7" w14:textId="77777777" w:rsidR="00180E7C" w:rsidRDefault="00000000">
      <w:pPr>
        <w:pStyle w:val="Heading1"/>
      </w:pPr>
      <w:bookmarkStart w:id="17" w:name="title-i-political-settlement-framework"/>
      <w:bookmarkStart w:id="18" w:name="_Toc237843068"/>
      <w:bookmarkEnd w:id="8"/>
      <w:bookmarkEnd w:id="16"/>
      <w:r>
        <w:lastRenderedPageBreak/>
        <w:t>TITLE I: POLITICAL SETTLEMENT FRAMEWORK</w:t>
      </w:r>
      <w:bookmarkEnd w:id="18"/>
    </w:p>
    <w:p w14:paraId="1B27360D" w14:textId="77777777" w:rsidR="00180E7C" w:rsidRDefault="00000000">
      <w:pPr>
        <w:pStyle w:val="TOCArticle"/>
      </w:pPr>
      <w:bookmarkStart w:id="19" w:name="article-1-permanent-ceasefire-mandate"/>
      <w:bookmarkStart w:id="20" w:name="_Toc237843069"/>
      <w:r>
        <w:t>Article 1: Permanent Ceasefire Mandate</w:t>
      </w:r>
      <w:bookmarkEnd w:id="20"/>
    </w:p>
    <w:p w14:paraId="4A51501D" w14:textId="77777777" w:rsidR="00180E7C" w:rsidRDefault="00000000">
      <w:pPr>
        <w:pStyle w:val="Heading3"/>
      </w:pPr>
      <w:bookmarkStart w:id="21" w:name="the-cessation"/>
      <w:r>
        <w:t>1.1 The Cessation</w:t>
      </w:r>
    </w:p>
    <w:p w14:paraId="2C7B35A3" w14:textId="77777777" w:rsidR="00180E7C" w:rsidRDefault="00000000">
      <w:pPr>
        <w:pStyle w:val="FirstParagraph"/>
      </w:pPr>
      <w:r>
        <w:t>1.1.1 Upon Entry into Force, the permanent, comprehensive, and mutual cessation of all hostilities between the Parties takes effect across all domains: land, air, sea, subsurface, cyber, space, electromagnetic, and the proxy domain. This cessation has no time limit. It terminates the 2026 war in law and in fact.</w:t>
      </w:r>
    </w:p>
    <w:p w14:paraId="0DC58489" w14:textId="77777777" w:rsidR="00180E7C" w:rsidRDefault="00000000">
      <w:pPr>
        <w:pStyle w:val="BodyText"/>
      </w:pPr>
      <w:r>
        <w:t>1.1.2 The cessation covers: (a) all United States strikes, raids, interdictions, and kinetic operations against Iranian territory, forces, assets, and nationals; (b) all Iranian strikes, raids, seizures, and kinetic operations against United States forces, bases, vessels, assets, and nationals; (c) all naval engagements, boardings, and harassment operations in the Persian Gulf, the Strait of Hormuz, the Gulf of Oman, and the Arabian Sea; (d) all offensive cyber operations against the other Party’s critical infrastructure; (e) all proxy operations attributable to either Party’s direction, funding, or material support, per the attribution standards of Annex L, Section 5; and (f) all blockades, quarantines, and closure measures, including the United States naval blockade of Iranian ports and the Iranian closure regime in the Strait of Hormuz.</w:t>
      </w:r>
    </w:p>
    <w:p w14:paraId="6D7A38D5" w14:textId="77777777" w:rsidR="00180E7C" w:rsidRDefault="00000000">
      <w:pPr>
        <w:pStyle w:val="BodyText"/>
      </w:pPr>
      <w:r>
        <w:t>1.1.3 The United States naval blockade of Iranian ports and coastal areas dissolves at EIF plus 24 hours, synchronously with the activation of the interim corridors under Article 44.1. The dissolution executes as a single fleet order transmitted through the Maritime Operations Center and logged in the Shared Digital Registry.</w:t>
      </w:r>
    </w:p>
    <w:p w14:paraId="04E34502" w14:textId="77777777" w:rsidR="00180E7C" w:rsidRDefault="00000000">
      <w:pPr>
        <w:pStyle w:val="BodyText"/>
      </w:pPr>
      <w:r>
        <w:t>1.1.4 Iran’s transit restrictions, inspection regime, and exclusion lists in the Strait of Hormuz dissolve at EIF plus 24 hours, synchronously with the same activation. The Hormuz Authority interim secretariat confirms the dissolution by publishing Notice to Mariners No. 1 under Annex B, Section 12.</w:t>
      </w:r>
    </w:p>
    <w:p w14:paraId="1DDB1A7F" w14:textId="77777777" w:rsidR="00180E7C" w:rsidRDefault="00000000">
      <w:pPr>
        <w:pStyle w:val="Heading3"/>
      </w:pPr>
      <w:bookmarkStart w:id="22" w:name="scope-of-the-cessation"/>
      <w:bookmarkEnd w:id="21"/>
      <w:r>
        <w:t>1.2 Scope of the Cessation</w:t>
      </w:r>
    </w:p>
    <w:p w14:paraId="79943986" w14:textId="77777777" w:rsidR="00180E7C" w:rsidRDefault="00000000">
      <w:pPr>
        <w:pStyle w:val="FirstParagraph"/>
      </w:pPr>
      <w:r>
        <w:t>1.2.1 The cessation binds the armed forces of both Parties, all intelligence services, all paramilitary formations, the Islamic Revolutionary Guard Corps in all branches, the United States Central Command and all subordinate commands, and all contractors and auxiliaries acting under governmental direction or control.</w:t>
      </w:r>
    </w:p>
    <w:p w14:paraId="466FBD25" w14:textId="77777777" w:rsidR="00180E7C" w:rsidRDefault="00000000">
      <w:pPr>
        <w:pStyle w:val="BodyText"/>
      </w:pPr>
      <w:r>
        <w:t>1.2.2 The cessation extends to the regional domains listed in Title VI: Lebanon, Yemen, Iraq, and Syria, through the mechanisms there specified. The Parties acknowledge that the cessation in the proxy domain operates through the parallel binding instruments of Annex L, which attach to this Treaty at EIF.</w:t>
      </w:r>
    </w:p>
    <w:p w14:paraId="47B80AD5" w14:textId="77777777" w:rsidR="00180E7C" w:rsidRDefault="00000000">
      <w:pPr>
        <w:pStyle w:val="Heading3"/>
      </w:pPr>
      <w:bookmarkStart w:id="23" w:name="monitoring-of-the-ceasefire"/>
      <w:bookmarkEnd w:id="22"/>
      <w:r>
        <w:t>1.3 Monitoring of the Ceasefire</w:t>
      </w:r>
    </w:p>
    <w:p w14:paraId="7A8477C6" w14:textId="77777777" w:rsidR="00180E7C" w:rsidRDefault="00000000">
      <w:pPr>
        <w:pStyle w:val="FirstParagraph"/>
      </w:pPr>
      <w:r>
        <w:t>1.3.1 The Joint Monitoring Cell monitors the ceasefire continuously from EIF. Its ceasefire sub-cell operates watch floors in Muscat and Doha with 24/7 staffing, per Annex C, Section 3.4.</w:t>
      </w:r>
    </w:p>
    <w:p w14:paraId="46F3E46F" w14:textId="77777777" w:rsidR="00180E7C" w:rsidRDefault="00000000">
      <w:pPr>
        <w:pStyle w:val="BodyText"/>
      </w:pPr>
      <w:r>
        <w:lastRenderedPageBreak/>
        <w:t>1.3.2 The Joint Operations Centers of Article 24 serve as the operational nerve centers for ceasefire monitoring: every military movement above the notification thresholds of Article 25.3 enters the Shared Digital Registry within thirty minutes of initiation.</w:t>
      </w:r>
    </w:p>
    <w:p w14:paraId="158F59C2" w14:textId="77777777" w:rsidR="00180E7C" w:rsidRDefault="00000000">
      <w:pPr>
        <w:pStyle w:val="BodyText"/>
      </w:pPr>
      <w:r>
        <w:t>1.3.3 The Guarantor Matrix receives a daily ceasefire status bulletin during the first ninety days, weekly thereafter, and immediately upon any Level 3 or Level 4 anomaly under Annex C, Section 6.</w:t>
      </w:r>
    </w:p>
    <w:p w14:paraId="37731C60" w14:textId="77777777" w:rsidR="00180E7C" w:rsidRDefault="00000000">
      <w:pPr>
        <w:pStyle w:val="Heading3"/>
      </w:pPr>
      <w:bookmarkStart w:id="24" w:name="the-stand-still-principle"/>
      <w:bookmarkEnd w:id="23"/>
      <w:r>
        <w:t>1.4 The Stand-Still Principle</w:t>
      </w:r>
    </w:p>
    <w:p w14:paraId="561471DB" w14:textId="77777777" w:rsidR="00180E7C" w:rsidRDefault="00000000">
      <w:pPr>
        <w:pStyle w:val="FirstParagraph"/>
      </w:pPr>
      <w:r>
        <w:t>1.4.1 From EIF, neither Party introduces new offensive capabilities into the Gulf theater, constructs new military facilities within the buffer geometry of Article 17, or alters the verified baseline order of battle registered in Annex P, Schedule P-2, except through the notification and reciprocal adjustment procedure of Article 16.7.</w:t>
      </w:r>
    </w:p>
    <w:p w14:paraId="6960B65F" w14:textId="77777777" w:rsidR="00180E7C" w:rsidRDefault="00000000">
      <w:pPr>
        <w:pStyle w:val="BodyText"/>
      </w:pPr>
      <w:r>
        <w:t>1.4.2 The stand-still covers force levels, missile deployments, air defense postures, naval deployments, and military construction. Routine maintenance, personnel rotation at constant levels, and defensive readiness at baseline posture continue without restriction.</w:t>
      </w:r>
    </w:p>
    <w:p w14:paraId="3E415638" w14:textId="77777777" w:rsidR="00180E7C" w:rsidRDefault="00000000">
      <w:pPr>
        <w:pStyle w:val="Heading3"/>
      </w:pPr>
      <w:bookmarkStart w:id="25" w:name="breach-characterization"/>
      <w:bookmarkEnd w:id="24"/>
      <w:r>
        <w:t>1.5 Breach Characterization</w:t>
      </w:r>
    </w:p>
    <w:p w14:paraId="6B9577E9" w14:textId="77777777" w:rsidR="00180E7C" w:rsidRDefault="00000000">
      <w:pPr>
        <w:pStyle w:val="FirstParagraph"/>
      </w:pPr>
      <w:r>
        <w:t>1.5.1 A violation of this Article enters the Cothrom Engine at the tier corresponding to its gravity per Annex E. An isolated, localized incident below the casualty threshold of Annex E, Table E-1, produces a Tier 1 technical response. A deliberate, authorized strike produces Tier 3 step-back and activates the Emergency Stabilization Mechanism of Article 29.</w:t>
      </w:r>
    </w:p>
    <w:p w14:paraId="6026101E" w14:textId="77777777" w:rsidR="00180E7C" w:rsidRDefault="00000000">
      <w:pPr>
        <w:pStyle w:val="BodyText"/>
      </w:pPr>
      <w:r>
        <w:t>1.5.2 The resumption of general hostilities constitutes Material Breach under Article 69.6. The Cothrom Engine treats every lesser violation as a recoverable event, never as a trigger for automatic war.</w:t>
      </w:r>
    </w:p>
    <w:p w14:paraId="2F452D16" w14:textId="77777777" w:rsidR="00180E7C" w:rsidRDefault="00000000">
      <w:pPr>
        <w:pStyle w:val="TOCArticle"/>
      </w:pPr>
      <w:bookmarkStart w:id="26" w:name="article-2-definitions-of-hostile-acts"/>
      <w:bookmarkStart w:id="27" w:name="_Toc237843070"/>
      <w:bookmarkEnd w:id="19"/>
      <w:bookmarkEnd w:id="25"/>
      <w:r>
        <w:t>Article 2: Definitions of Hostile Acts</w:t>
      </w:r>
      <w:bookmarkEnd w:id="27"/>
    </w:p>
    <w:p w14:paraId="0BDF64D6" w14:textId="77777777" w:rsidR="00180E7C" w:rsidRDefault="00000000">
      <w:pPr>
        <w:pStyle w:val="Heading3"/>
      </w:pPr>
      <w:bookmarkStart w:id="28" w:name="exhaustive-enumeration"/>
      <w:r>
        <w:t>2.1 Exhaustive Enumeration</w:t>
      </w:r>
    </w:p>
    <w:p w14:paraId="142C0FEE" w14:textId="77777777" w:rsidR="00180E7C" w:rsidRDefault="00000000">
      <w:pPr>
        <w:pStyle w:val="FirstParagraph"/>
      </w:pPr>
      <w:r>
        <w:t>2.1.1 This Treaty defines hostile acts exhaustively. An act not listed in this Article, and not assimilable to a listed act by the interpretation rule of 2.4, does not constitute a hostile act under the Treaty.</w:t>
      </w:r>
    </w:p>
    <w:p w14:paraId="796BDB0C" w14:textId="77777777" w:rsidR="00180E7C" w:rsidRDefault="00000000">
      <w:pPr>
        <w:pStyle w:val="BodyText"/>
      </w:pPr>
      <w:r>
        <w:t xml:space="preserve">2.1.2 </w:t>
      </w:r>
      <w:r>
        <w:rPr>
          <w:b/>
          <w:bCs/>
        </w:rPr>
        <w:t>Kinetic hostile acts:</w:t>
      </w:r>
      <w:r>
        <w:t xml:space="preserve"> (a) any use of armed force by one Party against the territory, forces, vessels, aircraft, platforms, or nationals of the other; (b) any strike by missile, drone, aircraft, naval gunfire, artillery, or special operations; (c) any mining of waters or approaches; (d) any seizure, boarding, diversion, or detention of the other Party’s vessels or nationals outside the procedures of Title III; (e) any assassination or targeted killing of the other Party’s officials, officers, scientists, or nationals.</w:t>
      </w:r>
    </w:p>
    <w:p w14:paraId="39BF6767" w14:textId="77777777" w:rsidR="00180E7C" w:rsidRDefault="00000000">
      <w:pPr>
        <w:pStyle w:val="BodyText"/>
      </w:pPr>
      <w:r>
        <w:t xml:space="preserve">2.1.3 </w:t>
      </w:r>
      <w:r>
        <w:rPr>
          <w:b/>
          <w:bCs/>
        </w:rPr>
        <w:t>Coercive hostile acts:</w:t>
      </w:r>
      <w:r>
        <w:t xml:space="preserve"> (a) any blockade, quarantine, or closure of ports, straits, airspace, or borders against the other Party; (b) any interdiction of the other Party’s lawful commerce outside the inspection procedures of Title III; (c) any imposition of new sanctions, designations, or economic measures outside the architecture of Title IV after EIF; </w:t>
      </w:r>
      <w:r>
        <w:lastRenderedPageBreak/>
        <w:t>(d) any support to armed groups conducting operations against the other Party, within the attribution standards of Annex L, Section 5.</w:t>
      </w:r>
    </w:p>
    <w:p w14:paraId="7EEEA09F" w14:textId="77777777" w:rsidR="00180E7C" w:rsidRDefault="00000000">
      <w:pPr>
        <w:pStyle w:val="BodyText"/>
      </w:pPr>
      <w:r>
        <w:t xml:space="preserve">2.1.4 </w:t>
      </w:r>
      <w:r>
        <w:rPr>
          <w:b/>
          <w:bCs/>
        </w:rPr>
        <w:t>Covert and cyber hostile acts:</w:t>
      </w:r>
      <w:r>
        <w:t xml:space="preserve"> (a) any offensive cyber operation against the other Party’s critical infrastructure as defined in Article 22.2; (b) any covert action intended to overthrow, destabilize, or violently subvert the other Party’s constitutional order; (c) any sabotage of the other Party’s nuclear, energy, water, or transportation infrastructure; (d) any introduction of malicious software into systems subject to verification under this Treaty.</w:t>
      </w:r>
    </w:p>
    <w:p w14:paraId="2394FB89" w14:textId="77777777" w:rsidR="00180E7C" w:rsidRDefault="00000000">
      <w:pPr>
        <w:pStyle w:val="BodyText"/>
      </w:pPr>
      <w:r>
        <w:t xml:space="preserve">2.1.5 </w:t>
      </w:r>
      <w:r>
        <w:rPr>
          <w:b/>
          <w:bCs/>
        </w:rPr>
        <w:t>Prohibited facilitation:</w:t>
      </w:r>
      <w:r>
        <w:t xml:space="preserve"> the knowing provision of material support, basing, transit, intelligence, or financing to a third party for the purpose of committing any act listed in 2.1.2 through 2.1.4 against the other Party.</w:t>
      </w:r>
    </w:p>
    <w:p w14:paraId="25826F58" w14:textId="77777777" w:rsidR="00180E7C" w:rsidRDefault="00000000">
      <w:pPr>
        <w:pStyle w:val="Heading3"/>
      </w:pPr>
      <w:bookmarkStart w:id="29" w:name="acts-excluded-from-the-definition"/>
      <w:bookmarkEnd w:id="28"/>
      <w:r>
        <w:t>2.2 Acts Excluded from the Definition</w:t>
      </w:r>
    </w:p>
    <w:p w14:paraId="17F63BC4" w14:textId="77777777" w:rsidR="00180E7C" w:rsidRDefault="00000000">
      <w:pPr>
        <w:pStyle w:val="FirstParagraph"/>
      </w:pPr>
      <w:r>
        <w:t>2.2.1 The following do not constitute hostile acts: (a) enforcement actions of the Hormuz Authority executed under Title III procedures; (b) inspection and verification activities under this Treaty; (c) defensive readiness measures within the baseline posture registered under Article 1.4.2; (d) law enforcement action within a Party’s own territory consistent with international law; (e) diplomatic, journalistic, academic, or rhetorical activity, however critical, subject to the de-escalation commitments of Article 12.</w:t>
      </w:r>
    </w:p>
    <w:p w14:paraId="5C5F9BE7" w14:textId="77777777" w:rsidR="00180E7C" w:rsidRDefault="00000000">
      <w:pPr>
        <w:pStyle w:val="Heading3"/>
      </w:pPr>
      <w:bookmarkStart w:id="30" w:name="attribution-standards"/>
      <w:bookmarkEnd w:id="29"/>
      <w:r>
        <w:t>2.3 Attribution Standards</w:t>
      </w:r>
    </w:p>
    <w:p w14:paraId="5AECD49E" w14:textId="77777777" w:rsidR="00180E7C" w:rsidRDefault="00000000">
      <w:pPr>
        <w:pStyle w:val="FirstParagraph"/>
      </w:pPr>
      <w:r>
        <w:t>2.3.1 Attribution of a hostile act to a Party proceeds under the evidentiary standard of Annex C, Section 9: a finding requires convergent technical evidence from at least two independent collection disciplines, logged in the Shared Digital Registry, reviewed by the Joint Monitoring Cell, and confirmed through the Technical Truth Escalation Chain where disputed.</w:t>
      </w:r>
    </w:p>
    <w:p w14:paraId="4AA59A39" w14:textId="77777777" w:rsidR="00180E7C" w:rsidRDefault="00000000">
      <w:pPr>
        <w:pStyle w:val="BodyText"/>
      </w:pPr>
      <w:r>
        <w:t>2.3.2 Proxy attribution follows Annex L, Section 5: the framework attributes an act to a Party only upon proof of effective direction or control of the specific operation, or of material support knowingly provided for that operation. General political alignment, shared rhetoric, or historic association does not establish attribution.</w:t>
      </w:r>
    </w:p>
    <w:p w14:paraId="4E1A5AF7" w14:textId="77777777" w:rsidR="00180E7C" w:rsidRDefault="00000000">
      <w:pPr>
        <w:pStyle w:val="Heading3"/>
      </w:pPr>
      <w:bookmarkStart w:id="31" w:name="assimilation-rule"/>
      <w:bookmarkEnd w:id="30"/>
      <w:r>
        <w:t>2.4 Assimilation Rule</w:t>
      </w:r>
    </w:p>
    <w:p w14:paraId="6420A2E6" w14:textId="77777777" w:rsidR="00180E7C" w:rsidRDefault="00000000">
      <w:pPr>
        <w:pStyle w:val="FirstParagraph"/>
      </w:pPr>
      <w:r>
        <w:t>2.4.1 The High Contracting Council, acting by consensus, assimilates a novel form of hostile action to the categories of this Article through an interpretive decision registered with the Depositary. The Cothrom Engine then treats the assimilated category as if listed in 2.1.</w:t>
      </w:r>
    </w:p>
    <w:p w14:paraId="53164458" w14:textId="77777777" w:rsidR="00180E7C" w:rsidRDefault="00000000">
      <w:pPr>
        <w:pStyle w:val="TOCArticle"/>
      </w:pPr>
      <w:bookmarkStart w:id="32" w:name="X63a4f7f22a93fa25ed14f9354ce51df76ee14b6"/>
      <w:bookmarkStart w:id="33" w:name="_Toc237843071"/>
      <w:bookmarkEnd w:id="26"/>
      <w:bookmarkEnd w:id="31"/>
      <w:r>
        <w:t>Article 3: Mutual Recognition and Sovereignty</w:t>
      </w:r>
      <w:bookmarkEnd w:id="33"/>
    </w:p>
    <w:p w14:paraId="1848C84D" w14:textId="77777777" w:rsidR="00180E7C" w:rsidRDefault="00000000">
      <w:pPr>
        <w:pStyle w:val="Heading3"/>
      </w:pPr>
      <w:bookmarkStart w:id="34" w:name="recognition"/>
      <w:r>
        <w:t>3.1 Recognition</w:t>
      </w:r>
    </w:p>
    <w:p w14:paraId="3B38EDC4" w14:textId="77777777" w:rsidR="00180E7C" w:rsidRDefault="00000000">
      <w:pPr>
        <w:pStyle w:val="FirstParagraph"/>
      </w:pPr>
      <w:r>
        <w:t>3.1.1 The United States of America recognizes the Islamic Republic of Iran as the sovereign government of Iran within its internationally recognized borders, and renounces any policy objective of forcible regime change.</w:t>
      </w:r>
    </w:p>
    <w:p w14:paraId="12065019" w14:textId="77777777" w:rsidR="00180E7C" w:rsidRDefault="00000000">
      <w:pPr>
        <w:pStyle w:val="BodyText"/>
      </w:pPr>
      <w:r>
        <w:lastRenderedPageBreak/>
        <w:t>3.1.2 The Islamic Republic of Iran recognizes the United States of America as a sovereign state and a legitimate actor in international affairs, and renounces the doctrinal objective of expelling the United States from the international community of nations by force.</w:t>
      </w:r>
    </w:p>
    <w:p w14:paraId="173B8509" w14:textId="77777777" w:rsidR="00180E7C" w:rsidRDefault="00000000">
      <w:pPr>
        <w:pStyle w:val="BodyText"/>
      </w:pPr>
      <w:r>
        <w:t>3.1.3 Each Party respects the political system, constitutional order, and chosen form of government of the other. This Treaty neither requires nor implies endorsement of the other’s domestic arrangements.</w:t>
      </w:r>
    </w:p>
    <w:p w14:paraId="616B555A" w14:textId="77777777" w:rsidR="00180E7C" w:rsidRDefault="00000000">
      <w:pPr>
        <w:pStyle w:val="Heading3"/>
      </w:pPr>
      <w:bookmarkStart w:id="35" w:name="territorial-integrity"/>
      <w:bookmarkEnd w:id="34"/>
      <w:r>
        <w:t>3.2 Territorial Integrity</w:t>
      </w:r>
    </w:p>
    <w:p w14:paraId="6DB6488A" w14:textId="77777777" w:rsidR="00180E7C" w:rsidRDefault="00000000">
      <w:pPr>
        <w:pStyle w:val="FirstParagraph"/>
      </w:pPr>
      <w:r>
        <w:t>3.2.1 The Parties affirm the territorial integrity and political independence of both states and of the states of the region within internationally recognized borders.</w:t>
      </w:r>
    </w:p>
    <w:p w14:paraId="0509D717" w14:textId="77777777" w:rsidR="00180E7C" w:rsidRDefault="00000000">
      <w:pPr>
        <w:pStyle w:val="BodyText"/>
      </w:pPr>
      <w:r>
        <w:t>3.2.2 Nothing in this Treaty affects the positions of any state regarding the sovereignty of the islands of Abu Musa, Greater Tunb, and Lesser Tunb. The Treaty freezes that question without prejudice: no provision of this Treaty strengthens or weakens any claim, and the governance of the Strait under Title III operates on the functional principle of Article 35, which disengages navigation management from sovereignty adjudication.</w:t>
      </w:r>
    </w:p>
    <w:p w14:paraId="658D31B2" w14:textId="77777777" w:rsidR="00180E7C" w:rsidRDefault="00000000">
      <w:pPr>
        <w:pStyle w:val="Heading3"/>
      </w:pPr>
      <w:bookmarkStart w:id="36" w:name="non-interference"/>
      <w:bookmarkEnd w:id="35"/>
      <w:r>
        <w:t>3.3 Non-Interference</w:t>
      </w:r>
    </w:p>
    <w:p w14:paraId="74B8572C" w14:textId="77777777" w:rsidR="00180E7C" w:rsidRDefault="00000000">
      <w:pPr>
        <w:pStyle w:val="FirstParagraph"/>
      </w:pPr>
      <w:r>
        <w:t>3.3.1 The architecture of this Treaty excludes interference in the internal affairs of either Party. The Parties conduct their relations through the diplomatic channels of Article 5 and the treaty organs, not through support to internal opposition movements, covert funding of civil unrest, or information operations targeting the other’s constitutional stability.</w:t>
      </w:r>
    </w:p>
    <w:p w14:paraId="5EF52732" w14:textId="77777777" w:rsidR="00180E7C" w:rsidRDefault="00000000">
      <w:pPr>
        <w:pStyle w:val="BodyText"/>
      </w:pPr>
      <w:r>
        <w:t>3.3.2 The framework distinguishes protected civic space from covert action: independent journalism, academic exchange, humanitarian advocacy, and the activities of civil society organizations operating openly and without governmental direction continue without restriction under Article 84.</w:t>
      </w:r>
    </w:p>
    <w:p w14:paraId="7DED9EDF" w14:textId="77777777" w:rsidR="00180E7C" w:rsidRDefault="00000000">
      <w:pPr>
        <w:pStyle w:val="TOCArticle"/>
      </w:pPr>
      <w:bookmarkStart w:id="37" w:name="article-4-non-aggression-pact"/>
      <w:bookmarkStart w:id="38" w:name="_Toc237843072"/>
      <w:bookmarkEnd w:id="32"/>
      <w:bookmarkEnd w:id="36"/>
      <w:r>
        <w:t>Article 4: Non-Aggression Pact</w:t>
      </w:r>
      <w:bookmarkEnd w:id="38"/>
    </w:p>
    <w:p w14:paraId="1FF4DEEE" w14:textId="77777777" w:rsidR="00180E7C" w:rsidRDefault="00000000">
      <w:pPr>
        <w:pStyle w:val="Heading3"/>
      </w:pPr>
      <w:bookmarkStart w:id="39" w:name="the-renunciation"/>
      <w:r>
        <w:t>4.1 The Renunciation</w:t>
      </w:r>
    </w:p>
    <w:p w14:paraId="10190524" w14:textId="77777777" w:rsidR="00180E7C" w:rsidRDefault="00000000">
      <w:pPr>
        <w:pStyle w:val="FirstParagraph"/>
      </w:pPr>
      <w:r>
        <w:t>4.1.1 The Parties renounce the threat or use of force against each other, in any form, for any purpose, in perpetuity. This renunciation binds regardless of technological change, alliance shifts, or leadership transitions.</w:t>
      </w:r>
    </w:p>
    <w:p w14:paraId="2AE6DDCB" w14:textId="77777777" w:rsidR="00180E7C" w:rsidRDefault="00000000">
      <w:pPr>
        <w:pStyle w:val="BodyText"/>
      </w:pPr>
      <w:r>
        <w:t>4.1.2 The renunciation covers direct action, action through proxies, action through third states, and action through non-state instruments. The architecture of the Treaty provides the exclusive channel for the resolution of every dispute: the Cothrom Engine, the dispute mechanisms of Article 69, and the organs of the Treaty.</w:t>
      </w:r>
    </w:p>
    <w:p w14:paraId="75D7728F" w14:textId="77777777" w:rsidR="00180E7C" w:rsidRDefault="00000000">
      <w:pPr>
        <w:pStyle w:val="Heading3"/>
      </w:pPr>
      <w:bookmarkStart w:id="40" w:name="regional-non-aggression-undertakings"/>
      <w:bookmarkEnd w:id="39"/>
      <w:r>
        <w:t>4.2 Regional Non-Aggression Undertakings</w:t>
      </w:r>
    </w:p>
    <w:p w14:paraId="6552D288" w14:textId="77777777" w:rsidR="00180E7C" w:rsidRDefault="00000000">
      <w:pPr>
        <w:pStyle w:val="FirstParagraph"/>
      </w:pPr>
      <w:r>
        <w:t>4.2.1 The Parties extend the renunciation to the territory, forces, and nationals of the regional partners listed in Title VI, within the scope and through the instruments there defined.</w:t>
      </w:r>
    </w:p>
    <w:p w14:paraId="35638B8A" w14:textId="77777777" w:rsidR="00180E7C" w:rsidRDefault="00000000">
      <w:pPr>
        <w:pStyle w:val="BodyText"/>
      </w:pPr>
      <w:r>
        <w:lastRenderedPageBreak/>
        <w:t>4.2.2 Iran affirms that its defense doctrine excludes war of aggression against any regional state. The United States affirms that its regional force posture serves exclusively defensive and stabilization purposes within the limits of Title II.</w:t>
      </w:r>
    </w:p>
    <w:p w14:paraId="46ED08B2" w14:textId="77777777" w:rsidR="00180E7C" w:rsidRDefault="00000000">
      <w:pPr>
        <w:pStyle w:val="Heading3"/>
      </w:pPr>
      <w:bookmarkStart w:id="41" w:name="no-first-use-of-coercion"/>
      <w:bookmarkEnd w:id="40"/>
      <w:r>
        <w:t>4.3 No First Use of Coercion</w:t>
      </w:r>
    </w:p>
    <w:p w14:paraId="0E736D28" w14:textId="77777777" w:rsidR="00180E7C" w:rsidRDefault="00000000">
      <w:pPr>
        <w:pStyle w:val="FirstParagraph"/>
      </w:pPr>
      <w:r>
        <w:t>4.3.1 The framework excludes the initiation of economic siege measures, naval pressure operations, or covert campaigns as instruments of first resort. A grievance enters the dispute architecture before any countermeasure, and countermeasures conform to the proportionality ceilings of Article 70.5.</w:t>
      </w:r>
    </w:p>
    <w:p w14:paraId="7D2F5EDC" w14:textId="77777777" w:rsidR="00180E7C" w:rsidRDefault="00000000">
      <w:pPr>
        <w:pStyle w:val="Heading3"/>
      </w:pPr>
      <w:bookmarkStart w:id="42" w:name="duration"/>
      <w:bookmarkEnd w:id="41"/>
      <w:r>
        <w:t>4.4 Duration</w:t>
      </w:r>
    </w:p>
    <w:p w14:paraId="1D571B21" w14:textId="77777777" w:rsidR="00180E7C" w:rsidRDefault="00000000">
      <w:pPr>
        <w:pStyle w:val="FirstParagraph"/>
      </w:pPr>
      <w:r>
        <w:t>4.4.1 This Article operates in perpetuity. It survives the expiration, suspension, or termination of any other provision, per Article 75.2.</w:t>
      </w:r>
    </w:p>
    <w:p w14:paraId="31B8888C" w14:textId="77777777" w:rsidR="00180E7C" w:rsidRDefault="00000000">
      <w:pPr>
        <w:pStyle w:val="Heading3"/>
      </w:pPr>
      <w:bookmarkStart w:id="43" w:name="relation-to-collective-arrangements"/>
      <w:bookmarkEnd w:id="42"/>
      <w:r>
        <w:t>4.5 Relation to Collective Arrangements</w:t>
      </w:r>
    </w:p>
    <w:p w14:paraId="0F5B283F" w14:textId="77777777" w:rsidR="00180E7C" w:rsidRDefault="00000000">
      <w:pPr>
        <w:pStyle w:val="FirstParagraph"/>
      </w:pPr>
      <w:r>
        <w:t>4.5.1 Nothing in this Treaty dissolves the existing alliance relationships of the United States or the partnership relationships of Iran. Those relationships operate subject to the prohibition of 4.1: no alliance obligation overrides the renunciation of force between the Parties.</w:t>
      </w:r>
    </w:p>
    <w:p w14:paraId="3723B402" w14:textId="77777777" w:rsidR="00180E7C" w:rsidRDefault="00000000">
      <w:pPr>
        <w:pStyle w:val="Heading3"/>
      </w:pPr>
      <w:bookmarkStart w:id="44" w:name="structured-self-defense"/>
      <w:bookmarkEnd w:id="43"/>
      <w:r>
        <w:t>4.6 Structured Self-Defense</w:t>
      </w:r>
    </w:p>
    <w:p w14:paraId="6FBD7043" w14:textId="77777777" w:rsidR="00180E7C" w:rsidRDefault="00000000">
      <w:pPr>
        <w:pStyle w:val="FirstParagraph"/>
      </w:pPr>
      <w:r>
        <w:t>4.6.1 Nothing in this Treaty impairs the inherent right of individual or collective self-defense under Article 51 of the United Nations Charter in the event of an armed attack. A Party exercising that right notifies the Security Council and the High Contracting Council immediately, confines the response to the necessities of the attack, and restores the ceasefire at the earliest moment. The Emergency Stabilization Mechanism of Article 29 convenes within twelve hours of any such notification.</w:t>
      </w:r>
    </w:p>
    <w:p w14:paraId="5188BBBE" w14:textId="77777777" w:rsidR="00180E7C" w:rsidRDefault="00000000">
      <w:pPr>
        <w:pStyle w:val="TOCArticle"/>
      </w:pPr>
      <w:bookmarkStart w:id="45" w:name="article-5-diplomatic-normalization"/>
      <w:bookmarkStart w:id="46" w:name="_Toc237843073"/>
      <w:bookmarkEnd w:id="37"/>
      <w:bookmarkEnd w:id="44"/>
      <w:r>
        <w:t>Article 5: Diplomatic Normalization</w:t>
      </w:r>
      <w:bookmarkEnd w:id="46"/>
    </w:p>
    <w:p w14:paraId="0597362D" w14:textId="77777777" w:rsidR="00180E7C" w:rsidRDefault="00000000">
      <w:pPr>
        <w:pStyle w:val="Heading3"/>
      </w:pPr>
      <w:bookmarkStart w:id="47" w:name="interests-sections-to-embassies"/>
      <w:r>
        <w:t>5.1 Interests Sections to Embassies</w:t>
      </w:r>
    </w:p>
    <w:p w14:paraId="15062123" w14:textId="77777777" w:rsidR="00180E7C" w:rsidRDefault="00000000">
      <w:pPr>
        <w:pStyle w:val="FirstParagraph"/>
      </w:pPr>
      <w:r>
        <w:t>5.1.1 The Parties upgrade their respective Interests Sections, currently operating under the protecting power mandates of Switzerland in Tehran and Pakistan in Washington, to full embassies in two stages: within one hundred eighty days of EIF, the Parties exchange chargés d’affaires and expand the Interests Sections to full-service missions; within five hundred forty days of EIF, upon completion of the security and premises milestones of 5.2, the Parties exchange ambassadors.</w:t>
      </w:r>
    </w:p>
    <w:p w14:paraId="2731E574" w14:textId="77777777" w:rsidR="00180E7C" w:rsidRDefault="00000000">
      <w:pPr>
        <w:pStyle w:val="BodyText"/>
      </w:pPr>
      <w:r>
        <w:t>5.1.2 Each Party accredits a diplomatic mission of up to sixty-five diplomatic staff in the first stage, expanding to one hundred twenty after ambassadorial exchange, with consulates in one additional city each (Mashhad and Houston respectively, or as agreed through the Joint Diplomatic Working Group).</w:t>
      </w:r>
    </w:p>
    <w:p w14:paraId="403C4D49" w14:textId="77777777" w:rsidR="00180E7C" w:rsidRDefault="00000000">
      <w:pPr>
        <w:pStyle w:val="Heading3"/>
      </w:pPr>
      <w:bookmarkStart w:id="48" w:name="premises-and-security"/>
      <w:bookmarkEnd w:id="47"/>
      <w:r>
        <w:lastRenderedPageBreak/>
        <w:t>5.2 Premises and Security</w:t>
      </w:r>
    </w:p>
    <w:p w14:paraId="646DC18F" w14:textId="77777777" w:rsidR="00180E7C" w:rsidRDefault="00000000">
      <w:pPr>
        <w:pStyle w:val="FirstParagraph"/>
      </w:pPr>
      <w:r>
        <w:t>5.2.1 Each Party provides premises, security perimeters, and immunities for the other’s mission in accordance with the Vienna Convention on Diplomatic Relations of 1961 and the Vienna Convention on Consular Relations of 1963, both of which this Treaty reaffirms as between the Parties from EIF.</w:t>
      </w:r>
    </w:p>
    <w:p w14:paraId="61A77532" w14:textId="77777777" w:rsidR="00180E7C" w:rsidRDefault="00000000">
      <w:pPr>
        <w:pStyle w:val="BodyText"/>
      </w:pPr>
      <w:r>
        <w:t>5.2.2 The Joint Diplomatic Working Group, co-chaired by the Swiss Facilitator, resolves site selection, security arrangements, and staffing logistics. It convenes within fourteen days of EIF and reports monthly to the High Contracting Council.</w:t>
      </w:r>
    </w:p>
    <w:p w14:paraId="7047EEBB" w14:textId="77777777" w:rsidR="00180E7C" w:rsidRDefault="00000000">
      <w:pPr>
        <w:pStyle w:val="Heading3"/>
      </w:pPr>
      <w:bookmarkStart w:id="49" w:name="hotlines-and-standing-channels"/>
      <w:bookmarkEnd w:id="48"/>
      <w:r>
        <w:t>5.3 Hotlines and Standing Channels</w:t>
      </w:r>
    </w:p>
    <w:p w14:paraId="129E6789" w14:textId="77777777" w:rsidR="00180E7C" w:rsidRDefault="00000000">
      <w:pPr>
        <w:pStyle w:val="FirstParagraph"/>
      </w:pPr>
      <w:r>
        <w:t>5.3.1 The Parties operate the following permanent channels: (a) a heads-of-government hotline with dedicated encrypted voice and text links, tested weekly; (b) a foreign ministers channel with secure video capability, tested weekly; (c) the military deconfliction lines of Article 24.4; (d) the nuclear technical channel of Article 62.7; (e) the treasury-to-treasury financial channel of Article 55.4.</w:t>
      </w:r>
    </w:p>
    <w:p w14:paraId="61F69FF3" w14:textId="77777777" w:rsidR="00180E7C" w:rsidRDefault="00000000">
      <w:pPr>
        <w:pStyle w:val="BodyText"/>
      </w:pPr>
      <w:r>
        <w:t>5.3.2 Each channel operates continuously. A technical failure of any channel triggers restoration within six hours and immediate notification through the surviving channels.</w:t>
      </w:r>
    </w:p>
    <w:p w14:paraId="4D631B6C" w14:textId="77777777" w:rsidR="00180E7C" w:rsidRDefault="00000000">
      <w:pPr>
        <w:pStyle w:val="Heading3"/>
      </w:pPr>
      <w:bookmarkStart w:id="50" w:name="consular-relations"/>
      <w:bookmarkEnd w:id="49"/>
      <w:r>
        <w:t>5.4 Consular Relations</w:t>
      </w:r>
    </w:p>
    <w:p w14:paraId="6E1FD885" w14:textId="77777777" w:rsidR="00180E7C" w:rsidRDefault="00000000">
      <w:pPr>
        <w:pStyle w:val="FirstParagraph"/>
      </w:pPr>
      <w:r>
        <w:t>5.4.1 Consular access between the Parties operates from EIF under the Vienna Convention on Consular Relations: each Party grants consular access to detained nationals of the other within seventy-two hours of detention and informs the other’s mission of any detention within ninety-six hours.</w:t>
      </w:r>
    </w:p>
    <w:p w14:paraId="56C261CC" w14:textId="77777777" w:rsidR="00180E7C" w:rsidRDefault="00000000">
      <w:pPr>
        <w:pStyle w:val="BodyText"/>
      </w:pPr>
      <w:r>
        <w:t>5.4.2 The Parties resume issuance of visas for diplomatic, official, journalistic, academic, athletic, and family-visit travel within ninety days of EIF, under reciprocity and the security screening standards exchanged through the Joint Diplomatic Working Group.</w:t>
      </w:r>
    </w:p>
    <w:p w14:paraId="7A2EB622" w14:textId="77777777" w:rsidR="00180E7C" w:rsidRDefault="00000000">
      <w:pPr>
        <w:pStyle w:val="TOCArticle"/>
      </w:pPr>
      <w:bookmarkStart w:id="51" w:name="Xe0a921b14c3d218e2a0b365c9a021d4fe1f081c"/>
      <w:bookmarkStart w:id="52" w:name="_Toc237843074"/>
      <w:bookmarkEnd w:id="45"/>
      <w:bookmarkEnd w:id="50"/>
      <w:r>
        <w:t>Article 6: Political Guarantees and Leadership Security</w:t>
      </w:r>
      <w:bookmarkEnd w:id="52"/>
    </w:p>
    <w:p w14:paraId="6D0E2D2F" w14:textId="77777777" w:rsidR="00180E7C" w:rsidRDefault="00000000">
      <w:pPr>
        <w:pStyle w:val="Heading3"/>
      </w:pPr>
      <w:bookmarkStart w:id="53" w:name="the-guarantee"/>
      <w:r>
        <w:t>6.1 The Guarantee</w:t>
      </w:r>
    </w:p>
    <w:p w14:paraId="53E86793" w14:textId="77777777" w:rsidR="00180E7C" w:rsidRDefault="00000000">
      <w:pPr>
        <w:pStyle w:val="FirstParagraph"/>
      </w:pPr>
      <w:r>
        <w:t>6.1.1 The architecture of this Treaty excludes: the assassination, abduction, or physical targeting of the leadership, officials, officers, scientists, or nationals of either Party; support to coup attempts, armed insurrection, or violent subversion; and the designation of the other Party’s head of state or head of government under personal sanctions regimes.</w:t>
      </w:r>
    </w:p>
    <w:p w14:paraId="15DA43DA" w14:textId="77777777" w:rsidR="00180E7C" w:rsidRDefault="00000000">
      <w:pPr>
        <w:pStyle w:val="BodyText"/>
      </w:pPr>
      <w:r>
        <w:t>6.1.2 Existing personal designations against the leadership of either Party terminate at EIF under the schedule of Annex G, Table G-3.</w:t>
      </w:r>
    </w:p>
    <w:p w14:paraId="7169C6AD" w14:textId="77777777" w:rsidR="00180E7C" w:rsidRDefault="00000000">
      <w:pPr>
        <w:pStyle w:val="Heading3"/>
      </w:pPr>
      <w:bookmarkStart w:id="54" w:name="threat-environment-protocol"/>
      <w:bookmarkEnd w:id="53"/>
      <w:r>
        <w:t>6.2 Threat Environment Protocol</w:t>
      </w:r>
    </w:p>
    <w:p w14:paraId="01F7DBCE" w14:textId="77777777" w:rsidR="00180E7C" w:rsidRDefault="00000000">
      <w:pPr>
        <w:pStyle w:val="FirstParagraph"/>
      </w:pPr>
      <w:r>
        <w:t xml:space="preserve">6.2.1 Each Party maintains a standing protective posture for the other’s diplomatic premises and accredited personnel. Credible threat information concerning the other’s </w:t>
      </w:r>
      <w:r>
        <w:lastRenderedPageBreak/>
        <w:t>leadership or missions transits the hotline of Article 5.3.1(a) immediately upon receipt, with the receiving Party acknowledging within two hours.</w:t>
      </w:r>
    </w:p>
    <w:p w14:paraId="1CB8122E" w14:textId="77777777" w:rsidR="00180E7C" w:rsidRDefault="00000000">
      <w:pPr>
        <w:pStyle w:val="Heading3"/>
      </w:pPr>
      <w:bookmarkStart w:id="55" w:name="Xac1a8cda3a79cf737f223a6c10d67cd9d613799"/>
      <w:bookmarkEnd w:id="54"/>
      <w:r>
        <w:t>6.3 Rhetorical De-escalation Regarding Leadership</w:t>
      </w:r>
    </w:p>
    <w:p w14:paraId="5C9E25DC" w14:textId="77777777" w:rsidR="00180E7C" w:rsidRDefault="00000000">
      <w:pPr>
        <w:pStyle w:val="FirstParagraph"/>
      </w:pPr>
      <w:r>
        <w:t>6.3.1 Consistent with Article 12, official communications of each Party treat the leadership of the other with the respect owed to sovereign equals. The framework excludes threats against the person of the Supreme Leader of Iran and the person of the President of the United States from official discourse, from state media guidance, and from official social media channels.</w:t>
      </w:r>
    </w:p>
    <w:p w14:paraId="3A1F4DC7" w14:textId="77777777" w:rsidR="00180E7C" w:rsidRDefault="00000000">
      <w:pPr>
        <w:pStyle w:val="TOCArticle"/>
      </w:pPr>
      <w:bookmarkStart w:id="56" w:name="X279297d822cf1025a2c2ba580e3e7621c3e2a46"/>
      <w:bookmarkStart w:id="57" w:name="_Toc237843075"/>
      <w:bookmarkEnd w:id="51"/>
      <w:bookmarkEnd w:id="55"/>
      <w:r>
        <w:t>Article 7: Proxy Deactivation and Regional Conduct</w:t>
      </w:r>
      <w:bookmarkEnd w:id="57"/>
    </w:p>
    <w:p w14:paraId="5DF79180" w14:textId="77777777" w:rsidR="00180E7C" w:rsidRDefault="00000000">
      <w:pPr>
        <w:pStyle w:val="Heading3"/>
      </w:pPr>
      <w:bookmarkStart w:id="58" w:name="the-transformation-principle"/>
      <w:r>
        <w:t>7.1 The Transformation Principle</w:t>
      </w:r>
    </w:p>
    <w:p w14:paraId="7D95BCE7" w14:textId="77777777" w:rsidR="00180E7C" w:rsidRDefault="00000000">
      <w:pPr>
        <w:pStyle w:val="FirstParagraph"/>
      </w:pPr>
      <w:r>
        <w:t>7.1.1 The Treaty transforms the proxy domain from an instrument of regional conflict into a subject of regional stabilization. The mechanisms operate through Title VI and Annex L, which contain the operative instruments: the Lebanon protocol, the Yemen protocol, the Iraq roadmap, and the Syria drawdown schedule.</w:t>
      </w:r>
    </w:p>
    <w:p w14:paraId="747CEF36" w14:textId="77777777" w:rsidR="00180E7C" w:rsidRDefault="00000000">
      <w:pPr>
        <w:pStyle w:val="BodyText"/>
      </w:pPr>
      <w:r>
        <w:t>7.1.2 Iran terminates the supply of weapons, weapons components, precision-guidance kits, and military financing to non-state armed groups conducting attacks across international borders, per the verified schedules of Annex L. The termination proceeds group by group on the timelines of Annex L, Tables L-2 through L-5, synchronized with the reciprocal regional steps of Title VI.</w:t>
      </w:r>
    </w:p>
    <w:p w14:paraId="77F1F036" w14:textId="77777777" w:rsidR="00180E7C" w:rsidRDefault="00000000">
      <w:pPr>
        <w:pStyle w:val="BodyText"/>
      </w:pPr>
      <w:r>
        <w:t>7.1.3 The United States terminates the provision of weapons, intelligence, and operational support for offensive operations by regional partners against Iranian territory, forces, or interests, within the same verification architecture.</w:t>
      </w:r>
    </w:p>
    <w:p w14:paraId="179942BA" w14:textId="77777777" w:rsidR="00180E7C" w:rsidRDefault="00000000">
      <w:pPr>
        <w:pStyle w:val="Heading3"/>
      </w:pPr>
      <w:bookmarkStart w:id="59" w:name="legitimate-political-participation"/>
      <w:bookmarkEnd w:id="58"/>
      <w:r>
        <w:t>7.2 Legitimate Political Participation</w:t>
      </w:r>
    </w:p>
    <w:p w14:paraId="6DA19DD4" w14:textId="77777777" w:rsidR="00180E7C" w:rsidRDefault="00000000">
      <w:pPr>
        <w:pStyle w:val="FirstParagraph"/>
      </w:pPr>
      <w:r>
        <w:t>7.2.1 Nothing in this Article extinguishes the legitimate political, social, religious, or charitable activities of any movement. The architecture distinguishes armed external operations, which the Treaty retires, from domestic political participation, which remains the sovereign affair of each state.</w:t>
      </w:r>
    </w:p>
    <w:p w14:paraId="6C30BA0F" w14:textId="77777777" w:rsidR="00180E7C" w:rsidRDefault="00000000">
      <w:pPr>
        <w:pStyle w:val="Heading3"/>
      </w:pPr>
      <w:bookmarkStart w:id="60" w:name="verification-of-the-proxy-domain"/>
      <w:bookmarkEnd w:id="59"/>
      <w:r>
        <w:t>7.3 Verification of the Proxy Domain</w:t>
      </w:r>
    </w:p>
    <w:p w14:paraId="245ECEF5" w14:textId="77777777" w:rsidR="00180E7C" w:rsidRDefault="00000000">
      <w:pPr>
        <w:pStyle w:val="FirstParagraph"/>
      </w:pPr>
      <w:r>
        <w:t>7.3.1 The Cothrom Engine monitors the proxy domain through the border monitoring architecture of Annex L, Section 7: sensors, overflight data shared under Article 19, financial tracking under Article 55, and the declarations regime of Annex L, Section 4.</w:t>
      </w:r>
    </w:p>
    <w:p w14:paraId="64364A12" w14:textId="77777777" w:rsidR="00180E7C" w:rsidRDefault="00000000">
      <w:pPr>
        <w:pStyle w:val="BodyText"/>
      </w:pPr>
      <w:r>
        <w:t>7.3.2 Attribution disputes proceed under Article 2.3 and the Technical Truth Escalation Chain. No unverified allegation produces a consequence.</w:t>
      </w:r>
    </w:p>
    <w:p w14:paraId="11C46FCE" w14:textId="77777777" w:rsidR="00180E7C" w:rsidRDefault="00000000">
      <w:pPr>
        <w:pStyle w:val="TOCArticle"/>
      </w:pPr>
      <w:bookmarkStart w:id="61" w:name="article-8-regional-coordination"/>
      <w:bookmarkStart w:id="62" w:name="_Toc237843076"/>
      <w:bookmarkEnd w:id="56"/>
      <w:bookmarkEnd w:id="60"/>
      <w:r>
        <w:lastRenderedPageBreak/>
        <w:t>Article 8: Regional Coordination</w:t>
      </w:r>
      <w:bookmarkEnd w:id="62"/>
    </w:p>
    <w:p w14:paraId="3801EE74" w14:textId="77777777" w:rsidR="00180E7C" w:rsidRDefault="00000000">
      <w:pPr>
        <w:pStyle w:val="Heading3"/>
      </w:pPr>
      <w:bookmarkStart w:id="63" w:name="the-regional-standing-conference"/>
      <w:r>
        <w:t>8.1 The Regional Standing Conference</w:t>
      </w:r>
    </w:p>
    <w:p w14:paraId="3D25AFF5" w14:textId="77777777" w:rsidR="00180E7C" w:rsidRDefault="00000000">
      <w:pPr>
        <w:pStyle w:val="FirstParagraph"/>
      </w:pPr>
      <w:r>
        <w:t>8.1.1 The Parties establish, together with the Gulf Cooperation Council states, Iraq, and interested regional partners, the Regional Standing Conference on Security and Cooperation (RSCSC), convened under the chairmanship of Oman, meeting quarterly in Muscat.</w:t>
      </w:r>
    </w:p>
    <w:p w14:paraId="69DC1F58" w14:textId="77777777" w:rsidR="00180E7C" w:rsidRDefault="00000000">
      <w:pPr>
        <w:pStyle w:val="BodyText"/>
      </w:pPr>
      <w:r>
        <w:t>8.1.2 The RSCSC addresses: maritime safety, military deconfliction, incident prevention, environmental protection, counter-narcotics, and the coordination of the reconstruction programs of Article 52 and Title VI.</w:t>
      </w:r>
    </w:p>
    <w:p w14:paraId="3CAB6EE7" w14:textId="77777777" w:rsidR="00180E7C" w:rsidRDefault="00000000">
      <w:pPr>
        <w:pStyle w:val="BodyText"/>
      </w:pPr>
      <w:r>
        <w:t>8.1.3 The RSCSC operates by consensus. Its decisions take the form of recommendations to member governments and to the organs of this Treaty.</w:t>
      </w:r>
    </w:p>
    <w:p w14:paraId="17CA5808" w14:textId="77777777" w:rsidR="00180E7C" w:rsidRDefault="00000000">
      <w:pPr>
        <w:pStyle w:val="Heading3"/>
      </w:pPr>
      <w:bookmarkStart w:id="64" w:name="integration-with-existing-frameworks"/>
      <w:bookmarkEnd w:id="63"/>
      <w:r>
        <w:t>8.2 Integration with Existing Frameworks</w:t>
      </w:r>
    </w:p>
    <w:p w14:paraId="489FE2A7" w14:textId="77777777" w:rsidR="00180E7C" w:rsidRDefault="00000000">
      <w:pPr>
        <w:pStyle w:val="FirstParagraph"/>
      </w:pPr>
      <w:r>
        <w:t>8.2.1 The Treaty integrates with, and does not supplant: the United Nations system, the International Maritime Organization framework, the Gulf Cooperation Council structures, the Arab League mechanisms, and the Organization of Islamic Cooperation. Article 43 details the maritime integration.</w:t>
      </w:r>
    </w:p>
    <w:p w14:paraId="38C6FFE7" w14:textId="77777777" w:rsidR="00180E7C" w:rsidRDefault="00000000">
      <w:pPr>
        <w:pStyle w:val="BodyText"/>
      </w:pPr>
      <w:r>
        <w:t>8.2.2 The Parties support the transformation of the ad hoc crisis arrangements of 2026 into the permanent institutional architecture of this Treaty and the RSCSC.</w:t>
      </w:r>
    </w:p>
    <w:p w14:paraId="45541596" w14:textId="77777777" w:rsidR="00180E7C" w:rsidRDefault="00000000">
      <w:pPr>
        <w:pStyle w:val="TOCArticle"/>
      </w:pPr>
      <w:bookmarkStart w:id="65" w:name="Xfc932cbb15c7ea713e2853c986ad0a14649d476"/>
      <w:bookmarkStart w:id="66" w:name="_Toc237843077"/>
      <w:bookmarkEnd w:id="61"/>
      <w:bookmarkEnd w:id="64"/>
      <w:r>
        <w:t>Article 9: Humanitarian Access and Civilian Protection</w:t>
      </w:r>
      <w:bookmarkEnd w:id="66"/>
    </w:p>
    <w:p w14:paraId="45CCFF12" w14:textId="77777777" w:rsidR="00180E7C" w:rsidRDefault="00000000">
      <w:pPr>
        <w:pStyle w:val="Heading3"/>
      </w:pPr>
      <w:bookmarkStart w:id="67" w:name="the-humanitarian-firewall-restated"/>
      <w:r>
        <w:t>9.1 The Humanitarian Firewall Restated</w:t>
      </w:r>
    </w:p>
    <w:p w14:paraId="64623EBD" w14:textId="77777777" w:rsidR="00180E7C" w:rsidRDefault="00000000">
      <w:pPr>
        <w:pStyle w:val="FirstParagraph"/>
      </w:pPr>
      <w:r>
        <w:t>9.1.1 Food, medicine, medical equipment, and humanitarian relief move first, under every condition, without exception. This rule overrides every other provision of this Treaty and every consequence under the Cothrom Engine.</w:t>
      </w:r>
    </w:p>
    <w:p w14:paraId="280DB366" w14:textId="77777777" w:rsidR="00180E7C" w:rsidRDefault="00000000">
      <w:pPr>
        <w:pStyle w:val="BodyText"/>
      </w:pPr>
      <w:r>
        <w:t>9.1.2 Humanitarian personnel, facilities, and transports enjoy protection under international humanitarian law, which this Treaty reaffirms and operationalizes through the corridors of Annex M, Section 3.</w:t>
      </w:r>
    </w:p>
    <w:p w14:paraId="30A8289F" w14:textId="77777777" w:rsidR="00180E7C" w:rsidRDefault="00000000">
      <w:pPr>
        <w:pStyle w:val="Heading3"/>
      </w:pPr>
      <w:bookmarkStart w:id="68" w:name="corridors-and-facilitation"/>
      <w:bookmarkEnd w:id="67"/>
      <w:r>
        <w:t>9.2 Corridors and Facilitation</w:t>
      </w:r>
    </w:p>
    <w:p w14:paraId="3E2B2A10" w14:textId="77777777" w:rsidR="00180E7C" w:rsidRDefault="00000000">
      <w:pPr>
        <w:pStyle w:val="FirstParagraph"/>
      </w:pPr>
      <w:r>
        <w:t>9.2.1 The Humanitarian Corridors of Annex M operate permanently: sea corridors through the Hormuz emergency lane with priority clearance, air corridors through the flight information regions of Article 19.5, and land corridors through the border crossing points of Annex M, Table M-2.</w:t>
      </w:r>
    </w:p>
    <w:p w14:paraId="18F97A89" w14:textId="77777777" w:rsidR="00180E7C" w:rsidRDefault="00000000">
      <w:pPr>
        <w:pStyle w:val="BodyText"/>
      </w:pPr>
      <w:r>
        <w:t>9.2.2 Humanitarian shipments transit the Strait of Hormuz without fee, without inspection delay beyond the rapid screening protocol of Annex M, Section 4, and without exposure to any step-back, penalty, or dispute outcome.</w:t>
      </w:r>
    </w:p>
    <w:p w14:paraId="35DEA1A0" w14:textId="77777777" w:rsidR="00180E7C" w:rsidRDefault="00000000">
      <w:pPr>
        <w:pStyle w:val="Heading3"/>
      </w:pPr>
      <w:bookmarkStart w:id="69" w:name="civilian-protection-commitments"/>
      <w:bookmarkEnd w:id="68"/>
      <w:r>
        <w:lastRenderedPageBreak/>
        <w:t>9.3 Civilian Protection Commitments</w:t>
      </w:r>
    </w:p>
    <w:p w14:paraId="38EB5862" w14:textId="77777777" w:rsidR="00180E7C" w:rsidRDefault="00000000">
      <w:pPr>
        <w:pStyle w:val="FirstParagraph"/>
      </w:pPr>
      <w:r>
        <w:t>9.3.1 The Parties reaffirm the Geneva Conventions of 1949 and their customary law cores. The framework excludes the targeting of civilians, civilian objects, medical units, and humanitarian operations in any contingency, including any resumption of hostilities.</w:t>
      </w:r>
    </w:p>
    <w:p w14:paraId="37AA789A" w14:textId="77777777" w:rsidR="00180E7C" w:rsidRDefault="00000000">
      <w:pPr>
        <w:pStyle w:val="BodyText"/>
      </w:pPr>
      <w:r>
        <w:t>9.3.2 The Parties establish the Joint Civilian Harm Review Cell under Annex M, Section 8, which investigates reports of civilian harm from the 2026 war and from any subsequent incident, documents findings in the Shared Digital Registry, and transmits recommendations to the accountability mechanisms of Article 65.</w:t>
      </w:r>
    </w:p>
    <w:p w14:paraId="21E16CFC" w14:textId="77777777" w:rsidR="00180E7C" w:rsidRDefault="00000000">
      <w:pPr>
        <w:pStyle w:val="Heading3"/>
      </w:pPr>
      <w:bookmarkStart w:id="70" w:name="detained-persons-and-medical-evacuation"/>
      <w:bookmarkEnd w:id="69"/>
      <w:r>
        <w:t>9.4 Detained Persons and Medical Evacuation</w:t>
      </w:r>
    </w:p>
    <w:p w14:paraId="601ECC7F" w14:textId="77777777" w:rsidR="00180E7C" w:rsidRDefault="00000000">
      <w:pPr>
        <w:pStyle w:val="FirstParagraph"/>
      </w:pPr>
      <w:r>
        <w:t>9.4.1 Article 64 and Annex M govern the release and exchange of detained persons. Medical evacuation of seriously ill or wounded persons proceeds immediately upon request of the detaining authority’s medical officer or an impartial medical body, without awaiting exchange arrangements.</w:t>
      </w:r>
    </w:p>
    <w:p w14:paraId="189812E2" w14:textId="77777777" w:rsidR="00180E7C" w:rsidRDefault="00000000">
      <w:pPr>
        <w:pStyle w:val="TOCArticle"/>
      </w:pPr>
      <w:bookmarkStart w:id="71" w:name="Xdada33f6b4094d3c307d274a02d3dc3d36eddbc"/>
      <w:bookmarkStart w:id="72" w:name="_Toc237843078"/>
      <w:bookmarkEnd w:id="65"/>
      <w:bookmarkEnd w:id="70"/>
      <w:r>
        <w:t>Article 10: Political Timelines and Sequencing</w:t>
      </w:r>
      <w:bookmarkEnd w:id="72"/>
    </w:p>
    <w:p w14:paraId="1D192D6A" w14:textId="77777777" w:rsidR="00180E7C" w:rsidRDefault="00000000">
      <w:pPr>
        <w:pStyle w:val="Heading3"/>
      </w:pPr>
      <w:bookmarkStart w:id="73" w:name="the-master-timeline"/>
      <w:r>
        <w:t>10.1 The Master Timeline</w:t>
      </w:r>
    </w:p>
    <w:p w14:paraId="69EFEFA8" w14:textId="77777777" w:rsidR="00180E7C" w:rsidRDefault="00000000">
      <w:pPr>
        <w:pStyle w:val="FirstParagraph"/>
      </w:pPr>
      <w:r>
        <w:t>10.1.1 Annex P contains the master implementation timeline, organized in seven phases from Day 0 to Day 1825. Each phase lists: the obligations maturing in that phase, the verification events unlocking the next phase, and the reciprocal benefits activating upon verification.</w:t>
      </w:r>
    </w:p>
    <w:p w14:paraId="34C9EA0E" w14:textId="77777777" w:rsidR="00180E7C" w:rsidRDefault="00000000">
      <w:pPr>
        <w:pStyle w:val="BodyText"/>
      </w:pPr>
      <w:r>
        <w:t>10.1.2 The synchronization rule: each phase gate requires the Joint Monitoring Cell’s certification that the preceding phase’s benchmarks stand verified in the Shared Digital Registry. Certification issues automatically when the objective indicators register complete; the JMC’s role audits the data, it does not exercise discretion to withhold certification from verified facts.</w:t>
      </w:r>
    </w:p>
    <w:p w14:paraId="4124F5C0" w14:textId="77777777" w:rsidR="00180E7C" w:rsidRDefault="00000000">
      <w:pPr>
        <w:pStyle w:val="Heading3"/>
      </w:pPr>
      <w:bookmarkStart w:id="74" w:name="sequencing-fairness"/>
      <w:bookmarkEnd w:id="73"/>
      <w:r>
        <w:t>10.2 Sequencing Fairness</w:t>
      </w:r>
    </w:p>
    <w:p w14:paraId="41F49859" w14:textId="77777777" w:rsidR="00180E7C" w:rsidRDefault="00000000">
      <w:pPr>
        <w:pStyle w:val="FirstParagraph"/>
      </w:pPr>
      <w:r>
        <w:t>10.2.1 Neither Party moves first into vulnerability. The timeline interleaves obligations so that each Party’s sensitive step synchronizes with the other Party’s corresponding step: down-blending batches synchronize with sanctions terminations; force withdrawals synchronize with proxy domain milestones; corridor activations synchronize with blockade dissolution.</w:t>
      </w:r>
    </w:p>
    <w:p w14:paraId="5F8560C0" w14:textId="77777777" w:rsidR="00180E7C" w:rsidRDefault="00000000">
      <w:pPr>
        <w:pStyle w:val="BodyText"/>
      </w:pPr>
      <w:r>
        <w:t>10.2.2 Where the Parties disagree on synchronization for a specific pair of steps, the Swiss Facilitator proposes an interleaving within ten days, drawing on the fallback sequences of Annex P, Section 9. The High Contracting Council adopts or adjusts the proposal within twenty days by consensus.</w:t>
      </w:r>
    </w:p>
    <w:p w14:paraId="1ADD9E76" w14:textId="77777777" w:rsidR="00180E7C" w:rsidRDefault="00000000">
      <w:pPr>
        <w:pStyle w:val="TOCArticle"/>
      </w:pPr>
      <w:bookmarkStart w:id="75" w:name="X14110e930e5a2f5299de5236cb7e3b091a597fb"/>
      <w:bookmarkStart w:id="76" w:name="_Toc237843079"/>
      <w:bookmarkEnd w:id="71"/>
      <w:bookmarkEnd w:id="74"/>
      <w:r>
        <w:lastRenderedPageBreak/>
        <w:t>Article 11: Prohibition of Targeted Destabilization</w:t>
      </w:r>
      <w:bookmarkEnd w:id="76"/>
    </w:p>
    <w:p w14:paraId="4314E03F" w14:textId="77777777" w:rsidR="00180E7C" w:rsidRDefault="00000000">
      <w:pPr>
        <w:pStyle w:val="Heading3"/>
      </w:pPr>
      <w:bookmarkStart w:id="77" w:name="exclusions"/>
      <w:r>
        <w:t>11.1 Exclusions</w:t>
      </w:r>
    </w:p>
    <w:p w14:paraId="12EBA064" w14:textId="77777777" w:rsidR="00180E7C" w:rsidRDefault="00000000">
      <w:pPr>
        <w:pStyle w:val="FirstParagraph"/>
      </w:pPr>
      <w:r>
        <w:t>11.1.1 The framework excludes: covert action programs aimed at the other Party’s constitutional order; funding, arming, training, or direction of groups seeking the violent overthrow of the other Party’s government; cyber operations against the other Party’s electoral infrastructure; and information operations conducted by government agencies against the other Party’s domestic stability.</w:t>
      </w:r>
    </w:p>
    <w:p w14:paraId="7474C516" w14:textId="77777777" w:rsidR="00180E7C" w:rsidRDefault="00000000">
      <w:pPr>
        <w:pStyle w:val="BodyText"/>
      </w:pPr>
      <w:r>
        <w:t>11.1.2 The exclusion binds intelligence services, military special activities directorates, and any contractor or cut-out acting under governmental direction or control.</w:t>
      </w:r>
    </w:p>
    <w:p w14:paraId="3EB9D600" w14:textId="77777777" w:rsidR="00180E7C" w:rsidRDefault="00000000">
      <w:pPr>
        <w:pStyle w:val="Heading3"/>
      </w:pPr>
      <w:bookmarkStart w:id="78" w:name="verification-and-confidence"/>
      <w:bookmarkEnd w:id="77"/>
      <w:r>
        <w:t>11.2 Verification and Confidence</w:t>
      </w:r>
    </w:p>
    <w:p w14:paraId="7A53A553" w14:textId="77777777" w:rsidR="00180E7C" w:rsidRDefault="00000000">
      <w:pPr>
        <w:pStyle w:val="FirstParagraph"/>
      </w:pPr>
      <w:r>
        <w:t>11.2.1 The Parties exchange annual declarations of compliance with this Article through the High Contracting Council. The declarations enter the Shared Digital Registry.</w:t>
      </w:r>
    </w:p>
    <w:p w14:paraId="75FA4D7F" w14:textId="77777777" w:rsidR="00180E7C" w:rsidRDefault="00000000">
      <w:pPr>
        <w:pStyle w:val="BodyText"/>
      </w:pPr>
      <w:r>
        <w:t>11.2.2 A Party possessing credible technical evidence of a violation submits it through the Cothrom claim procedure of Annex C, Section 8. The procedure protects sources and methods through the redacted-review protocol there defined.</w:t>
      </w:r>
    </w:p>
    <w:p w14:paraId="1E7BF427" w14:textId="77777777" w:rsidR="00180E7C" w:rsidRDefault="00000000">
      <w:pPr>
        <w:pStyle w:val="TOCArticle"/>
      </w:pPr>
      <w:bookmarkStart w:id="79" w:name="X6b34f5d14165a7cfc47375d4cf46985a9085bcb"/>
      <w:bookmarkStart w:id="80" w:name="_Toc237843080"/>
      <w:bookmarkEnd w:id="75"/>
      <w:bookmarkEnd w:id="78"/>
      <w:r>
        <w:t>Article 12: Public Communication and Rhetoric De-escalation</w:t>
      </w:r>
      <w:bookmarkEnd w:id="80"/>
    </w:p>
    <w:p w14:paraId="14524F1E" w14:textId="77777777" w:rsidR="00180E7C" w:rsidRDefault="00000000">
      <w:pPr>
        <w:pStyle w:val="Heading3"/>
      </w:pPr>
      <w:bookmarkStart w:id="81" w:name="the-joint-communication-protocol"/>
      <w:r>
        <w:t>12.1 The Joint Communication Protocol</w:t>
      </w:r>
    </w:p>
    <w:p w14:paraId="34B1E84C" w14:textId="77777777" w:rsidR="00180E7C" w:rsidRDefault="00000000">
      <w:pPr>
        <w:pStyle w:val="FirstParagraph"/>
      </w:pPr>
      <w:r>
        <w:t>12.1.1 The Parties establish the Joint Communication Cell, staffed by spokesperson-level officials of both foreign ministries with Swiss facilitation, which: coordinates the announcement of treaty milestones; issues joint explanatory statements at phase transitions; and maintains a shared factual record to counter misinformation.</w:t>
      </w:r>
    </w:p>
    <w:p w14:paraId="28298081" w14:textId="77777777" w:rsidR="00180E7C" w:rsidRDefault="00000000">
      <w:pPr>
        <w:pStyle w:val="BodyText"/>
      </w:pPr>
      <w:r>
        <w:t>12.1.2 Neither Party characterizes the Treaty domestically as the capitulation of the other. Official communications present the Treaty as a reciprocal settlement serving both nations’ interests.</w:t>
      </w:r>
    </w:p>
    <w:p w14:paraId="5B33A6FC" w14:textId="77777777" w:rsidR="00180E7C" w:rsidRDefault="00000000">
      <w:pPr>
        <w:pStyle w:val="Heading3"/>
      </w:pPr>
      <w:bookmarkStart w:id="82" w:name="incitement-exclusion"/>
      <w:bookmarkEnd w:id="81"/>
      <w:r>
        <w:t>12.2 Incitement Exclusion</w:t>
      </w:r>
    </w:p>
    <w:p w14:paraId="6799EE62" w14:textId="77777777" w:rsidR="00180E7C" w:rsidRDefault="00000000">
      <w:pPr>
        <w:pStyle w:val="FirstParagraph"/>
      </w:pPr>
      <w:r>
        <w:t>12.2.1 The framework excludes from official discourse: calls for the destruction of any state, threats of extermination, denial of the other’s right to exist as a state, and incitement to violence against the other’s nationals. Each Party applies its domestic legal framework to state media and official channels consistent with this exclusion.</w:t>
      </w:r>
    </w:p>
    <w:p w14:paraId="175B0177" w14:textId="77777777" w:rsidR="00180E7C" w:rsidRDefault="00000000">
      <w:pPr>
        <w:pStyle w:val="BodyText"/>
      </w:pPr>
      <w:r>
        <w:t>12.2.2 This Article binds state organs and state-directed media. It does not regulate private expression, academic debate, journalism, or religious discourse, which remain matters of domestic law.</w:t>
      </w:r>
    </w:p>
    <w:p w14:paraId="1954003C" w14:textId="77777777" w:rsidR="00180E7C" w:rsidRDefault="00000000">
      <w:pPr>
        <w:pStyle w:val="Heading3"/>
      </w:pPr>
      <w:bookmarkStart w:id="83" w:name="crisis-communication"/>
      <w:bookmarkEnd w:id="82"/>
      <w:r>
        <w:t>12.3 Crisis Communication</w:t>
      </w:r>
    </w:p>
    <w:p w14:paraId="4699B4A5" w14:textId="77777777" w:rsidR="00180E7C" w:rsidRDefault="00000000">
      <w:pPr>
        <w:pStyle w:val="FirstParagraph"/>
      </w:pPr>
      <w:r>
        <w:t xml:space="preserve">12.3.1 During any Level 3 or Level 4 anomaly, the Joint Communication Cell convenes within four hours and issues a joint holding statement within eight hours. The holding </w:t>
      </w:r>
      <w:r>
        <w:lastRenderedPageBreak/>
        <w:t>statement states verified facts, identifies what remains unverified, and announces the next update time. Neither Party fills the information vacuum with unilateral accusation.</w:t>
      </w:r>
    </w:p>
    <w:p w14:paraId="11B3F649" w14:textId="77777777" w:rsidR="00180E7C" w:rsidRDefault="00000000">
      <w:pPr>
        <w:pStyle w:val="TOCArticle"/>
      </w:pPr>
      <w:bookmarkStart w:id="84" w:name="article-13-domestic-ratification"/>
      <w:bookmarkStart w:id="85" w:name="_Toc237843081"/>
      <w:bookmarkEnd w:id="79"/>
      <w:bookmarkEnd w:id="83"/>
      <w:r>
        <w:t>Article 13: Domestic Ratification</w:t>
      </w:r>
      <w:bookmarkEnd w:id="85"/>
    </w:p>
    <w:p w14:paraId="3FFC07EA" w14:textId="77777777" w:rsidR="00180E7C" w:rsidRDefault="00000000">
      <w:pPr>
        <w:pStyle w:val="Heading3"/>
      </w:pPr>
      <w:bookmarkStart w:id="86" w:name="united-states-process"/>
      <w:r>
        <w:t>13.1 United States Process</w:t>
      </w:r>
    </w:p>
    <w:p w14:paraId="42C87B18" w14:textId="77777777" w:rsidR="00180E7C" w:rsidRDefault="00000000">
      <w:pPr>
        <w:pStyle w:val="FirstParagraph"/>
      </w:pPr>
      <w:r>
        <w:t>13.1.1 The United States submits this Treaty to the Senate for advice and consent to ratification. The Executive Branch transmits the Treaty within thirty days of signature, together with the implementing legislation package of Annex P, Section 10, covering sanctions termination authorities, escrow authorizations, and appropriations for the United States share of verification costs.</w:t>
      </w:r>
    </w:p>
    <w:p w14:paraId="20270E74" w14:textId="77777777" w:rsidR="00180E7C" w:rsidRDefault="00000000">
      <w:pPr>
        <w:pStyle w:val="BodyText"/>
      </w:pPr>
      <w:r>
        <w:t>13.1.2 To insulate the Treaty from administrative transition, the sanctions termination of Title IV executes through statute, not through executive waiver: the implementing legislation repeals or permanently terminates the authorities listed in Annex G, Schedule G-1, effective on the verification events there specified.</w:t>
      </w:r>
    </w:p>
    <w:p w14:paraId="15623D9A" w14:textId="77777777" w:rsidR="00180E7C" w:rsidRDefault="00000000">
      <w:pPr>
        <w:pStyle w:val="Heading3"/>
      </w:pPr>
      <w:bookmarkStart w:id="87" w:name="iranian-process"/>
      <w:bookmarkEnd w:id="86"/>
      <w:r>
        <w:t>13.2 Iranian Process</w:t>
      </w:r>
    </w:p>
    <w:p w14:paraId="74E1FF07" w14:textId="77777777" w:rsidR="00180E7C" w:rsidRDefault="00000000">
      <w:pPr>
        <w:pStyle w:val="FirstParagraph"/>
      </w:pPr>
      <w:r>
        <w:t>13.2.1 Iran submits this Treaty to the Islamic Consultative Assembly for ratification and completes the constitutional review procedures of the Guardian Council and the expediency processes of the state, including the final authorization of the Supreme Leader. The Iranian instrument of ratification deposits upon completion of these procedures.</w:t>
      </w:r>
    </w:p>
    <w:p w14:paraId="1D01B7B1" w14:textId="77777777" w:rsidR="00180E7C" w:rsidRDefault="00000000">
      <w:pPr>
        <w:pStyle w:val="BodyText"/>
      </w:pPr>
      <w:r>
        <w:t>13.2.2 The Treaty acknowledges that the Hormuz governance architecture of Title III incorporates the joint Oman-Iran governance draft transmitted for final leadership approval; the ratification of this Treaty encompasses and supersedes that approval process, delivering the governance structure as part of the comprehensive settlement.</w:t>
      </w:r>
    </w:p>
    <w:p w14:paraId="65F0B66C" w14:textId="77777777" w:rsidR="00180E7C" w:rsidRDefault="00000000">
      <w:pPr>
        <w:pStyle w:val="Heading3"/>
      </w:pPr>
      <w:bookmarkStart w:id="88" w:name="reciprocal-ratification-window"/>
      <w:bookmarkEnd w:id="87"/>
      <w:r>
        <w:t>13.3 Reciprocal Ratification Window</w:t>
      </w:r>
    </w:p>
    <w:p w14:paraId="5E93451E" w14:textId="77777777" w:rsidR="00180E7C" w:rsidRDefault="00000000">
      <w:pPr>
        <w:pStyle w:val="FirstParagraph"/>
      </w:pPr>
      <w:r>
        <w:t>13.3.1 The Parties complete ratification within one hundred twenty days of signature. The provisional application regime of Article 87.4 operates from signature, so the machinery of peace functions while the constitutional processes run.</w:t>
      </w:r>
    </w:p>
    <w:p w14:paraId="52CF81B7" w14:textId="77777777" w:rsidR="00180E7C" w:rsidRDefault="00000000">
      <w:pPr>
        <w:pStyle w:val="BodyText"/>
      </w:pPr>
      <w:r>
        <w:t>13.3.2 If either Party’s ratification process encounters delay, the Parties extend the provisional application period by mutual written notice through the Depositary, in increments of sixty days, up to two extensions.</w:t>
      </w:r>
    </w:p>
    <w:p w14:paraId="7DB01FF2" w14:textId="77777777" w:rsidR="00180E7C" w:rsidRDefault="00000000">
      <w:pPr>
        <w:pStyle w:val="TOCArticle"/>
      </w:pPr>
      <w:bookmarkStart w:id="89" w:name="X699bf8994112a0a32362988648285fb546bf4cb"/>
      <w:bookmarkStart w:id="90" w:name="_Toc237843082"/>
      <w:bookmarkEnd w:id="84"/>
      <w:bookmarkEnd w:id="88"/>
      <w:r>
        <w:t>Article 14: International Depository and Registration</w:t>
      </w:r>
      <w:bookmarkEnd w:id="90"/>
    </w:p>
    <w:p w14:paraId="68C67847" w14:textId="77777777" w:rsidR="00180E7C" w:rsidRDefault="00000000">
      <w:pPr>
        <w:pStyle w:val="Heading3"/>
      </w:pPr>
      <w:bookmarkStart w:id="91" w:name="depositary"/>
      <w:r>
        <w:t>14.1 Depositary</w:t>
      </w:r>
    </w:p>
    <w:p w14:paraId="21013541" w14:textId="77777777" w:rsidR="00180E7C" w:rsidRDefault="00000000">
      <w:pPr>
        <w:pStyle w:val="FirstParagraph"/>
      </w:pPr>
      <w:r>
        <w:t>14.1.1 The Secretary-General of the United Nations serves as Depositary. The Depositary receives instruments of ratification, accessions, amendments, reservations (which this Treaty excludes per 14.3), notifications, and denunciations, and circulates certified copies to all Parties and Facilitating States.</w:t>
      </w:r>
    </w:p>
    <w:p w14:paraId="4664C2F3" w14:textId="77777777" w:rsidR="00180E7C" w:rsidRDefault="00000000">
      <w:pPr>
        <w:pStyle w:val="Heading3"/>
      </w:pPr>
      <w:bookmarkStart w:id="92" w:name="registration"/>
      <w:bookmarkEnd w:id="91"/>
      <w:r>
        <w:lastRenderedPageBreak/>
        <w:t>14.2 Registration</w:t>
      </w:r>
    </w:p>
    <w:p w14:paraId="2297B0EE" w14:textId="77777777" w:rsidR="00180E7C" w:rsidRDefault="00000000">
      <w:pPr>
        <w:pStyle w:val="FirstParagraph"/>
      </w:pPr>
      <w:r>
        <w:t>14.2.1 Upon entry into force, the Parties jointly register the Treaty with the Secretariat of the United Nations pursuant to Article 102 of the Charter.</w:t>
      </w:r>
    </w:p>
    <w:p w14:paraId="306B6D55" w14:textId="77777777" w:rsidR="00180E7C" w:rsidRDefault="00000000">
      <w:pPr>
        <w:pStyle w:val="Heading3"/>
      </w:pPr>
      <w:bookmarkStart w:id="93" w:name="no-reservations"/>
      <w:bookmarkEnd w:id="92"/>
      <w:r>
        <w:t>14.3 No Reservations</w:t>
      </w:r>
    </w:p>
    <w:p w14:paraId="244E2BAC" w14:textId="77777777" w:rsidR="00180E7C" w:rsidRDefault="00000000">
      <w:pPr>
        <w:pStyle w:val="FirstParagraph"/>
      </w:pPr>
      <w:r>
        <w:t>14.3.1 The Treaty admits no reservations. Its architecture balances as a whole; selective adherence unbalances the whole. A state unable to accept a provision addresses it through the amendment procedure of Article 72 before ratification, not through reservation.</w:t>
      </w:r>
    </w:p>
    <w:p w14:paraId="65EE3E7F" w14:textId="77777777" w:rsidR="00180E7C" w:rsidRDefault="00000000">
      <w:pPr>
        <w:pStyle w:val="TOCArticle"/>
      </w:pPr>
      <w:bookmarkStart w:id="94" w:name="article-15-political-contingencies"/>
      <w:bookmarkStart w:id="95" w:name="_Toc237843083"/>
      <w:bookmarkEnd w:id="89"/>
      <w:bookmarkEnd w:id="93"/>
      <w:r>
        <w:t>Article 15: Political Contingencies</w:t>
      </w:r>
      <w:bookmarkEnd w:id="95"/>
    </w:p>
    <w:p w14:paraId="7FE0863E" w14:textId="77777777" w:rsidR="00180E7C" w:rsidRDefault="00000000">
      <w:pPr>
        <w:pStyle w:val="Heading3"/>
      </w:pPr>
      <w:bookmarkStart w:id="96" w:name="leadership-transition"/>
      <w:r>
        <w:t>15.1 Leadership Transition</w:t>
      </w:r>
    </w:p>
    <w:p w14:paraId="638AFF3E" w14:textId="77777777" w:rsidR="00180E7C" w:rsidRDefault="00000000">
      <w:pPr>
        <w:pStyle w:val="FirstParagraph"/>
      </w:pPr>
      <w:r>
        <w:t>15.1.1 The Treaty binds successor governments and leadership structures of both Parties as a matter of state obligation, per the pacta sunt servanda principle and the state-continuity doctrine. A change of president, administration, majlis composition, or supreme leadership affects no obligation.</w:t>
      </w:r>
    </w:p>
    <w:p w14:paraId="666EDE23" w14:textId="77777777" w:rsidR="00180E7C" w:rsidRDefault="00000000">
      <w:pPr>
        <w:pStyle w:val="BodyText"/>
      </w:pPr>
      <w:r>
        <w:t>15.1.2 Within thirty days of any leadership transition in either Party, the successor authority deposits a written affirmation of continuity with the Depositary. The affirmation follows the template of Annex R, Part 4. Failure to deposit triggers the continuity consultation of 15.2, never automatic suspension.</w:t>
      </w:r>
    </w:p>
    <w:p w14:paraId="464CE524" w14:textId="77777777" w:rsidR="00180E7C" w:rsidRDefault="00000000">
      <w:pPr>
        <w:pStyle w:val="Heading3"/>
      </w:pPr>
      <w:bookmarkStart w:id="97" w:name="continuity-consultation"/>
      <w:bookmarkEnd w:id="96"/>
      <w:r>
        <w:t>15.2 Continuity Consultation</w:t>
      </w:r>
    </w:p>
    <w:p w14:paraId="0EFF7CA9" w14:textId="77777777" w:rsidR="00180E7C" w:rsidRDefault="00000000">
      <w:pPr>
        <w:pStyle w:val="FirstParagraph"/>
      </w:pPr>
      <w:r>
        <w:t>15.2.1 Upon a leadership transition, constitutional crisis, or change of government in either Party, the High Contracting Council convenes within fourteen days. The consultation confirms operational continuity, addresses personnel changes in treaty organs, and registers any successor appointments.</w:t>
      </w:r>
    </w:p>
    <w:p w14:paraId="7A5E060E" w14:textId="77777777" w:rsidR="00180E7C" w:rsidRDefault="00000000">
      <w:pPr>
        <w:pStyle w:val="Heading3"/>
      </w:pPr>
      <w:bookmarkStart w:id="98" w:name="crisis-interruption-protocol"/>
      <w:bookmarkEnd w:id="97"/>
      <w:r>
        <w:t>15.3 Crisis Interruption Protocol</w:t>
      </w:r>
    </w:p>
    <w:p w14:paraId="041B3CCD" w14:textId="77777777" w:rsidR="00180E7C" w:rsidRDefault="00000000">
      <w:pPr>
        <w:pStyle w:val="FirstParagraph"/>
      </w:pPr>
      <w:r>
        <w:t>15.3.1 If a grave internal crisis in either Party interrupts the operation of a treaty organ, the surviving functions continue under the deputy succession tables of Annex N, Section 6, and the Swiss Facilitator custodianship, until the Party restores its representation. Data flows, verification, escrow operations, and humanitarian corridors continue without interruption throughout.</w:t>
      </w:r>
    </w:p>
    <w:p w14:paraId="23F845BD" w14:textId="77777777" w:rsidR="00180E7C" w:rsidRDefault="00000000">
      <w:pPr>
        <w:pStyle w:val="Heading3"/>
      </w:pPr>
      <w:bookmarkStart w:id="99" w:name="external-shock-protocol"/>
      <w:bookmarkEnd w:id="98"/>
      <w:r>
        <w:t>15.4 External Shock Protocol</w:t>
      </w:r>
    </w:p>
    <w:p w14:paraId="06981F28" w14:textId="77777777" w:rsidR="00180E7C" w:rsidRDefault="00000000">
      <w:pPr>
        <w:pStyle w:val="FirstParagraph"/>
      </w:pPr>
      <w:r>
        <w:t>15.4.1 If an armed conflict or grave crisis not involving the Parties materially affects the Treaty’s operation (for example, a regional war between third states), the High Contracting Council convenes within seven days and adopts protective adjustments by consensus: rerouting of corridors, temporary relocation of organs, or schedule extensions. Adjustments remain proportionate, temporary, and registered with the Depositary.</w:t>
      </w:r>
    </w:p>
    <w:p w14:paraId="14EFFD8D" w14:textId="77777777" w:rsidR="00180E7C" w:rsidRDefault="00000000">
      <w:r>
        <w:br w:type="page"/>
      </w:r>
    </w:p>
    <w:p w14:paraId="55DED0A7" w14:textId="77777777" w:rsidR="00180E7C" w:rsidRDefault="00000000">
      <w:pPr>
        <w:pStyle w:val="Heading1"/>
      </w:pPr>
      <w:bookmarkStart w:id="100" w:name="X26f274c2430ed10a2fb5b130557dbba9666f76a"/>
      <w:bookmarkStart w:id="101" w:name="_Toc237843084"/>
      <w:bookmarkEnd w:id="17"/>
      <w:bookmarkEnd w:id="94"/>
      <w:bookmarkEnd w:id="99"/>
      <w:r>
        <w:lastRenderedPageBreak/>
        <w:t>TITLE II: SECURITY AND MILITARY DE-ESCALATION REGIME</w:t>
      </w:r>
      <w:bookmarkEnd w:id="101"/>
    </w:p>
    <w:p w14:paraId="5FF78CFA" w14:textId="77777777" w:rsidR="00180E7C" w:rsidRDefault="00000000">
      <w:pPr>
        <w:pStyle w:val="TOCArticle"/>
      </w:pPr>
      <w:bookmarkStart w:id="102" w:name="X0a26215b52798109a3a0fe1daa1d7a620b3063f"/>
      <w:bookmarkStart w:id="103" w:name="_Toc237843085"/>
      <w:r>
        <w:t>Article 16: Mutual Force Withdrawal and Posture Rebalancing</w:t>
      </w:r>
      <w:bookmarkEnd w:id="103"/>
    </w:p>
    <w:p w14:paraId="36E84BC1" w14:textId="77777777" w:rsidR="00180E7C" w:rsidRDefault="00000000">
      <w:pPr>
        <w:pStyle w:val="Heading3"/>
      </w:pPr>
      <w:bookmarkStart w:id="104" w:name="the-baseline"/>
      <w:r>
        <w:t>16.1 The Baseline</w:t>
      </w:r>
    </w:p>
    <w:p w14:paraId="08AF0B66" w14:textId="77777777" w:rsidR="00180E7C" w:rsidRDefault="00000000">
      <w:pPr>
        <w:pStyle w:val="FirstParagraph"/>
      </w:pPr>
      <w:r>
        <w:t>16.1.1 Within fourteen days of EIF, each Party deposits with the Joint Monitoring Cell a complete declaration of its forces, installations, and assets in the Gulf Theater (defined in Annex A as the Persian Gulf, Strait of Hormuz, Gulf of Oman, and the land territory within two hundred kilometers of the coastline, plus the listed extraterritorial facilities). The declarations merge into the Verified Baseline Order of Battle, Schedule P-2 of Annex P.</w:t>
      </w:r>
    </w:p>
    <w:p w14:paraId="3E550B31" w14:textId="77777777" w:rsidR="00180E7C" w:rsidRDefault="00000000">
      <w:pPr>
        <w:pStyle w:val="BodyText"/>
      </w:pPr>
      <w:r>
        <w:t>16.1.2 The Joint Monitoring Cell verifies the declarations against national technical means data, commercial satellite imagery, and the sensor architecture of Annex C within thirty days. Discrepancies enter the Technical Truth Escalation Chain.</w:t>
      </w:r>
    </w:p>
    <w:p w14:paraId="5F9B270C" w14:textId="77777777" w:rsidR="00180E7C" w:rsidRDefault="00000000">
      <w:pPr>
        <w:pStyle w:val="Heading3"/>
      </w:pPr>
      <w:bookmarkStart w:id="105" w:name="united-states-posture-rebalancing"/>
      <w:bookmarkEnd w:id="104"/>
      <w:r>
        <w:t>16.2 United States Posture Rebalancing</w:t>
      </w:r>
    </w:p>
    <w:p w14:paraId="5E35E5CD" w14:textId="77777777" w:rsidR="00180E7C" w:rsidRDefault="00000000">
      <w:pPr>
        <w:pStyle w:val="FirstParagraph"/>
      </w:pPr>
      <w:r>
        <w:t>16.2.1 The United States executes the following posture changes on the timeline of Annex P, Phase II (Days 31-180): (a) reduction of carrier strike group presence in the Gulf Theater from the wartime level to one carrier strike group within the theater at any time, with a second group no closer than the North Arabian Sea line defined in Annex B, Section 14; (b) withdrawal of the additional expeditionary air assets surged after January 2026 from bases in Qatar, Bahrain, Kuwait, Jordan, and Iraq to their pre-surge basing; (c) stand-down of the maritime interdiction tasking against Iranian commerce, replaced by the Hormuz Authority inspection architecture; (d) consolidation of the wartime temporary positions established during 2026, per the site list of Annex P, Schedule P-3.</w:t>
      </w:r>
    </w:p>
    <w:p w14:paraId="54BDDFA2" w14:textId="77777777" w:rsidR="00180E7C" w:rsidRDefault="00000000">
      <w:pPr>
        <w:pStyle w:val="BodyText"/>
      </w:pPr>
      <w:r>
        <w:t>16.2.2 Permanent pre-war basing arrangements with host nations continue, subject to the activity ceilings of Article 27 and the exercise restrictions of 16.5.</w:t>
      </w:r>
    </w:p>
    <w:p w14:paraId="133934DA" w14:textId="77777777" w:rsidR="00180E7C" w:rsidRDefault="00000000">
      <w:pPr>
        <w:pStyle w:val="Heading3"/>
      </w:pPr>
      <w:bookmarkStart w:id="106" w:name="iranian-posture-rebalancing"/>
      <w:bookmarkEnd w:id="105"/>
      <w:r>
        <w:t>16.3 Iranian Posture Rebalancing</w:t>
      </w:r>
    </w:p>
    <w:p w14:paraId="14AD515C" w14:textId="77777777" w:rsidR="00180E7C" w:rsidRDefault="00000000">
      <w:pPr>
        <w:pStyle w:val="FirstParagraph"/>
      </w:pPr>
      <w:r>
        <w:t>16.3.1 Iran executes the following posture changes on the same timeline: (a) withdrawal of Islamic Revolutionary Guard Corps Navy fast attack craft concentrations from the forward wartime dispersal positions along the Strait to the declared home-port posture of Annex P, Schedule P-4; (b) removal of mobile anti-ship missile batteries from the coastline band defined in Annex B, Section 15 (the “Littoral Stand-Down Band”) to garrison locations outside the band; (c) stand-down of the naval mine warfare readiness posture, with all mine inventories consolidated at the two declared depots of Annex J, Section 11, under continuous monitoring; (d) deactivation of the wartime air defense alert posture along the southern coastline to the peacetime readiness level declared in the baseline.</w:t>
      </w:r>
    </w:p>
    <w:p w14:paraId="5816F8CF" w14:textId="77777777" w:rsidR="00180E7C" w:rsidRDefault="00000000">
      <w:pPr>
        <w:pStyle w:val="Heading3"/>
      </w:pPr>
      <w:bookmarkStart w:id="107" w:name="synchronization"/>
      <w:bookmarkEnd w:id="106"/>
      <w:r>
        <w:t>16.4 Synchronization</w:t>
      </w:r>
    </w:p>
    <w:p w14:paraId="0453F47F" w14:textId="77777777" w:rsidR="00180E7C" w:rsidRDefault="00000000">
      <w:pPr>
        <w:pStyle w:val="FirstParagraph"/>
      </w:pPr>
      <w:r>
        <w:t xml:space="preserve">16.4.1 The withdrawals of 16.2 and 16.3 execute in three synchronized tranches, each verified by the Joint Monitoring Cell before the next begins. Tranche completion certificates </w:t>
      </w:r>
      <w:r>
        <w:lastRenderedPageBreak/>
        <w:t>enter the Shared Digital Registry and unlock the corresponding economic phase steps of Title IV per Annex P.</w:t>
      </w:r>
    </w:p>
    <w:p w14:paraId="23D750B4" w14:textId="77777777" w:rsidR="00180E7C" w:rsidRDefault="00000000">
      <w:pPr>
        <w:pStyle w:val="Heading3"/>
      </w:pPr>
      <w:bookmarkStart w:id="108" w:name="exercise-restrictions"/>
      <w:bookmarkEnd w:id="107"/>
      <w:r>
        <w:t>16.5 Exercise Restrictions</w:t>
      </w:r>
    </w:p>
    <w:p w14:paraId="163FD572" w14:textId="77777777" w:rsidR="00180E7C" w:rsidRDefault="00000000">
      <w:pPr>
        <w:pStyle w:val="FirstParagraph"/>
      </w:pPr>
      <w:r>
        <w:t>16.5.1 Within the Gulf Theater, each Party confines military exercises to the following regime: (a) notification to the Joint Operations Centers not fewer than fourteen days in advance, with dates, areas, forces, and purposes; (b) a ceiling of two major exercises per calendar year per Party within the Theater, “major” meaning more than five thousand personnel or any carrier-level or corps-level activity; (c) a minimum separation of one hundred nautical miles between one Party’s live-fire exercise areas and the other Party’s territory, territorial sea baseline, or deployed forces; (d) live missile firing exclusively within the designated exercise boxes of Annex B, Section 16, announced per (a).</w:t>
      </w:r>
    </w:p>
    <w:p w14:paraId="29EC37E7" w14:textId="77777777" w:rsidR="00180E7C" w:rsidRDefault="00000000">
      <w:pPr>
        <w:pStyle w:val="Heading3"/>
      </w:pPr>
      <w:bookmarkStart w:id="109" w:name="no-new-bases"/>
      <w:bookmarkEnd w:id="108"/>
      <w:r>
        <w:t>16.6 No New Bases</w:t>
      </w:r>
    </w:p>
    <w:p w14:paraId="66296950" w14:textId="77777777" w:rsidR="00180E7C" w:rsidRDefault="00000000">
      <w:pPr>
        <w:pStyle w:val="FirstParagraph"/>
      </w:pPr>
      <w:r>
        <w:t>16.6.1 The framework excludes the establishment by either Party of new permanent military bases within the Gulf Theater beyond those declared in the baseline. Facility upgrades at declared bases proceed with notification through the Joint Monitoring Cell ninety days in advance.</w:t>
      </w:r>
    </w:p>
    <w:p w14:paraId="5DBA1E71" w14:textId="77777777" w:rsidR="00180E7C" w:rsidRDefault="00000000">
      <w:pPr>
        <w:pStyle w:val="Heading3"/>
      </w:pPr>
      <w:bookmarkStart w:id="110" w:name="reciprocal-adjustment-procedure"/>
      <w:bookmarkEnd w:id="109"/>
      <w:r>
        <w:t>16.7 Reciprocal Adjustment Procedure</w:t>
      </w:r>
    </w:p>
    <w:p w14:paraId="482EC2F8" w14:textId="77777777" w:rsidR="00180E7C" w:rsidRDefault="00000000">
      <w:pPr>
        <w:pStyle w:val="FirstParagraph"/>
      </w:pPr>
      <w:r>
        <w:t>16.7.1 A Party seeking a posture change outside this Article’s ceilings submits the proposal to the High Contracting Council with a security rationale. The Council decides by consensus within thirty days. The architecture presumes reciprocity: a granted adjustment for one Party opens an equivalent adjustment volume for the other.</w:t>
      </w:r>
    </w:p>
    <w:p w14:paraId="44FA8FD7" w14:textId="77777777" w:rsidR="00180E7C" w:rsidRDefault="00000000">
      <w:pPr>
        <w:pStyle w:val="TOCArticle"/>
      </w:pPr>
      <w:bookmarkStart w:id="111" w:name="Xed102c69f4752f8648a0f62a57c4d74468caca8"/>
      <w:bookmarkStart w:id="112" w:name="_Toc237843086"/>
      <w:bookmarkEnd w:id="102"/>
      <w:bookmarkEnd w:id="110"/>
      <w:r>
        <w:t>Article 17: Buffer Zones and Restricted Military Areas</w:t>
      </w:r>
      <w:bookmarkEnd w:id="112"/>
    </w:p>
    <w:p w14:paraId="5B6D0C96" w14:textId="77777777" w:rsidR="00180E7C" w:rsidRDefault="00000000">
      <w:pPr>
        <w:pStyle w:val="Heading3"/>
      </w:pPr>
      <w:bookmarkStart w:id="113" w:name="the-maritime-buffer-geometry"/>
      <w:r>
        <w:t>17.1 The Maritime Buffer Geometry</w:t>
      </w:r>
    </w:p>
    <w:p w14:paraId="0188BC66" w14:textId="77777777" w:rsidR="00180E7C" w:rsidRDefault="00000000">
      <w:pPr>
        <w:pStyle w:val="FirstParagraph"/>
      </w:pPr>
      <w:r>
        <w:t>17.1.1 The four-corridor system of Article 32 incorporates the buffer corridor as a standing deconfliction space. Within the buffer corridor, the architecture permits no military maneuver, no live firing, and no persistent military presence of either Party, except the Hormuz Authority’s own monitoring platforms and the search and rescue posture of Article 40.</w:t>
      </w:r>
    </w:p>
    <w:p w14:paraId="75B049BA" w14:textId="77777777" w:rsidR="00180E7C" w:rsidRDefault="00000000">
      <w:pPr>
        <w:pStyle w:val="BodyText"/>
      </w:pPr>
      <w:r>
        <w:t>17.1.2 A ten-nautical-mile Deconfliction Belt applies around each verified monitoring platform of the Hormuz Authority, within which military units of either Party transit only on notice through the Maritime Operations Center.</w:t>
      </w:r>
    </w:p>
    <w:p w14:paraId="07095904" w14:textId="77777777" w:rsidR="00180E7C" w:rsidRDefault="00000000">
      <w:pPr>
        <w:pStyle w:val="Heading3"/>
      </w:pPr>
      <w:bookmarkStart w:id="114" w:name="the-littoral-stand-down-band"/>
      <w:bookmarkEnd w:id="113"/>
      <w:r>
        <w:t>17.2 The Littoral Stand-Down Band</w:t>
      </w:r>
    </w:p>
    <w:p w14:paraId="0CA89173" w14:textId="77777777" w:rsidR="00180E7C" w:rsidRDefault="00000000">
      <w:pPr>
        <w:pStyle w:val="FirstParagraph"/>
      </w:pPr>
      <w:r>
        <w:t>17.2.1 The band defined in Annex B, Section 15, extends twenty-five kilometers inland from the Iranian coastline between Gwadar Bay and the western terminus defined therein. Within the band: no mobile anti-ship missile systems, no coastal rocket artillery above 122 millimeters, and no new military construction, excepting the declared naval bases at Bandar Abbas and Chabahar, which operate under the declared peacetime posture.</w:t>
      </w:r>
    </w:p>
    <w:p w14:paraId="39E09596" w14:textId="77777777" w:rsidR="00180E7C" w:rsidRDefault="00000000">
      <w:pPr>
        <w:pStyle w:val="BodyText"/>
      </w:pPr>
      <w:r>
        <w:lastRenderedPageBreak/>
        <w:t>17.2.2 Verification combines satellite review, the coastal sensor network of Annex C, and the inspection rights of Article 28.</w:t>
      </w:r>
    </w:p>
    <w:p w14:paraId="77D766CB" w14:textId="77777777" w:rsidR="00180E7C" w:rsidRDefault="00000000">
      <w:pPr>
        <w:pStyle w:val="Heading3"/>
      </w:pPr>
      <w:bookmarkStart w:id="115" w:name="air-buffers"/>
      <w:bookmarkEnd w:id="114"/>
      <w:r>
        <w:t>17.3 Air Buffers</w:t>
      </w:r>
    </w:p>
    <w:p w14:paraId="1D8F68A4" w14:textId="77777777" w:rsidR="00180E7C" w:rsidRDefault="00000000">
      <w:pPr>
        <w:pStyle w:val="FirstParagraph"/>
      </w:pPr>
      <w:r>
        <w:t>17.3.1 Article 19 establishes the airspace regime, including the coastal identification zones that function as aerial buffers.</w:t>
      </w:r>
    </w:p>
    <w:p w14:paraId="21AE2ED3" w14:textId="77777777" w:rsidR="00180E7C" w:rsidRDefault="00000000">
      <w:pPr>
        <w:pStyle w:val="TOCArticle"/>
      </w:pPr>
      <w:bookmarkStart w:id="116" w:name="article-18-rules-of-engagement"/>
      <w:bookmarkStart w:id="117" w:name="_Toc237843087"/>
      <w:bookmarkEnd w:id="111"/>
      <w:bookmarkEnd w:id="115"/>
      <w:r>
        <w:t>Article 18: Rules of Engagement</w:t>
      </w:r>
      <w:bookmarkEnd w:id="117"/>
    </w:p>
    <w:p w14:paraId="324726ED" w14:textId="77777777" w:rsidR="00180E7C" w:rsidRDefault="00000000">
      <w:pPr>
        <w:pStyle w:val="Heading3"/>
      </w:pPr>
      <w:bookmarkStart w:id="118" w:name="codified-restraint"/>
      <w:r>
        <w:t>18.1 Codified Restraint</w:t>
      </w:r>
    </w:p>
    <w:p w14:paraId="6EAD1681" w14:textId="77777777" w:rsidR="00180E7C" w:rsidRDefault="00000000">
      <w:pPr>
        <w:pStyle w:val="FirstParagraph"/>
      </w:pPr>
      <w:r>
        <w:t>18.1.1 The Parties codify the following rules of engagement for all forces operating in the Gulf Theater: (a) forces operate under positive identification requirements: no engagement of any contact not positively identified as hostile and declared hostile by national command authority; (b) forces maintain minimum approach distances: surface combatants of the Parties remain no closer than one thousand yards absent agreed maneuver, aircraft no closer than five hundred feet vertically and one nautical mile horizontally from the other Party’s aircraft; (c) illumination, fire-control radar lock-on, and simulated attack profiles against the other Party’s units register as Level 3 anomalies in the Shared Digital Registry; (d) warning shots register as Level 4 anomalies.</w:t>
      </w:r>
    </w:p>
    <w:p w14:paraId="01454CDA" w14:textId="77777777" w:rsidR="00180E7C" w:rsidRDefault="00000000">
      <w:pPr>
        <w:pStyle w:val="Heading3"/>
      </w:pPr>
      <w:bookmarkStart w:id="119" w:name="the-de-escalation-ladder"/>
      <w:bookmarkEnd w:id="118"/>
      <w:r>
        <w:t>18.2 The De-escalation Ladder</w:t>
      </w:r>
    </w:p>
    <w:p w14:paraId="5AA1EF95" w14:textId="77777777" w:rsidR="00180E7C" w:rsidRDefault="00000000">
      <w:pPr>
        <w:pStyle w:val="FirstParagraph"/>
      </w:pPr>
      <w:r>
        <w:t>18.2.1 An unsafe or unprofessional encounter activates the ladder: (1) bridge-to-bridge or guard-frequency communication on the primary circuit; (2) report to the Maritime Operations Center or Air Coordination Cell within thirty minutes; (3) joint incident review within seventy-two hours; (4) corrective guidance issued to units. Repeated encounters by the same unit trigger command review notified to the other Party.</w:t>
      </w:r>
    </w:p>
    <w:p w14:paraId="1170FD4D" w14:textId="77777777" w:rsidR="00180E7C" w:rsidRDefault="00000000">
      <w:pPr>
        <w:pStyle w:val="Heading3"/>
      </w:pPr>
      <w:bookmarkStart w:id="120" w:name="X835bb1e29fe6075a427e3c14951f0ba1e3f15c6"/>
      <w:bookmarkEnd w:id="119"/>
      <w:r>
        <w:t>18.3 Inherent Self-Defense at the Tactical Level</w:t>
      </w:r>
    </w:p>
    <w:p w14:paraId="36B22D91" w14:textId="77777777" w:rsidR="00180E7C" w:rsidRDefault="00000000">
      <w:pPr>
        <w:pStyle w:val="FirstParagraph"/>
      </w:pPr>
      <w:r>
        <w:t>18.3.1 Unit commanders retain the inherent right and obligation of unit self-defense against imminent attack. A unit-level defensive engagement triggers immediate notification up both chains, activation of the Emergency Stabilization Mechanism, and confinement of the engagement to the immediate necessity.</w:t>
      </w:r>
    </w:p>
    <w:p w14:paraId="6C8AEF29" w14:textId="77777777" w:rsidR="00180E7C" w:rsidRDefault="00000000">
      <w:pPr>
        <w:pStyle w:val="TOCArticle"/>
      </w:pPr>
      <w:bookmarkStart w:id="121" w:name="X02536062063b01b6d938f957a8d876f43e0575e"/>
      <w:bookmarkStart w:id="122" w:name="_Toc237843088"/>
      <w:bookmarkEnd w:id="116"/>
      <w:bookmarkEnd w:id="120"/>
      <w:r>
        <w:t>Article 19: Airspace Control and Flight Corridors</w:t>
      </w:r>
      <w:bookmarkEnd w:id="122"/>
    </w:p>
    <w:p w14:paraId="2905EFC8" w14:textId="77777777" w:rsidR="00180E7C" w:rsidRDefault="00000000">
      <w:pPr>
        <w:pStyle w:val="Heading3"/>
      </w:pPr>
      <w:bookmarkStart w:id="123" w:name="respect-for-airspace"/>
      <w:r>
        <w:t>19.1 Respect for Airspace</w:t>
      </w:r>
    </w:p>
    <w:p w14:paraId="63CC971B" w14:textId="77777777" w:rsidR="00180E7C" w:rsidRDefault="00000000">
      <w:pPr>
        <w:pStyle w:val="FirstParagraph"/>
      </w:pPr>
      <w:r>
        <w:t>19.1.1 Each Party respects the sovereignty of the other’s airspace. The framework excludes overflight of the other Party’s territory by military aircraft, including remotely piloted aircraft, except under the transit and verification regimes of this Article.</w:t>
      </w:r>
    </w:p>
    <w:p w14:paraId="3ACDE3A4" w14:textId="77777777" w:rsidR="00180E7C" w:rsidRDefault="00000000">
      <w:pPr>
        <w:pStyle w:val="Heading3"/>
      </w:pPr>
      <w:bookmarkStart w:id="124" w:name="coastal-air-identification-zones"/>
      <w:bookmarkEnd w:id="123"/>
      <w:r>
        <w:t>19.2 Coastal Air Identification Zones</w:t>
      </w:r>
    </w:p>
    <w:p w14:paraId="07A2D596" w14:textId="77777777" w:rsidR="00180E7C" w:rsidRDefault="00000000">
      <w:pPr>
        <w:pStyle w:val="FirstParagraph"/>
      </w:pPr>
      <w:r>
        <w:t xml:space="preserve">19.2.1 Each Party operates a Coastal Air Identification Zone extending sixty nautical miles seaward from its territorial sea baseline. Military aircraft entering the other Party’s zone </w:t>
      </w:r>
      <w:r>
        <w:lastRenderedPageBreak/>
        <w:t>identify themselves on the guard frequency, maintain transponder emission, and follow the routing guidance of the Air Coordination Cell.</w:t>
      </w:r>
    </w:p>
    <w:p w14:paraId="0CE88827" w14:textId="77777777" w:rsidR="00180E7C" w:rsidRDefault="00000000">
      <w:pPr>
        <w:pStyle w:val="Heading3"/>
      </w:pPr>
      <w:bookmarkStart w:id="125" w:name="surveillance-restraint"/>
      <w:bookmarkEnd w:id="124"/>
      <w:r>
        <w:t>19.3 Surveillance Restraint</w:t>
      </w:r>
    </w:p>
    <w:p w14:paraId="4FBBFD89" w14:textId="77777777" w:rsidR="00180E7C" w:rsidRDefault="00000000">
      <w:pPr>
        <w:pStyle w:val="FirstParagraph"/>
      </w:pPr>
      <w:r>
        <w:t>19.3.1 Manned and unmanned surveillance platforms of each Party operate no closer than twenty-four nautical miles from the other Party’s territorial sea baseline in the Gulf Theater, except the verification flights of Annex C, Section 10, which operate under filed flight plans and Hormuz Authority coordination.</w:t>
      </w:r>
    </w:p>
    <w:p w14:paraId="79FA418A" w14:textId="77777777" w:rsidR="00180E7C" w:rsidRDefault="00000000">
      <w:pPr>
        <w:pStyle w:val="Heading3"/>
      </w:pPr>
      <w:bookmarkStart w:id="126" w:name="humanitarian-and-civil-aviation"/>
      <w:bookmarkEnd w:id="125"/>
      <w:r>
        <w:t>19.4 Humanitarian and Civil Aviation</w:t>
      </w:r>
    </w:p>
    <w:p w14:paraId="10B143FF" w14:textId="77777777" w:rsidR="00180E7C" w:rsidRDefault="00000000">
      <w:pPr>
        <w:pStyle w:val="FirstParagraph"/>
      </w:pPr>
      <w:r>
        <w:t>19.4.1 Civil aviation proceeds without restriction. The Parties exchange air navigation data and resume overflight arrangements for civil carriers within thirty days of EIF, including the restoration of Iran Air and other carrier routing through regional airspace.</w:t>
      </w:r>
    </w:p>
    <w:p w14:paraId="7B8A40A9" w14:textId="77777777" w:rsidR="00180E7C" w:rsidRDefault="00000000">
      <w:pPr>
        <w:pStyle w:val="BodyText"/>
      </w:pPr>
      <w:r>
        <w:t>19.4.2 Humanitarian aviation corridors of Annex M operate with priority handling at all times.</w:t>
      </w:r>
    </w:p>
    <w:p w14:paraId="01DF87FD" w14:textId="77777777" w:rsidR="00180E7C" w:rsidRDefault="00000000">
      <w:pPr>
        <w:pStyle w:val="Heading3"/>
      </w:pPr>
      <w:bookmarkStart w:id="127" w:name="incident-prevention"/>
      <w:bookmarkEnd w:id="126"/>
      <w:r>
        <w:t>19.5 Incident Prevention</w:t>
      </w:r>
    </w:p>
    <w:p w14:paraId="77709A4C" w14:textId="77777777" w:rsidR="00180E7C" w:rsidRDefault="00000000">
      <w:pPr>
        <w:pStyle w:val="FirstParagraph"/>
      </w:pPr>
      <w:r>
        <w:t>19.5.1 The Air Coordination Cell, located within the Joint Operations Center at Muscat with a mirror at Doha, maintains continuous air picture fusion from both Parties’ radar feeds under the data-sharing rules of Annex C. Any track approaching the thresholds of this Article generates an automatic dual notification.</w:t>
      </w:r>
    </w:p>
    <w:p w14:paraId="35DC47F4" w14:textId="77777777" w:rsidR="00180E7C" w:rsidRDefault="00000000">
      <w:pPr>
        <w:pStyle w:val="TOCArticle"/>
      </w:pPr>
      <w:bookmarkStart w:id="128" w:name="article-20-naval-deconfliction"/>
      <w:bookmarkStart w:id="129" w:name="_Toc237843089"/>
      <w:bookmarkEnd w:id="121"/>
      <w:bookmarkEnd w:id="127"/>
      <w:r>
        <w:t>Article 20: Naval Deconfliction</w:t>
      </w:r>
      <w:bookmarkEnd w:id="129"/>
    </w:p>
    <w:p w14:paraId="5EC12D3C" w14:textId="77777777" w:rsidR="00180E7C" w:rsidRDefault="00000000">
      <w:pPr>
        <w:pStyle w:val="Heading3"/>
      </w:pPr>
      <w:bookmarkStart w:id="130" w:name="the-deconfliction-protocol"/>
      <w:r>
        <w:t>20.1 The Deconfliction Protocol</w:t>
      </w:r>
    </w:p>
    <w:p w14:paraId="33F14F95" w14:textId="77777777" w:rsidR="00180E7C" w:rsidRDefault="00000000">
      <w:pPr>
        <w:pStyle w:val="FirstParagraph"/>
      </w:pPr>
      <w:r>
        <w:t>20.1.1 Annex J contains the full Naval Deconfliction and Maritime Safety Protocol, which this Article activates as binding law between the Parties. The protocol covers: routing, identification, communications, maneuvering standards, subsurface deconfliction, and incident response.</w:t>
      </w:r>
    </w:p>
    <w:p w14:paraId="4B86D97A" w14:textId="77777777" w:rsidR="00180E7C" w:rsidRDefault="00000000">
      <w:pPr>
        <w:pStyle w:val="Heading3"/>
      </w:pPr>
      <w:bookmarkStart w:id="131" w:name="core-rules"/>
      <w:bookmarkEnd w:id="130"/>
      <w:r>
        <w:t>20.2 Core Rules</w:t>
      </w:r>
    </w:p>
    <w:p w14:paraId="0F51E8B4" w14:textId="77777777" w:rsidR="00180E7C" w:rsidRDefault="00000000">
      <w:pPr>
        <w:pStyle w:val="FirstParagraph"/>
      </w:pPr>
      <w:r>
        <w:t>20.2.1 Naval vessels of the Parties operating in the Gulf Theater: (a) broadcast position, course, and speed through the military deconfliction data link every fifteen minutes while within one hundred nautical miles of the Strait; (b) observe the separation standards of Article 18.1(b); (c) announce transits of the Strait of Hormuz by naval vessels to the Maritime Operations Center not fewer than twenty-four hours in advance, with the Hormuz Authority publishing the transit window in its daily navigational bulletin; (d) conduct no embarkation, boarding, or inspection of third-state vessels except under the Hormuz Authority procedures of Title III.</w:t>
      </w:r>
    </w:p>
    <w:p w14:paraId="5458EA86" w14:textId="77777777" w:rsidR="00180E7C" w:rsidRDefault="00000000">
      <w:pPr>
        <w:pStyle w:val="Heading3"/>
      </w:pPr>
      <w:bookmarkStart w:id="132" w:name="subsurface-deconfliction"/>
      <w:bookmarkEnd w:id="131"/>
      <w:r>
        <w:t>20.3 Subsurface Deconfliction</w:t>
      </w:r>
    </w:p>
    <w:p w14:paraId="722A0C2A" w14:textId="77777777" w:rsidR="00180E7C" w:rsidRDefault="00000000">
      <w:pPr>
        <w:pStyle w:val="FirstParagraph"/>
      </w:pPr>
      <w:r>
        <w:t xml:space="preserve">20.3.1 Submarines of either Party operating in the Gulf Theater observe the water space management scheme of Annex J, Section 8: declared operating areas, depth deconfliction, </w:t>
      </w:r>
      <w:r>
        <w:lastRenderedPageBreak/>
        <w:t>and the notification fence at the Strait approaches. Surface warships towing active sonar announce operations through the data link.</w:t>
      </w:r>
    </w:p>
    <w:p w14:paraId="5221A044" w14:textId="77777777" w:rsidR="00180E7C" w:rsidRDefault="00000000">
      <w:pPr>
        <w:pStyle w:val="Heading3"/>
      </w:pPr>
      <w:bookmarkStart w:id="133" w:name="mine-countermeasures"/>
      <w:bookmarkEnd w:id="132"/>
      <w:r>
        <w:t>20.4 Mine Countermeasures</w:t>
      </w:r>
    </w:p>
    <w:p w14:paraId="6F0E3807" w14:textId="77777777" w:rsidR="00180E7C" w:rsidRDefault="00000000">
      <w:pPr>
        <w:pStyle w:val="FirstParagraph"/>
      </w:pPr>
      <w:r>
        <w:t>20.4.1 Iran executes the mine clearance program of Annex J, Section 11, with United Nations Mine Action Service technical support and international observer participation: survey, clearance, and certification of the corridor system, with progress logged in the Shared Digital Registry. The United States provides the mine intelligence packages collected during 2026, including its track records of suspected mine locations, within fourteen days of EIF.</w:t>
      </w:r>
    </w:p>
    <w:p w14:paraId="0F8850E4" w14:textId="77777777" w:rsidR="00180E7C" w:rsidRDefault="00000000">
      <w:pPr>
        <w:pStyle w:val="TOCArticle"/>
      </w:pPr>
      <w:bookmarkStart w:id="134" w:name="Xb7651a333b48d6ca0a1ace8181cdb242a1e20ba"/>
      <w:bookmarkStart w:id="135" w:name="_Toc237843090"/>
      <w:bookmarkEnd w:id="128"/>
      <w:bookmarkEnd w:id="133"/>
      <w:r>
        <w:t>Article 21: Missile Stand-Down and Dialogue Framework</w:t>
      </w:r>
      <w:bookmarkEnd w:id="135"/>
    </w:p>
    <w:p w14:paraId="7B94077A" w14:textId="77777777" w:rsidR="00180E7C" w:rsidRDefault="00000000">
      <w:pPr>
        <w:pStyle w:val="Heading3"/>
      </w:pPr>
      <w:bookmarkStart w:id="136" w:name="the-stand-down"/>
      <w:r>
        <w:t>21.1 The Stand-Down</w:t>
      </w:r>
    </w:p>
    <w:p w14:paraId="78EFCC8D" w14:textId="77777777" w:rsidR="00180E7C" w:rsidRDefault="00000000">
      <w:pPr>
        <w:pStyle w:val="FirstParagraph"/>
      </w:pPr>
      <w:r>
        <w:t>21.1.1 From EIF, the framework freezes: flight testing of ballistic missiles exceeding one thousand kilometers range; deployment of ballistic missile units to new wartime dispersal sites in the Gulf Theater; and targeting activity against the other Party’s forces or territory. The freeze registers in the Shared Digital Registry and operates under satellite and telemetry verification per Annex K, Section 6.</w:t>
      </w:r>
    </w:p>
    <w:p w14:paraId="22873988" w14:textId="77777777" w:rsidR="00180E7C" w:rsidRDefault="00000000">
      <w:pPr>
        <w:pStyle w:val="BodyText"/>
      </w:pPr>
      <w:r>
        <w:t>21.1.2 The freeze exempts: space launch vehicle activity declared in advance to the Joint Monitoring Cell under the transparency protocol of Annex K, Section 7, and static testing conducted at declared facilities.</w:t>
      </w:r>
    </w:p>
    <w:p w14:paraId="38B6D712" w14:textId="77777777" w:rsidR="00180E7C" w:rsidRDefault="00000000">
      <w:pPr>
        <w:pStyle w:val="Heading3"/>
      </w:pPr>
      <w:bookmarkStart w:id="137" w:name="the-dialogue-framework"/>
      <w:bookmarkEnd w:id="136"/>
      <w:r>
        <w:t>21.2 The Dialogue Framework</w:t>
      </w:r>
    </w:p>
    <w:p w14:paraId="59659E03" w14:textId="77777777" w:rsidR="00180E7C" w:rsidRDefault="00000000">
      <w:pPr>
        <w:pStyle w:val="FirstParagraph"/>
      </w:pPr>
      <w:r>
        <w:t>21.2.1 Annex K contains the Ballistic Missile Dialogue Framework, which convenes within sixty days of EIF and addresses, in a standing technical-political process: range and payload declarations, notification regimes for tests, transparency measures for space launch activity, and the conditions for codifying quantitative ceilings as a future protocol to this Treaty.</w:t>
      </w:r>
    </w:p>
    <w:p w14:paraId="2A6BB614" w14:textId="77777777" w:rsidR="00180E7C" w:rsidRDefault="00000000">
      <w:pPr>
        <w:pStyle w:val="BodyText"/>
      </w:pPr>
      <w:r>
        <w:t>21.2.2 The Dialogue Framework acknowledges the registered positions: Iran’s position that its missile program constitutes a sovereign defensive capability excluded from negotiation, and the United States position that long-range missile development requires limitation. The Treaty resolves the collision through the stand-down of 21.1 plus the structured dialogue of 21.2: the freeze delivers the immediate security outcome, the dialogue builds the path to durable ceilings, and neither Party registers a concession on the underlying position.</w:t>
      </w:r>
    </w:p>
    <w:p w14:paraId="0134E0B5" w14:textId="77777777" w:rsidR="00180E7C" w:rsidRDefault="00000000">
      <w:pPr>
        <w:pStyle w:val="Heading3"/>
      </w:pPr>
      <w:bookmarkStart w:id="138" w:name="nuclear-capable-systems"/>
      <w:bookmarkEnd w:id="137"/>
      <w:r>
        <w:t>21.3 Nuclear-Capable Systems</w:t>
      </w:r>
    </w:p>
    <w:p w14:paraId="649D1F26" w14:textId="77777777" w:rsidR="00180E7C" w:rsidRDefault="00000000">
      <w:pPr>
        <w:pStyle w:val="FirstParagraph"/>
      </w:pPr>
      <w:r>
        <w:t>21.3.1 The architecture excludes the development, testing, or deployment of ballistic missiles designed to be nuclear-capable by Iran, consistent with and consequential to the permanent non-nuclear undertaking of Article 61. The IAEA-verified absence of any nuclear weapons program renders the category operationally empty, and the Dialogue Framework maintains the technical channel to keep it empty.</w:t>
      </w:r>
    </w:p>
    <w:p w14:paraId="7AC0D2C3" w14:textId="77777777" w:rsidR="00180E7C" w:rsidRDefault="00000000">
      <w:pPr>
        <w:pStyle w:val="TOCArticle"/>
      </w:pPr>
      <w:bookmarkStart w:id="139" w:name="article-22-cyber-restraints"/>
      <w:bookmarkStart w:id="140" w:name="_Toc237843091"/>
      <w:bookmarkEnd w:id="134"/>
      <w:bookmarkEnd w:id="138"/>
      <w:r>
        <w:lastRenderedPageBreak/>
        <w:t>Article 22: Cyber Restraints</w:t>
      </w:r>
      <w:bookmarkEnd w:id="140"/>
    </w:p>
    <w:p w14:paraId="526285F7" w14:textId="77777777" w:rsidR="00180E7C" w:rsidRDefault="00000000">
      <w:pPr>
        <w:pStyle w:val="Heading3"/>
      </w:pPr>
      <w:bookmarkStart w:id="141" w:name="critical-infrastructure-protection"/>
      <w:r>
        <w:t>22.1 Critical Infrastructure Protection</w:t>
      </w:r>
    </w:p>
    <w:p w14:paraId="28BA29C7" w14:textId="77777777" w:rsidR="00180E7C" w:rsidRDefault="00000000">
      <w:pPr>
        <w:pStyle w:val="FirstParagraph"/>
      </w:pPr>
      <w:r>
        <w:t>22.1.1 The framework excludes offensive cyber operations by either Party against the critical infrastructure of the other: energy generation and distribution, oil and gas systems, water and desalination systems, nuclear facilities, banking and payment systems, hospitals and health systems, air and maritime traffic control, and the verification infrastructure of this Treaty.</w:t>
      </w:r>
    </w:p>
    <w:p w14:paraId="08E170FE" w14:textId="77777777" w:rsidR="00180E7C" w:rsidRDefault="00000000">
      <w:pPr>
        <w:pStyle w:val="Heading3"/>
      </w:pPr>
      <w:bookmarkStart w:id="142" w:name="attribution-and-response"/>
      <w:bookmarkEnd w:id="141"/>
      <w:r>
        <w:t>22.2 Attribution and Response</w:t>
      </w:r>
    </w:p>
    <w:p w14:paraId="4BB86E81" w14:textId="77777777" w:rsidR="00180E7C" w:rsidRDefault="00000000">
      <w:pPr>
        <w:pStyle w:val="FirstParagraph"/>
      </w:pPr>
      <w:r>
        <w:t>22.2.1 Cyber incidents enter the Joint Cyber Review Cell of Annex C, Section 11, staffed by technical experts of both Parties plus Swiss-nominated neutrals. Attribution follows the convergent-evidence standard of Article 2.3. An unattributed incident produces joint forensic work, not accusation.</w:t>
      </w:r>
    </w:p>
    <w:p w14:paraId="7D742779" w14:textId="77777777" w:rsidR="00180E7C" w:rsidRDefault="00000000">
      <w:pPr>
        <w:pStyle w:val="Heading3"/>
      </w:pPr>
      <w:bookmarkStart w:id="143" w:name="protected-verification-systems"/>
      <w:bookmarkEnd w:id="142"/>
      <w:r>
        <w:t>22.3 Protected Verification Systems</w:t>
      </w:r>
    </w:p>
    <w:p w14:paraId="6C1B3A46" w14:textId="77777777" w:rsidR="00180E7C" w:rsidRDefault="00000000">
      <w:pPr>
        <w:pStyle w:val="FirstParagraph"/>
      </w:pPr>
      <w:r>
        <w:t>22.3.1 The Shared Digital Registry, the Joint Monitoring Cell systems, the escrow systems of Annex H, and the IAEA monitoring systems enjoy absolute protection. Interference with verification systems registers as a Level 4 anomaly and a presumptive Tier 3 violation.</w:t>
      </w:r>
    </w:p>
    <w:p w14:paraId="6B97903B" w14:textId="77777777" w:rsidR="00180E7C" w:rsidRDefault="00000000">
      <w:pPr>
        <w:pStyle w:val="Heading3"/>
      </w:pPr>
      <w:bookmarkStart w:id="144" w:name="norms-commitment"/>
      <w:bookmarkEnd w:id="143"/>
      <w:r>
        <w:t>22.4 Norms Commitment</w:t>
      </w:r>
    </w:p>
    <w:p w14:paraId="30850A91" w14:textId="77777777" w:rsidR="00180E7C" w:rsidRDefault="00000000">
      <w:pPr>
        <w:pStyle w:val="FirstParagraph"/>
      </w:pPr>
      <w:r>
        <w:t>22.4.1 The Parties jointly sponsor, within one year of EIF, a United Nations General Assembly resolution codifying the critical-infrastructure cyber protection norm of this Article for general application.</w:t>
      </w:r>
    </w:p>
    <w:p w14:paraId="7AF31C23" w14:textId="77777777" w:rsidR="00180E7C" w:rsidRDefault="00000000">
      <w:pPr>
        <w:pStyle w:val="TOCArticle"/>
      </w:pPr>
      <w:bookmarkStart w:id="145" w:name="X7be1c884a356374e012d5dae36e18da39b5d316"/>
      <w:bookmarkStart w:id="146" w:name="_Toc237843092"/>
      <w:bookmarkEnd w:id="139"/>
      <w:bookmarkEnd w:id="144"/>
      <w:r>
        <w:t>Article 23: Proxy Demobilization Support Architecture</w:t>
      </w:r>
      <w:bookmarkEnd w:id="146"/>
    </w:p>
    <w:p w14:paraId="5B8B6525" w14:textId="77777777" w:rsidR="00180E7C" w:rsidRDefault="00000000">
      <w:pPr>
        <w:pStyle w:val="Heading3"/>
      </w:pPr>
      <w:bookmarkStart w:id="147" w:name="the-architecture"/>
      <w:r>
        <w:t>23.1 The Architecture</w:t>
      </w:r>
    </w:p>
    <w:p w14:paraId="0DB43527" w14:textId="77777777" w:rsidR="00180E7C" w:rsidRDefault="00000000">
      <w:pPr>
        <w:pStyle w:val="FirstParagraph"/>
      </w:pPr>
      <w:r>
        <w:t>23.1.1 This Article establishes the support machinery for the proxy domain transformation of Article 7 and Title VI: the Regional Demobilization Support Facility (RDSF), administered by the Reconstruction and Development Fund of Article 52 with United Nations Development Programme technical partnership.</w:t>
      </w:r>
    </w:p>
    <w:p w14:paraId="5567E48B" w14:textId="77777777" w:rsidR="00180E7C" w:rsidRDefault="00000000">
      <w:pPr>
        <w:pStyle w:val="BodyText"/>
      </w:pPr>
      <w:r>
        <w:t>23.1.2 The RDSF finances: integration programs for members of demobilizing armed groups (vocational training, public works employment, pensions for disabled veterans); community reintegration projects in affected areas; and the security sector programs of the Lebanon and Iraq protocols.</w:t>
      </w:r>
    </w:p>
    <w:p w14:paraId="0DB79E5D" w14:textId="77777777" w:rsidR="00180E7C" w:rsidRDefault="00000000">
      <w:pPr>
        <w:pStyle w:val="Heading3"/>
      </w:pPr>
      <w:bookmarkStart w:id="148" w:name="sequencing-with-regional-instruments"/>
      <w:bookmarkEnd w:id="147"/>
      <w:r>
        <w:t>23.2 Sequencing with Regional Instruments</w:t>
      </w:r>
    </w:p>
    <w:p w14:paraId="5842FE8C" w14:textId="77777777" w:rsidR="00180E7C" w:rsidRDefault="00000000">
      <w:pPr>
        <w:pStyle w:val="FirstParagraph"/>
      </w:pPr>
      <w:r>
        <w:t>23.2.1 Each group’s demobilization follows its own protocol in Annex L: declaration of inventory, cantonment or handover of heavy weapons, verification, integration financing release, and political transition milestones. The RDSF releases tranches against verified milestones only.</w:t>
      </w:r>
    </w:p>
    <w:p w14:paraId="1D2C1382" w14:textId="77777777" w:rsidR="00180E7C" w:rsidRDefault="00000000">
      <w:pPr>
        <w:pStyle w:val="Heading3"/>
      </w:pPr>
      <w:bookmarkStart w:id="149" w:name="non-punitive-design"/>
      <w:bookmarkEnd w:id="148"/>
      <w:r>
        <w:lastRenderedPageBreak/>
        <w:t>23.3 Non-Punitive Design</w:t>
      </w:r>
    </w:p>
    <w:p w14:paraId="3EF5231D" w14:textId="77777777" w:rsidR="00180E7C" w:rsidRDefault="00000000">
      <w:pPr>
        <w:pStyle w:val="FirstParagraph"/>
      </w:pPr>
      <w:r>
        <w:t>23.3.1 The architecture treats demobilization as investment, not surrender. No fighter faces prosecution under this Treaty for past membership; accountability for specific grave crimes proceeds through the mechanisms of Article 65 under domestic and international law. Amnesty frameworks within each state operate per that state’s legislation, with the Treaty encouraging broad amnesties consistent with international law.</w:t>
      </w:r>
    </w:p>
    <w:p w14:paraId="5D50F4E9" w14:textId="77777777" w:rsidR="00180E7C" w:rsidRDefault="00000000">
      <w:pPr>
        <w:pStyle w:val="TOCArticle"/>
      </w:pPr>
      <w:bookmarkStart w:id="150" w:name="article-24-joint-operations-centers"/>
      <w:bookmarkStart w:id="151" w:name="_Toc237843093"/>
      <w:bookmarkEnd w:id="145"/>
      <w:bookmarkEnd w:id="149"/>
      <w:r>
        <w:t>Article 24: Joint Operations Centers</w:t>
      </w:r>
      <w:bookmarkEnd w:id="151"/>
    </w:p>
    <w:p w14:paraId="05D085A2" w14:textId="77777777" w:rsidR="00180E7C" w:rsidRDefault="00000000">
      <w:pPr>
        <w:pStyle w:val="Heading3"/>
      </w:pPr>
      <w:bookmarkStart w:id="152" w:name="establishment"/>
      <w:r>
        <w:t>24.1 Establishment</w:t>
      </w:r>
    </w:p>
    <w:p w14:paraId="2BA35C6A" w14:textId="77777777" w:rsidR="00180E7C" w:rsidRDefault="00000000">
      <w:pPr>
        <w:pStyle w:val="FirstParagraph"/>
      </w:pPr>
      <w:r>
        <w:t>24.1.1 The Parties establish two Joint Operations Centers: JOC-Muscat (maritime primary, air coordination, and Hormuz interface) and JOC-Doha (land domain, proxy domain, and regional coordination). Each center staffs watch officers from both Parties plus officers from Oman, Qatar, and Pakistan, operating 24/7 from EIF plus fourteen days.</w:t>
      </w:r>
    </w:p>
    <w:p w14:paraId="351D09B4" w14:textId="77777777" w:rsidR="00180E7C" w:rsidRDefault="00000000">
      <w:pPr>
        <w:pStyle w:val="Heading3"/>
      </w:pPr>
      <w:bookmarkStart w:id="153" w:name="functions"/>
      <w:bookmarkEnd w:id="152"/>
      <w:r>
        <w:t>24.2 Functions</w:t>
      </w:r>
    </w:p>
    <w:p w14:paraId="360A04E6" w14:textId="77777777" w:rsidR="00180E7C" w:rsidRDefault="00000000">
      <w:pPr>
        <w:pStyle w:val="FirstParagraph"/>
      </w:pPr>
      <w:r>
        <w:t>24.2.1 The JOCs: fuse the operational pictures from the data feeds of Annex C; manage the notification traffic of Article 25; host the daily coordination calls between the Parties’ regional commands; operate the military deconfliction lines; and produce the daily situation report logged in the Shared Digital Registry.</w:t>
      </w:r>
    </w:p>
    <w:p w14:paraId="396AC279" w14:textId="77777777" w:rsidR="00180E7C" w:rsidRDefault="00000000">
      <w:pPr>
        <w:pStyle w:val="Heading3"/>
      </w:pPr>
      <w:bookmarkStart w:id="154" w:name="access-and-neutrality"/>
      <w:bookmarkEnd w:id="153"/>
      <w:r>
        <w:t>24.3 Access and Neutrality</w:t>
      </w:r>
    </w:p>
    <w:p w14:paraId="4FB36A68" w14:textId="77777777" w:rsidR="00180E7C" w:rsidRDefault="00000000">
      <w:pPr>
        <w:pStyle w:val="FirstParagraph"/>
      </w:pPr>
      <w:r>
        <w:t>24.3.1 JOC facilities enjoy inviolability as treaty premises. Host states provide security perimeters; the Parties and Facilitating States fund operations under the cost-sharing table of Annex I, Section 8.</w:t>
      </w:r>
    </w:p>
    <w:p w14:paraId="3105F871" w14:textId="77777777" w:rsidR="00180E7C" w:rsidRDefault="00000000">
      <w:pPr>
        <w:pStyle w:val="Heading3"/>
      </w:pPr>
      <w:bookmarkStart w:id="155" w:name="the-deconfliction-lines"/>
      <w:bookmarkEnd w:id="154"/>
      <w:r>
        <w:t>24.4 The Deconfliction Lines</w:t>
      </w:r>
    </w:p>
    <w:p w14:paraId="4D18C6AA" w14:textId="77777777" w:rsidR="00180E7C" w:rsidRDefault="00000000">
      <w:pPr>
        <w:pStyle w:val="FirstParagraph"/>
      </w:pPr>
      <w:r>
        <w:t>24.4.1 Dedicated circuits connect: United States Central Command forward headquarters with the General Staff of the Iranian Armed Forces; United States Naval Forces Central Command with the Iranian Navy and the IRGC Navy; and the air component commands of both sides with the Air Coordination Cell. Each circuit tests daily; outages restore within four hours.</w:t>
      </w:r>
    </w:p>
    <w:p w14:paraId="4A8A49C4" w14:textId="77777777" w:rsidR="00180E7C" w:rsidRDefault="00000000">
      <w:pPr>
        <w:pStyle w:val="TOCArticle"/>
      </w:pPr>
      <w:bookmarkStart w:id="156" w:name="X1a534011c9d2d86062d0e1e659772d2d4b47b84"/>
      <w:bookmarkStart w:id="157" w:name="_Toc237843094"/>
      <w:bookmarkEnd w:id="150"/>
      <w:bookmarkEnd w:id="155"/>
      <w:r>
        <w:t>Article 25: Incident Reporting and Notification</w:t>
      </w:r>
      <w:bookmarkEnd w:id="157"/>
    </w:p>
    <w:p w14:paraId="363CAE29" w14:textId="77777777" w:rsidR="00180E7C" w:rsidRDefault="00000000">
      <w:pPr>
        <w:pStyle w:val="Heading3"/>
      </w:pPr>
      <w:bookmarkStart w:id="158" w:name="immediate-notification-events"/>
      <w:r>
        <w:t>25.1 Immediate Notification Events</w:t>
      </w:r>
    </w:p>
    <w:p w14:paraId="50F21916" w14:textId="77777777" w:rsidR="00180E7C" w:rsidRDefault="00000000">
      <w:pPr>
        <w:pStyle w:val="FirstParagraph"/>
      </w:pPr>
      <w:r>
        <w:t>25.1.1 Each Party notifies the JOCs and the Joint Monitoring Cell within thirty minutes of: any use of force; any detention of the other Party’s nationals or vessels; any military aircraft loss or naval casualty; any Level 3 or Level 4 anomaly; any launch of a missile of any range; and any incident with casualty potential near the corridor system.</w:t>
      </w:r>
    </w:p>
    <w:p w14:paraId="72B931B0" w14:textId="77777777" w:rsidR="00180E7C" w:rsidRDefault="00000000">
      <w:pPr>
        <w:pStyle w:val="Heading3"/>
      </w:pPr>
      <w:bookmarkStart w:id="159" w:name="routine-notification-events"/>
      <w:bookmarkEnd w:id="158"/>
      <w:r>
        <w:lastRenderedPageBreak/>
        <w:t>25.2 Routine Notification Events</w:t>
      </w:r>
    </w:p>
    <w:p w14:paraId="45B41ED4" w14:textId="77777777" w:rsidR="00180E7C" w:rsidRDefault="00000000">
      <w:pPr>
        <w:pStyle w:val="FirstParagraph"/>
      </w:pPr>
      <w:r>
        <w:t>25.2.1 Each Party notifies within twenty-four hours: military exercises per Article 16.5 (fourteen days in advance); major force movements above battalion or squadron level within the Gulf Theater; naval transits per Article 20.2(c); and verification-relevant facility maintenance per Annex C.</w:t>
      </w:r>
    </w:p>
    <w:p w14:paraId="2A0F8874" w14:textId="77777777" w:rsidR="00180E7C" w:rsidRDefault="00000000">
      <w:pPr>
        <w:pStyle w:val="Heading3"/>
      </w:pPr>
      <w:bookmarkStart w:id="160" w:name="movement-thresholds"/>
      <w:bookmarkEnd w:id="159"/>
      <w:r>
        <w:t>25.3 Movement Thresholds</w:t>
      </w:r>
    </w:p>
    <w:p w14:paraId="30F29106" w14:textId="77777777" w:rsidR="00180E7C" w:rsidRDefault="00000000">
      <w:pPr>
        <w:pStyle w:val="FirstParagraph"/>
      </w:pPr>
      <w:r>
        <w:t>25.3.1 The notification threshold for ground force movement stands at battalion level; for naval movement, at any combatant above five hundred tons entering or departing the Gulf Theater; for air movement, at any deployment of more than six combat aircraft to a Theater airfield.</w:t>
      </w:r>
    </w:p>
    <w:p w14:paraId="64B26693" w14:textId="77777777" w:rsidR="00180E7C" w:rsidRDefault="00000000">
      <w:pPr>
        <w:pStyle w:val="Heading3"/>
      </w:pPr>
      <w:bookmarkStart w:id="161" w:name="false-or-neglected-notification"/>
      <w:bookmarkEnd w:id="160"/>
      <w:r>
        <w:t>25.4 False or Neglected Notification</w:t>
      </w:r>
    </w:p>
    <w:p w14:paraId="2B15F59D" w14:textId="77777777" w:rsidR="00180E7C" w:rsidRDefault="00000000">
      <w:pPr>
        <w:pStyle w:val="FirstParagraph"/>
      </w:pPr>
      <w:r>
        <w:t>25.4.1 A neglected notification registers as a Level 2 anomaly; a pattern of neglect (three within thirty days) registers as Level 3; a deliberately false notification registers as Level 4 and enters the demerit schedule of Annex D.</w:t>
      </w:r>
    </w:p>
    <w:p w14:paraId="047C4435" w14:textId="77777777" w:rsidR="00180E7C" w:rsidRDefault="00000000">
      <w:pPr>
        <w:pStyle w:val="TOCArticle"/>
      </w:pPr>
      <w:bookmarkStart w:id="162" w:name="X217f6f45fd0d65dade14c36fb9efde375af4ec8"/>
      <w:bookmarkStart w:id="163" w:name="_Toc237843095"/>
      <w:bookmarkEnd w:id="156"/>
      <w:bookmarkEnd w:id="161"/>
      <w:r>
        <w:t>Article 26: Security Guarantees and the Guarantor Matrix</w:t>
      </w:r>
      <w:bookmarkEnd w:id="163"/>
    </w:p>
    <w:p w14:paraId="2E515343" w14:textId="77777777" w:rsidR="00180E7C" w:rsidRDefault="00000000">
      <w:pPr>
        <w:pStyle w:val="Heading3"/>
      </w:pPr>
      <w:bookmarkStart w:id="164" w:name="the-guarantor-matrix"/>
      <w:r>
        <w:t>26.1 The Guarantor Matrix</w:t>
      </w:r>
    </w:p>
    <w:p w14:paraId="00F3F90D" w14:textId="77777777" w:rsidR="00180E7C" w:rsidRDefault="00000000">
      <w:pPr>
        <w:pStyle w:val="FirstParagraph"/>
      </w:pPr>
      <w:r>
        <w:t>26.1.1 Annex N constitutes the Guarantor Matrix: Pakistan, Oman, Qatar, and Switzerland as Facilitating States; the United Nations Secretary-General as Depositary and good-offices holder; and the technical bodies in their defined roles.</w:t>
      </w:r>
    </w:p>
    <w:p w14:paraId="2AA614AE" w14:textId="77777777" w:rsidR="00180E7C" w:rsidRDefault="00000000">
      <w:pPr>
        <w:pStyle w:val="BodyText"/>
      </w:pPr>
      <w:r>
        <w:t>26.1.2 The Matrix’s guarantee operates through presence, verification, and diplomatic engagement, not through automatic military commitment. Its instruments: the standing consultation obligation of 26.2, the fact-finding mandate of Annex C, and the convening power of Article 29.</w:t>
      </w:r>
    </w:p>
    <w:p w14:paraId="40743074" w14:textId="77777777" w:rsidR="00180E7C" w:rsidRDefault="00000000">
      <w:pPr>
        <w:pStyle w:val="Heading3"/>
      </w:pPr>
      <w:bookmarkStart w:id="165" w:name="consultation-guarantee"/>
      <w:bookmarkEnd w:id="164"/>
      <w:r>
        <w:t>26.2 Consultation Guarantee</w:t>
      </w:r>
    </w:p>
    <w:p w14:paraId="44739DEE" w14:textId="77777777" w:rsidR="00180E7C" w:rsidRDefault="00000000">
      <w:pPr>
        <w:pStyle w:val="FirstParagraph"/>
      </w:pPr>
      <w:r>
        <w:t>26.2.1 If either Party perceives a threat to the peace established by this Treaty, it convenes the Guarantor Matrix within seventy-two hours. The Matrix meets at minister level, receives the Joint Monitoring Cell’s assessment, and issues a consensus recommendation. The recommendation carries the full diplomatic weight of the Facilitating States and enters the Security Council record through the Depositary.</w:t>
      </w:r>
    </w:p>
    <w:p w14:paraId="227E9612" w14:textId="77777777" w:rsidR="00180E7C" w:rsidRDefault="00000000">
      <w:pPr>
        <w:pStyle w:val="Heading3"/>
      </w:pPr>
      <w:bookmarkStart w:id="166" w:name="regional-assurance-layer"/>
      <w:bookmarkEnd w:id="165"/>
      <w:r>
        <w:t>26.3 Regional Assurance Layer</w:t>
      </w:r>
    </w:p>
    <w:p w14:paraId="6D4FE583" w14:textId="77777777" w:rsidR="00180E7C" w:rsidRDefault="00000000">
      <w:pPr>
        <w:pStyle w:val="FirstParagraph"/>
      </w:pPr>
      <w:r>
        <w:t>26.3.1 The Regional Standing Conference of Article 8 adopts, within one year of EIF, a regional security declaration affirming the Treaty, renouncing force in interstate disputes, and establishing the conference’s own deconfliction instruments, forming the outer assurance layer of the architecture.</w:t>
      </w:r>
    </w:p>
    <w:p w14:paraId="2D24BC8A" w14:textId="77777777" w:rsidR="00180E7C" w:rsidRDefault="00000000">
      <w:pPr>
        <w:pStyle w:val="TOCArticle"/>
      </w:pPr>
      <w:bookmarkStart w:id="167" w:name="article-27-conventional-arms-limitations"/>
      <w:bookmarkStart w:id="168" w:name="_Toc237843096"/>
      <w:bookmarkEnd w:id="162"/>
      <w:bookmarkEnd w:id="166"/>
      <w:r>
        <w:lastRenderedPageBreak/>
        <w:t>Article 27: Conventional Arms Limitations</w:t>
      </w:r>
      <w:bookmarkEnd w:id="168"/>
    </w:p>
    <w:p w14:paraId="7561CDFA" w14:textId="77777777" w:rsidR="00180E7C" w:rsidRDefault="00000000">
      <w:pPr>
        <w:pStyle w:val="Heading3"/>
      </w:pPr>
      <w:bookmarkStart w:id="169" w:name="theater-ceilings"/>
      <w:r>
        <w:t>27.1 Theater Ceilings</w:t>
      </w:r>
    </w:p>
    <w:p w14:paraId="4427D37A" w14:textId="77777777" w:rsidR="00180E7C" w:rsidRDefault="00000000">
      <w:pPr>
        <w:pStyle w:val="FirstParagraph"/>
      </w:pPr>
      <w:r>
        <w:t>27.1.1 Within the Gulf Theater, the Parties observe the following standing ceilings from Day 180: (a) United States: no more than one carrier strike group, no more than twelve thousand ground and air personnel surged beyond the pre-2026 baseline, no permanent stationing of medium-range ground-launched missiles; (b) Iran: no more than the declared baseline of fast attack craft in forward posture, no mobile anti-ship missile systems within the Littoral Stand-Down Band, no naval mine inventories outside the two declared depots.</w:t>
      </w:r>
    </w:p>
    <w:p w14:paraId="46E8B946" w14:textId="77777777" w:rsidR="00180E7C" w:rsidRDefault="00000000">
      <w:pPr>
        <w:pStyle w:val="Heading3"/>
      </w:pPr>
      <w:bookmarkStart w:id="170" w:name="transparency"/>
      <w:bookmarkEnd w:id="169"/>
      <w:r>
        <w:t>27.2 Transparency</w:t>
      </w:r>
    </w:p>
    <w:p w14:paraId="691896FB" w14:textId="77777777" w:rsidR="00180E7C" w:rsidRDefault="00000000">
      <w:pPr>
        <w:pStyle w:val="FirstParagraph"/>
      </w:pPr>
      <w:r>
        <w:t>27.2.1 The ceilings verify through the sensor architecture, satellite review, and the inspection regime of Article 28. Quarterly posture declarations update the baseline.</w:t>
      </w:r>
    </w:p>
    <w:p w14:paraId="6F65123E" w14:textId="77777777" w:rsidR="00180E7C" w:rsidRDefault="00000000">
      <w:pPr>
        <w:pStyle w:val="Heading3"/>
      </w:pPr>
      <w:bookmarkStart w:id="171" w:name="review"/>
      <w:bookmarkEnd w:id="170"/>
      <w:r>
        <w:t>27.3 Review</w:t>
      </w:r>
    </w:p>
    <w:p w14:paraId="1379C66B" w14:textId="77777777" w:rsidR="00180E7C" w:rsidRDefault="00000000">
      <w:pPr>
        <w:pStyle w:val="FirstParagraph"/>
      </w:pPr>
      <w:r>
        <w:t>27.3.1 The High Contracting Council reviews the ceilings annually, with authority to adjust by consensus in light of the regional security environment.</w:t>
      </w:r>
    </w:p>
    <w:p w14:paraId="41BDADF2" w14:textId="77777777" w:rsidR="00180E7C" w:rsidRDefault="00000000">
      <w:pPr>
        <w:pStyle w:val="TOCArticle"/>
      </w:pPr>
      <w:bookmarkStart w:id="172" w:name="X6a304ca501b011462a297036cd70bf36d924e23"/>
      <w:bookmarkStart w:id="173" w:name="_Toc237843097"/>
      <w:bookmarkEnd w:id="167"/>
      <w:bookmarkEnd w:id="171"/>
      <w:r>
        <w:t>Article 28: Inspection Rights and Military Verification</w:t>
      </w:r>
      <w:bookmarkEnd w:id="173"/>
    </w:p>
    <w:p w14:paraId="24C6E3CC" w14:textId="77777777" w:rsidR="00180E7C" w:rsidRDefault="00000000">
      <w:pPr>
        <w:pStyle w:val="Heading3"/>
      </w:pPr>
      <w:bookmarkStart w:id="174" w:name="the-military-verification-regime"/>
      <w:r>
        <w:t>28.1 The Military Verification Regime</w:t>
      </w:r>
    </w:p>
    <w:p w14:paraId="7D1DDC80" w14:textId="77777777" w:rsidR="00180E7C" w:rsidRDefault="00000000">
      <w:pPr>
        <w:pStyle w:val="FirstParagraph"/>
      </w:pPr>
      <w:r>
        <w:t>28.1.1 The Joint Monitoring Cell conducts: (a) continuous monitoring through the sensor and satellite architecture; (b) scheduled inspections of declared facilities, four per year per site with fourteen days notice; (c) challenge inspections of any site within the Gulf Theater, with access within seventy-two hours of request, exercised up to six times per year per Party.</w:t>
      </w:r>
    </w:p>
    <w:p w14:paraId="7DA12111" w14:textId="77777777" w:rsidR="00180E7C" w:rsidRDefault="00000000">
      <w:pPr>
        <w:pStyle w:val="BodyText"/>
      </w:pPr>
      <w:r>
        <w:t>28.1.2 Challenge inspections at active military facilities operate under the managed access protocol of Annex C, Section 12: the inspected Party protects legitimate military secrets through shrouding and escorted access while the inspection verifies the treaty-relevant facts. The protocol bars refusal; it manages sensitivity.</w:t>
      </w:r>
    </w:p>
    <w:p w14:paraId="297E9212" w14:textId="77777777" w:rsidR="00180E7C" w:rsidRDefault="00000000">
      <w:pPr>
        <w:pStyle w:val="Heading3"/>
      </w:pPr>
      <w:bookmarkStart w:id="175" w:name="reciprocity"/>
      <w:bookmarkEnd w:id="174"/>
      <w:r>
        <w:t>28.2 Reciprocity</w:t>
      </w:r>
    </w:p>
    <w:p w14:paraId="77B690FB" w14:textId="77777777" w:rsidR="00180E7C" w:rsidRDefault="00000000">
      <w:pPr>
        <w:pStyle w:val="FirstParagraph"/>
      </w:pPr>
      <w:r>
        <w:t>28.2.1 Inspection volumes mirror exactly: each inspection right one Party holds over the other corresponds to an identical right held in the opposite direction, including United States facilities in the Gulf Theater open to the same regime.</w:t>
      </w:r>
    </w:p>
    <w:p w14:paraId="31E4E239" w14:textId="77777777" w:rsidR="00180E7C" w:rsidRDefault="00000000">
      <w:pPr>
        <w:pStyle w:val="Heading3"/>
      </w:pPr>
      <w:bookmarkStart w:id="176" w:name="inspectors"/>
      <w:bookmarkEnd w:id="175"/>
      <w:r>
        <w:t>28.3 Inspectors</w:t>
      </w:r>
    </w:p>
    <w:p w14:paraId="34C7740F" w14:textId="77777777" w:rsidR="00180E7C" w:rsidRDefault="00000000">
      <w:pPr>
        <w:pStyle w:val="FirstParagraph"/>
      </w:pPr>
      <w:r>
        <w:t>28.3.1 The inspector roster draws from the pre-accredited pool of Annex C, Section 13: nationals of neutral states agreed by both Parties, with technical qualifications per the roster standards. Inspectors enjoy the immunities of Article 71.</w:t>
      </w:r>
    </w:p>
    <w:p w14:paraId="62BC24A3" w14:textId="77777777" w:rsidR="00180E7C" w:rsidRDefault="00000000">
      <w:pPr>
        <w:pStyle w:val="TOCArticle"/>
      </w:pPr>
      <w:bookmarkStart w:id="177" w:name="X9371f2e6425851d7a307cfb3ce2b1b97de69c3c"/>
      <w:bookmarkStart w:id="178" w:name="_Toc237843098"/>
      <w:bookmarkEnd w:id="172"/>
      <w:bookmarkEnd w:id="176"/>
      <w:r>
        <w:lastRenderedPageBreak/>
        <w:t>Article 29: Emergency Stabilization Mechanisms</w:t>
      </w:r>
      <w:bookmarkEnd w:id="178"/>
    </w:p>
    <w:p w14:paraId="66D65C1A" w14:textId="77777777" w:rsidR="00180E7C" w:rsidRDefault="00000000">
      <w:pPr>
        <w:pStyle w:val="Heading3"/>
      </w:pPr>
      <w:bookmarkStart w:id="179" w:name="the-emergency-session"/>
      <w:r>
        <w:t>29.1 The Emergency Session</w:t>
      </w:r>
    </w:p>
    <w:p w14:paraId="489837F2" w14:textId="77777777" w:rsidR="00180E7C" w:rsidRDefault="00000000">
      <w:pPr>
        <w:pStyle w:val="FirstParagraph"/>
      </w:pPr>
      <w:r>
        <w:t>29.1.1 Any of the following convenes an Emergency Session of the High Contracting Council within twelve hours: a use of force between the Parties; a Level 4 anomaly with casualty potential; a notification under Article 4.6; or a request by either Party supported by the Swiss Facilitator.</w:t>
      </w:r>
    </w:p>
    <w:p w14:paraId="12A72B57" w14:textId="77777777" w:rsidR="00180E7C" w:rsidRDefault="00000000">
      <w:pPr>
        <w:pStyle w:val="BodyText"/>
      </w:pPr>
      <w:r>
        <w:t>29.1.2 The Emergency Session operates by secure video with the Swiss Facilitator chairing. Its powers: order immediate stand-down measures through the JOCs; dispatch Joint Monitoring Cell fact-finding; freeze escalatory steps; and issue the joint holding statement of Article 12.3.</w:t>
      </w:r>
    </w:p>
    <w:p w14:paraId="323655B7" w14:textId="77777777" w:rsidR="00180E7C" w:rsidRDefault="00000000">
      <w:pPr>
        <w:pStyle w:val="Heading3"/>
      </w:pPr>
      <w:bookmarkStart w:id="180" w:name="the-automatic-circuit-breakers"/>
      <w:bookmarkEnd w:id="179"/>
      <w:r>
        <w:t>29.2 The Automatic Circuit Breakers</w:t>
      </w:r>
    </w:p>
    <w:p w14:paraId="69830E4B" w14:textId="77777777" w:rsidR="00180E7C" w:rsidRDefault="00000000">
      <w:pPr>
        <w:pStyle w:val="FirstParagraph"/>
      </w:pPr>
      <w:r>
        <w:t>29.2.1 Upon any kinetic incident between the Parties: (a) forces in the affected area execute the pre-vetted stand-down orders of Annex C, Section 6.2 without awaiting political direction; (b) all military movement within one hundred kilometers of the incident freezes; (c) the hotline of Article 5.3.1(a) activates at principal level within two hours; (d) no retaliatory action proceeds before the Emergency Session convenes.</w:t>
      </w:r>
    </w:p>
    <w:p w14:paraId="63C831A7" w14:textId="77777777" w:rsidR="00180E7C" w:rsidRDefault="00000000">
      <w:pPr>
        <w:pStyle w:val="Heading3"/>
      </w:pPr>
      <w:bookmarkStart w:id="181" w:name="de-escalation-deadline"/>
      <w:bookmarkEnd w:id="180"/>
      <w:r>
        <w:t>29.3 De-escalation Deadline</w:t>
      </w:r>
    </w:p>
    <w:p w14:paraId="1225CEC7" w14:textId="77777777" w:rsidR="00180E7C" w:rsidRDefault="00000000">
      <w:pPr>
        <w:pStyle w:val="FirstParagraph"/>
      </w:pPr>
      <w:r>
        <w:t>29.3.1 The Emergency Session produces a de-escalation directive within twenty-four hours of convening. The directive binds both Parties. Failure of the Session to produce a directive escalates the matter to the Guarantor Matrix at minister level within the following twelve hours.</w:t>
      </w:r>
    </w:p>
    <w:p w14:paraId="4F7A6C7A" w14:textId="77777777" w:rsidR="00180E7C" w:rsidRDefault="00000000">
      <w:pPr>
        <w:pStyle w:val="TOCArticle"/>
      </w:pPr>
      <w:bookmarkStart w:id="182" w:name="Xbc515268dff77fdcb777321f9d3a5151e617bf6"/>
      <w:bookmarkStart w:id="183" w:name="_Toc237843099"/>
      <w:bookmarkEnd w:id="177"/>
      <w:bookmarkEnd w:id="181"/>
      <w:r>
        <w:t>Article 30: Security Compliance Benchmarks</w:t>
      </w:r>
      <w:bookmarkEnd w:id="183"/>
    </w:p>
    <w:p w14:paraId="26A06967" w14:textId="77777777" w:rsidR="00180E7C" w:rsidRDefault="00000000">
      <w:pPr>
        <w:pStyle w:val="Heading3"/>
      </w:pPr>
      <w:bookmarkStart w:id="184" w:name="the-benchmark-table"/>
      <w:r>
        <w:t>30.1 The Benchmark Table</w:t>
      </w:r>
    </w:p>
    <w:p w14:paraId="72F8492A" w14:textId="77777777" w:rsidR="00180E7C" w:rsidRDefault="00000000">
      <w:pPr>
        <w:pStyle w:val="FirstParagraph"/>
      </w:pPr>
      <w:r>
        <w:t>30.1.1 Annex P, Section 6, contains the security benchmark table: each withdrawal tranche, each buffer activation, each ceiling, and each notification regime carries objective indicators, data sources, and verification events.</w:t>
      </w:r>
    </w:p>
    <w:p w14:paraId="3A1BCBAA" w14:textId="77777777" w:rsidR="00180E7C" w:rsidRDefault="00000000">
      <w:pPr>
        <w:pStyle w:val="Heading3"/>
      </w:pPr>
      <w:bookmarkStart w:id="185" w:name="certification"/>
      <w:bookmarkEnd w:id="184"/>
      <w:r>
        <w:t>30.2 Certification</w:t>
      </w:r>
    </w:p>
    <w:p w14:paraId="576118E4" w14:textId="77777777" w:rsidR="00180E7C" w:rsidRDefault="00000000">
      <w:pPr>
        <w:pStyle w:val="FirstParagraph"/>
      </w:pPr>
      <w:r>
        <w:t>30.2.1 The Joint Monitoring Cell certifies each benchmark upon objective verification. Certifications enter the Shared Digital Registry and drive the synchronization engine of Annex P: economic steps of Title IV unlock against security certifications exactly as security steps unlock against nuclear certifications of Title V.</w:t>
      </w:r>
    </w:p>
    <w:p w14:paraId="4304BE64" w14:textId="77777777" w:rsidR="00180E7C" w:rsidRDefault="00000000">
      <w:pPr>
        <w:pStyle w:val="Heading3"/>
      </w:pPr>
      <w:bookmarkStart w:id="186" w:name="annual-security-review"/>
      <w:bookmarkEnd w:id="185"/>
      <w:r>
        <w:t>30.3 Annual Security Review</w:t>
      </w:r>
    </w:p>
    <w:p w14:paraId="2808DAD2" w14:textId="77777777" w:rsidR="00180E7C" w:rsidRDefault="00000000">
      <w:pPr>
        <w:pStyle w:val="FirstParagraph"/>
      </w:pPr>
      <w:r>
        <w:t>30.3.1 The High Contracting Council conducts an annual security posture review, receiving the Joint Monitoring Cell’s annual report, the JOC incident statistics, and the exercise logs, and adopts adjustments under the reciprocity principle of Article 16.7.</w:t>
      </w:r>
    </w:p>
    <w:p w14:paraId="76BF719E" w14:textId="77777777" w:rsidR="00180E7C" w:rsidRDefault="00000000">
      <w:r>
        <w:lastRenderedPageBreak/>
        <w:br w:type="page"/>
      </w:r>
    </w:p>
    <w:p w14:paraId="2976B79B" w14:textId="77777777" w:rsidR="00180E7C" w:rsidRDefault="00000000">
      <w:pPr>
        <w:pStyle w:val="Heading1"/>
      </w:pPr>
      <w:bookmarkStart w:id="187" w:name="Xea690bbefc2302f74a830a20d4251b2a80b2d56"/>
      <w:bookmarkStart w:id="188" w:name="_Toc237843100"/>
      <w:bookmarkEnd w:id="100"/>
      <w:bookmarkEnd w:id="182"/>
      <w:bookmarkEnd w:id="186"/>
      <w:r>
        <w:lastRenderedPageBreak/>
        <w:t>TITLE III: GOVERNANCE OF THE STRAIT OF HORMUZ AND REGIONAL MARITIME ORDER</w:t>
      </w:r>
      <w:bookmarkEnd w:id="188"/>
    </w:p>
    <w:p w14:paraId="4A6E7CDD" w14:textId="77777777" w:rsidR="00180E7C" w:rsidRDefault="00000000">
      <w:pPr>
        <w:pStyle w:val="TOCArticle"/>
      </w:pPr>
      <w:bookmarkStart w:id="189" w:name="article-31-the-hormuz-authority"/>
      <w:bookmarkStart w:id="190" w:name="_Toc237843101"/>
      <w:r>
        <w:t>Article 31: The Hormuz Authority</w:t>
      </w:r>
      <w:bookmarkEnd w:id="190"/>
    </w:p>
    <w:p w14:paraId="0BB91609" w14:textId="77777777" w:rsidR="00180E7C" w:rsidRDefault="00000000">
      <w:pPr>
        <w:pStyle w:val="Heading3"/>
      </w:pPr>
      <w:bookmarkStart w:id="191" w:name="establishment-1"/>
      <w:r>
        <w:t>31.1 Establishment</w:t>
      </w:r>
    </w:p>
    <w:p w14:paraId="568F1263" w14:textId="77777777" w:rsidR="00180E7C" w:rsidRDefault="00000000">
      <w:pPr>
        <w:pStyle w:val="FirstParagraph"/>
      </w:pPr>
      <w:r>
        <w:t>31.1.1 The Parties, together with the Sultanate of Oman as coastal co-anchor, establish the Hormuz Authority (hereinafter “the Authority”) as the permanent joint governance body for the Governance Area defined in Annex B, Section 2. The Authority possesses international legal personality within its functional mandate, and its decisions within that mandate bind the Parties and all users of the corridor system.</w:t>
      </w:r>
    </w:p>
    <w:p w14:paraId="49C145DE" w14:textId="77777777" w:rsidR="00180E7C" w:rsidRDefault="00000000">
      <w:pPr>
        <w:pStyle w:val="BodyText"/>
      </w:pPr>
      <w:r>
        <w:t>31.1.2 The Authority’s mandate covers: navigation safety and traffic coordination; corridor management and publication; transit rule enforcement; environmental protection; search and rescue coordination; incident management; data sharing; fee administration under Article 37; and the operation of the verification cells of Article 33.</w:t>
      </w:r>
    </w:p>
    <w:p w14:paraId="16A230B0" w14:textId="77777777" w:rsidR="00180E7C" w:rsidRDefault="00000000">
      <w:pPr>
        <w:pStyle w:val="Heading3"/>
      </w:pPr>
      <w:bookmarkStart w:id="192" w:name="incorporation-of-the-coastal-state-draft"/>
      <w:bookmarkEnd w:id="191"/>
      <w:r>
        <w:t>31.2 Incorporation of the Coastal-State Draft</w:t>
      </w:r>
    </w:p>
    <w:p w14:paraId="67329E03" w14:textId="77777777" w:rsidR="00180E7C" w:rsidRDefault="00000000">
      <w:pPr>
        <w:pStyle w:val="FirstParagraph"/>
      </w:pPr>
      <w:r>
        <w:t>31.2.1 The Parties incorporate in full the joint Oman-Iran governance draft finalized by the deputy foreign ministers’ technical rounds in Tehran and Muscat during 2026 and transmitted for final authorization at the highest level of the Iranian state. That draft’s architecture: the Oman-anchored administrative structure, the asymmetric operational roles, the verification cell system, the functional sovereignty language, and the phased activation schedule: forms the core of this Title. Ratification of this Treaty by Iran delivers the final approval of that draft as part of the comprehensive settlement, and the United States accession to this Title registers the international acceptance of that structure.</w:t>
      </w:r>
    </w:p>
    <w:p w14:paraId="1BE4BD46" w14:textId="77777777" w:rsidR="00180E7C" w:rsidRDefault="00000000">
      <w:pPr>
        <w:pStyle w:val="BodyText"/>
      </w:pPr>
      <w:r>
        <w:t>31.2.2 Where the coastal-state draft and this Treaty touch the same subject, this Treaty’s text operates as the authoritative expression, having absorbed the draft’s content through the negotiation recorded in the travaux of the Islamabad plenary.</w:t>
      </w:r>
    </w:p>
    <w:p w14:paraId="313DD449" w14:textId="77777777" w:rsidR="00180E7C" w:rsidRDefault="00000000">
      <w:pPr>
        <w:pStyle w:val="Heading3"/>
      </w:pPr>
      <w:bookmarkStart w:id="193" w:name="governance-structure"/>
      <w:bookmarkEnd w:id="192"/>
      <w:r>
        <w:t>31.3 Governance Structure</w:t>
      </w:r>
    </w:p>
    <w:p w14:paraId="2C05D4A7" w14:textId="77777777" w:rsidR="00180E7C" w:rsidRDefault="00000000">
      <w:pPr>
        <w:pStyle w:val="FirstParagraph"/>
      </w:pPr>
      <w:r>
        <w:t xml:space="preserve">31.3.1 </w:t>
      </w:r>
      <w:r>
        <w:rPr>
          <w:b/>
          <w:bCs/>
        </w:rPr>
        <w:t>The Authority Council.</w:t>
      </w:r>
      <w:r>
        <w:t xml:space="preserve"> The Council directs the Authority. Composition: the Sultanate of Oman (Chair); the Islamic Republic of Iran (Co-Chair); the United States of America (member); one rotating seat for the Gulf Cooperation Council states, filled annually by GCC nomination; one rotating seat for user-nation shipping interests, filled annually from the panel of China, India, Japan, the Republic of Korea, Pakistan, and the European Union member state holding the EU Council presidency, by agreement of that panel. The International Maritime Organization, the International Hydrographic Organization, and the United Nations hold observer seats without vote.</w:t>
      </w:r>
    </w:p>
    <w:p w14:paraId="76BBE63A" w14:textId="77777777" w:rsidR="00180E7C" w:rsidRDefault="00000000">
      <w:pPr>
        <w:pStyle w:val="BodyText"/>
      </w:pPr>
      <w:r>
        <w:t xml:space="preserve">31.3.2 </w:t>
      </w:r>
      <w:r>
        <w:rPr>
          <w:b/>
          <w:bCs/>
        </w:rPr>
        <w:t>Decision rules.</w:t>
      </w:r>
      <w:r>
        <w:t xml:space="preserve"> The Council decides by consensus of Oman and Iran on all matters. On matters classified in Annex B, Section 5, as Category A (lane geometry, fee schedules, transit rule amendments), consensus of the full Council applies. On Category B matters (operational procedures, staffing, budget execution), the Chair and Co-Chair decide jointly. </w:t>
      </w:r>
      <w:r>
        <w:lastRenderedPageBreak/>
        <w:t>No member exercises unilateral authority over any consequential decision; the architecture runs on the twin-key principle: every consequential action requires two keys turning together.</w:t>
      </w:r>
    </w:p>
    <w:p w14:paraId="217C3DED" w14:textId="77777777" w:rsidR="00180E7C" w:rsidRDefault="00000000">
      <w:pPr>
        <w:pStyle w:val="BodyText"/>
      </w:pPr>
      <w:r>
        <w:t xml:space="preserve">31.3.3 </w:t>
      </w:r>
      <w:r>
        <w:rPr>
          <w:b/>
          <w:bCs/>
        </w:rPr>
        <w:t>The Technical Secretariat.</w:t>
      </w:r>
      <w:r>
        <w:t xml:space="preserve"> Located in Muscat, the Secretariat administers the Authority: registry, publications, data operations, finance, and staffing. The Secretary-General of the Authority is an Omani national nominated by Oman and confirmed by the Council; the Deputy Secretary-General is an Iranian national nominated by Iran and confirmed by the Council. Staffing follows the parity table of Annex B, Section 6.</w:t>
      </w:r>
    </w:p>
    <w:p w14:paraId="36607481" w14:textId="77777777" w:rsidR="00180E7C" w:rsidRDefault="00000000">
      <w:pPr>
        <w:pStyle w:val="BodyText"/>
      </w:pPr>
      <w:r>
        <w:t xml:space="preserve">31.3.4 </w:t>
      </w:r>
      <w:r>
        <w:rPr>
          <w:b/>
          <w:bCs/>
        </w:rPr>
        <w:t>The Maritime Operations Center (MOC).</w:t>
      </w:r>
      <w:r>
        <w:t xml:space="preserve"> Located in Bandar Abbas with a fully mirrored counterpart in Muscat, the MOC operates the 24/7 traffic coordination watch, fuses the radar, AIS, and satellite feeds, and issues operational guidance to vessels and to the authorities of the coastal states. The MOC watch floor staffs Omani, Iranian, and international officers in the ratio of Annex B, Section 6.</w:t>
      </w:r>
    </w:p>
    <w:p w14:paraId="2D6256AD" w14:textId="77777777" w:rsidR="00180E7C" w:rsidRDefault="00000000">
      <w:pPr>
        <w:pStyle w:val="BodyText"/>
      </w:pPr>
      <w:r>
        <w:t xml:space="preserve">31.3.5 </w:t>
      </w:r>
      <w:r>
        <w:rPr>
          <w:b/>
          <w:bCs/>
        </w:rPr>
        <w:t>The Offshore Verification Platform.</w:t>
      </w:r>
      <w:r>
        <w:t xml:space="preserve"> The Authority operates one offshore monitoring platform at the location specified in Annex B, Section 7, hosting the primary Verification Cell of Article 33, meteorological and oceanographic sensors, and the emergency response posture of Article 40. The platform enjoys the status of a treaty installation; the ten-nautical-mile Deconfliction Belt of Article 17.1.2 applies around it.</w:t>
      </w:r>
    </w:p>
    <w:p w14:paraId="30A3EE36" w14:textId="77777777" w:rsidR="00180E7C" w:rsidRDefault="00000000">
      <w:pPr>
        <w:pStyle w:val="Heading3"/>
      </w:pPr>
      <w:bookmarkStart w:id="194" w:name="budget"/>
      <w:bookmarkEnd w:id="193"/>
      <w:r>
        <w:t>31.4 Budget</w:t>
      </w:r>
    </w:p>
    <w:p w14:paraId="1BF64C69" w14:textId="77777777" w:rsidR="00180E7C" w:rsidRDefault="00000000">
      <w:pPr>
        <w:pStyle w:val="FirstParagraph"/>
      </w:pPr>
      <w:r>
        <w:t>31.4.1 The Authority operates on a biennial budget adopted by the Council, funded from: the Verified Services revenues of Article 37 (primary), contributions of the coastal states per the table of Annex B, Section 8, and grants from the Reconstruction and Development Fund for capital works. The budget publishes in full on the Authority’s transparency portal.</w:t>
      </w:r>
    </w:p>
    <w:p w14:paraId="52DE13DD" w14:textId="77777777" w:rsidR="00180E7C" w:rsidRDefault="00000000">
      <w:pPr>
        <w:pStyle w:val="Heading3"/>
      </w:pPr>
      <w:bookmarkStart w:id="195" w:name="legal-capacity-and-privileges"/>
      <w:bookmarkEnd w:id="194"/>
      <w:r>
        <w:t>31.5 Legal Capacity and Privileges</w:t>
      </w:r>
    </w:p>
    <w:p w14:paraId="2CACD636" w14:textId="77777777" w:rsidR="00180E7C" w:rsidRDefault="00000000">
      <w:pPr>
        <w:pStyle w:val="FirstParagraph"/>
      </w:pPr>
      <w:r>
        <w:t>31.5.1 The coastal states grant the Authority the legal capacity necessary for its functions: to contract, to acquire and dispose of property, to maintain bank accounts, and to appear in proceedings. The Headquarters Agreements of Annex B, Section 10, confer the customary privileges and immunities on the Authority, its premises, its assets, and its staff in the performance of official functions.</w:t>
      </w:r>
    </w:p>
    <w:p w14:paraId="7DA28FAF" w14:textId="77777777" w:rsidR="00180E7C" w:rsidRDefault="00000000">
      <w:pPr>
        <w:pStyle w:val="TOCArticle"/>
      </w:pPr>
      <w:bookmarkStart w:id="196" w:name="Xe6dbc1767d52be33260ecf2abf55956d73c9333"/>
      <w:bookmarkStart w:id="197" w:name="_Toc237843102"/>
      <w:bookmarkEnd w:id="189"/>
      <w:bookmarkEnd w:id="195"/>
      <w:r>
        <w:t>Article 32: The Four-Corridor System and Lane Publication</w:t>
      </w:r>
      <w:bookmarkEnd w:id="197"/>
    </w:p>
    <w:p w14:paraId="606F2402" w14:textId="77777777" w:rsidR="00180E7C" w:rsidRDefault="00000000">
      <w:pPr>
        <w:pStyle w:val="Heading3"/>
      </w:pPr>
      <w:bookmarkStart w:id="198" w:name="the-corridors"/>
      <w:r>
        <w:t>32.1 The Corridors</w:t>
      </w:r>
    </w:p>
    <w:p w14:paraId="22C54F3F" w14:textId="77777777" w:rsidR="00180E7C" w:rsidRDefault="00000000">
      <w:pPr>
        <w:pStyle w:val="FirstParagraph"/>
      </w:pPr>
      <w:r>
        <w:t>32.1.1 The Authority establishes and maintains four corridors within the Governance Area, replacing and superseding the prior traffic separation arrangements, including the 1968 scheme as modified:</w:t>
      </w:r>
    </w:p>
    <w:p w14:paraId="067DFAA8" w14:textId="77777777" w:rsidR="00180E7C" w:rsidRDefault="00000000">
      <w:pPr>
        <w:pStyle w:val="Compact"/>
        <w:numPr>
          <w:ilvl w:val="0"/>
          <w:numId w:val="3"/>
        </w:numPr>
      </w:pPr>
      <w:r>
        <w:rPr>
          <w:b/>
          <w:bCs/>
        </w:rPr>
        <w:t>Corridor One (Inbound):</w:t>
      </w:r>
      <w:r>
        <w:t xml:space="preserve"> the eastbound ingress corridor through the northern lane, under Iranian functional coordination, per the geometry of Annex B, Section 3, Table B-1.</w:t>
      </w:r>
    </w:p>
    <w:p w14:paraId="2A05BF8C" w14:textId="77777777" w:rsidR="00180E7C" w:rsidRDefault="00000000">
      <w:pPr>
        <w:pStyle w:val="Compact"/>
        <w:numPr>
          <w:ilvl w:val="0"/>
          <w:numId w:val="3"/>
        </w:numPr>
      </w:pPr>
      <w:r>
        <w:rPr>
          <w:b/>
          <w:bCs/>
        </w:rPr>
        <w:lastRenderedPageBreak/>
        <w:t>Corridor Two (Outbound):</w:t>
      </w:r>
      <w:r>
        <w:t xml:space="preserve"> the westbound egress corridor through the southern lane, under Omani administrative coordination, per Table B-2.</w:t>
      </w:r>
    </w:p>
    <w:p w14:paraId="39922065" w14:textId="77777777" w:rsidR="00180E7C" w:rsidRDefault="00000000">
      <w:pPr>
        <w:pStyle w:val="Compact"/>
        <w:numPr>
          <w:ilvl w:val="0"/>
          <w:numId w:val="3"/>
        </w:numPr>
      </w:pPr>
      <w:r>
        <w:rPr>
          <w:b/>
          <w:bCs/>
        </w:rPr>
        <w:t>Corridor Three (Buffer):</w:t>
      </w:r>
      <w:r>
        <w:t xml:space="preserve"> the central separation corridor between Corridors One and Two, under joint Oman-Iran-Verification Cell monitoring, closed to transit traffic except as provided in 32.4, per Table B-3.</w:t>
      </w:r>
    </w:p>
    <w:p w14:paraId="35F1A7EC" w14:textId="77777777" w:rsidR="00180E7C" w:rsidRDefault="00000000">
      <w:pPr>
        <w:pStyle w:val="Compact"/>
        <w:numPr>
          <w:ilvl w:val="0"/>
          <w:numId w:val="3"/>
        </w:numPr>
      </w:pPr>
      <w:r>
        <w:rPr>
          <w:b/>
          <w:bCs/>
        </w:rPr>
        <w:t>Corridor Four (Emergency and Diversion):</w:t>
      </w:r>
      <w:r>
        <w:t xml:space="preserve"> the standing emergency corridor under Omani primary coordination with Iranian support, reserved for search and rescue, damaged vessels, humanitarian priority traffic, and Authority-directed diversions, per Table B-4.</w:t>
      </w:r>
    </w:p>
    <w:p w14:paraId="12C3CB6C" w14:textId="77777777" w:rsidR="00180E7C" w:rsidRDefault="00000000">
      <w:pPr>
        <w:pStyle w:val="FirstParagraph"/>
      </w:pPr>
      <w:r>
        <w:t>32.1.2 The geometry of each corridor: turning points, widths, depths, reporting points, and speed regimes: appears in Annex B, Sections 3 and 4, with coordinates in WGS-84. The Authority publishes the full corridor set in its first Notice to Mariners and files it with the International Maritime Organization for adoption as a mandatory ship routing system, and with the International Hydrographic Organization for charting.</w:t>
      </w:r>
    </w:p>
    <w:p w14:paraId="7C5FBB08" w14:textId="77777777" w:rsidR="00180E7C" w:rsidRDefault="00000000">
      <w:pPr>
        <w:pStyle w:val="Heading3"/>
      </w:pPr>
      <w:bookmarkStart w:id="199" w:name="allocation-of-operational-roles"/>
      <w:bookmarkEnd w:id="198"/>
      <w:r>
        <w:t>32.2 Allocation of Operational Roles</w:t>
      </w:r>
    </w:p>
    <w:p w14:paraId="7F972913" w14:textId="77777777" w:rsidR="00180E7C" w:rsidRDefault="00000000">
      <w:pPr>
        <w:pStyle w:val="FirstParagraph"/>
      </w:pPr>
      <w:r>
        <w:t xml:space="preserve">32.2.1 </w:t>
      </w:r>
      <w:r>
        <w:rPr>
          <w:b/>
          <w:bCs/>
        </w:rPr>
        <w:t>Corridor One (inbound):</w:t>
      </w:r>
      <w:r>
        <w:t xml:space="preserve"> Iran coordinates vessel identification, cargo disclosure verification, and routing compliance. The Verification Cell monitors and audits. The architecture preserves Iran’s sovereign role in its adjacent waters while embedding every action in the Authority’s published procedures.</w:t>
      </w:r>
    </w:p>
    <w:p w14:paraId="650FB1D1" w14:textId="77777777" w:rsidR="00180E7C" w:rsidRDefault="00000000">
      <w:pPr>
        <w:pStyle w:val="BodyText"/>
      </w:pPr>
      <w:r>
        <w:t xml:space="preserve">32.2.2 </w:t>
      </w:r>
      <w:r>
        <w:rPr>
          <w:b/>
          <w:bCs/>
        </w:rPr>
        <w:t>Corridor Two (outbound):</w:t>
      </w:r>
      <w:r>
        <w:t xml:space="preserve"> Oman coordinates outbound traffic, documentation, and safety compliance. Iran receives full data transparency through the MOC mirror but exercises no operational control over the outbound lane.</w:t>
      </w:r>
    </w:p>
    <w:p w14:paraId="262578C4" w14:textId="77777777" w:rsidR="00180E7C" w:rsidRDefault="00000000">
      <w:pPr>
        <w:pStyle w:val="BodyText"/>
      </w:pPr>
      <w:r>
        <w:t xml:space="preserve">32.2.3 </w:t>
      </w:r>
      <w:r>
        <w:rPr>
          <w:b/>
          <w:bCs/>
        </w:rPr>
        <w:t>Corridor Three (buffer):</w:t>
      </w:r>
      <w:r>
        <w:t xml:space="preserve"> the Verification Cell holds primary monitoring responsibility; Oman and Iran hold equal data access and equal alert rights. No vessel of any Party loiters, maneuvers, or anchors in the buffer corridor except under MOC direction.</w:t>
      </w:r>
    </w:p>
    <w:p w14:paraId="0696C8E1" w14:textId="77777777" w:rsidR="00180E7C" w:rsidRDefault="00000000">
      <w:pPr>
        <w:pStyle w:val="BodyText"/>
      </w:pPr>
      <w:r>
        <w:t xml:space="preserve">32.2.4 </w:t>
      </w:r>
      <w:r>
        <w:rPr>
          <w:b/>
          <w:bCs/>
        </w:rPr>
        <w:t>Corridor Four (emergency):</w:t>
      </w:r>
      <w:r>
        <w:t xml:space="preserve"> Oman leads; Iran provides support assets per the roster of Annex B, Section 11; the Verification Cell logs all activations.</w:t>
      </w:r>
    </w:p>
    <w:p w14:paraId="61A512C3" w14:textId="77777777" w:rsidR="00180E7C" w:rsidRDefault="00000000">
      <w:pPr>
        <w:pStyle w:val="Heading3"/>
      </w:pPr>
      <w:bookmarkStart w:id="200" w:name="interim-routing"/>
      <w:bookmarkEnd w:id="199"/>
      <w:r>
        <w:t>32.3 Interim Routing</w:t>
      </w:r>
    </w:p>
    <w:p w14:paraId="14CDB76E" w14:textId="77777777" w:rsidR="00180E7C" w:rsidRDefault="00000000">
      <w:pPr>
        <w:pStyle w:val="FirstParagraph"/>
      </w:pPr>
      <w:r>
        <w:t>32.3.1 During Phase I (Days 0-30), the interim inbound and outbound routing of Annex B, Section 3.8, operates under the same rules as the final corridors. The final corridor geometry activates upon certification of mine clearance per Article 20.4 and Annex J, Section 11, no later than Day 60, and the interim routing closes on the same day.</w:t>
      </w:r>
    </w:p>
    <w:p w14:paraId="3302C2B7" w14:textId="77777777" w:rsidR="00180E7C" w:rsidRDefault="00000000">
      <w:pPr>
        <w:pStyle w:val="Heading3"/>
      </w:pPr>
      <w:bookmarkStart w:id="201" w:name="crossing-and-exceptions"/>
      <w:bookmarkEnd w:id="200"/>
      <w:r>
        <w:t>32.4 Crossing and Exceptions</w:t>
      </w:r>
    </w:p>
    <w:p w14:paraId="0BF4B276" w14:textId="77777777" w:rsidR="00180E7C" w:rsidRDefault="00000000">
      <w:pPr>
        <w:pStyle w:val="FirstParagraph"/>
      </w:pPr>
      <w:r>
        <w:t>32.4.1 Vessels cross between corridors only at the designated crossing points, under MOC clearance. Naval vessels of any state transit under the declaration regime of Article 20.2(c). Fishing vessels and small craft use the inshore traffic zones of Annex B, Section 3.9, outside the corridors.</w:t>
      </w:r>
    </w:p>
    <w:p w14:paraId="456F1363" w14:textId="77777777" w:rsidR="00180E7C" w:rsidRDefault="00000000">
      <w:pPr>
        <w:pStyle w:val="TOCArticle"/>
      </w:pPr>
      <w:bookmarkStart w:id="202" w:name="article-33-verification-cells"/>
      <w:bookmarkStart w:id="203" w:name="_Toc237843103"/>
      <w:bookmarkEnd w:id="196"/>
      <w:bookmarkEnd w:id="201"/>
      <w:r>
        <w:lastRenderedPageBreak/>
        <w:t>Article 33: Verification Cells</w:t>
      </w:r>
      <w:bookmarkEnd w:id="203"/>
    </w:p>
    <w:p w14:paraId="5147917C" w14:textId="77777777" w:rsidR="00180E7C" w:rsidRDefault="00000000">
      <w:pPr>
        <w:pStyle w:val="Heading3"/>
      </w:pPr>
      <w:bookmarkStart w:id="204" w:name="composition-and-stations"/>
      <w:r>
        <w:t>33.1 Composition and Stations</w:t>
      </w:r>
    </w:p>
    <w:p w14:paraId="41A517B1" w14:textId="77777777" w:rsidR="00180E7C" w:rsidRDefault="00000000">
      <w:pPr>
        <w:pStyle w:val="FirstParagraph"/>
      </w:pPr>
      <w:r>
        <w:t>33.1.1 The Verification Cells form the monitoring arm of the Authority: (a) Cell Muscat, co-located with the Secretariat; (b) Cell Bandar Abbas, co-located with the MOC; (c) Cell Offshore, on the platform of Article 31.3.5. Each Cell staffs twelve officers: four Omani, four Iranian, and four international experts drawn from the pre-accredited pool of Annex C, Section 13, serving twelve-month rotations.</w:t>
      </w:r>
    </w:p>
    <w:p w14:paraId="758AAC60" w14:textId="77777777" w:rsidR="00180E7C" w:rsidRDefault="00000000">
      <w:pPr>
        <w:pStyle w:val="Heading3"/>
      </w:pPr>
      <w:bookmarkStart w:id="205" w:name="functions-1"/>
      <w:bookmarkEnd w:id="204"/>
      <w:r>
        <w:t>33.2 Functions</w:t>
      </w:r>
    </w:p>
    <w:p w14:paraId="6403DF3A" w14:textId="77777777" w:rsidR="00180E7C" w:rsidRDefault="00000000">
      <w:pPr>
        <w:pStyle w:val="FirstParagraph"/>
      </w:pPr>
      <w:r>
        <w:t>33.2.1 The Cells execute: continuous AIS, radar, and satellite monitoring of all corridor traffic; cargo manifest verification against declarations; lane compliance audits; incident logging and initial investigation; environmental monitoring under Article 39; and production of the daily, weekly, and monthly compliance reports of Article 68.</w:t>
      </w:r>
    </w:p>
    <w:p w14:paraId="039793C2" w14:textId="77777777" w:rsidR="00180E7C" w:rsidRDefault="00000000">
      <w:pPr>
        <w:pStyle w:val="Heading3"/>
      </w:pPr>
      <w:bookmarkStart w:id="206" w:name="powers"/>
      <w:bookmarkEnd w:id="205"/>
      <w:r>
        <w:t>33.3 Powers</w:t>
      </w:r>
    </w:p>
    <w:p w14:paraId="690C2B3A" w14:textId="77777777" w:rsidR="00180E7C" w:rsidRDefault="00000000">
      <w:pPr>
        <w:pStyle w:val="FirstParagraph"/>
      </w:pPr>
      <w:r>
        <w:t>33.3.1 The Cells hold: unrestricted access to all Authority data systems; the right to query any transiting vessel through the MOC; the right to task the inspection assets of the coastal states under the interdiction protocol of Article 36.4; and the right to refer any matter to the dispute panels of Article 45. The Cells hold no police power of their own; enforcement executes through the coastal state authorities per Article 38.</w:t>
      </w:r>
    </w:p>
    <w:p w14:paraId="12E3414A" w14:textId="77777777" w:rsidR="00180E7C" w:rsidRDefault="00000000">
      <w:pPr>
        <w:pStyle w:val="Heading3"/>
      </w:pPr>
      <w:bookmarkStart w:id="207" w:name="independence"/>
      <w:bookmarkEnd w:id="206"/>
      <w:r>
        <w:t>33.4 Independence</w:t>
      </w:r>
    </w:p>
    <w:p w14:paraId="334C78F8" w14:textId="77777777" w:rsidR="00180E7C" w:rsidRDefault="00000000">
      <w:pPr>
        <w:pStyle w:val="FirstParagraph"/>
      </w:pPr>
      <w:r>
        <w:t>33.4.1 International members of the Cells serve in their personal expert capacity under oath of office to the Authority. No state instructs its nationals within the Cells. The Cells report to the Council as a body, and their data products enter the Shared Digital Registry without alteration by any authority.</w:t>
      </w:r>
    </w:p>
    <w:p w14:paraId="17C987B4" w14:textId="77777777" w:rsidR="00180E7C" w:rsidRDefault="00000000">
      <w:pPr>
        <w:pStyle w:val="TOCArticle"/>
      </w:pPr>
      <w:bookmarkStart w:id="208" w:name="article-34-transit-rules"/>
      <w:bookmarkStart w:id="209" w:name="_Toc237843104"/>
      <w:bookmarkEnd w:id="202"/>
      <w:bookmarkEnd w:id="207"/>
      <w:r>
        <w:t>Article 34: Transit Rules</w:t>
      </w:r>
      <w:bookmarkEnd w:id="209"/>
    </w:p>
    <w:p w14:paraId="2967D46A" w14:textId="77777777" w:rsidR="00180E7C" w:rsidRDefault="00000000">
      <w:pPr>
        <w:pStyle w:val="Heading3"/>
      </w:pPr>
      <w:bookmarkStart w:id="210" w:name="the-rules-of-transit"/>
      <w:r>
        <w:t>34.1 The Rules of Transit</w:t>
      </w:r>
    </w:p>
    <w:p w14:paraId="0F4CC00D" w14:textId="77777777" w:rsidR="00180E7C" w:rsidRDefault="00000000">
      <w:pPr>
        <w:pStyle w:val="FirstParagraph"/>
      </w:pPr>
      <w:r>
        <w:t>34.1.1 Every vessel transiting the corridor system complies with the published Rules of Transit of Annex B, Section 9, whose core provisions follow: (a) continuous AIS broadcast from pilot boarding point to corridor exit; dark-mode sailing within the Governance Area is prohibited; (b) electronic cargo manifest and vessel particulars filed with the Authority not fewer than twelve hours before corridor entry; (c) vessel identity verification at the inbound reporting point; (d) routing compliance monitored by radar and AIS, with the separation and spacing rules of Table B-5; (e) speed regimes per corridor per Table B-6; (f) tankers and hazardous cargo carriers observe the enhanced spacing and escort-readiness rules of Table B-7; (g) military vessels declare transit intent per Article 20.2(c) and transit continuously and expeditiously.</w:t>
      </w:r>
    </w:p>
    <w:p w14:paraId="0E706886" w14:textId="77777777" w:rsidR="00180E7C" w:rsidRDefault="00000000">
      <w:pPr>
        <w:pStyle w:val="Heading3"/>
      </w:pPr>
      <w:bookmarkStart w:id="211" w:name="no-suspension"/>
      <w:bookmarkEnd w:id="210"/>
      <w:r>
        <w:lastRenderedPageBreak/>
        <w:t>34.2 No Suspension</w:t>
      </w:r>
    </w:p>
    <w:p w14:paraId="0966A032" w14:textId="77777777" w:rsidR="00180E7C" w:rsidRDefault="00000000">
      <w:pPr>
        <w:pStyle w:val="FirstParagraph"/>
      </w:pPr>
      <w:r>
        <w:t>34.2.1 The architecture permits no suspension of transit passage through the Strait for any reason, by any Party, at any time. The corridor system operates in peace, in crisis, and in dispute. The sole exception: a temporary, localized safety stoppage directed by the MOC for a maximum of six hours following a navigational casualty, mine sighting, or extreme weather, with immediate notification to all Parties and publication of the reopening time.</w:t>
      </w:r>
    </w:p>
    <w:p w14:paraId="411C4487" w14:textId="77777777" w:rsidR="00180E7C" w:rsidRDefault="00000000">
      <w:pPr>
        <w:pStyle w:val="Heading3"/>
      </w:pPr>
      <w:bookmarkStart w:id="212" w:name="non-discrimination"/>
      <w:bookmarkEnd w:id="211"/>
      <w:r>
        <w:t>34.3 Non-Discrimination</w:t>
      </w:r>
    </w:p>
    <w:p w14:paraId="747DC8E1" w14:textId="77777777" w:rsidR="00180E7C" w:rsidRDefault="00000000">
      <w:pPr>
        <w:pStyle w:val="FirstParagraph"/>
      </w:pPr>
      <w:r>
        <w:t>34.3.1 The Rules of Transit apply identically to all vessels of all flags. No state of registry, ownership, cargo origin, cargo destination, or crew nationality produces differential treatment. The humanitarian priority of Article 9 operates above this rule without contradicting it: priority handling differs from preferential permission.</w:t>
      </w:r>
    </w:p>
    <w:p w14:paraId="189057C7" w14:textId="77777777" w:rsidR="00180E7C" w:rsidRDefault="00000000">
      <w:pPr>
        <w:pStyle w:val="TOCArticle"/>
      </w:pPr>
      <w:bookmarkStart w:id="213" w:name="X03a5d1dcf30c52a9733d1b04740e9a0d417db5e"/>
      <w:bookmarkStart w:id="214" w:name="_Toc237843105"/>
      <w:bookmarkEnd w:id="208"/>
      <w:bookmarkEnd w:id="212"/>
      <w:r>
        <w:t>Article 35: Sovereignty and Functional Control Clauses</w:t>
      </w:r>
      <w:bookmarkEnd w:id="214"/>
    </w:p>
    <w:p w14:paraId="74842077" w14:textId="77777777" w:rsidR="00180E7C" w:rsidRDefault="00000000">
      <w:pPr>
        <w:pStyle w:val="Heading3"/>
      </w:pPr>
      <w:bookmarkStart w:id="215" w:name="the-functional-principle"/>
      <w:r>
        <w:t>35.1 The Functional Principle</w:t>
      </w:r>
    </w:p>
    <w:p w14:paraId="0BDE77C2" w14:textId="77777777" w:rsidR="00180E7C" w:rsidRDefault="00000000">
      <w:pPr>
        <w:pStyle w:val="FirstParagraph"/>
      </w:pPr>
      <w:r>
        <w:t>35.1.1 The governance of the Strait operates on the functional principle: the Treaty allocates functions, not territory. Nothing in this Title delimits maritime boundaries, allocates sovereignty, or prejudices the positions of any state on any question of sovereignty, sovereign rights, or jurisdiction in the Governance Area or beyond.</w:t>
      </w:r>
    </w:p>
    <w:p w14:paraId="70A51122" w14:textId="77777777" w:rsidR="00180E7C" w:rsidRDefault="00000000">
      <w:pPr>
        <w:pStyle w:val="BodyText"/>
      </w:pPr>
      <w:r>
        <w:t>35.1.2 Iran retains all sovereign rights in its territorial sea. Oman retains all sovereign rights in its territorial sea. The Authority exercises only the functions this Title delegates, and it exercises them as a joint instrument of the coastal states and the Parties, not as a territorial sovereign.</w:t>
      </w:r>
    </w:p>
    <w:p w14:paraId="078F4662" w14:textId="77777777" w:rsidR="00180E7C" w:rsidRDefault="00000000">
      <w:pPr>
        <w:pStyle w:val="Heading3"/>
      </w:pPr>
      <w:bookmarkStart w:id="216" w:name="transit-passage-reaffirmed"/>
      <w:bookmarkEnd w:id="215"/>
      <w:r>
        <w:t>35.2 Transit Passage Reaffirmed</w:t>
      </w:r>
    </w:p>
    <w:p w14:paraId="1E8BC8FD" w14:textId="77777777" w:rsidR="00180E7C" w:rsidRDefault="00000000">
      <w:pPr>
        <w:pStyle w:val="FirstParagraph"/>
      </w:pPr>
      <w:r>
        <w:t>35.2.1 The Parties reaffirm the regime of transit passage through straits used for international navigation as reflected in the international law of the sea. This Title administers that regime cooperatively; it does not diminish it. The coastal states’ safety, environmental, and security functions exercise through the Authority’s published procedures, consistent with non-suspension and non-discrimination.</w:t>
      </w:r>
    </w:p>
    <w:p w14:paraId="73AA4BE7" w14:textId="77777777" w:rsidR="00180E7C" w:rsidRDefault="00000000">
      <w:pPr>
        <w:pStyle w:val="Heading3"/>
      </w:pPr>
      <w:bookmarkStart w:id="217" w:name="the-post-war-order-clause"/>
      <w:bookmarkEnd w:id="216"/>
      <w:r>
        <w:t>35.3 The Post-War Order Clause</w:t>
      </w:r>
    </w:p>
    <w:p w14:paraId="672ECD62" w14:textId="77777777" w:rsidR="00180E7C" w:rsidRDefault="00000000">
      <w:pPr>
        <w:pStyle w:val="FirstParagraph"/>
      </w:pPr>
      <w:r>
        <w:t>35.3.1 The Parties acknowledge that the pre-war informal order of the Strait has ended and that this Treaty erects in its place a permanent, institutional, jointly held order. Iran’s recognized role in the administration of the waterway stands codified in the Authority’s structure; the international community’s interest in free and safe transit stands codified in the same structure. Neither role negates the other; the twin-key architecture binds them together.</w:t>
      </w:r>
    </w:p>
    <w:p w14:paraId="098A1B2C" w14:textId="77777777" w:rsidR="00180E7C" w:rsidRDefault="00000000">
      <w:pPr>
        <w:pStyle w:val="TOCArticle"/>
      </w:pPr>
      <w:bookmarkStart w:id="218" w:name="article-36-incident-management"/>
      <w:bookmarkStart w:id="219" w:name="_Toc237843106"/>
      <w:bookmarkEnd w:id="213"/>
      <w:bookmarkEnd w:id="217"/>
      <w:r>
        <w:lastRenderedPageBreak/>
        <w:t>Article 36: Incident Management</w:t>
      </w:r>
      <w:bookmarkEnd w:id="219"/>
    </w:p>
    <w:p w14:paraId="1241100C" w14:textId="77777777" w:rsidR="00180E7C" w:rsidRDefault="00000000">
      <w:pPr>
        <w:pStyle w:val="Heading3"/>
      </w:pPr>
      <w:bookmarkStart w:id="220" w:name="the-incident-classification"/>
      <w:r>
        <w:t>36.1 The Incident Classification</w:t>
      </w:r>
    </w:p>
    <w:p w14:paraId="65116483" w14:textId="77777777" w:rsidR="00180E7C" w:rsidRDefault="00000000">
      <w:pPr>
        <w:pStyle w:val="FirstParagraph"/>
      </w:pPr>
      <w:r>
        <w:t>36.1.1 Incidents within the Governance Area classify as: Class A (navigational casualties: collision, grounding, fire, flooding); Class B (security events: suspected piracy, smuggling, unauthorized approach, harassment); Class C (compliance events: lane violations, manifest discrepancies, dark-mode sailing); Class D (environmental events: spills, discharges, hazardous cargo emergencies).</w:t>
      </w:r>
    </w:p>
    <w:p w14:paraId="6749F2B8" w14:textId="77777777" w:rsidR="00180E7C" w:rsidRDefault="00000000">
      <w:pPr>
        <w:pStyle w:val="Heading3"/>
      </w:pPr>
      <w:bookmarkStart w:id="221" w:name="response-protocols"/>
      <w:bookmarkEnd w:id="220"/>
      <w:r>
        <w:t>36.2 Response Protocols</w:t>
      </w:r>
    </w:p>
    <w:p w14:paraId="1AF163B9" w14:textId="77777777" w:rsidR="00180E7C" w:rsidRDefault="00000000">
      <w:pPr>
        <w:pStyle w:val="FirstParagraph"/>
      </w:pPr>
      <w:r>
        <w:t>36.2.1 Class A: the MOC directs response; the nearest capable assets respond regardless of coastal state; Article 40 governs rescue operations. Class B: the interdiction protocol of 36.4 governs. Class C: the Verification Cell issues a compliance query; unresolved queries escalate to the compliance review of Article 45. Class D: Article 39 and the Joint Spill Response Plan of Annex B, Section 11, govern.</w:t>
      </w:r>
    </w:p>
    <w:p w14:paraId="398B72BE" w14:textId="77777777" w:rsidR="00180E7C" w:rsidRDefault="00000000">
      <w:pPr>
        <w:pStyle w:val="Heading3"/>
      </w:pPr>
      <w:bookmarkStart w:id="222" w:name="detentions"/>
      <w:bookmarkEnd w:id="221"/>
      <w:r>
        <w:t>36.3 Detentions</w:t>
      </w:r>
    </w:p>
    <w:p w14:paraId="35BDC841" w14:textId="77777777" w:rsidR="00180E7C" w:rsidRDefault="00000000">
      <w:pPr>
        <w:pStyle w:val="FirstParagraph"/>
      </w:pPr>
      <w:r>
        <w:t>36.3.1 A vessel detention within the Governance Area proceeds only under: (a) the interdiction protocol of 36.4; (b) a safety detention by the MOC pending casualty investigation, maximum seventy-two hours; or (c) port state control at a destination port under international conventions. Every detention registers in the Shared Digital Registry within one hour with grounds, location, and status; the flag state receives notification within four hours; the detention review panel of Article 45.3 convenes on request within forty-eight hours.</w:t>
      </w:r>
    </w:p>
    <w:p w14:paraId="4CB8284D" w14:textId="77777777" w:rsidR="00180E7C" w:rsidRDefault="00000000">
      <w:pPr>
        <w:pStyle w:val="Heading3"/>
      </w:pPr>
      <w:bookmarkStart w:id="223" w:name="the-interdiction-protocol"/>
      <w:bookmarkEnd w:id="222"/>
      <w:r>
        <w:t>36.4 The Interdiction Protocol</w:t>
      </w:r>
    </w:p>
    <w:p w14:paraId="4FEEDEC6" w14:textId="77777777" w:rsidR="00180E7C" w:rsidRDefault="00000000">
      <w:pPr>
        <w:pStyle w:val="FirstParagraph"/>
      </w:pPr>
      <w:r>
        <w:t>36.4.1 Interdiction (stop, board, inspect, or divert) of any vessel within the Governance Area executes only upon: (a) a Level 4 indicator logged by the Verification Cell (dark-mode evasion combined with manifest fraud, confirmed weapons contraband, or attack in progress); and (b) joint authorization through the twin-key: one Omani and one Iranian authorizing officer concurring in writing within the MOC, with the international Cell officer witnessing.</w:t>
      </w:r>
    </w:p>
    <w:p w14:paraId="19E532BD" w14:textId="77777777" w:rsidR="00180E7C" w:rsidRDefault="00000000">
      <w:pPr>
        <w:pStyle w:val="BodyText"/>
      </w:pPr>
      <w:r>
        <w:t>36.4.2 Interdictions execute by the coastal state authority designated in the allocation table of Article 38: inbound lane events by Iranian naval assets under Authority procedures; outbound lane events by Omani assets; buffer and joint events by the nearest designated asset. Every interdiction operates under continuous Cell observation, body-worn and sensor recording, and immediate Registry logging.</w:t>
      </w:r>
    </w:p>
    <w:p w14:paraId="08D84A37" w14:textId="77777777" w:rsidR="00180E7C" w:rsidRDefault="00000000">
      <w:pPr>
        <w:pStyle w:val="BodyText"/>
      </w:pPr>
      <w:r>
        <w:t>36.4.3 The architecture excludes unilateral interdiction. No organ, service, or command of any Party or coastal state stops, boards, seizes, or diverts any vessel in the Governance Area outside this protocol. A unilateral action registers as a Level 4 anomaly, triggers automatic Tier 3 review under the Cothrom Engine, and engages the responsible state’s obligation to release and make good per Article 45.4.</w:t>
      </w:r>
    </w:p>
    <w:p w14:paraId="6CA3D361" w14:textId="77777777" w:rsidR="00180E7C" w:rsidRDefault="00000000">
      <w:pPr>
        <w:pStyle w:val="TOCArticle"/>
      </w:pPr>
      <w:bookmarkStart w:id="224" w:name="X5f24a5192e9c0c760d6d5f34ff926bfa7aebde8"/>
      <w:bookmarkStart w:id="225" w:name="_Toc237843107"/>
      <w:bookmarkEnd w:id="218"/>
      <w:bookmarkEnd w:id="223"/>
      <w:r>
        <w:lastRenderedPageBreak/>
        <w:t>Article 37: Free Transit and the Verified Services Fee System</w:t>
      </w:r>
      <w:bookmarkEnd w:id="225"/>
    </w:p>
    <w:p w14:paraId="63F1214E" w14:textId="77777777" w:rsidR="00180E7C" w:rsidRDefault="00000000">
      <w:pPr>
        <w:pStyle w:val="Heading3"/>
      </w:pPr>
      <w:bookmarkStart w:id="226" w:name="free-transit"/>
      <w:r>
        <w:t>37.1 Free Transit</w:t>
      </w:r>
    </w:p>
    <w:p w14:paraId="34978AEC" w14:textId="77777777" w:rsidR="00180E7C" w:rsidRDefault="00000000">
      <w:pPr>
        <w:pStyle w:val="FirstParagraph"/>
      </w:pPr>
      <w:r>
        <w:t>37.1.1 Transit passage through the Strait of Hormuz proceeds free of tolls, passage fees, access charges, and mandatory levies of every kind, permanently and without exception. No condition of payment, no prior authorization requirement, and no discriminatory pricing attaches to passage.</w:t>
      </w:r>
    </w:p>
    <w:p w14:paraId="34B9548E" w14:textId="77777777" w:rsidR="00180E7C" w:rsidRDefault="00000000">
      <w:pPr>
        <w:pStyle w:val="Heading3"/>
      </w:pPr>
      <w:bookmarkStart w:id="227" w:name="the-verified-services-model"/>
      <w:bookmarkEnd w:id="226"/>
      <w:r>
        <w:t>37.2 The Verified Services Model</w:t>
      </w:r>
    </w:p>
    <w:p w14:paraId="44ED96BD" w14:textId="77777777" w:rsidR="00180E7C" w:rsidRDefault="00000000">
      <w:pPr>
        <w:pStyle w:val="FirstParagraph"/>
      </w:pPr>
      <w:r>
        <w:t>37.2.1 The Authority operates a voluntary, service-based revenue system on the model of the cooperative mechanism of the Straits of Malacca and Singapore: users of the corridor system contract for services from the Verified Services Catalog, and pay only for services actually rendered and documented. The Catalog closes the list: no charge exists outside it.</w:t>
      </w:r>
    </w:p>
    <w:p w14:paraId="69BCB19D" w14:textId="77777777" w:rsidR="00180E7C" w:rsidRDefault="00000000">
      <w:pPr>
        <w:pStyle w:val="BodyText"/>
      </w:pPr>
      <w:r>
        <w:t>37.2.2 The Catalog includes: pilotage (optional except for vessels above the size threshold of Table B-8); enhanced tug escort availability; navigation data premium services; fresh water, bunkering coordination, and waste reception at designated ports; survey and inspection services requested by the vessel or its insurers; and the maritime safety contribution program of 37.3.</w:t>
      </w:r>
    </w:p>
    <w:p w14:paraId="06F6D5E4" w14:textId="77777777" w:rsidR="00180E7C" w:rsidRDefault="00000000">
      <w:pPr>
        <w:pStyle w:val="BodyText"/>
      </w:pPr>
      <w:r>
        <w:t>37.2.3 Charges tie to documented service delivery at cost-based rates reviewed annually by the Council and audited per 37.5. The indicative rate card appears in Annex B, Table B-9.</w:t>
      </w:r>
    </w:p>
    <w:p w14:paraId="467836FD" w14:textId="77777777" w:rsidR="00180E7C" w:rsidRDefault="00000000">
      <w:pPr>
        <w:pStyle w:val="Heading3"/>
      </w:pPr>
      <w:bookmarkStart w:id="228" w:name="the-maritime-safety-contribution-program"/>
      <w:bookmarkEnd w:id="227"/>
      <w:r>
        <w:t>37.3 The Maritime Safety Contribution Program</w:t>
      </w:r>
    </w:p>
    <w:p w14:paraId="0CE2535E" w14:textId="77777777" w:rsidR="00180E7C" w:rsidRDefault="00000000">
      <w:pPr>
        <w:pStyle w:val="FirstParagraph"/>
      </w:pPr>
      <w:r>
        <w:t>37.3.1 Shipowners, charterers, cargo owners, and insurers join the voluntary contribution program supporting navigation safety, environmental protection, and search and rescue, at the indicative contribution levels of Annex B, Table B-10. Contributors receive the program’s service entitlements: priority pilotage scheduling, enhanced routing data, insurance documentation support, and the safety certification valued by underwriters.</w:t>
      </w:r>
    </w:p>
    <w:p w14:paraId="61A4ED40" w14:textId="77777777" w:rsidR="00180E7C" w:rsidRDefault="00000000">
      <w:pPr>
        <w:pStyle w:val="BodyText"/>
      </w:pPr>
      <w:r>
        <w:t>37.3.2 The program operates through the Authority’s common fund (the “Hormuz Safety and Environment Fund”), governed by the Council with transparent accounting, quarterly published accounts, and annual independent audit.</w:t>
      </w:r>
    </w:p>
    <w:p w14:paraId="0F2EA19F" w14:textId="77777777" w:rsidR="00180E7C" w:rsidRDefault="00000000">
      <w:pPr>
        <w:pStyle w:val="Heading3"/>
      </w:pPr>
      <w:bookmarkStart w:id="229" w:name="revenue-allocation"/>
      <w:bookmarkEnd w:id="228"/>
      <w:r>
        <w:t>37.4 Revenue Allocation</w:t>
      </w:r>
    </w:p>
    <w:p w14:paraId="0AFAFD6C" w14:textId="77777777" w:rsidR="00180E7C" w:rsidRDefault="00000000">
      <w:pPr>
        <w:pStyle w:val="FirstParagraph"/>
      </w:pPr>
      <w:r>
        <w:t>37.4.1 Net revenues of the Authority allocate per the schedule of Annex B, Table B-11: first, to the Authority’s operating budget; second, to the Hormuz Safety and Environment Fund; third, to the coastal states in the proportion Iran 55 percent, Oman 45 percent, reflecting corridor mileage and service delivery share, with the international audit confirming the allocation annually.</w:t>
      </w:r>
    </w:p>
    <w:p w14:paraId="59D8D599" w14:textId="77777777" w:rsidR="00180E7C" w:rsidRDefault="00000000">
      <w:pPr>
        <w:pStyle w:val="Heading3"/>
      </w:pPr>
      <w:bookmarkStart w:id="230" w:name="audit-and-anti-abuse"/>
      <w:bookmarkEnd w:id="229"/>
      <w:r>
        <w:t>37.5 Audit and Anti-Abuse</w:t>
      </w:r>
    </w:p>
    <w:p w14:paraId="6E8745B7" w14:textId="77777777" w:rsidR="00180E7C" w:rsidRDefault="00000000">
      <w:pPr>
        <w:pStyle w:val="FirstParagraph"/>
      </w:pPr>
      <w:r>
        <w:t xml:space="preserve">37.5.1 The Authority’s finances undergo quarterly internal audit and annual external audit by an international firm selected by the Council from the pre-qualified list of Annex B, </w:t>
      </w:r>
      <w:r>
        <w:lastRenderedPageBreak/>
        <w:t>Section 8.4. Audit reports publish in full. A fee or charge imposed outside the Catalog voids automatically, and the collecting entity refunds it with interest.</w:t>
      </w:r>
    </w:p>
    <w:p w14:paraId="568A7657" w14:textId="77777777" w:rsidR="00180E7C" w:rsidRDefault="00000000">
      <w:pPr>
        <w:pStyle w:val="TOCArticle"/>
      </w:pPr>
      <w:bookmarkStart w:id="231" w:name="article-38-jurisdiction-allocation"/>
      <w:bookmarkStart w:id="232" w:name="_Toc237843108"/>
      <w:bookmarkEnd w:id="224"/>
      <w:bookmarkEnd w:id="230"/>
      <w:r>
        <w:t>Article 38: Jurisdiction Allocation</w:t>
      </w:r>
      <w:bookmarkEnd w:id="232"/>
    </w:p>
    <w:p w14:paraId="18EAC0FF" w14:textId="77777777" w:rsidR="00180E7C" w:rsidRDefault="00000000">
      <w:pPr>
        <w:pStyle w:val="Heading3"/>
      </w:pPr>
      <w:bookmarkStart w:id="233" w:name="the-allocation-table"/>
      <w:r>
        <w:t>38.1 The Allocation Table</w:t>
      </w:r>
    </w:p>
    <w:p w14:paraId="00FAC4DE" w14:textId="77777777" w:rsidR="00180E7C" w:rsidRDefault="00000000">
      <w:pPr>
        <w:pStyle w:val="FirstParagraph"/>
      </w:pPr>
      <w:r>
        <w:t>38.1.1 Jurisdiction within the Governance Area allocates functionally: (a) inbound corridor events: Iran holds primary enforcement jurisdiction over violations of the Rules of Transit, customs and cargo laws, and criminal acts, executed under Authority procedures; (b) outbound corridor events: Oman holds primary enforcement jurisdiction on the same basis; (c) buffer corridor and inter-corridor events: joint jurisdiction, executed per the twin-key protocol, with case allocation by the MOC per Annex B, Table B-12; (d) environmental events in any corridor: joint jurisdiction with Omani lead coordination; (e) events on the high seas beyond the corridors: flag state jurisdiction under international law, with the Authority’s role limited to coordination.</w:t>
      </w:r>
    </w:p>
    <w:p w14:paraId="2F5F1E0A" w14:textId="77777777" w:rsidR="00180E7C" w:rsidRDefault="00000000">
      <w:pPr>
        <w:pStyle w:val="Heading3"/>
      </w:pPr>
      <w:bookmarkStart w:id="234" w:name="criminal-jurisdiction-over-persons"/>
      <w:bookmarkEnd w:id="233"/>
      <w:r>
        <w:t>38.2 Criminal Jurisdiction over Persons</w:t>
      </w:r>
    </w:p>
    <w:p w14:paraId="6F10319C" w14:textId="77777777" w:rsidR="00180E7C" w:rsidRDefault="00000000">
      <w:pPr>
        <w:pStyle w:val="FirstParagraph"/>
      </w:pPr>
      <w:r>
        <w:t>38.2.1 Criminal jurisdiction over natural persons follows international law: the flag state for acts aboard, the coastal state for acts affecting its laws in its territorial sea, with the allocation of 38.1 governing operational lead. Detained persons receive consular access per Article 5.4 and humane treatment per Article 64.</w:t>
      </w:r>
    </w:p>
    <w:p w14:paraId="5B4C1A0E" w14:textId="77777777" w:rsidR="00180E7C" w:rsidRDefault="00000000">
      <w:pPr>
        <w:pStyle w:val="Heading3"/>
      </w:pPr>
      <w:bookmarkStart w:id="235" w:name="no-expansion"/>
      <w:bookmarkEnd w:id="234"/>
      <w:r>
        <w:t>38.3 No Expansion</w:t>
      </w:r>
    </w:p>
    <w:p w14:paraId="11906E5E" w14:textId="77777777" w:rsidR="00180E7C" w:rsidRDefault="00000000">
      <w:pPr>
        <w:pStyle w:val="FirstParagraph"/>
      </w:pPr>
      <w:r>
        <w:t>38.3.1 The allocation of this Article operates within the functional mandate only. It expands no state’s sovereignty, narrows no state’s rights, and prejudices no maritime claim, per Article 35.</w:t>
      </w:r>
    </w:p>
    <w:p w14:paraId="6CE6D979" w14:textId="77777777" w:rsidR="00180E7C" w:rsidRDefault="00000000">
      <w:pPr>
        <w:pStyle w:val="TOCArticle"/>
      </w:pPr>
      <w:bookmarkStart w:id="236" w:name="article-39-environmental-protections"/>
      <w:bookmarkStart w:id="237" w:name="_Toc237843109"/>
      <w:bookmarkEnd w:id="231"/>
      <w:bookmarkEnd w:id="235"/>
      <w:r>
        <w:t>Article 39: Environmental Protections</w:t>
      </w:r>
      <w:bookmarkEnd w:id="237"/>
    </w:p>
    <w:p w14:paraId="6F31E22D" w14:textId="77777777" w:rsidR="00180E7C" w:rsidRDefault="00000000">
      <w:pPr>
        <w:pStyle w:val="Heading3"/>
      </w:pPr>
      <w:bookmarkStart w:id="238" w:name="standards"/>
      <w:r>
        <w:t>39.1 Standards</w:t>
      </w:r>
    </w:p>
    <w:p w14:paraId="67BED5DA" w14:textId="77777777" w:rsidR="00180E7C" w:rsidRDefault="00000000">
      <w:pPr>
        <w:pStyle w:val="FirstParagraph"/>
      </w:pPr>
      <w:r>
        <w:t>39.1.1 The Authority enforces within the Governance Area: MARPOL discharge standards as mandatory minima; the double-hull requirement for tankers consistent with international phase-out schedules; mandatory ballast water management compliance; and the enhanced tanker standards of Annex B, Table B-13.</w:t>
      </w:r>
    </w:p>
    <w:p w14:paraId="1F1EEFA1" w14:textId="77777777" w:rsidR="00180E7C" w:rsidRDefault="00000000">
      <w:pPr>
        <w:pStyle w:val="Heading3"/>
      </w:pPr>
      <w:bookmarkStart w:id="239" w:name="the-joint-spill-response-plan"/>
      <w:bookmarkEnd w:id="238"/>
      <w:r>
        <w:t>39.2 The Joint Spill Response Plan</w:t>
      </w:r>
    </w:p>
    <w:p w14:paraId="00DBA864" w14:textId="77777777" w:rsidR="00180E7C" w:rsidRDefault="00000000">
      <w:pPr>
        <w:pStyle w:val="FirstParagraph"/>
      </w:pPr>
      <w:r>
        <w:t>39.2.1 Annex B, Section 11, constitutes the Joint Spill Response Plan: pre-positioned containment and recovery equipment at Bandar Abbas, Muscat, and the Offshore Platform; a joint response roster with four-hour activation for the first tier; spill trajectory modeling capability at the MOC; and the polluter-pays financing rule with the Hormuz Safety and Environment Fund advancing costs pending recovery.</w:t>
      </w:r>
    </w:p>
    <w:p w14:paraId="05D7C0F3" w14:textId="77777777" w:rsidR="00180E7C" w:rsidRDefault="00000000">
      <w:pPr>
        <w:pStyle w:val="Heading3"/>
      </w:pPr>
      <w:bookmarkStart w:id="240" w:name="ecological-monitoring"/>
      <w:bookmarkEnd w:id="239"/>
      <w:r>
        <w:lastRenderedPageBreak/>
        <w:t>39.3 Ecological Monitoring</w:t>
      </w:r>
    </w:p>
    <w:p w14:paraId="4111DBBB" w14:textId="77777777" w:rsidR="00180E7C" w:rsidRDefault="00000000">
      <w:pPr>
        <w:pStyle w:val="FirstParagraph"/>
      </w:pPr>
      <w:r>
        <w:t>39.3.1 The Authority operates a standing ecological monitoring program: water quality stations, marine mammal observation, coral and fisheries indicators, and an annual state-of-the-Strait environmental report published on the transparency portal.</w:t>
      </w:r>
    </w:p>
    <w:p w14:paraId="652775C6" w14:textId="77777777" w:rsidR="00180E7C" w:rsidRDefault="00000000">
      <w:pPr>
        <w:pStyle w:val="Heading3"/>
      </w:pPr>
      <w:bookmarkStart w:id="241" w:name="the-green-incentive"/>
      <w:bookmarkEnd w:id="240"/>
      <w:r>
        <w:t>39.4 The Green Incentive</w:t>
      </w:r>
    </w:p>
    <w:p w14:paraId="35DE098B" w14:textId="77777777" w:rsidR="00180E7C" w:rsidRDefault="00000000">
      <w:pPr>
        <w:pStyle w:val="FirstParagraph"/>
      </w:pPr>
      <w:r>
        <w:t>39.4.1 Vessels certified to the Authority’s Green Standard (Annex B, Table B-14: low-emission propulsion, advanced waste systems, verified environmental management) receive the Green Discount on Catalog services and priority scheduling under the contribution program.</w:t>
      </w:r>
    </w:p>
    <w:p w14:paraId="2220E075" w14:textId="77777777" w:rsidR="00180E7C" w:rsidRDefault="00000000">
      <w:pPr>
        <w:pStyle w:val="TOCArticle"/>
      </w:pPr>
      <w:bookmarkStart w:id="242" w:name="article-40-search-and-rescue"/>
      <w:bookmarkStart w:id="243" w:name="_Toc237843110"/>
      <w:bookmarkEnd w:id="236"/>
      <w:bookmarkEnd w:id="241"/>
      <w:r>
        <w:t>Article 40: Search and Rescue</w:t>
      </w:r>
      <w:bookmarkEnd w:id="243"/>
    </w:p>
    <w:p w14:paraId="624F9C81" w14:textId="77777777" w:rsidR="00180E7C" w:rsidRDefault="00000000">
      <w:pPr>
        <w:pStyle w:val="Heading3"/>
      </w:pPr>
      <w:bookmarkStart w:id="244" w:name="the-sar-architecture"/>
      <w:r>
        <w:t>40.1 The SAR Architecture</w:t>
      </w:r>
    </w:p>
    <w:p w14:paraId="2333DCF4" w14:textId="77777777" w:rsidR="00180E7C" w:rsidRDefault="00000000">
      <w:pPr>
        <w:pStyle w:val="FirstParagraph"/>
      </w:pPr>
      <w:r>
        <w:t>40.1.1 Oman serves as primary SAR coordinator for the Governance Area, operating the Joint Rescue Coordination Sub-Center within the MOC, with Iran providing the support assets rostered in Annex B, Section 11. The IMO and International Convention on Maritime Search and Rescue frameworks govern.</w:t>
      </w:r>
    </w:p>
    <w:p w14:paraId="17B0392F" w14:textId="77777777" w:rsidR="00180E7C" w:rsidRDefault="00000000">
      <w:pPr>
        <w:pStyle w:val="BodyText"/>
      </w:pPr>
      <w:r>
        <w:t>40.1.2 SAR response proceeds to any person in distress at sea regardless of nationality, flag, or circumstance, without delay, without charge for life-saving response, and without regard to the political status of any party. This obligation joins the humanitarian firewall of Article 9.</w:t>
      </w:r>
    </w:p>
    <w:p w14:paraId="5E8E90EC" w14:textId="77777777" w:rsidR="00180E7C" w:rsidRDefault="00000000">
      <w:pPr>
        <w:pStyle w:val="Heading3"/>
      </w:pPr>
      <w:bookmarkStart w:id="245" w:name="assets-and-exercises"/>
      <w:bookmarkEnd w:id="244"/>
      <w:r>
        <w:t>40.2 Assets and Exercises</w:t>
      </w:r>
    </w:p>
    <w:p w14:paraId="1E5A8733" w14:textId="77777777" w:rsidR="00180E7C" w:rsidRDefault="00000000">
      <w:pPr>
        <w:pStyle w:val="FirstParagraph"/>
      </w:pPr>
      <w:r>
        <w:t>40.2.1 The SAR asset roster maintains: dedicated rescue vessels at Bandar Abbas and Muscat; helicopter coverage per the response-time table of Annex B, Table B-15; the emergency lane posture of Corridor Four; and quarterly joint SAR exercises between Omani, Iranian, and international assets.</w:t>
      </w:r>
    </w:p>
    <w:p w14:paraId="120184B9" w14:textId="77777777" w:rsidR="00180E7C" w:rsidRDefault="00000000">
      <w:pPr>
        <w:pStyle w:val="TOCArticle"/>
      </w:pPr>
      <w:bookmarkStart w:id="246" w:name="X5f8f56a2a6bc5d465abe379bced95781916bb7d"/>
      <w:bookmarkStart w:id="247" w:name="_Toc237843111"/>
      <w:bookmarkEnd w:id="242"/>
      <w:bookmarkEnd w:id="245"/>
      <w:r>
        <w:t>Article 41: Data Sharing and Maritime Domain Awareness</w:t>
      </w:r>
      <w:bookmarkEnd w:id="247"/>
    </w:p>
    <w:p w14:paraId="5F4D74D6" w14:textId="77777777" w:rsidR="00180E7C" w:rsidRDefault="00000000">
      <w:pPr>
        <w:pStyle w:val="Heading3"/>
      </w:pPr>
      <w:bookmarkStart w:id="248" w:name="the-shared-picture"/>
      <w:r>
        <w:t>41.1 The Shared Picture</w:t>
      </w:r>
    </w:p>
    <w:p w14:paraId="39882875" w14:textId="77777777" w:rsidR="00180E7C" w:rsidRDefault="00000000">
      <w:pPr>
        <w:pStyle w:val="FirstParagraph"/>
      </w:pPr>
      <w:r>
        <w:t>41.1.1 The Authority operates the Maritime Domain Awareness system: fusion of coastal radar chains of Iran and Oman, AIS aggregation, satellite surveillance feeds provided by international partners under the contribution agreements of Annex B, Section 13, and the Verification Cell sensor layer. The fused picture displays identically at the MOC, both mirror sites, the JOCs, and the Joint Monitoring Cell.</w:t>
      </w:r>
    </w:p>
    <w:p w14:paraId="3784EDDE" w14:textId="77777777" w:rsidR="00180E7C" w:rsidRDefault="00000000">
      <w:pPr>
        <w:pStyle w:val="Heading3"/>
      </w:pPr>
      <w:bookmarkStart w:id="249" w:name="data-rules"/>
      <w:bookmarkEnd w:id="248"/>
      <w:r>
        <w:t>41.2 Data Rules</w:t>
      </w:r>
    </w:p>
    <w:p w14:paraId="01A61D91" w14:textId="77777777" w:rsidR="00180E7C" w:rsidRDefault="00000000">
      <w:pPr>
        <w:pStyle w:val="FirstParagraph"/>
      </w:pPr>
      <w:r>
        <w:t xml:space="preserve">41.2.1 Radar and AIS data mirror in real time between Muscat and Bandar Abbas with identical latency to both coastal states. The Shared Digital Registry logs all tracks with cryptographic chain-of-custody. Track data retains for ten years. The dispute panels access </w:t>
      </w:r>
      <w:r>
        <w:lastRenderedPageBreak/>
        <w:t>track playback on request. The non-imputability rule of Annex C applies: participation in data sharing carries no political or legal acknowledgment.</w:t>
      </w:r>
    </w:p>
    <w:p w14:paraId="5CC8F4D4" w14:textId="77777777" w:rsidR="00180E7C" w:rsidRDefault="00000000">
      <w:pPr>
        <w:pStyle w:val="Heading3"/>
      </w:pPr>
      <w:bookmarkStart w:id="250" w:name="publication"/>
      <w:bookmarkEnd w:id="249"/>
      <w:r>
        <w:t>41.3 Publication</w:t>
      </w:r>
    </w:p>
    <w:p w14:paraId="246548DA" w14:textId="77777777" w:rsidR="00180E7C" w:rsidRDefault="00000000">
      <w:pPr>
        <w:pStyle w:val="FirstParagraph"/>
      </w:pPr>
      <w:r>
        <w:t>41.4.1 The Authority publishes daily navigational bulletins, live corridor status, and monthly traffic statistics on its public portal. Safety-relevant information publishes immediately.</w:t>
      </w:r>
    </w:p>
    <w:p w14:paraId="5CA89E59" w14:textId="77777777" w:rsidR="00180E7C" w:rsidRDefault="00000000">
      <w:pPr>
        <w:pStyle w:val="TOCArticle"/>
      </w:pPr>
      <w:bookmarkStart w:id="251" w:name="article-42-harbor-access"/>
      <w:bookmarkStart w:id="252" w:name="_Toc237843112"/>
      <w:bookmarkEnd w:id="246"/>
      <w:bookmarkEnd w:id="250"/>
      <w:r>
        <w:t>Article 42: Harbor Access</w:t>
      </w:r>
      <w:bookmarkEnd w:id="252"/>
    </w:p>
    <w:p w14:paraId="4BCF9D4A" w14:textId="77777777" w:rsidR="00180E7C" w:rsidRDefault="00000000">
      <w:pPr>
        <w:pStyle w:val="Heading3"/>
      </w:pPr>
      <w:bookmarkStart w:id="253" w:name="emergency-access"/>
      <w:r>
        <w:t>42.1 Emergency Access</w:t>
      </w:r>
    </w:p>
    <w:p w14:paraId="76D1FB5E" w14:textId="77777777" w:rsidR="00180E7C" w:rsidRDefault="00000000">
      <w:pPr>
        <w:pStyle w:val="FirstParagraph"/>
      </w:pPr>
      <w:r>
        <w:t>42.1.1 Any vessel in distress receives immediate access to the nearest suitable port or anchorage of the coastal states, per the place-of-refuge procedures of Annex B, Section 11.4. Distress overrides every other consideration; the MOC coordinates entry without fee or formality.</w:t>
      </w:r>
    </w:p>
    <w:p w14:paraId="70A53D08" w14:textId="77777777" w:rsidR="00180E7C" w:rsidRDefault="00000000">
      <w:pPr>
        <w:pStyle w:val="Heading3"/>
      </w:pPr>
      <w:bookmarkStart w:id="254" w:name="designated-service-ports"/>
      <w:bookmarkEnd w:id="253"/>
      <w:r>
        <w:t>42.2 Designated Service Ports</w:t>
      </w:r>
    </w:p>
    <w:p w14:paraId="0E234DBA" w14:textId="77777777" w:rsidR="00180E7C" w:rsidRDefault="00000000">
      <w:pPr>
        <w:pStyle w:val="FirstParagraph"/>
      </w:pPr>
      <w:r>
        <w:t>42.2.1 The Authority designates the service ports of Table B-16: Shahid Rajaee (Bandar Abbas) and Chabahar on the Iranian side; Duqm, Sohar, and Muscat on the Omani side. Services at designated ports operate under the Catalog. Diversion requests process through the MOC under the twin-key.</w:t>
      </w:r>
    </w:p>
    <w:p w14:paraId="7B6988BF" w14:textId="77777777" w:rsidR="00180E7C" w:rsidRDefault="00000000">
      <w:pPr>
        <w:pStyle w:val="Heading3"/>
      </w:pPr>
      <w:bookmarkStart w:id="255" w:name="crew-welfare"/>
      <w:bookmarkEnd w:id="254"/>
      <w:r>
        <w:t>42.3 Crew Welfare</w:t>
      </w:r>
    </w:p>
    <w:p w14:paraId="1AAFFFB9" w14:textId="77777777" w:rsidR="00180E7C" w:rsidRDefault="00000000">
      <w:pPr>
        <w:pStyle w:val="FirstParagraph"/>
      </w:pPr>
      <w:r>
        <w:t>42.3.1 The coastal states facilitate crew change, medical care, shore leave, and repatriation at designated ports under the Mariner First provisions of Annex M, Section 7. No seafarer strands in the Governance Area for want of documentation: the Authority’s seafarer desk resolves status questions within seventy-two hours.</w:t>
      </w:r>
    </w:p>
    <w:p w14:paraId="6CF22B41" w14:textId="77777777" w:rsidR="00180E7C" w:rsidRDefault="00000000">
      <w:pPr>
        <w:pStyle w:val="TOCArticle"/>
      </w:pPr>
      <w:bookmarkStart w:id="256" w:name="X03cb8041bbcad94d1458c0ad2205ab7574d3fbb"/>
      <w:bookmarkStart w:id="257" w:name="_Toc237843113"/>
      <w:bookmarkEnd w:id="251"/>
      <w:bookmarkEnd w:id="255"/>
      <w:r>
        <w:t>Article 43: Regional Integration and the Outer Charter Layer</w:t>
      </w:r>
      <w:bookmarkEnd w:id="257"/>
    </w:p>
    <w:p w14:paraId="21724EA8" w14:textId="77777777" w:rsidR="00180E7C" w:rsidRDefault="00000000">
      <w:pPr>
        <w:pStyle w:val="Heading3"/>
      </w:pPr>
      <w:bookmarkStart w:id="258" w:name="imo-and-iho-integration"/>
      <w:r>
        <w:t>43.1 IMO and IHO Integration</w:t>
      </w:r>
    </w:p>
    <w:p w14:paraId="39404831" w14:textId="77777777" w:rsidR="00180E7C" w:rsidRDefault="00000000">
      <w:pPr>
        <w:pStyle w:val="FirstParagraph"/>
      </w:pPr>
      <w:r>
        <w:t>43.1.1 The corridor system files with the IMO for adoption as a mandatory ship routing system, and with the IHO for charting. The Authority maintains permanent observer liaison with the IMO Secretariat and participates in the NAVAREA coordination structure.</w:t>
      </w:r>
    </w:p>
    <w:p w14:paraId="721E4C60" w14:textId="77777777" w:rsidR="00180E7C" w:rsidRDefault="00000000">
      <w:pPr>
        <w:pStyle w:val="Heading3"/>
      </w:pPr>
      <w:bookmarkStart w:id="259" w:name="gcc-and-regional-integration"/>
      <w:bookmarkEnd w:id="258"/>
      <w:r>
        <w:t>43.2 GCC and Regional Integration</w:t>
      </w:r>
    </w:p>
    <w:p w14:paraId="0F64F125" w14:textId="77777777" w:rsidR="00180E7C" w:rsidRDefault="00000000">
      <w:pPr>
        <w:pStyle w:val="FirstParagraph"/>
      </w:pPr>
      <w:r>
        <w:t>43.2.1 The GCC rotating seat of Article 31.3.1 anchors the Authority in the regional architecture. The Regional Standing Conference of Article 8 reviews the maritime regime annually and adopts complementary measures for the wider Gulf.</w:t>
      </w:r>
    </w:p>
    <w:p w14:paraId="2E83CC12" w14:textId="77777777" w:rsidR="00180E7C" w:rsidRDefault="00000000">
      <w:pPr>
        <w:pStyle w:val="Heading3"/>
      </w:pPr>
      <w:bookmarkStart w:id="260" w:name="X75e73b93c055282efc22a903e80130983893580"/>
      <w:bookmarkEnd w:id="259"/>
      <w:r>
        <w:lastRenderedPageBreak/>
        <w:t>43.3 Alignment with the Regional Charter Vision</w:t>
      </w:r>
    </w:p>
    <w:p w14:paraId="113887CA" w14:textId="77777777" w:rsidR="00180E7C" w:rsidRDefault="00000000">
      <w:pPr>
        <w:pStyle w:val="FirstParagraph"/>
      </w:pPr>
      <w:r>
        <w:t>43.3.1 This Title constitutes the maritime chapter of the regional multilateral charter layer of Article 0.6. Its institutions stand open to deepening through the accession protocol of 43.6.</w:t>
      </w:r>
    </w:p>
    <w:p w14:paraId="40BDFB2B" w14:textId="77777777" w:rsidR="00180E7C" w:rsidRDefault="00000000">
      <w:pPr>
        <w:pStyle w:val="Heading3"/>
      </w:pPr>
      <w:bookmarkStart w:id="261" w:name="user-nation-engagement"/>
      <w:bookmarkEnd w:id="260"/>
      <w:r>
        <w:t>43.4 User-Nation Engagement</w:t>
      </w:r>
    </w:p>
    <w:p w14:paraId="53596F98" w14:textId="77777777" w:rsidR="00180E7C" w:rsidRDefault="00000000">
      <w:pPr>
        <w:pStyle w:val="FirstParagraph"/>
      </w:pPr>
      <w:r>
        <w:t>43.4.1 Major user nations engage through the rotating user seat, the contribution program, and the annual User Conference convened by the Authority, which reviews service quality, fees, and safety performance.</w:t>
      </w:r>
    </w:p>
    <w:p w14:paraId="291B054B" w14:textId="77777777" w:rsidR="00180E7C" w:rsidRDefault="00000000">
      <w:pPr>
        <w:pStyle w:val="Heading3"/>
      </w:pPr>
      <w:bookmarkStart w:id="262" w:name="supersession-and-continuity"/>
      <w:bookmarkEnd w:id="261"/>
      <w:r>
        <w:t>43.5 Supersession and Continuity</w:t>
      </w:r>
    </w:p>
    <w:p w14:paraId="0CA6D761" w14:textId="77777777" w:rsidR="00180E7C" w:rsidRDefault="00000000">
      <w:pPr>
        <w:pStyle w:val="FirstParagraph"/>
      </w:pPr>
      <w:r>
        <w:t>43.5.1 Upon activation of the final corridors per Article 32.3, this regime supersedes the prior traffic separation arrangements within the Governance Area, the wartime routing measures of 2026, and the interim routing of this Treaty, and stands as the single permanent maritime order of the Strait.</w:t>
      </w:r>
    </w:p>
    <w:p w14:paraId="77A16280" w14:textId="77777777" w:rsidR="00180E7C" w:rsidRDefault="00000000">
      <w:pPr>
        <w:pStyle w:val="Heading3"/>
      </w:pPr>
      <w:bookmarkStart w:id="263" w:name="accession"/>
      <w:bookmarkEnd w:id="262"/>
      <w:r>
        <w:t>43.6 Accession</w:t>
      </w:r>
    </w:p>
    <w:p w14:paraId="054CC689" w14:textId="77777777" w:rsidR="00180E7C" w:rsidRDefault="00000000">
      <w:pPr>
        <w:pStyle w:val="FirstParagraph"/>
      </w:pPr>
      <w:r>
        <w:t>43.6.1 Any Gulf littoral state accedes to this Title by instrument deposited with the Depositary and consensus welcome of the Council. Acceding states assume the obligations of this Title and enter its benefit structure per the accession schedule of Annex B, Section 14.</w:t>
      </w:r>
    </w:p>
    <w:p w14:paraId="6D6916F6" w14:textId="77777777" w:rsidR="00180E7C" w:rsidRDefault="00000000">
      <w:pPr>
        <w:pStyle w:val="TOCArticle"/>
      </w:pPr>
      <w:bookmarkStart w:id="264" w:name="X239735dee99001bb63583aeca3e72e941f98cb8"/>
      <w:bookmarkStart w:id="265" w:name="_Toc237843114"/>
      <w:bookmarkEnd w:id="256"/>
      <w:bookmarkEnd w:id="263"/>
      <w:r>
        <w:t>Article 44: Governance Activation Timeline</w:t>
      </w:r>
      <w:bookmarkEnd w:id="265"/>
    </w:p>
    <w:p w14:paraId="73A2C71C" w14:textId="77777777" w:rsidR="00180E7C" w:rsidRDefault="00000000">
      <w:pPr>
        <w:pStyle w:val="Heading3"/>
      </w:pPr>
      <w:bookmarkStart w:id="266" w:name="phase-activation"/>
      <w:r>
        <w:t>44.1 Phase Activation</w:t>
      </w:r>
    </w:p>
    <w:p w14:paraId="46BD852B" w14:textId="77777777" w:rsidR="00180E7C" w:rsidRDefault="00000000">
      <w:pPr>
        <w:pStyle w:val="FirstParagraph"/>
      </w:pPr>
      <w:r>
        <w:t>44.1.1 The governance system activates in the phases of Annex P, Section 4: Phase I (Days 0-30): interim corridors, interim secretariat, blockade dissolution, mine survey commencement; Phase II (Days 31-60): Verification Cell deployment, mine clearance completion target, final corridor activation; Phase III (Days 61-120): full Rules of Transit, Catalog launch, contribution program launch; Phase IV (Days 121-365): dispute panels at full strength, IMO adoption process completion, ecological program fully operational; Phase V (Year 2): review and first revision of the Rules of Transit and Catalog under Article 72 procedure.</w:t>
      </w:r>
    </w:p>
    <w:p w14:paraId="6FAA902B" w14:textId="77777777" w:rsidR="00180E7C" w:rsidRDefault="00000000">
      <w:pPr>
        <w:pStyle w:val="Heading3"/>
      </w:pPr>
      <w:bookmarkStart w:id="267" w:name="failure-to-activate-contingency"/>
      <w:bookmarkEnd w:id="266"/>
      <w:r>
        <w:t>44.2 Failure-to-Activate Contingency</w:t>
      </w:r>
    </w:p>
    <w:p w14:paraId="7D69C1BF" w14:textId="77777777" w:rsidR="00180E7C" w:rsidRDefault="00000000">
      <w:pPr>
        <w:pStyle w:val="FirstParagraph"/>
      </w:pPr>
      <w:r>
        <w:t>44.2.1 If mine clearance certification delays beyond Day 60, the interim routing continues with enhanced escort posture, and the High Contracting Council reviews weekly until certification. The governance system never reverts to closure: activation delays adjust schedules, never the principle of free and open transit.</w:t>
      </w:r>
    </w:p>
    <w:p w14:paraId="5D3AAD9A" w14:textId="77777777" w:rsidR="00180E7C" w:rsidRDefault="00000000">
      <w:pPr>
        <w:pStyle w:val="TOCArticle"/>
      </w:pPr>
      <w:bookmarkStart w:id="268" w:name="article-45-maritime-dispute-panels"/>
      <w:bookmarkStart w:id="269" w:name="_Toc237843115"/>
      <w:bookmarkEnd w:id="264"/>
      <w:bookmarkEnd w:id="267"/>
      <w:r>
        <w:lastRenderedPageBreak/>
        <w:t>Article 45: Maritime Dispute Panels</w:t>
      </w:r>
      <w:bookmarkEnd w:id="269"/>
    </w:p>
    <w:p w14:paraId="2F22D878" w14:textId="77777777" w:rsidR="00180E7C" w:rsidRDefault="00000000">
      <w:pPr>
        <w:pStyle w:val="Heading3"/>
      </w:pPr>
      <w:bookmarkStart w:id="270" w:name="the-three-tier-system"/>
      <w:r>
        <w:t>45.1 The Three-Tier System</w:t>
      </w:r>
    </w:p>
    <w:p w14:paraId="66D7402B" w14:textId="77777777" w:rsidR="00180E7C" w:rsidRDefault="00000000">
      <w:pPr>
        <w:pStyle w:val="FirstParagraph"/>
      </w:pPr>
      <w:r>
        <w:t>45.1.1 Disputes arising under this Title resolve through: Tier 1, the Technical Panel (operational disputes, compliance queries, data questions), convened by the Verification Cell within seven days, deciding within fourteen; Tier 2, the Legal Panel (interpretation of this Title, detention reviews, fee disputes), three jurists drawn from the roster of Annex O, deciding within thirty days; Tier 3, the Maritime Arbitration Tribunal (contested detentions, compensation claims, unresolved Tier 2 matters), three arbitrators under Annex O rules, deciding within ninety days.</w:t>
      </w:r>
    </w:p>
    <w:p w14:paraId="6AC5A3E2" w14:textId="77777777" w:rsidR="00180E7C" w:rsidRDefault="00000000">
      <w:pPr>
        <w:pStyle w:val="Heading3"/>
      </w:pPr>
      <w:bookmarkStart w:id="271" w:name="composition-and-chairs"/>
      <w:bookmarkEnd w:id="270"/>
      <w:r>
        <w:t>45.2 Composition and Chairs</w:t>
      </w:r>
    </w:p>
    <w:p w14:paraId="3B2D1561" w14:textId="77777777" w:rsidR="00180E7C" w:rsidRDefault="00000000">
      <w:pPr>
        <w:pStyle w:val="FirstParagraph"/>
      </w:pPr>
      <w:r>
        <w:t>45.2.1 Oman chairs each panel; Iran holds co-chair status; the international member of each panel comes from the neutral roster. On inbound-corridor operational questions, Iran’s concurrence forms part of the panel’s operative decision; on outbound-corridor operational questions, Oman’s concurrence forms part; the twin-key governs at the adjudicative level exactly as at the operational level.</w:t>
      </w:r>
    </w:p>
    <w:p w14:paraId="4B9A02E1" w14:textId="77777777" w:rsidR="00180E7C" w:rsidRDefault="00000000">
      <w:pPr>
        <w:pStyle w:val="Heading3"/>
      </w:pPr>
      <w:bookmarkStart w:id="272" w:name="detention-review"/>
      <w:bookmarkEnd w:id="271"/>
      <w:r>
        <w:t>45.3 Detention Review</w:t>
      </w:r>
    </w:p>
    <w:p w14:paraId="6E6D4701" w14:textId="77777777" w:rsidR="00180E7C" w:rsidRDefault="00000000">
      <w:pPr>
        <w:pStyle w:val="FirstParagraph"/>
      </w:pPr>
      <w:r>
        <w:t>45.3.1 A flag state or vessel interest requests detention review within forty-eight hours of detention. The Legal Panel sits within forty-eight hours of request and rules within seventy-two. A detention failing the protocol tests of Article 36 produces immediate release and compensation per the tariff of Annex B, Table B-17.</w:t>
      </w:r>
    </w:p>
    <w:p w14:paraId="7149E653" w14:textId="77777777" w:rsidR="00180E7C" w:rsidRDefault="00000000">
      <w:pPr>
        <w:pStyle w:val="Heading3"/>
      </w:pPr>
      <w:bookmarkStart w:id="273" w:name="make-good-rule"/>
      <w:bookmarkEnd w:id="272"/>
      <w:r>
        <w:t>45.4 Make-Good Rule</w:t>
      </w:r>
    </w:p>
    <w:p w14:paraId="3B15ECD2" w14:textId="77777777" w:rsidR="00180E7C" w:rsidRDefault="00000000">
      <w:pPr>
        <w:pStyle w:val="FirstParagraph"/>
      </w:pPr>
      <w:r>
        <w:t>45.4.1 A state or authority whose action a panel finds outside this Title makes good the consequences: release, restitution, compensation at the tariff, and publication of the finding. Repeated findings against the same authority trigger the governance review of Article 31 and, where applicable, the demerit schedule of Annex D.</w:t>
      </w:r>
    </w:p>
    <w:p w14:paraId="532B1911" w14:textId="77777777" w:rsidR="00180E7C" w:rsidRDefault="00000000">
      <w:r>
        <w:br w:type="page"/>
      </w:r>
    </w:p>
    <w:p w14:paraId="376D86C8" w14:textId="77777777" w:rsidR="00180E7C" w:rsidRDefault="00000000">
      <w:pPr>
        <w:pStyle w:val="Heading1"/>
      </w:pPr>
      <w:bookmarkStart w:id="274" w:name="Xd7342bf5e78ab9bb1669210569479d3834eeb22"/>
      <w:bookmarkStart w:id="275" w:name="_Toc237843116"/>
      <w:bookmarkEnd w:id="187"/>
      <w:bookmarkEnd w:id="268"/>
      <w:bookmarkEnd w:id="273"/>
      <w:r>
        <w:lastRenderedPageBreak/>
        <w:t>TITLE IV: ECONOMIC NORMALIZATION AND SANCTIONS FRAMEWORK</w:t>
      </w:r>
      <w:bookmarkEnd w:id="275"/>
    </w:p>
    <w:p w14:paraId="7FD865D1" w14:textId="77777777" w:rsidR="00180E7C" w:rsidRDefault="00000000">
      <w:pPr>
        <w:pStyle w:val="TOCArticle"/>
      </w:pPr>
      <w:bookmarkStart w:id="276" w:name="article-46-sanctions-termination-roadmap"/>
      <w:bookmarkStart w:id="277" w:name="_Toc237843117"/>
      <w:r>
        <w:t>Article 46: Sanctions Termination Roadmap</w:t>
      </w:r>
      <w:bookmarkEnd w:id="277"/>
    </w:p>
    <w:p w14:paraId="2BC707DA" w14:textId="77777777" w:rsidR="00180E7C" w:rsidRDefault="00000000">
      <w:pPr>
        <w:pStyle w:val="Heading3"/>
      </w:pPr>
      <w:bookmarkStart w:id="278" w:name="the-termination-commitment"/>
      <w:r>
        <w:t>46.1 The Termination Commitment</w:t>
      </w:r>
    </w:p>
    <w:p w14:paraId="0D84F2AA" w14:textId="77777777" w:rsidR="00180E7C" w:rsidRDefault="00000000">
      <w:pPr>
        <w:pStyle w:val="FirstParagraph"/>
      </w:pPr>
      <w:r>
        <w:t>46.1.1 The United States terminates the Sanctions Architecture in its entirety: all primary sanctions, all secondary sanctions, all designations under the executive orders and statutes listed in Annex G, Schedule G-1, and all measures derived from them. The termination proceeds on the verified schedule of this Article and Annex G, executing through statute per Article 13.1.2 so that no future unilateral executive action revives the architecture outside the step-back machinery of Article 70.</w:t>
      </w:r>
    </w:p>
    <w:p w14:paraId="405E2DA3" w14:textId="77777777" w:rsidR="00180E7C" w:rsidRDefault="00000000">
      <w:pPr>
        <w:pStyle w:val="BodyText"/>
      </w:pPr>
      <w:r>
        <w:t>46.1.2 The Parties jointly pursue the termination of international measures: the United Nations Security Council resolutions listed in Annex G, Schedule G-2, terminate through the resolution of Article 86; the IAEA Board of Governors resolutions of censure close through the Board’s verification-based actions of Annex F, Section 12.</w:t>
      </w:r>
    </w:p>
    <w:p w14:paraId="7809A3CC" w14:textId="77777777" w:rsidR="00180E7C" w:rsidRDefault="00000000">
      <w:pPr>
        <w:pStyle w:val="Heading3"/>
      </w:pPr>
      <w:bookmarkStart w:id="279" w:name="the-phase-schedule"/>
      <w:bookmarkEnd w:id="278"/>
      <w:r>
        <w:t>46.2 The Phase Schedule</w:t>
      </w:r>
    </w:p>
    <w:p w14:paraId="24DDC44B" w14:textId="77777777" w:rsidR="00180E7C" w:rsidRDefault="00000000">
      <w:pPr>
        <w:pStyle w:val="FirstParagraph"/>
      </w:pPr>
      <w:r>
        <w:t xml:space="preserve">46.2.1 </w:t>
      </w:r>
      <w:r>
        <w:rPr>
          <w:b/>
          <w:bCs/>
        </w:rPr>
        <w:t>Phase 0 (Signature to EIF):</w:t>
      </w:r>
      <w:r>
        <w:t xml:space="preserve"> the temporary general licenses in effect convert into standing authorizations: the oil export license of 21 June 2026 and its successors convert to permanent authorization at EIF.</w:t>
      </w:r>
    </w:p>
    <w:p w14:paraId="6AC03C66" w14:textId="77777777" w:rsidR="00180E7C" w:rsidRDefault="00000000">
      <w:pPr>
        <w:pStyle w:val="BodyText"/>
      </w:pPr>
      <w:r>
        <w:t xml:space="preserve">46.2.2 </w:t>
      </w:r>
      <w:r>
        <w:rPr>
          <w:b/>
          <w:bCs/>
        </w:rPr>
        <w:t>Phase I (Days 0-30):</w:t>
      </w:r>
      <w:r>
        <w:t xml:space="preserve"> upon EIF and Joint Monitoring Cell certification of the ceasefire baseline, the following terminate: the wartime designations of 2026 listed in Annex G, Table G-1; the maritime and insurance restrictions on Iranian shipping; the restrictions on Iranian civil aviation. The escrow channel of Annex H activates.</w:t>
      </w:r>
    </w:p>
    <w:p w14:paraId="6BD9F602" w14:textId="77777777" w:rsidR="00180E7C" w:rsidRDefault="00000000">
      <w:pPr>
        <w:pStyle w:val="BodyText"/>
      </w:pPr>
      <w:r>
        <w:t xml:space="preserve">46.2.3 </w:t>
      </w:r>
      <w:r>
        <w:rPr>
          <w:b/>
          <w:bCs/>
        </w:rPr>
        <w:t>Phase II (Days 31-180):</w:t>
      </w:r>
      <w:r>
        <w:t xml:space="preserve"> upon certification of the first down-blending tranche under Article 61 and the first security tranche under Article 16: the financial sanctions on the Central Bank of Iran and the listed commercial banks terminate; SWIFT restoration completes per Article 49; the energy sector sanctions terminate; the investment restrictions lift for the sectors of Annex G, Table G-2.</w:t>
      </w:r>
    </w:p>
    <w:p w14:paraId="23BFAC94" w14:textId="77777777" w:rsidR="00180E7C" w:rsidRDefault="00000000">
      <w:pPr>
        <w:pStyle w:val="BodyText"/>
      </w:pPr>
      <w:r>
        <w:t xml:space="preserve">46.2.4 </w:t>
      </w:r>
      <w:r>
        <w:rPr>
          <w:b/>
          <w:bCs/>
        </w:rPr>
        <w:t>Phase III (Days 181-540):</w:t>
      </w:r>
      <w:r>
        <w:t xml:space="preserve"> upon certification of the down-blending midpoint and the proxy domain milestones: the remaining primary sanctions terminate, including the statutes listed in Annex G, Table G-3, through the implementing legislation; the FTO-related measures of Article 46.4 resolve; secondary sanctions terminate in full.</w:t>
      </w:r>
    </w:p>
    <w:p w14:paraId="0B4C7B5E" w14:textId="77777777" w:rsidR="00180E7C" w:rsidRDefault="00000000">
      <w:pPr>
        <w:pStyle w:val="BodyText"/>
      </w:pPr>
      <w:r>
        <w:t xml:space="preserve">46.2.5 </w:t>
      </w:r>
      <w:r>
        <w:rPr>
          <w:b/>
          <w:bCs/>
        </w:rPr>
        <w:t>Phase IV (Days 541-1095):</w:t>
      </w:r>
      <w:r>
        <w:t xml:space="preserve"> upon certification of full nuclear disposition and sustained compliance: the residual measures listed in Annex G, Table G-4, terminate; the United States supports Iran’s full normalization in the international financial institutions per Article 50.4.</w:t>
      </w:r>
    </w:p>
    <w:p w14:paraId="10257136" w14:textId="77777777" w:rsidR="00180E7C" w:rsidRDefault="00000000">
      <w:pPr>
        <w:pStyle w:val="Heading3"/>
      </w:pPr>
      <w:bookmarkStart w:id="280" w:name="verification-linked-calendar-backed"/>
      <w:bookmarkEnd w:id="279"/>
      <w:r>
        <w:t>46.3 Verification-Linked, Calendar-Backed</w:t>
      </w:r>
    </w:p>
    <w:p w14:paraId="0774D09B" w14:textId="77777777" w:rsidR="00180E7C" w:rsidRDefault="00000000">
      <w:pPr>
        <w:pStyle w:val="FirstParagraph"/>
      </w:pPr>
      <w:r>
        <w:t xml:space="preserve">46.3.1 Each phase carries both a verification trigger and an outer date. If verification certifies early, termination executes early. If a dispute over certification arises, the </w:t>
      </w:r>
      <w:r>
        <w:lastRenderedPageBreak/>
        <w:t>Technical Truth Escalation Chain resolves it within fifteen days; the outer date stands unless the Cothrom Engine registers an active step-back affecting that phase. The architecture delivers predictability to markets and reciprocity to both Parties.</w:t>
      </w:r>
    </w:p>
    <w:p w14:paraId="27736F53" w14:textId="77777777" w:rsidR="00180E7C" w:rsidRDefault="00000000">
      <w:pPr>
        <w:pStyle w:val="Heading3"/>
      </w:pPr>
      <w:bookmarkStart w:id="281" w:name="designation-resolutions"/>
      <w:bookmarkEnd w:id="280"/>
      <w:r>
        <w:t>46.4 Designation Resolutions</w:t>
      </w:r>
    </w:p>
    <w:p w14:paraId="128292A8" w14:textId="77777777" w:rsidR="00180E7C" w:rsidRDefault="00000000">
      <w:pPr>
        <w:pStyle w:val="FirstParagraph"/>
      </w:pPr>
      <w:r>
        <w:t xml:space="preserve">46.4.1 </w:t>
      </w:r>
      <w:r>
        <w:rPr>
          <w:b/>
          <w:bCs/>
        </w:rPr>
        <w:t>IRGC designation.</w:t>
      </w:r>
      <w:r>
        <w:t xml:space="preserve"> The status of the Islamic Revolutionary Guard Corps resolves through the two-stage arrangement of Annex G, Section 6: at Phase III, upon verified completion of the IRGC Navy posture changes of Article 16.3 and the interdiction-protocol integration of Article 36.4, the United States initiates the statutory delisting process of the IRGC as a Foreign Terrorist Organization, completing within the statutory period; simultaneously, the IRGC’s commercial entities listed in Annex G, Table G-5, enter the monitored compliance program there defined.</w:t>
      </w:r>
    </w:p>
    <w:p w14:paraId="3640DFCB" w14:textId="77777777" w:rsidR="00180E7C" w:rsidRDefault="00000000">
      <w:pPr>
        <w:pStyle w:val="BodyText"/>
      </w:pPr>
      <w:r>
        <w:t xml:space="preserve">46.4.2 </w:t>
      </w:r>
      <w:r>
        <w:rPr>
          <w:b/>
          <w:bCs/>
        </w:rPr>
        <w:t>Other designations.</w:t>
      </w:r>
      <w:r>
        <w:t xml:space="preserve"> Personal and entity designations terminate per Annex G, Tables G-3 and G-6, except designations grounded in conduct outside this Treaty’s scope (narcotics, cybercrime, terrorism unrelated to the bilateral conflict), which the United States reviews individually under the due process standards of Annex G, Section 7, with outcomes reported to the High Contracting Council.</w:t>
      </w:r>
    </w:p>
    <w:p w14:paraId="71D64164" w14:textId="77777777" w:rsidR="00180E7C" w:rsidRDefault="00000000">
      <w:pPr>
        <w:pStyle w:val="BodyText"/>
      </w:pPr>
      <w:r>
        <w:t xml:space="preserve">46.4.3 </w:t>
      </w:r>
      <w:r>
        <w:rPr>
          <w:b/>
          <w:bCs/>
        </w:rPr>
        <w:t>Caesar Act and third-country measures.</w:t>
      </w:r>
      <w:r>
        <w:t xml:space="preserve"> Measures addressing the Syria file resolve within the Syria protocol of Article 79: the drawdown milestones of that Article unlock the Caesar Act relief schedule of Annex G, Section 8, applicable to Iran-relevant effects. Human-rights-related measures resolve through the dialogue channel of Article 84.6 without conditioning this Treaty’s core benefits.</w:t>
      </w:r>
    </w:p>
    <w:p w14:paraId="43978094" w14:textId="77777777" w:rsidR="00180E7C" w:rsidRDefault="00000000">
      <w:pPr>
        <w:pStyle w:val="Heading3"/>
      </w:pPr>
      <w:bookmarkStart w:id="282" w:name="no-new-measures"/>
      <w:bookmarkEnd w:id="281"/>
      <w:r>
        <w:t>46.5 No New Measures</w:t>
      </w:r>
    </w:p>
    <w:p w14:paraId="262C934C" w14:textId="77777777" w:rsidR="00180E7C" w:rsidRDefault="00000000">
      <w:pPr>
        <w:pStyle w:val="FirstParagraph"/>
      </w:pPr>
      <w:r>
        <w:t>46.5.1 From EIF, the framework excludes the imposition by either Party of new economic coercive measures against the other outside the step-back machinery of Article 70. A measure grounded in conduct outside this Treaty routes first through the notification and consultation procedure of Article 55.4, with a thirty-day consultation window before any imposition.</w:t>
      </w:r>
    </w:p>
    <w:p w14:paraId="171B82CF" w14:textId="77777777" w:rsidR="00180E7C" w:rsidRDefault="00000000">
      <w:pPr>
        <w:pStyle w:val="TOCArticle"/>
      </w:pPr>
      <w:bookmarkStart w:id="283" w:name="article-47-frozen-asset-release"/>
      <w:bookmarkStart w:id="284" w:name="_Toc237843118"/>
      <w:bookmarkEnd w:id="276"/>
      <w:bookmarkEnd w:id="282"/>
      <w:r>
        <w:t>Article 47: Frozen Asset Release</w:t>
      </w:r>
      <w:bookmarkEnd w:id="284"/>
    </w:p>
    <w:p w14:paraId="1575FB85" w14:textId="77777777" w:rsidR="00180E7C" w:rsidRDefault="00000000">
      <w:pPr>
        <w:pStyle w:val="Heading3"/>
      </w:pPr>
      <w:bookmarkStart w:id="285" w:name="the-two-pool-architecture"/>
      <w:r>
        <w:t>47.1 The Two-Pool Architecture</w:t>
      </w:r>
    </w:p>
    <w:p w14:paraId="6A3ED942" w14:textId="77777777" w:rsidR="00180E7C" w:rsidRDefault="00000000">
      <w:pPr>
        <w:pStyle w:val="FirstParagraph"/>
      </w:pPr>
      <w:r>
        <w:t>47.1.1 The Frozen Assets release through the Two-Pool Synchronized Disbursement Mechanism of Annex H, administered by the Swiss Facilitator as escrow agent: Pool A (Immediate Stabilization Pool) receives the funds released in Phase I and funds humanitarian procurement, currency stabilization, and budget support; Pool B (Reconstruction and Development Pool) receives the funds released in later phases and funds the projects of the Reconstruction and Development Fund.</w:t>
      </w:r>
    </w:p>
    <w:p w14:paraId="08219ECF" w14:textId="77777777" w:rsidR="00180E7C" w:rsidRDefault="00000000">
      <w:pPr>
        <w:pStyle w:val="Heading3"/>
      </w:pPr>
      <w:bookmarkStart w:id="286" w:name="the-release-schedule"/>
      <w:bookmarkEnd w:id="285"/>
      <w:r>
        <w:t>47.2 The Release Schedule</w:t>
      </w:r>
    </w:p>
    <w:p w14:paraId="0CD618E9" w14:textId="77777777" w:rsidR="00180E7C" w:rsidRDefault="00000000">
      <w:pPr>
        <w:pStyle w:val="FirstParagraph"/>
      </w:pPr>
      <w:r>
        <w:t xml:space="preserve">47.2.1 Of the approximately twenty-four billion United States dollars in Frozen Assets: (a) twelve billion releases at EIF into Pool A, per the pre-negotiated commitment that half the </w:t>
      </w:r>
      <w:r>
        <w:lastRenderedPageBreak/>
        <w:t>frozen funds precede the conclusion of final implementation, honoring the Iranian position that early tangible relief anchors the process and the United States position that release links to verified steps, since EIF itself embodies the first verified package; (b) six billion releases at Phase II upon the certifications of Article 46.2.3, split equally between the Pools; (c) six billion releases at Phase III upon the certifications of Article 46.2.4, into Pool B.</w:t>
      </w:r>
    </w:p>
    <w:p w14:paraId="0C864E7B" w14:textId="77777777" w:rsidR="00180E7C" w:rsidRDefault="00000000">
      <w:pPr>
        <w:pStyle w:val="BodyText"/>
      </w:pPr>
      <w:r>
        <w:t>47.2.2 Assets held in third jurisdictions release through the coordinated action of Annex H, Section 5: the Parties jointly notify the holding jurisdictions, the Swiss Facilitator provides the escrow infrastructure, and the monitoring regime of 47.3 applies identically.</w:t>
      </w:r>
    </w:p>
    <w:p w14:paraId="177D8221" w14:textId="77777777" w:rsidR="00180E7C" w:rsidRDefault="00000000">
      <w:pPr>
        <w:pStyle w:val="Heading3"/>
      </w:pPr>
      <w:bookmarkStart w:id="287" w:name="monitoring-without-restriction"/>
      <w:bookmarkEnd w:id="286"/>
      <w:r>
        <w:t>47.3 Monitoring Without Restriction</w:t>
      </w:r>
    </w:p>
    <w:p w14:paraId="44F5DD5E" w14:textId="77777777" w:rsidR="00180E7C" w:rsidRDefault="00000000">
      <w:pPr>
        <w:pStyle w:val="FirstParagraph"/>
      </w:pPr>
      <w:r>
        <w:t>47.3.1 Released funds belong to Iran. The monitoring regime of Annex H, Section 6, verifies end-use transparency for the Reconstruction Pool through project-level reporting, and confirms for Pool A the humanitarian and stabilization categories of expenditure. Monitoring verifies; it does not veto, redirect, or delay disbursements that conform to the pool purposes. The Central Bank of Iran holds legal title throughout, consistent with the registered red line that Iranian assets remain Iranian.</w:t>
      </w:r>
    </w:p>
    <w:p w14:paraId="273A2D86" w14:textId="77777777" w:rsidR="00180E7C" w:rsidRDefault="00000000">
      <w:pPr>
        <w:pStyle w:val="Heading3"/>
      </w:pPr>
      <w:bookmarkStart w:id="288" w:name="interest-and-value-preservation"/>
      <w:bookmarkEnd w:id="287"/>
      <w:r>
        <w:t>47.4 Interest and Value Preservation</w:t>
      </w:r>
    </w:p>
    <w:p w14:paraId="7DF1475E" w14:textId="77777777" w:rsidR="00180E7C" w:rsidRDefault="00000000">
      <w:pPr>
        <w:pStyle w:val="FirstParagraph"/>
      </w:pPr>
      <w:r>
        <w:t>47.4.1 Accrued interest on Frozen Assets transfers with the principal. The holding arrangements from EIF preserve value: funds held in interest-bearing instruments or, at Iran’s election, transferred to the escrow’s investment policy of Annex H, Section 7.</w:t>
      </w:r>
    </w:p>
    <w:p w14:paraId="2C4BCB40" w14:textId="77777777" w:rsidR="00180E7C" w:rsidRDefault="00000000">
      <w:pPr>
        <w:pStyle w:val="TOCArticle"/>
      </w:pPr>
      <w:bookmarkStart w:id="289" w:name="article-48-oil-export-guarantees"/>
      <w:bookmarkStart w:id="290" w:name="_Toc237843119"/>
      <w:bookmarkEnd w:id="283"/>
      <w:bookmarkEnd w:id="288"/>
      <w:r>
        <w:t>Article 48: Oil Export Guarantees</w:t>
      </w:r>
      <w:bookmarkEnd w:id="290"/>
    </w:p>
    <w:p w14:paraId="72C11184" w14:textId="77777777" w:rsidR="00180E7C" w:rsidRDefault="00000000">
      <w:pPr>
        <w:pStyle w:val="Heading3"/>
      </w:pPr>
      <w:bookmarkStart w:id="291" w:name="full-export-capacity-restoration"/>
      <w:r>
        <w:t>48.1 Full Export Capacity Restoration</w:t>
      </w:r>
    </w:p>
    <w:p w14:paraId="73C9E8CA" w14:textId="77777777" w:rsidR="00180E7C" w:rsidRDefault="00000000">
      <w:pPr>
        <w:pStyle w:val="FirstParagraph"/>
      </w:pPr>
      <w:r>
        <w:t>48.1.1 Iran’s right to produce, sell, and deliver crude oil, condensate, petroleum products, and petrochemicals to all international markets stands restored from EIF, without volume caps, without waiver dependency, and without destination restrictions.</w:t>
      </w:r>
    </w:p>
    <w:p w14:paraId="23F486B2" w14:textId="77777777" w:rsidR="00180E7C" w:rsidRDefault="00000000">
      <w:pPr>
        <w:pStyle w:val="Heading3"/>
      </w:pPr>
      <w:bookmarkStart w:id="292" w:name="the-shipping-and-insurance-guarantee"/>
      <w:bookmarkEnd w:id="291"/>
      <w:r>
        <w:t>48.2 The Shipping and Insurance Guarantee</w:t>
      </w:r>
    </w:p>
    <w:p w14:paraId="76E01122" w14:textId="77777777" w:rsidR="00180E7C" w:rsidRDefault="00000000">
      <w:pPr>
        <w:pStyle w:val="FirstParagraph"/>
      </w:pPr>
      <w:r>
        <w:t>48.2.1 International shipping, hull insurance, protection and indemnity coverage, classification, and flagging services for Iranian cargoes operate without restriction from Phase I. The Parties jointly notify the International Group of P&amp;I Clubs and the classification societies of the termination of the restrictive measures, and the standard market arrangements resume.</w:t>
      </w:r>
    </w:p>
    <w:p w14:paraId="0CFE4795" w14:textId="77777777" w:rsidR="00180E7C" w:rsidRDefault="00000000">
      <w:pPr>
        <w:pStyle w:val="Heading3"/>
      </w:pPr>
      <w:bookmarkStart w:id="293" w:name="payment-security"/>
      <w:bookmarkEnd w:id="292"/>
      <w:r>
        <w:t>48.3 Payment Security</w:t>
      </w:r>
    </w:p>
    <w:p w14:paraId="120CC6EB" w14:textId="77777777" w:rsidR="00180E7C" w:rsidRDefault="00000000">
      <w:pPr>
        <w:pStyle w:val="FirstParagraph"/>
      </w:pPr>
      <w:r>
        <w:t>48.3.1 Oil payments flow through the restored banking channels of Article 49 in any currency the parties to a transaction choose, including United States dollars. The architecture protects oil receivables from interception: funds legitimately due to Iran for delivered cargoes enjoy immunity from attachment under the measures terminated by this Treaty, per the channel rules of Annex H, Section 8.</w:t>
      </w:r>
    </w:p>
    <w:p w14:paraId="0F37EA29" w14:textId="77777777" w:rsidR="00180E7C" w:rsidRDefault="00000000">
      <w:pPr>
        <w:pStyle w:val="Heading3"/>
      </w:pPr>
      <w:bookmarkStart w:id="294" w:name="minimum-volume-stabilization-commitment"/>
      <w:bookmarkEnd w:id="293"/>
      <w:r>
        <w:lastRenderedPageBreak/>
        <w:t>48.4 Minimum Volume Stabilization Commitment</w:t>
      </w:r>
    </w:p>
    <w:p w14:paraId="6F1ED0A1" w14:textId="77777777" w:rsidR="00180E7C" w:rsidRDefault="00000000">
      <w:pPr>
        <w:pStyle w:val="FirstParagraph"/>
      </w:pPr>
      <w:r>
        <w:t>48.4.1 During the first twenty-four months, the market-stabilization understanding of Annex G, Section 9, operates: the Parties consult within the energy dialogue of Article 51.3 if Iranian export volumes face artificial suppression below two million barrels per day by reason of residual compliance overhang, and the United States engages the market actors concerned to resolve residual over-compliance within sixty days.</w:t>
      </w:r>
    </w:p>
    <w:p w14:paraId="0C369100" w14:textId="77777777" w:rsidR="00180E7C" w:rsidRDefault="00000000">
      <w:pPr>
        <w:pStyle w:val="TOCArticle"/>
      </w:pPr>
      <w:bookmarkStart w:id="295" w:name="X080088a9ec72e85b238a8a653ce0eddf8f40158"/>
      <w:bookmarkStart w:id="296" w:name="_Toc237843120"/>
      <w:bookmarkEnd w:id="289"/>
      <w:bookmarkEnd w:id="294"/>
      <w:r>
        <w:t>Article 49: Banking Channels and SWIFT Restoration</w:t>
      </w:r>
      <w:bookmarkEnd w:id="296"/>
    </w:p>
    <w:p w14:paraId="24655EAE" w14:textId="77777777" w:rsidR="00180E7C" w:rsidRDefault="00000000">
      <w:pPr>
        <w:pStyle w:val="Heading3"/>
      </w:pPr>
      <w:bookmarkStart w:id="297" w:name="swift"/>
      <w:r>
        <w:t>49.1 SWIFT</w:t>
      </w:r>
    </w:p>
    <w:p w14:paraId="5FEDFD18" w14:textId="77777777" w:rsidR="00180E7C" w:rsidRDefault="00000000">
      <w:pPr>
        <w:pStyle w:val="FirstParagraph"/>
      </w:pPr>
      <w:r>
        <w:t>49.1.1 All Iranian banks, including the Central Bank of Iran, reconnect to the SWIFT messaging system at Phase II, with the cooperative’s compliance documentation supported by the joint technical team of Annex G, Section 10. The reconnection stands permanent and unconditional thereafter.</w:t>
      </w:r>
    </w:p>
    <w:p w14:paraId="48137149" w14:textId="77777777" w:rsidR="00180E7C" w:rsidRDefault="00000000">
      <w:pPr>
        <w:pStyle w:val="Heading3"/>
      </w:pPr>
      <w:bookmarkStart w:id="298" w:name="correspondent-banking"/>
      <w:bookmarkEnd w:id="297"/>
      <w:r>
        <w:t>49.2 Correspondent Banking</w:t>
      </w:r>
    </w:p>
    <w:p w14:paraId="2CEDE91E" w14:textId="77777777" w:rsidR="00180E7C" w:rsidRDefault="00000000">
      <w:pPr>
        <w:pStyle w:val="FirstParagraph"/>
      </w:pPr>
      <w:r>
        <w:t>49.2.1 The United States issues the general licenses and comfort documentation of Annex G, Section 11, enabling correspondent banking relationships between Iranian banks and United States, European, and international banks. The Treasury Department publishes the compliance guidance package within thirty days of Phase II, and maintains a standing clarification desk for bank inquiries.</w:t>
      </w:r>
    </w:p>
    <w:p w14:paraId="3E14F772" w14:textId="77777777" w:rsidR="00180E7C" w:rsidRDefault="00000000">
      <w:pPr>
        <w:pStyle w:val="Heading3"/>
      </w:pPr>
      <w:bookmarkStart w:id="299" w:name="the-humanitarian-financial-channel"/>
      <w:bookmarkEnd w:id="298"/>
      <w:r>
        <w:t>49.3 The Humanitarian Financial Channel</w:t>
      </w:r>
    </w:p>
    <w:p w14:paraId="45659832" w14:textId="77777777" w:rsidR="00180E7C" w:rsidRDefault="00000000">
      <w:pPr>
        <w:pStyle w:val="FirstParagraph"/>
      </w:pPr>
      <w:r>
        <w:t>49.3.1 The humanitarian channel of Article 57 operates from EIF, before general banking restoration: food, medicine, and medical equipment transactions process through the Swiss Humanitarian Trade Arrangement’s successor mechanism, expanded under Annex H, Section 9, with pre-cleared banks and an automatic license architecture.</w:t>
      </w:r>
    </w:p>
    <w:p w14:paraId="658C9073" w14:textId="77777777" w:rsidR="00180E7C" w:rsidRDefault="00000000">
      <w:pPr>
        <w:pStyle w:val="Heading3"/>
      </w:pPr>
      <w:bookmarkStart w:id="300" w:name="alternative-payment-rails"/>
      <w:bookmarkEnd w:id="299"/>
      <w:r>
        <w:t>49.4 Alternative Payment Rails</w:t>
      </w:r>
    </w:p>
    <w:p w14:paraId="5C8E8742" w14:textId="77777777" w:rsidR="00180E7C" w:rsidRDefault="00000000">
      <w:pPr>
        <w:pStyle w:val="FirstParagraph"/>
      </w:pPr>
      <w:r>
        <w:t>49.4.1 Nothing in this Treaty limits Iran’s participation in non-dollar payment arrangements, currency swap lines, or regional payment systems. The euro, yen, yuan, and regional currency channels of Annex G, Section 12, proceed as diversification, strengthening the system’s resilience against any future political disruption.</w:t>
      </w:r>
    </w:p>
    <w:p w14:paraId="62E7D600" w14:textId="77777777" w:rsidR="00180E7C" w:rsidRDefault="00000000">
      <w:pPr>
        <w:pStyle w:val="TOCArticle"/>
      </w:pPr>
      <w:bookmarkStart w:id="301" w:name="article-50-trade-normalization"/>
      <w:bookmarkStart w:id="302" w:name="_Toc237843121"/>
      <w:bookmarkEnd w:id="295"/>
      <w:bookmarkEnd w:id="300"/>
      <w:r>
        <w:t>Article 50: Trade Normalization</w:t>
      </w:r>
      <w:bookmarkEnd w:id="302"/>
    </w:p>
    <w:p w14:paraId="7309B4D5" w14:textId="77777777" w:rsidR="00180E7C" w:rsidRDefault="00000000">
      <w:pPr>
        <w:pStyle w:val="Heading3"/>
      </w:pPr>
      <w:bookmarkStart w:id="303" w:name="restoration-of-trade-relations"/>
      <w:r>
        <w:t>50.1 Restoration of Trade Relations</w:t>
      </w:r>
    </w:p>
    <w:p w14:paraId="566B52BA" w14:textId="77777777" w:rsidR="00180E7C" w:rsidRDefault="00000000">
      <w:pPr>
        <w:pStyle w:val="FirstParagraph"/>
      </w:pPr>
      <w:r>
        <w:t>50.1.1 Normal commercial relations between the Parties resume at Phase II: imports, exports, services, and investment flows proceed under most-favored-nation treatment, with the tariff framework of Article 54 applying.</w:t>
      </w:r>
    </w:p>
    <w:p w14:paraId="6E519371" w14:textId="77777777" w:rsidR="00180E7C" w:rsidRDefault="00000000">
      <w:pPr>
        <w:pStyle w:val="Heading3"/>
      </w:pPr>
      <w:bookmarkStart w:id="304" w:name="customs-and-standards-cooperation"/>
      <w:bookmarkEnd w:id="303"/>
      <w:r>
        <w:lastRenderedPageBreak/>
        <w:t>50.2 Customs and Standards Cooperation</w:t>
      </w:r>
    </w:p>
    <w:p w14:paraId="4A924924" w14:textId="77777777" w:rsidR="00180E7C" w:rsidRDefault="00000000">
      <w:pPr>
        <w:pStyle w:val="FirstParagraph"/>
      </w:pPr>
      <w:r>
        <w:t>50.2.1 The Parties establish the Joint Trade Committee, meeting quarterly, covering: customs facilitation, standards recognition, sanitary and phytosanitary cooperation, intellectual property protection per Article 59.4, and trade dispute consultation.</w:t>
      </w:r>
    </w:p>
    <w:p w14:paraId="690CC3EA" w14:textId="77777777" w:rsidR="00180E7C" w:rsidRDefault="00000000">
      <w:pPr>
        <w:pStyle w:val="Heading3"/>
      </w:pPr>
      <w:bookmarkStart w:id="305" w:name="export-control-interface"/>
      <w:bookmarkEnd w:id="304"/>
      <w:r>
        <w:t>50.3 Export Control Interface</w:t>
      </w:r>
    </w:p>
    <w:p w14:paraId="29C4E00B" w14:textId="77777777" w:rsidR="00180E7C" w:rsidRDefault="00000000">
      <w:pPr>
        <w:pStyle w:val="FirstParagraph"/>
      </w:pPr>
      <w:r>
        <w:t>50.3.1 Dual-use export controls continue under each Party’s international obligations, administered through the transparent licensing interface of Annex G, Section 13: published control lists, defined processing timelines (sixty days standard), and a Joint Technical Review Panel for disputed classifications. Civilian technology transfer in the sectors of Annex G, Table G-7 (aviation safety, healthcare, renewable energy, water technology, agriculture) proceeds under general authorization.</w:t>
      </w:r>
    </w:p>
    <w:p w14:paraId="00D3DF64" w14:textId="77777777" w:rsidR="00180E7C" w:rsidRDefault="00000000">
      <w:pPr>
        <w:pStyle w:val="Heading3"/>
      </w:pPr>
      <w:bookmarkStart w:id="306" w:name="international-financial-institutions"/>
      <w:bookmarkEnd w:id="305"/>
      <w:r>
        <w:t>50.4 International Financial Institutions</w:t>
      </w:r>
    </w:p>
    <w:p w14:paraId="5B2DA730" w14:textId="77777777" w:rsidR="00180E7C" w:rsidRDefault="00000000">
      <w:pPr>
        <w:pStyle w:val="FirstParagraph"/>
      </w:pPr>
      <w:r>
        <w:t>50.4.1 The United States supports Iran’s full standing in the International Monetary Fund, the World Bank, and the regional development banks: quota and voice processes proceed on their merits; lending access resumes; technical assistance programs launch within Phase III.</w:t>
      </w:r>
    </w:p>
    <w:p w14:paraId="0173CE8F" w14:textId="77777777" w:rsidR="00180E7C" w:rsidRDefault="00000000">
      <w:pPr>
        <w:pStyle w:val="TOCArticle"/>
      </w:pPr>
      <w:bookmarkStart w:id="307" w:name="article-51-energy-security"/>
      <w:bookmarkStart w:id="308" w:name="_Toc237843122"/>
      <w:bookmarkEnd w:id="301"/>
      <w:bookmarkEnd w:id="306"/>
      <w:r>
        <w:t>Article 51: Energy Security</w:t>
      </w:r>
      <w:bookmarkEnd w:id="308"/>
    </w:p>
    <w:p w14:paraId="52C7F507" w14:textId="77777777" w:rsidR="00180E7C" w:rsidRDefault="00000000">
      <w:pPr>
        <w:pStyle w:val="Heading3"/>
      </w:pPr>
      <w:bookmarkStart w:id="309" w:name="uninterrupted-supply"/>
      <w:r>
        <w:t>51.1 Uninterrupted Supply</w:t>
      </w:r>
    </w:p>
    <w:p w14:paraId="5C0FE668" w14:textId="77777777" w:rsidR="00180E7C" w:rsidRDefault="00000000">
      <w:pPr>
        <w:pStyle w:val="FirstParagraph"/>
      </w:pPr>
      <w:r>
        <w:t>51.1.1 The architecture of this Treaty guarantees the uninterrupted flow of energy through the Strait of Hormuz. The corridor system of Title III, the non-suspension rule of Article 34.2, and the non-aggression pact of Article 4 together constitute the guarantee. The Parties jointly communicate this guarantee to the International Energy Agency and to consumer nations within thirty days of EIF.</w:t>
      </w:r>
    </w:p>
    <w:p w14:paraId="6907196B" w14:textId="77777777" w:rsidR="00180E7C" w:rsidRDefault="00000000">
      <w:pPr>
        <w:pStyle w:val="Heading3"/>
      </w:pPr>
      <w:bookmarkStart w:id="310" w:name="iranian-energy-sector-rehabilitation"/>
      <w:bookmarkEnd w:id="309"/>
      <w:r>
        <w:t>51.2 Iranian Energy Sector Rehabilitation</w:t>
      </w:r>
    </w:p>
    <w:p w14:paraId="5066FE74" w14:textId="77777777" w:rsidR="00180E7C" w:rsidRDefault="00000000">
      <w:pPr>
        <w:pStyle w:val="FirstParagraph"/>
      </w:pPr>
      <w:r>
        <w:t>51.2.1 The Reconstruction and Development Fund allocates the energy sector envelope of Annex I, Table I-2: upstream modernization, gas processing, refinery upgrading, and petrochemical rehabilitation, with international technical partnership open to all qualified firms.</w:t>
      </w:r>
    </w:p>
    <w:p w14:paraId="1A3C8727" w14:textId="77777777" w:rsidR="00180E7C" w:rsidRDefault="00000000">
      <w:pPr>
        <w:pStyle w:val="Heading3"/>
      </w:pPr>
      <w:bookmarkStart w:id="311" w:name="the-energy-dialogue"/>
      <w:bookmarkEnd w:id="310"/>
      <w:r>
        <w:t>51.3 The Energy Dialogue</w:t>
      </w:r>
    </w:p>
    <w:p w14:paraId="1F19A2EF" w14:textId="77777777" w:rsidR="00180E7C" w:rsidRDefault="00000000">
      <w:pPr>
        <w:pStyle w:val="FirstParagraph"/>
      </w:pPr>
      <w:r>
        <w:t>51.3.1 The Parties, with Oman, Qatar, and invited producers and consumers, establish the Gulf Energy Security Dialogue, meeting semi-annually, addressing: supply stability, spare capacity coordination, emergency response stocks, and the energy transition cooperation of Article 83.5.</w:t>
      </w:r>
    </w:p>
    <w:p w14:paraId="358C7468" w14:textId="77777777" w:rsidR="00180E7C" w:rsidRDefault="00000000">
      <w:pPr>
        <w:pStyle w:val="TOCArticle"/>
      </w:pPr>
      <w:bookmarkStart w:id="312" w:name="X6e38cf7e595e8c74126cfd59a78be1902b287f6"/>
      <w:bookmarkStart w:id="313" w:name="_Toc237843123"/>
      <w:bookmarkEnd w:id="307"/>
      <w:bookmarkEnd w:id="311"/>
      <w:r>
        <w:lastRenderedPageBreak/>
        <w:t>Article 52: The Reconstruction and Development Fund</w:t>
      </w:r>
      <w:bookmarkEnd w:id="313"/>
    </w:p>
    <w:p w14:paraId="685A7B7E" w14:textId="77777777" w:rsidR="00180E7C" w:rsidRDefault="00000000">
      <w:pPr>
        <w:pStyle w:val="Heading3"/>
      </w:pPr>
      <w:bookmarkStart w:id="314" w:name="establishment-2"/>
      <w:r>
        <w:t>52.1 Establishment</w:t>
      </w:r>
    </w:p>
    <w:p w14:paraId="72407613" w14:textId="77777777" w:rsidR="00180E7C" w:rsidRDefault="00000000">
      <w:pPr>
        <w:pStyle w:val="FirstParagraph"/>
      </w:pPr>
      <w:r>
        <w:t>52.1.1 The Parties establish the Reconstruction and Development Fund (RDF) under the Governance Charter of Annex I, with a target mobilization of three hundred billion United States dollars over ten years, comprising: (a) the Iranian reconstruction allocation from released assets and oil revenues (Pool B flows); (b) regional partner contributions per the pledging conference of 52.3; (c) international financial institution financing; (d) private investment mobilized through the protection architecture of Article 53; and (e) donor contributions.</w:t>
      </w:r>
    </w:p>
    <w:p w14:paraId="2DFEA6EC" w14:textId="77777777" w:rsidR="00180E7C" w:rsidRDefault="00000000">
      <w:pPr>
        <w:pStyle w:val="Heading3"/>
      </w:pPr>
      <w:bookmarkStart w:id="315" w:name="united-states-role"/>
      <w:bookmarkEnd w:id="314"/>
      <w:r>
        <w:t>52.2 United States Role</w:t>
      </w:r>
    </w:p>
    <w:p w14:paraId="1D56747E" w14:textId="77777777" w:rsidR="00180E7C" w:rsidRDefault="00000000">
      <w:pPr>
        <w:pStyle w:val="FirstParagraph"/>
      </w:pPr>
      <w:r>
        <w:t>52.2.1 The United States facilitates the RDF through: the licensing and waiver architecture enabling participation; support within the international financial institutions; and the political guarantee of this Treaty. Consistent with its registered position, the United States assumes no direct budgetary contribution obligation; its contribution executes through sanctions termination, market opening, and facilitation, whose fiscal value to Iran over the fund period exceeds the fund target per the estimates of Annex I, Section 9.</w:t>
      </w:r>
    </w:p>
    <w:p w14:paraId="18BFC790" w14:textId="77777777" w:rsidR="00180E7C" w:rsidRDefault="00000000">
      <w:pPr>
        <w:pStyle w:val="Heading3"/>
      </w:pPr>
      <w:bookmarkStart w:id="316" w:name="the-pledging-conference"/>
      <w:bookmarkEnd w:id="315"/>
      <w:r>
        <w:t>52.3 The Pledging Conference</w:t>
      </w:r>
    </w:p>
    <w:p w14:paraId="1057A539" w14:textId="77777777" w:rsidR="00180E7C" w:rsidRDefault="00000000">
      <w:pPr>
        <w:pStyle w:val="FirstParagraph"/>
      </w:pPr>
      <w:r>
        <w:t>52.3.1 Within ninety days of EIF, the Gulf Cooperation Council states, with the United Nations and the World Bank, convene the Tehran Reconstruction Pledging Conference. Regional partners participate on the understanding recorded in the negotiations: regional reconstruction serves regional stability, and the Gulf states’ contributions invest in their own security environment.</w:t>
      </w:r>
    </w:p>
    <w:p w14:paraId="0D6A413E" w14:textId="77777777" w:rsidR="00180E7C" w:rsidRDefault="00000000">
      <w:pPr>
        <w:pStyle w:val="Heading3"/>
      </w:pPr>
      <w:bookmarkStart w:id="317" w:name="governance"/>
      <w:bookmarkEnd w:id="316"/>
      <w:r>
        <w:t>52.4 Governance</w:t>
      </w:r>
    </w:p>
    <w:p w14:paraId="4055B094" w14:textId="77777777" w:rsidR="00180E7C" w:rsidRDefault="00000000">
      <w:pPr>
        <w:pStyle w:val="FirstParagraph"/>
      </w:pPr>
      <w:r>
        <w:t>52.4.1 The RDF operates under the Governance Charter of Annex I: an Iran-led priorities process, an international-standard fiduciary framework, a board with Iranian majority and international minority, full transparency publication, and independent audit. Projects in the sectors of Annex I, Table I-1: energy, water and desalination, transportation, housing, health, education, and grid integration.</w:t>
      </w:r>
    </w:p>
    <w:p w14:paraId="3263FB6D" w14:textId="77777777" w:rsidR="00180E7C" w:rsidRDefault="00000000">
      <w:pPr>
        <w:pStyle w:val="TOCArticle"/>
      </w:pPr>
      <w:bookmarkStart w:id="318" w:name="article-53-investment-protections"/>
      <w:bookmarkStart w:id="319" w:name="_Toc237843124"/>
      <w:bookmarkEnd w:id="312"/>
      <w:bookmarkEnd w:id="317"/>
      <w:r>
        <w:t>Article 53: Investment Protections</w:t>
      </w:r>
      <w:bookmarkEnd w:id="319"/>
    </w:p>
    <w:p w14:paraId="40B16063" w14:textId="77777777" w:rsidR="00180E7C" w:rsidRDefault="00000000">
      <w:pPr>
        <w:pStyle w:val="Heading3"/>
      </w:pPr>
      <w:bookmarkStart w:id="320" w:name="the-protection-framework"/>
      <w:r>
        <w:t>53.1 The Protection Framework</w:t>
      </w:r>
    </w:p>
    <w:p w14:paraId="6FCB7CFF" w14:textId="77777777" w:rsidR="00180E7C" w:rsidRDefault="00000000">
      <w:pPr>
        <w:pStyle w:val="FirstParagraph"/>
      </w:pPr>
      <w:r>
        <w:t>53.1.1 Iran affords foreign investors fair and equitable treatment, full protection and security, non-discrimination, and protection from expropriation except for public purpose with prompt, adequate, and effective compensation, per the investment chapter of Annex I, Section 5, which applies to investments made under this Treaty.</w:t>
      </w:r>
    </w:p>
    <w:p w14:paraId="6C8723F7" w14:textId="77777777" w:rsidR="00180E7C" w:rsidRDefault="00000000">
      <w:pPr>
        <w:pStyle w:val="Heading3"/>
      </w:pPr>
      <w:bookmarkStart w:id="321" w:name="arbitration"/>
      <w:bookmarkEnd w:id="320"/>
      <w:r>
        <w:lastRenderedPageBreak/>
        <w:t>53.2 Arbitration</w:t>
      </w:r>
    </w:p>
    <w:p w14:paraId="177BB923" w14:textId="77777777" w:rsidR="00180E7C" w:rsidRDefault="00000000">
      <w:pPr>
        <w:pStyle w:val="FirstParagraph"/>
      </w:pPr>
      <w:r>
        <w:t>53.2.1 Investment disputes resolve through the arbitration mechanism of Annex I, Section 6: negotiation, mediation, and arbitration under UNCITRAL rules with seats in neutral venues. The mechanism stands open to investors of all nationalities.</w:t>
      </w:r>
    </w:p>
    <w:p w14:paraId="007A37AE" w14:textId="77777777" w:rsidR="00180E7C" w:rsidRDefault="00000000">
      <w:pPr>
        <w:pStyle w:val="Heading3"/>
      </w:pPr>
      <w:bookmarkStart w:id="322" w:name="political-risk-insurance"/>
      <w:bookmarkEnd w:id="321"/>
      <w:r>
        <w:t>53.3 Political Risk Insurance</w:t>
      </w:r>
    </w:p>
    <w:p w14:paraId="6BB6B805" w14:textId="77777777" w:rsidR="00180E7C" w:rsidRDefault="00000000">
      <w:pPr>
        <w:pStyle w:val="FirstParagraph"/>
      </w:pPr>
      <w:r>
        <w:t>53.3.1 The Multilateral Investment Guarantee Agency and national export credit agencies resume coverage for Iran projects at Phase II. The Parties support a dedicated political risk insurance facility under the RDF for the fund period.</w:t>
      </w:r>
    </w:p>
    <w:p w14:paraId="5BBE7F4B" w14:textId="77777777" w:rsidR="00180E7C" w:rsidRDefault="00000000">
      <w:pPr>
        <w:pStyle w:val="TOCArticle"/>
      </w:pPr>
      <w:bookmarkStart w:id="323" w:name="article-54-tariff-and-trade-facilitation"/>
      <w:bookmarkStart w:id="324" w:name="_Toc237843125"/>
      <w:bookmarkEnd w:id="318"/>
      <w:bookmarkEnd w:id="322"/>
      <w:r>
        <w:t>Article 54: Tariff and Trade Facilitation</w:t>
      </w:r>
      <w:bookmarkEnd w:id="324"/>
    </w:p>
    <w:p w14:paraId="36263FC8" w14:textId="77777777" w:rsidR="00180E7C" w:rsidRDefault="00000000">
      <w:pPr>
        <w:pStyle w:val="Heading3"/>
      </w:pPr>
      <w:bookmarkStart w:id="325" w:name="tariff-framework"/>
      <w:r>
        <w:t>54.1 Tariff Framework</w:t>
      </w:r>
    </w:p>
    <w:p w14:paraId="7469A5D5" w14:textId="77777777" w:rsidR="00180E7C" w:rsidRDefault="00000000">
      <w:pPr>
        <w:pStyle w:val="FirstParagraph"/>
      </w:pPr>
      <w:r>
        <w:t>54.1.1 The Parties apply most-favored-nation tariffs from Phase II. The Joint Trade Committee negotiates within two years a preferential framework covering the sectors of Annex G, Table G-8, with the objective of progressive liberalization consistent with each Party’s obligations.</w:t>
      </w:r>
    </w:p>
    <w:p w14:paraId="140BD5D7" w14:textId="77777777" w:rsidR="00180E7C" w:rsidRDefault="00000000">
      <w:pPr>
        <w:pStyle w:val="Heading3"/>
      </w:pPr>
      <w:bookmarkStart w:id="326" w:name="facilitation"/>
      <w:bookmarkEnd w:id="325"/>
      <w:r>
        <w:t>54.2 Facilitation</w:t>
      </w:r>
    </w:p>
    <w:p w14:paraId="25175D84" w14:textId="77777777" w:rsidR="00180E7C" w:rsidRDefault="00000000">
      <w:pPr>
        <w:pStyle w:val="FirstParagraph"/>
      </w:pPr>
      <w:r>
        <w:t>54.2.1 The Parties implement the WTO Trade Facilitation Agreement standards between themselves: single window, advance rulings, expedited release for compliant traders, and mutual recognition discussions for authorized operator programs.</w:t>
      </w:r>
    </w:p>
    <w:p w14:paraId="0C6B6494" w14:textId="77777777" w:rsidR="00180E7C" w:rsidRDefault="00000000">
      <w:pPr>
        <w:pStyle w:val="TOCArticle"/>
      </w:pPr>
      <w:bookmarkStart w:id="327" w:name="article-55-economic-monitoring"/>
      <w:bookmarkStart w:id="328" w:name="_Toc237843126"/>
      <w:bookmarkEnd w:id="323"/>
      <w:bookmarkEnd w:id="326"/>
      <w:r>
        <w:t>Article 55: Economic Monitoring</w:t>
      </w:r>
      <w:bookmarkEnd w:id="328"/>
    </w:p>
    <w:p w14:paraId="0EFE2A28" w14:textId="77777777" w:rsidR="00180E7C" w:rsidRDefault="00000000">
      <w:pPr>
        <w:pStyle w:val="Heading3"/>
      </w:pPr>
      <w:bookmarkStart w:id="329" w:name="the-economic-monitoring-board"/>
      <w:r>
        <w:t>55.1 The Economic Monitoring Board</w:t>
      </w:r>
    </w:p>
    <w:p w14:paraId="47A3F056" w14:textId="77777777" w:rsidR="00180E7C" w:rsidRDefault="00000000">
      <w:pPr>
        <w:pStyle w:val="FirstParagraph"/>
      </w:pPr>
      <w:r>
        <w:t>55.1.1 The Economic Monitoring Board (EMB) operates under Annex I, Section 7: six members (two per Party, two international economists selected by the Swiss Facilitator), a permanent secretariat, and quarterly public reporting on: sanctions termination implementation, financial channel functionality, trade volumes, investment flows, and residual over-compliance.</w:t>
      </w:r>
    </w:p>
    <w:p w14:paraId="7747E8BB" w14:textId="77777777" w:rsidR="00180E7C" w:rsidRDefault="00000000">
      <w:pPr>
        <w:pStyle w:val="Heading3"/>
      </w:pPr>
      <w:bookmarkStart w:id="330" w:name="over-compliance-tracking"/>
      <w:bookmarkEnd w:id="329"/>
      <w:r>
        <w:t>55.2 Over-Compliance Tracking</w:t>
      </w:r>
    </w:p>
    <w:p w14:paraId="1CB857CE" w14:textId="77777777" w:rsidR="00180E7C" w:rsidRDefault="00000000">
      <w:pPr>
        <w:pStyle w:val="FirstParagraph"/>
      </w:pPr>
      <w:r>
        <w:t>55.2.1 The EMB maintains the Over-Compliance Register: documented instances where market actors decline lawful Iran business despite terminated measures. The Register publishes quarterly; the clarification desk of Article 49.2 works cases; persistent patterns go to the High Contracting Council with recommendations.</w:t>
      </w:r>
    </w:p>
    <w:p w14:paraId="670D35B4" w14:textId="77777777" w:rsidR="00180E7C" w:rsidRDefault="00000000">
      <w:pPr>
        <w:pStyle w:val="Heading3"/>
      </w:pPr>
      <w:bookmarkStart w:id="331" w:name="financial-channel-integrity"/>
      <w:bookmarkEnd w:id="330"/>
      <w:r>
        <w:t>55.3 Financial Channel Integrity</w:t>
      </w:r>
    </w:p>
    <w:p w14:paraId="00D21941" w14:textId="77777777" w:rsidR="00180E7C" w:rsidRDefault="00000000">
      <w:pPr>
        <w:pStyle w:val="FirstParagraph"/>
      </w:pPr>
      <w:r>
        <w:t>55.3.1 The anti-money-laundering and counter-financing-of-terrorism standards apply through Iran’s action plan with the Financial Action Task Force, supported by the technical assistance program of Annex G, Section 14, with the mutual objective of full FATF normalization within thirty-six months.</w:t>
      </w:r>
    </w:p>
    <w:p w14:paraId="171F8472" w14:textId="77777777" w:rsidR="00180E7C" w:rsidRDefault="00000000">
      <w:pPr>
        <w:pStyle w:val="Heading3"/>
      </w:pPr>
      <w:bookmarkStart w:id="332" w:name="the-treasury-channel"/>
      <w:bookmarkEnd w:id="331"/>
      <w:r>
        <w:lastRenderedPageBreak/>
        <w:t>55.4 The Treasury Channel</w:t>
      </w:r>
    </w:p>
    <w:p w14:paraId="2F28B4E0" w14:textId="77777777" w:rsidR="00180E7C" w:rsidRDefault="00000000">
      <w:pPr>
        <w:pStyle w:val="FirstParagraph"/>
      </w:pPr>
      <w:r>
        <w:t>55.4.1 The treasuries of the Parties maintain the standing financial channel of Article 5.3.1(e): monthly deputy-level calls, immediate consultation on any proposed third-country measure affecting the other Party, and joint management of the residual-measures register.</w:t>
      </w:r>
    </w:p>
    <w:p w14:paraId="47AFC1D7" w14:textId="77777777" w:rsidR="00180E7C" w:rsidRDefault="00000000">
      <w:pPr>
        <w:pStyle w:val="TOCArticle"/>
      </w:pPr>
      <w:bookmarkStart w:id="333" w:name="article-56-currency-stabilization"/>
      <w:bookmarkStart w:id="334" w:name="_Toc237843127"/>
      <w:bookmarkEnd w:id="327"/>
      <w:bookmarkEnd w:id="332"/>
      <w:r>
        <w:t>Article 56: Currency Stabilization</w:t>
      </w:r>
      <w:bookmarkEnd w:id="334"/>
    </w:p>
    <w:p w14:paraId="3CAC29BD" w14:textId="77777777" w:rsidR="00180E7C" w:rsidRDefault="00000000">
      <w:pPr>
        <w:pStyle w:val="Heading3"/>
      </w:pPr>
      <w:bookmarkStart w:id="335" w:name="the-stabilization-package"/>
      <w:r>
        <w:t>56.1 The Stabilization Package</w:t>
      </w:r>
    </w:p>
    <w:p w14:paraId="33CA048A" w14:textId="77777777" w:rsidR="00180E7C" w:rsidRDefault="00000000">
      <w:pPr>
        <w:pStyle w:val="FirstParagraph"/>
      </w:pPr>
      <w:r>
        <w:t>56.1.1 At EIF, the currency stabilization package of Annex H, Section 10, activates: Pool A funding for Central Bank intervention capacity; swap line arrangements with the partner central banks listed therein (European Central Bank channel via the Swiss National Bank, plus regional facilities); and the technical assistance program for monetary framework strengthening.</w:t>
      </w:r>
    </w:p>
    <w:p w14:paraId="681CE38B" w14:textId="77777777" w:rsidR="00180E7C" w:rsidRDefault="00000000">
      <w:pPr>
        <w:pStyle w:val="Heading3"/>
      </w:pPr>
      <w:bookmarkStart w:id="336" w:name="shock-absorption"/>
      <w:bookmarkEnd w:id="335"/>
      <w:r>
        <w:t>56.2 Shock Absorption</w:t>
      </w:r>
    </w:p>
    <w:p w14:paraId="37523B4A" w14:textId="77777777" w:rsidR="00180E7C" w:rsidRDefault="00000000">
      <w:pPr>
        <w:pStyle w:val="FirstParagraph"/>
      </w:pPr>
      <w:r>
        <w:t>56.2.1 If the rial experiences disorderly movement exceeding the bands of Annex H, Table H-3, within the first twenty-four months, the stabilization consultation convenes within five business days and activates the pre-arranged support measures: additional swap activation, targeted Pool A disbursement acceleration, or coordinated communication.</w:t>
      </w:r>
    </w:p>
    <w:p w14:paraId="68B96005" w14:textId="77777777" w:rsidR="00180E7C" w:rsidRDefault="00000000">
      <w:pPr>
        <w:pStyle w:val="Heading3"/>
      </w:pPr>
      <w:bookmarkStart w:id="337" w:name="reserve-access"/>
      <w:bookmarkEnd w:id="336"/>
      <w:r>
        <w:t>56.3 Reserve Access</w:t>
      </w:r>
    </w:p>
    <w:p w14:paraId="2AA58D5D" w14:textId="77777777" w:rsidR="00180E7C" w:rsidRDefault="00000000">
      <w:pPr>
        <w:pStyle w:val="FirstParagraph"/>
      </w:pPr>
      <w:r>
        <w:t>56.3.1 Iran’s access to its foreign reserves stands restored and unrestricted from Phase II, subject only to the pool transparency regime of Article 47.3.</w:t>
      </w:r>
    </w:p>
    <w:p w14:paraId="2C2CF1B1" w14:textId="77777777" w:rsidR="00180E7C" w:rsidRDefault="00000000">
      <w:pPr>
        <w:pStyle w:val="TOCArticle"/>
      </w:pPr>
      <w:bookmarkStart w:id="338" w:name="article-57-humanitarian-funding-channels"/>
      <w:bookmarkStart w:id="339" w:name="_Toc237843128"/>
      <w:bookmarkEnd w:id="333"/>
      <w:bookmarkEnd w:id="337"/>
      <w:r>
        <w:t>Article 57: Humanitarian Funding Channels</w:t>
      </w:r>
      <w:bookmarkEnd w:id="339"/>
    </w:p>
    <w:p w14:paraId="5340E306" w14:textId="77777777" w:rsidR="00180E7C" w:rsidRDefault="00000000">
      <w:pPr>
        <w:pStyle w:val="Heading3"/>
      </w:pPr>
      <w:bookmarkStart w:id="340" w:name="the-standing-humanitarian-channel"/>
      <w:r>
        <w:t>57.1 The Standing Humanitarian Channel</w:t>
      </w:r>
    </w:p>
    <w:p w14:paraId="7B524135" w14:textId="77777777" w:rsidR="00180E7C" w:rsidRDefault="00000000">
      <w:pPr>
        <w:pStyle w:val="FirstParagraph"/>
      </w:pPr>
      <w:r>
        <w:t>57.1.1 The humanitarian financial channel of Article 49.3 operates permanently, pre-cleared, and immune from every step-back, penalty, or dispute outcome: humanitarian trade never waits, never conditions, and never suspends.</w:t>
      </w:r>
    </w:p>
    <w:p w14:paraId="1D9C7AE7" w14:textId="77777777" w:rsidR="00180E7C" w:rsidRDefault="00000000">
      <w:pPr>
        <w:pStyle w:val="Heading3"/>
      </w:pPr>
      <w:bookmarkStart w:id="341" w:name="humanitarian-organizations-access"/>
      <w:bookmarkEnd w:id="340"/>
      <w:r>
        <w:t>57.2 Humanitarian Organizations Access</w:t>
      </w:r>
    </w:p>
    <w:p w14:paraId="1723B215" w14:textId="77777777" w:rsidR="00180E7C" w:rsidRDefault="00000000">
      <w:pPr>
        <w:pStyle w:val="FirstParagraph"/>
      </w:pPr>
      <w:r>
        <w:t>57.2.1 International humanitarian organizations operate in Iran and in the affected regional areas with full access, facilitated visas, and unimpeded logistics, per the arrangements of Annex M, Section 5. Each Party facilitates humanitarian operations of impartial organizations addressing war-affected populations.</w:t>
      </w:r>
    </w:p>
    <w:p w14:paraId="4F739204" w14:textId="77777777" w:rsidR="00180E7C" w:rsidRDefault="00000000">
      <w:pPr>
        <w:pStyle w:val="TOCArticle"/>
      </w:pPr>
      <w:bookmarkStart w:id="342" w:name="article-58-infrastructure-access"/>
      <w:bookmarkStart w:id="343" w:name="_Toc237843129"/>
      <w:bookmarkEnd w:id="338"/>
      <w:bookmarkEnd w:id="341"/>
      <w:r>
        <w:t>Article 58: Infrastructure Access</w:t>
      </w:r>
      <w:bookmarkEnd w:id="343"/>
    </w:p>
    <w:p w14:paraId="1FB57ABF" w14:textId="77777777" w:rsidR="00180E7C" w:rsidRDefault="00000000">
      <w:pPr>
        <w:pStyle w:val="Heading3"/>
      </w:pPr>
      <w:bookmarkStart w:id="344" w:name="ports-pipelines-and-logistics"/>
      <w:r>
        <w:t>58.1 Ports, Pipelines, and Logistics</w:t>
      </w:r>
    </w:p>
    <w:p w14:paraId="1032BC51" w14:textId="77777777" w:rsidR="00180E7C" w:rsidRDefault="00000000">
      <w:pPr>
        <w:pStyle w:val="FirstParagraph"/>
      </w:pPr>
      <w:r>
        <w:t xml:space="preserve">58.1.1 Iran’s ports, pipelines, railways, and logistics hubs operate for international commerce without restriction from Phase II. The corridor projects of Annex I, Table I-3, </w:t>
      </w:r>
      <w:r>
        <w:lastRenderedPageBreak/>
        <w:t>including International North-South Transport Corridor integration, proceed with international participation.</w:t>
      </w:r>
    </w:p>
    <w:p w14:paraId="056F3B7B" w14:textId="77777777" w:rsidR="00180E7C" w:rsidRDefault="00000000">
      <w:pPr>
        <w:pStyle w:val="Heading3"/>
      </w:pPr>
      <w:bookmarkStart w:id="345" w:name="aviation"/>
      <w:bookmarkEnd w:id="344"/>
      <w:r>
        <w:t>58.2 Aviation</w:t>
      </w:r>
    </w:p>
    <w:p w14:paraId="17499F2C" w14:textId="77777777" w:rsidR="00180E7C" w:rsidRDefault="00000000">
      <w:pPr>
        <w:pStyle w:val="FirstParagraph"/>
      </w:pPr>
      <w:r>
        <w:t>58.2.1 Civil aviation normalization completes at Phase I: overflight, landing rights, safety cooperation with the International Civil Aviation Organization, and the fleet renewal program of Annex G, Table G-9 (aircraft, engines, parts, and safety services under general authorization).</w:t>
      </w:r>
    </w:p>
    <w:p w14:paraId="7E6C2B61" w14:textId="77777777" w:rsidR="00180E7C" w:rsidRDefault="00000000">
      <w:pPr>
        <w:pStyle w:val="TOCArticle"/>
      </w:pPr>
      <w:bookmarkStart w:id="346" w:name="article-59-private-sector-integration"/>
      <w:bookmarkStart w:id="347" w:name="_Toc237843130"/>
      <w:bookmarkEnd w:id="342"/>
      <w:bookmarkEnd w:id="345"/>
      <w:r>
        <w:t>Article 59: Private Sector Integration</w:t>
      </w:r>
      <w:bookmarkEnd w:id="347"/>
    </w:p>
    <w:p w14:paraId="16C9249F" w14:textId="77777777" w:rsidR="00180E7C" w:rsidRDefault="00000000">
      <w:pPr>
        <w:pStyle w:val="Heading3"/>
      </w:pPr>
      <w:bookmarkStart w:id="348" w:name="re-entry-architecture"/>
      <w:r>
        <w:t>59.1 Re-Entry Architecture</w:t>
      </w:r>
    </w:p>
    <w:p w14:paraId="3D8EAF52" w14:textId="77777777" w:rsidR="00180E7C" w:rsidRDefault="00000000">
      <w:pPr>
        <w:pStyle w:val="FirstParagraph"/>
      </w:pPr>
      <w:r>
        <w:t>59.1.1 The Treaty provides the architecture for safe private sector re-entry: the terminated-measures register with legal-effect opinions from the United States Treasury; the compliance guidance package; the clarification desk; the arbitration mechanism; and the political risk insurance facility. Companies evaluate risk against this architecture, not against the wartime memory.</w:t>
      </w:r>
    </w:p>
    <w:p w14:paraId="25E8A22D" w14:textId="77777777" w:rsidR="00180E7C" w:rsidRDefault="00000000">
      <w:pPr>
        <w:pStyle w:val="Heading3"/>
      </w:pPr>
      <w:bookmarkStart w:id="349" w:name="iranian-private-sector-support"/>
      <w:bookmarkEnd w:id="348"/>
      <w:r>
        <w:t>59.2 Iranian Private Sector Support</w:t>
      </w:r>
    </w:p>
    <w:p w14:paraId="68A25377" w14:textId="77777777" w:rsidR="00180E7C" w:rsidRDefault="00000000">
      <w:pPr>
        <w:pStyle w:val="FirstParagraph"/>
      </w:pPr>
      <w:r>
        <w:t>59.2.1 The RDF finances the private sector credit lines of Annex I, Section 4: import financing for raw materials and machinery, export credit support, and small and medium enterprise programs.</w:t>
      </w:r>
    </w:p>
    <w:p w14:paraId="3668E222" w14:textId="77777777" w:rsidR="00180E7C" w:rsidRDefault="00000000">
      <w:pPr>
        <w:pStyle w:val="Heading3"/>
      </w:pPr>
      <w:bookmarkStart w:id="350" w:name="technology-and-knowledge-transfer"/>
      <w:bookmarkEnd w:id="349"/>
      <w:r>
        <w:t>59.3 Technology and Knowledge Transfer</w:t>
      </w:r>
    </w:p>
    <w:p w14:paraId="70B80D63" w14:textId="77777777" w:rsidR="00180E7C" w:rsidRDefault="00000000">
      <w:pPr>
        <w:pStyle w:val="FirstParagraph"/>
      </w:pPr>
      <w:r>
        <w:t>59.3.1 Civilian technology transfer proceeds per Article 50.3. The Parties establish the Joint Science and Technology Commission under Article 84, covering research collaboration, university partnerships, and innovation exchange.</w:t>
      </w:r>
    </w:p>
    <w:p w14:paraId="5FE68367" w14:textId="77777777" w:rsidR="00180E7C" w:rsidRDefault="00000000">
      <w:pPr>
        <w:pStyle w:val="Heading3"/>
      </w:pPr>
      <w:bookmarkStart w:id="351" w:name="intellectual-property"/>
      <w:bookmarkEnd w:id="350"/>
      <w:r>
        <w:t>59.4 Intellectual Property</w:t>
      </w:r>
    </w:p>
    <w:p w14:paraId="294BEAC0" w14:textId="77777777" w:rsidR="00180E7C" w:rsidRDefault="00000000">
      <w:pPr>
        <w:pStyle w:val="FirstParagraph"/>
      </w:pPr>
      <w:r>
        <w:t>59.4.1 Iran completes the intellectual property framework upgrades of Annex G, Section 15, within thirty-six months, with World Intellectual Property Organization technical assistance, protecting patents, trademarks, and copyrights to international standards as the foundation for high-technology investment.</w:t>
      </w:r>
    </w:p>
    <w:p w14:paraId="6079838B" w14:textId="77777777" w:rsidR="00180E7C" w:rsidRDefault="00000000">
      <w:pPr>
        <w:pStyle w:val="TOCArticle"/>
      </w:pPr>
      <w:bookmarkStart w:id="352" w:name="X839348c6195d5730389b6ddca0cdccdf53235ad"/>
      <w:bookmarkStart w:id="353" w:name="_Toc237843131"/>
      <w:bookmarkEnd w:id="346"/>
      <w:bookmarkEnd w:id="351"/>
      <w:r>
        <w:t>Article 60: Economic Contingencies and Shock Absorbers</w:t>
      </w:r>
      <w:bookmarkEnd w:id="353"/>
    </w:p>
    <w:p w14:paraId="30B84363" w14:textId="77777777" w:rsidR="00180E7C" w:rsidRDefault="00000000">
      <w:pPr>
        <w:pStyle w:val="Heading3"/>
      </w:pPr>
      <w:bookmarkStart w:id="354" w:name="market-shock-protocol"/>
      <w:r>
        <w:t>60.1 Market Shock Protocol</w:t>
      </w:r>
    </w:p>
    <w:p w14:paraId="27FE0947" w14:textId="77777777" w:rsidR="00180E7C" w:rsidRDefault="00000000">
      <w:pPr>
        <w:pStyle w:val="FirstParagraph"/>
      </w:pPr>
      <w:r>
        <w:t>60.1.1 Upon a severe market disruption affecting Treaty implementation (oil price collapse, global financial crisis, commodity shock), the Economic Monitoring Board convenes within ten days and recommends adjustments: schedule flexibility within the synchronization engine, stabilization measures, or liquidity support activation.</w:t>
      </w:r>
    </w:p>
    <w:p w14:paraId="57B6BA3D" w14:textId="77777777" w:rsidR="00180E7C" w:rsidRDefault="00000000">
      <w:pPr>
        <w:pStyle w:val="Heading3"/>
      </w:pPr>
      <w:bookmarkStart w:id="355" w:name="step-back-economic-interface"/>
      <w:bookmarkEnd w:id="354"/>
      <w:r>
        <w:lastRenderedPageBreak/>
        <w:t>60.2 Step-Back Economic Interface</w:t>
      </w:r>
    </w:p>
    <w:p w14:paraId="1813A103" w14:textId="77777777" w:rsidR="00180E7C" w:rsidRDefault="00000000">
      <w:pPr>
        <w:pStyle w:val="FirstParagraph"/>
      </w:pPr>
      <w:r>
        <w:t>60.2.1 Any economic consequence under the Cothrom Engine executes exclusively through the calibrated schedules of Annex E: the engine pauses defined benefits proportionately and reversibly; it never reconstitutes the terminated sanctions architecture wholesale; and the humanitarian firewall stands absolute. The wholesale “snapback” concept has no place in this Treaty: proportionate breathing replaces binary collapse, per the Cothrom principle of Article 67.</w:t>
      </w:r>
    </w:p>
    <w:p w14:paraId="4414A451" w14:textId="77777777" w:rsidR="00180E7C" w:rsidRDefault="00000000">
      <w:pPr>
        <w:pStyle w:val="Heading3"/>
      </w:pPr>
      <w:bookmarkStart w:id="356" w:name="debt-restructuring-support"/>
      <w:bookmarkEnd w:id="355"/>
      <w:r>
        <w:t>60.3 Debt Restructuring Support</w:t>
      </w:r>
    </w:p>
    <w:p w14:paraId="66F0820D" w14:textId="77777777" w:rsidR="00180E7C" w:rsidRDefault="00000000">
      <w:pPr>
        <w:pStyle w:val="FirstParagraph"/>
      </w:pPr>
      <w:r>
        <w:t>60.3.1 The Parties support Iran’s engagement with official and private creditors for debt restructuring where needed, through the standard international processes, with the United States providing the licenses necessary for restructuring transactions to proceed.</w:t>
      </w:r>
    </w:p>
    <w:p w14:paraId="33BA29A1" w14:textId="77777777" w:rsidR="00180E7C" w:rsidRDefault="00000000">
      <w:pPr>
        <w:pStyle w:val="Heading3"/>
      </w:pPr>
      <w:bookmarkStart w:id="357" w:name="post-normalization-review"/>
      <w:bookmarkEnd w:id="356"/>
      <w:r>
        <w:t>60.4 Post-Normalization Review</w:t>
      </w:r>
    </w:p>
    <w:p w14:paraId="07DBD777" w14:textId="77777777" w:rsidR="00180E7C" w:rsidRDefault="00000000">
      <w:pPr>
        <w:pStyle w:val="FirstParagraph"/>
      </w:pPr>
      <w:r>
        <w:t>60.4.1 At the five-year mark, the High Contracting Council conducts the economic normalization review: full assessment of the termination architecture, the reconstruction program, and the integration outcomes, adopting course corrections by consensus.</w:t>
      </w:r>
    </w:p>
    <w:p w14:paraId="17E598C5" w14:textId="77777777" w:rsidR="00180E7C" w:rsidRDefault="00000000">
      <w:r>
        <w:br w:type="page"/>
      </w:r>
    </w:p>
    <w:p w14:paraId="5E227B4E" w14:textId="77777777" w:rsidR="00180E7C" w:rsidRDefault="00000000">
      <w:pPr>
        <w:pStyle w:val="Heading1"/>
      </w:pPr>
      <w:bookmarkStart w:id="358" w:name="Xc3598e1f674aeb260815d2dce511a66111f36d1"/>
      <w:bookmarkStart w:id="359" w:name="_Toc237843132"/>
      <w:bookmarkEnd w:id="274"/>
      <w:bookmarkEnd w:id="352"/>
      <w:bookmarkEnd w:id="357"/>
      <w:r>
        <w:lastRenderedPageBreak/>
        <w:t>TITLE V: LEGAL, JUSTICE, AND VERIFICATION REGIME</w:t>
      </w:r>
      <w:bookmarkEnd w:id="359"/>
    </w:p>
    <w:p w14:paraId="6BE152F3" w14:textId="77777777" w:rsidR="00180E7C" w:rsidRDefault="00000000">
      <w:pPr>
        <w:pStyle w:val="TOCArticle"/>
      </w:pPr>
      <w:bookmarkStart w:id="360" w:name="X1d3a3332da0d291dc184b24d557d38838e2dbe1"/>
      <w:bookmarkStart w:id="361" w:name="_Toc237843133"/>
      <w:r>
        <w:t>Article 61: Nuclear Limits and the Final Disposition of Enriched Uranium</w:t>
      </w:r>
      <w:bookmarkEnd w:id="361"/>
    </w:p>
    <w:p w14:paraId="3E381888" w14:textId="77777777" w:rsidR="00180E7C" w:rsidRDefault="00000000">
      <w:pPr>
        <w:pStyle w:val="Heading3"/>
      </w:pPr>
      <w:bookmarkStart w:id="362" w:name="the-permanent-undertaking"/>
      <w:r>
        <w:t>61.1 The Permanent Undertaking</w:t>
      </w:r>
    </w:p>
    <w:p w14:paraId="0911F4BF" w14:textId="77777777" w:rsidR="00180E7C" w:rsidRDefault="00000000">
      <w:pPr>
        <w:pStyle w:val="FirstParagraph"/>
      </w:pPr>
      <w:r>
        <w:t>61.1.1 Iran undertakes, permanently and without time limit: never to seek, develop, acquire, stockpile, or possess nuclear weapons or other nuclear explosive devices; never to produce uranium enriched above 3.67 percent U-235; and never to conduct plutonium reprocessing. This undertaking has no sunset. It survives every other provision of this Treaty per Article 75.2.</w:t>
      </w:r>
    </w:p>
    <w:p w14:paraId="10E706FA" w14:textId="77777777" w:rsidR="00180E7C" w:rsidRDefault="00000000">
      <w:pPr>
        <w:pStyle w:val="BodyText"/>
      </w:pPr>
      <w:r>
        <w:t>61.1.2 The United States undertakes, permanently and without time limit: to respect and support Iran’s right to the peaceful uses of nuclear energy under Article IV of the Treaty on the Non-Proliferation of Nuclear Weapons, including domestic enrichment within the limits of this Article, and never to seek the elimination of Iran’s civil nuclear program.</w:t>
      </w:r>
    </w:p>
    <w:p w14:paraId="0A035228" w14:textId="77777777" w:rsidR="00180E7C" w:rsidRDefault="00000000">
      <w:pPr>
        <w:pStyle w:val="BodyText"/>
      </w:pPr>
      <w:r>
        <w:t>61.1.3 The two undertakings interlock: the permanence of the non-nuclear commitment answers the permanence demand of the United States position; the permanence of the enrichment right answers the sovereignty position of Iran. The architecture resolves the zero-enrichment demand and the enrichment-right red line not by choosing between them but by relocating the conflict: the Treaty eliminates the stockpile and the capability to produce weapons-usable material rapidly, while preserving the sovereign civil program under the most intrusive verification regime ever constructed.</w:t>
      </w:r>
    </w:p>
    <w:p w14:paraId="3C7377E3" w14:textId="77777777" w:rsidR="00180E7C" w:rsidRDefault="00000000">
      <w:pPr>
        <w:pStyle w:val="Heading3"/>
      </w:pPr>
      <w:bookmarkStart w:id="363" w:name="X909f7db68e2519ab5449068c65c531f52228c60"/>
      <w:bookmarkEnd w:id="362"/>
      <w:r>
        <w:t>61.2 The Stockpile Disposition: In-Iran Down-Blending</w:t>
      </w:r>
    </w:p>
    <w:p w14:paraId="34CB1183" w14:textId="77777777" w:rsidR="00180E7C" w:rsidRDefault="00000000">
      <w:pPr>
        <w:pStyle w:val="FirstParagraph"/>
      </w:pPr>
      <w:r>
        <w:t xml:space="preserve">61.2.1 </w:t>
      </w:r>
      <w:r>
        <w:rPr>
          <w:b/>
          <w:bCs/>
        </w:rPr>
        <w:t>The rule.</w:t>
      </w:r>
      <w:r>
        <w:t xml:space="preserve"> All Covered Nuclear Material enriched above 3.67 percent U-235 down-blends inside Iranian territory to a product assay at or below 3.67 percent, and the entire inventory of Covered Nuclear Material enriched above 0.711 percent U-235 in excess of the Permitted Inventory of 61.3 down-blends to natural-equivalent assay (at or below 0.711 percent U-235) or converts to reactor fuel form per the pathways of Annex F. No Covered Nuclear Material leaves Iranian territory. Legal title to all material remains with Iran throughout, consistent with the registered red line; the material’s weapons utility ends through physics, not through export, consistent with the registered red line of the United States.</w:t>
      </w:r>
    </w:p>
    <w:p w14:paraId="6D6BA475" w14:textId="77777777" w:rsidR="00180E7C" w:rsidRDefault="00000000">
      <w:pPr>
        <w:pStyle w:val="BodyText"/>
      </w:pPr>
      <w:r>
        <w:t xml:space="preserve">61.2.2 </w:t>
      </w:r>
      <w:r>
        <w:rPr>
          <w:b/>
          <w:bCs/>
        </w:rPr>
        <w:t>The 60 percent inventory.</w:t>
      </w:r>
      <w:r>
        <w:t xml:space="preserve"> The approximately four hundred forty kilograms of uranium enriched to 60 percent U-235, including material in the Isfahan tunnel complex and all other declared locations, down-blends to natural-equivalent assay in the batch sequence of Annex F, Schedule F-2: eight batches of approximately fifty-five kilograms each, processed at the Isfahan Down-Blending Facility established under Annex F, Section 4, on a cadence of one batch per twenty-one days, completing within one hundred sixty-eight days of facility commissioning, and in all cases within twelve months of EIF.</w:t>
      </w:r>
    </w:p>
    <w:p w14:paraId="5590FC7C" w14:textId="77777777" w:rsidR="00180E7C" w:rsidRDefault="00000000">
      <w:pPr>
        <w:pStyle w:val="BodyText"/>
      </w:pPr>
      <w:r>
        <w:t xml:space="preserve">61.2.3 </w:t>
      </w:r>
      <w:r>
        <w:rPr>
          <w:b/>
          <w:bCs/>
        </w:rPr>
        <w:t>The intermediate inventories.</w:t>
      </w:r>
      <w:r>
        <w:t xml:space="preserve"> All uranium enriched between 5 and 60 percent U-235 down-blends to natural-equivalent assay or to 3.67 percent product within the </w:t>
      </w:r>
      <w:r>
        <w:lastRenderedPageBreak/>
        <w:t>Permitted Inventory cap, per Annex F, Schedule F-3, completing within eighteen months of EIF.</w:t>
      </w:r>
    </w:p>
    <w:p w14:paraId="3633151D" w14:textId="77777777" w:rsidR="00180E7C" w:rsidRDefault="00000000">
      <w:pPr>
        <w:pStyle w:val="BodyText"/>
      </w:pPr>
      <w:r>
        <w:t xml:space="preserve">61.2.4 </w:t>
      </w:r>
      <w:r>
        <w:rPr>
          <w:b/>
          <w:bCs/>
        </w:rPr>
        <w:t>The low-enriched inventory above cap.</w:t>
      </w:r>
      <w:r>
        <w:t xml:space="preserve"> Low-enriched uranium holdings above the Permitted Inventory down-blend to natural-equivalent assay, convert to fuel assemblies for the Tehran Research Reactor and Bushehr under the fuel fabrication pathway of Annex F, Section 7, or dilute into the industrial pathway of Annex F, Section 8 (fertilizer-grade uranyl conversion with isotopic dilution below natural assay, executed under continuous monitoring).</w:t>
      </w:r>
    </w:p>
    <w:p w14:paraId="60BDBADF" w14:textId="77777777" w:rsidR="00180E7C" w:rsidRDefault="00000000">
      <w:pPr>
        <w:pStyle w:val="BodyText"/>
      </w:pPr>
      <w:r>
        <w:t xml:space="preserve">61.2.5 </w:t>
      </w:r>
      <w:r>
        <w:rPr>
          <w:b/>
          <w:bCs/>
        </w:rPr>
        <w:t>Irreversibility engineering.</w:t>
      </w:r>
      <w:r>
        <w:t xml:space="preserve"> Each disposition pathway embeds technical irreversibility: isotopic dilution to natural-equivalent assay renders re-enrichment to weapons grade as costly as starting from natural uranium; conversion to fuel assemblies embeds the material in fabricated form under seal; the industrial pathway disperses material into non-recoverable chemical form. The IAEA certifies the irreversibility class of each pathway at each batch, per Annex F, Section 9.</w:t>
      </w:r>
    </w:p>
    <w:p w14:paraId="69B6E5D6" w14:textId="77777777" w:rsidR="00180E7C" w:rsidRDefault="00000000">
      <w:pPr>
        <w:pStyle w:val="BodyText"/>
      </w:pPr>
      <w:r>
        <w:t xml:space="preserve">61.2.6 </w:t>
      </w:r>
      <w:r>
        <w:rPr>
          <w:b/>
          <w:bCs/>
        </w:rPr>
        <w:t>Damaged-site recovery.</w:t>
      </w:r>
      <w:r>
        <w:t xml:space="preserve"> Recovery of material from the sites damaged in the 2025 strikes proceeds under the safety and accounting protocol of Annex F, Section 5: IAEA-supervised recovery operations, radiological safety standards, full material accounting at the gram level, and the cryptographic inventory of 61.4. The United States provides its technical data packages on strike damage within thirty days of EIF to support safe recovery.</w:t>
      </w:r>
    </w:p>
    <w:p w14:paraId="289C2101" w14:textId="77777777" w:rsidR="00180E7C" w:rsidRDefault="00000000">
      <w:pPr>
        <w:pStyle w:val="Heading3"/>
      </w:pPr>
      <w:bookmarkStart w:id="364" w:name="X1c76b285003b860ce76038d4e9dce57794109cf"/>
      <w:bookmarkEnd w:id="363"/>
      <w:r>
        <w:t>61.3 The Permitted Inventory and Enrichment Ceiling</w:t>
      </w:r>
    </w:p>
    <w:p w14:paraId="08AAEA2D" w14:textId="77777777" w:rsidR="00180E7C" w:rsidRDefault="00000000">
      <w:pPr>
        <w:pStyle w:val="FirstParagraph"/>
      </w:pPr>
      <w:r>
        <w:t>61.3.1 Iran’s enrichment program operates within: (a) enrichment ceiling: 3.67 percent U-235, for civilian reactor fuel purposes only; (b) Permitted Inventory: a cumulative stock of low-enriched uranium not exceeding three hundred kilograms UF6 at up to 3.67 percent, plus material in fabricated fuel form; (c) operating centrifuge capacity: up to five thousand sixty IR-1 centrifuges at the Natanz facility, in the declared cascade configuration; (d) advanced centrifuges (IR-2m, IR-4, IR-6, IR-8): no operation; machines and components transfer to monitored storage at the Isfahan storage halls under dual-key custody (IAEA seal plus Iranian custody) per Annex F, Section 6.</w:t>
      </w:r>
    </w:p>
    <w:p w14:paraId="1FE6666A" w14:textId="77777777" w:rsidR="00180E7C" w:rsidRDefault="00000000">
      <w:pPr>
        <w:pStyle w:val="BodyText"/>
      </w:pPr>
      <w:r>
        <w:t>61.3.2 Enrichment research and development continues at the research level within the monitored R&amp;D protocol of Annex F, Section 10: single machines and small test cascades at declared locations, without accumulation of enriched product above assay and mass limits, and with full IAEA visibility.</w:t>
      </w:r>
    </w:p>
    <w:p w14:paraId="64F3AE79" w14:textId="77777777" w:rsidR="00180E7C" w:rsidRDefault="00000000">
      <w:pPr>
        <w:pStyle w:val="Heading3"/>
      </w:pPr>
      <w:bookmarkStart w:id="365" w:name="the-uranium-ledger"/>
      <w:bookmarkEnd w:id="364"/>
      <w:r>
        <w:t>61.4 The Uranium Ledger</w:t>
      </w:r>
    </w:p>
    <w:p w14:paraId="73793A1C" w14:textId="77777777" w:rsidR="00180E7C" w:rsidRDefault="00000000">
      <w:pPr>
        <w:pStyle w:val="FirstParagraph"/>
      </w:pPr>
      <w:r>
        <w:t xml:space="preserve">61.4.1 Every gram of Covered Nuclear Material enters the Uranium Ledger of Annex F, Section 3: precise measurement, isotopic fingerprinting (U-235 assay, trace element composition, impurity profile, physical form), and a unique cryptographic identifier recorded on the distributed ledger maintained jointly by the IAEA, Iran, and the Joint Monitoring Cell. Any movement, processing, or reconfiguration updates the Ledger within </w:t>
      </w:r>
      <w:r>
        <w:lastRenderedPageBreak/>
        <w:t>four hours. The Ledger provides permanent, gram-level traceability: diversion of material becomes technically detectable anywhere on Earth against the fingerprint record.</w:t>
      </w:r>
    </w:p>
    <w:p w14:paraId="0CB7426E" w14:textId="77777777" w:rsidR="00180E7C" w:rsidRDefault="00000000">
      <w:pPr>
        <w:pStyle w:val="Heading3"/>
      </w:pPr>
      <w:bookmarkStart w:id="366" w:name="facility-end-states"/>
      <w:bookmarkEnd w:id="365"/>
      <w:r>
        <w:t>61.5 Facility End-States</w:t>
      </w:r>
    </w:p>
    <w:p w14:paraId="6D7C2BFB" w14:textId="77777777" w:rsidR="00180E7C" w:rsidRDefault="00000000">
      <w:pPr>
        <w:pStyle w:val="FirstParagraph"/>
      </w:pPr>
      <w:r>
        <w:t xml:space="preserve">61.5.1 </w:t>
      </w:r>
      <w:r>
        <w:rPr>
          <w:b/>
          <w:bCs/>
        </w:rPr>
        <w:t>Fordow.</w:t>
      </w:r>
      <w:r>
        <w:t xml:space="preserve"> The Fordow facility converts to the Fordow International Center for Stable Isotope Science: no uranium enrichment on site, permanently; civil isotope production for medical and industrial applications under joint Iran-IAEA-international partnership governance; the centrifuge infrastructure removes to monitored storage; the conversion completes within twenty-four months under the engineering plan of Annex F, Section 13. The mountain-hardened character of the site thereby converts from a proliferation concern into a verification asset: nothing nuclear enters Fordow without the Center’s international governance noticing.</w:t>
      </w:r>
    </w:p>
    <w:p w14:paraId="4FB03AF6" w14:textId="77777777" w:rsidR="00180E7C" w:rsidRDefault="00000000">
      <w:pPr>
        <w:pStyle w:val="BodyText"/>
      </w:pPr>
      <w:r>
        <w:t xml:space="preserve">61.5.2 </w:t>
      </w:r>
      <w:r>
        <w:rPr>
          <w:b/>
          <w:bCs/>
        </w:rPr>
        <w:t>Natanz.</w:t>
      </w:r>
      <w:r>
        <w:t xml:space="preserve"> Natanz operates as Iran’s single enrichment site within the limits of 61.3.1, under the continuous verification presence of Article 62.</w:t>
      </w:r>
    </w:p>
    <w:p w14:paraId="36D2D618" w14:textId="77777777" w:rsidR="00180E7C" w:rsidRDefault="00000000">
      <w:pPr>
        <w:pStyle w:val="BodyText"/>
      </w:pPr>
      <w:r>
        <w:t xml:space="preserve">61.5.3 </w:t>
      </w:r>
      <w:r>
        <w:rPr>
          <w:b/>
          <w:bCs/>
        </w:rPr>
        <w:t>Isfahan.</w:t>
      </w:r>
      <w:r>
        <w:t xml:space="preserve"> The Isfahan complex hosts the Down-Blending Facility, the monitored storage halls, the conversion lines, and the fuel fabrication pathway, all under continuous presence. The tunnel complex transitions to declared storage use under the storage protocol.</w:t>
      </w:r>
    </w:p>
    <w:p w14:paraId="516C31AE" w14:textId="77777777" w:rsidR="00180E7C" w:rsidRDefault="00000000">
      <w:pPr>
        <w:pStyle w:val="BodyText"/>
      </w:pPr>
      <w:r>
        <w:t xml:space="preserve">61.5.4 </w:t>
      </w:r>
      <w:r>
        <w:rPr>
          <w:b/>
          <w:bCs/>
        </w:rPr>
        <w:t>Arak.</w:t>
      </w:r>
      <w:r>
        <w:t xml:space="preserve"> The Arak heavy water reactor operates with the redesigned core configuration of Annex F, Section 14: plutonium production capacity below one kilogram per year in spent fuel, verified annually; the original core components remain removed and rendered unusable; no reprocessing capability exists or arises in Iran.</w:t>
      </w:r>
    </w:p>
    <w:p w14:paraId="3EBACDAE" w14:textId="77777777" w:rsidR="00180E7C" w:rsidRDefault="00000000">
      <w:pPr>
        <w:pStyle w:val="BodyText"/>
      </w:pPr>
      <w:r>
        <w:t xml:space="preserve">61.5.5 </w:t>
      </w:r>
      <w:r>
        <w:rPr>
          <w:b/>
          <w:bCs/>
        </w:rPr>
        <w:t>Bushehr and power reactors.</w:t>
      </w:r>
      <w:r>
        <w:t xml:space="preserve"> Power reactor operation continues with fuel supply guarantees from international suppliers, and the Parties support the completion of Bushehr units under international safety oversight. Spent fuel returns to the supplier state per standard practice.</w:t>
      </w:r>
    </w:p>
    <w:p w14:paraId="1F717483" w14:textId="77777777" w:rsidR="00180E7C" w:rsidRDefault="00000000">
      <w:pPr>
        <w:pStyle w:val="BodyText"/>
      </w:pPr>
      <w:r>
        <w:t xml:space="preserve">61.5.6 </w:t>
      </w:r>
      <w:r>
        <w:rPr>
          <w:b/>
          <w:bCs/>
        </w:rPr>
        <w:t>Tehran Research Reactor.</w:t>
      </w:r>
      <w:r>
        <w:t xml:space="preserve"> The TRR continues medical isotope production, fueled by fabricated assemblies from the domestic pathway of 61.2.4 within the Permitted Inventory accounting, ending any need for enrichment above 3.67 percent for its operation.</w:t>
      </w:r>
    </w:p>
    <w:p w14:paraId="5E8F996F" w14:textId="77777777" w:rsidR="00180E7C" w:rsidRDefault="00000000">
      <w:pPr>
        <w:pStyle w:val="Heading3"/>
      </w:pPr>
      <w:bookmarkStart w:id="367" w:name="the-breakout-floor"/>
      <w:bookmarkEnd w:id="366"/>
      <w:r>
        <w:t>61.6 The Breakout Floor</w:t>
      </w:r>
    </w:p>
    <w:p w14:paraId="45FE1AFB" w14:textId="77777777" w:rsidR="00180E7C" w:rsidRDefault="00000000">
      <w:pPr>
        <w:pStyle w:val="FirstParagraph"/>
      </w:pPr>
      <w:r>
        <w:t>61.6.1 The architecture guarantees a Breakout Floor of twelve months, computed by the IAEA under the methodology of Annex F, Section 11, and verified continuously. The guarantee rests on: zero stockpile above 3.67 percent; the three hundred kilogram cap; the centrifuge limits; the monitored storage of advanced machines; the continuous presence; and the Uranium Ledger. The IAEA publishes the breakout computation quarterly; any drift toward erosion of the floor registers as a Level 3 anomaly, and reaching the nine-month marker registers as Level 4.</w:t>
      </w:r>
    </w:p>
    <w:p w14:paraId="405DD8FD" w14:textId="77777777" w:rsidR="00180E7C" w:rsidRDefault="00000000">
      <w:pPr>
        <w:pStyle w:val="Heading3"/>
      </w:pPr>
      <w:bookmarkStart w:id="368" w:name="possible-military-dimensions-closure"/>
      <w:bookmarkEnd w:id="367"/>
      <w:r>
        <w:lastRenderedPageBreak/>
        <w:t>61.7 Possible Military Dimensions Closure</w:t>
      </w:r>
    </w:p>
    <w:p w14:paraId="6B5A3886" w14:textId="77777777" w:rsidR="00180E7C" w:rsidRDefault="00000000">
      <w:pPr>
        <w:pStyle w:val="FirstParagraph"/>
      </w:pPr>
      <w:r>
        <w:t>61.7.1 Iran completes the PMD closure file with the IAEA per Annex F, Section 12: answers to the outstanding questions, managed access to the listed locations, and the IAEA Director General’s closure report to the Board of Governors within twelve months of EIF. The closure proceeds on the understanding that the file addresses the past so that the verification regime governs the future; neither Party relitigates the 2015-era disputes.</w:t>
      </w:r>
    </w:p>
    <w:p w14:paraId="7F376BFB" w14:textId="77777777" w:rsidR="00180E7C" w:rsidRDefault="00000000">
      <w:pPr>
        <w:pStyle w:val="Heading3"/>
      </w:pPr>
      <w:bookmarkStart w:id="369" w:name="no-weaponization-activities"/>
      <w:bookmarkEnd w:id="368"/>
      <w:r>
        <w:t>61.8 No Weaponization Activities</w:t>
      </w:r>
    </w:p>
    <w:p w14:paraId="0C366D67" w14:textId="77777777" w:rsidR="00180E7C" w:rsidRDefault="00000000">
      <w:pPr>
        <w:pStyle w:val="FirstParagraph"/>
      </w:pPr>
      <w:r>
        <w:t>61.8.1 The framework excludes all weaponization activities in Iran: no work on nuclear explosive device design, no high-explosive testing of nuclear weapon components, no neutron initiator work, no weaponization-relevant modeling. The IAEA’s continuous verification architecture and the managed access regime of Article 62.4 monitor the exclusion.</w:t>
      </w:r>
    </w:p>
    <w:p w14:paraId="1F0FCD94" w14:textId="77777777" w:rsidR="00180E7C" w:rsidRDefault="00000000">
      <w:pPr>
        <w:pStyle w:val="TOCArticle"/>
      </w:pPr>
      <w:bookmarkStart w:id="370" w:name="Xa73c2347e03f20d9d113c924a25efd73cb3ae35"/>
      <w:bookmarkStart w:id="371" w:name="_Toc237843134"/>
      <w:bookmarkEnd w:id="360"/>
      <w:bookmarkEnd w:id="369"/>
      <w:r>
        <w:t>Article 62: IAEA Access and Continuous Verification Presence</w:t>
      </w:r>
      <w:bookmarkEnd w:id="371"/>
    </w:p>
    <w:p w14:paraId="3C4E7358" w14:textId="77777777" w:rsidR="00180E7C" w:rsidRDefault="00000000">
      <w:pPr>
        <w:pStyle w:val="Heading3"/>
      </w:pPr>
      <w:bookmarkStart w:id="372" w:name="the-verification-architecture"/>
      <w:r>
        <w:t>62.1 The Verification Architecture</w:t>
      </w:r>
    </w:p>
    <w:p w14:paraId="28ABC2DF" w14:textId="77777777" w:rsidR="00180E7C" w:rsidRDefault="00000000">
      <w:pPr>
        <w:pStyle w:val="FirstParagraph"/>
      </w:pPr>
      <w:r>
        <w:t>62.1.1 Iran implements the Comprehensive Safeguards Agreement and the Additional Protocol, provisionally applied from EIF and ratified within twelve months. Beyond these, Iran implements the Enhanced Verification Protocol of Annex F, Section 15, which constitutes the treaty’s distinctive verification layer.</w:t>
      </w:r>
    </w:p>
    <w:p w14:paraId="605FBEED" w14:textId="77777777" w:rsidR="00180E7C" w:rsidRDefault="00000000">
      <w:pPr>
        <w:pStyle w:val="Heading3"/>
      </w:pPr>
      <w:bookmarkStart w:id="373" w:name="continuous-presence"/>
      <w:bookmarkEnd w:id="372"/>
      <w:r>
        <w:t>62.2 Continuous Presence</w:t>
      </w:r>
    </w:p>
    <w:p w14:paraId="542C62BD" w14:textId="77777777" w:rsidR="00180E7C" w:rsidRDefault="00000000">
      <w:pPr>
        <w:pStyle w:val="FirstParagraph"/>
      </w:pPr>
      <w:r>
        <w:t>62.1.1 The IAEA maintains continuous inspector presence at: Natanz, the Isfahan complex (including the Down-Blending Facility and storage halls), the Fordow International Center, and the Arak reactor: resident inspector teams rotating on the schedule of Annex F, Table F-4, with 24/7 coverage at down-blending operations and storage facilities.</w:t>
      </w:r>
    </w:p>
    <w:p w14:paraId="45D4C1EE" w14:textId="77777777" w:rsidR="00180E7C" w:rsidRDefault="00000000">
      <w:pPr>
        <w:pStyle w:val="BodyText"/>
      </w:pPr>
      <w:r>
        <w:t>62.2.2 Unattended monitoring systems operate at all declared nuclear facilities: enrichment monitoring, online enrichment measurement, surveillance cameras, seals, and unattended assay systems, with real-time data transmission to IAEA headquarters and to the Shared Digital Registry interface of Annex C.</w:t>
      </w:r>
    </w:p>
    <w:p w14:paraId="0E209610" w14:textId="77777777" w:rsidR="00180E7C" w:rsidRDefault="00000000">
      <w:pPr>
        <w:pStyle w:val="Heading3"/>
      </w:pPr>
      <w:bookmarkStart w:id="374" w:name="X0abd72a6d770bba34f27e2de6a67782d3bd1fc1"/>
      <w:bookmarkEnd w:id="373"/>
      <w:r>
        <w:t>62.3 Access to Damaged and Formerly Restricted Sites</w:t>
      </w:r>
    </w:p>
    <w:p w14:paraId="1329AC0C" w14:textId="77777777" w:rsidR="00180E7C" w:rsidRDefault="00000000">
      <w:pPr>
        <w:pStyle w:val="FirstParagraph"/>
      </w:pPr>
      <w:r>
        <w:t>62.3.1 The sites affected by the 2025 United States and Israeli strikes enter the verification architecture through the damaged-site protocol of Annex F, Section 5: initial access within fourteen days of EIF, recovery operations under 61.2.6, and thereafter standing access per site status. The protocol resolves the post-strike access impasse: safety-managed, dignity-preserving, and total in scope.</w:t>
      </w:r>
    </w:p>
    <w:p w14:paraId="40B9FFBB" w14:textId="77777777" w:rsidR="00180E7C" w:rsidRDefault="00000000">
      <w:pPr>
        <w:pStyle w:val="Heading3"/>
      </w:pPr>
      <w:bookmarkStart w:id="375" w:name="managed-access-the-anytime-protocol"/>
      <w:bookmarkEnd w:id="374"/>
      <w:r>
        <w:t>62.4 Managed Access: The Anytime Protocol</w:t>
      </w:r>
    </w:p>
    <w:p w14:paraId="3A948BB1" w14:textId="77777777" w:rsidR="00180E7C" w:rsidRDefault="00000000">
      <w:pPr>
        <w:pStyle w:val="FirstParagraph"/>
      </w:pPr>
      <w:r>
        <w:t xml:space="preserve">62.4.1 The IAEA requests access to any location in Iran, declared or undeclared, including military sites, on the following basis: (a) the IAEA states the verification basis for the </w:t>
      </w:r>
      <w:r>
        <w:lastRenderedPageBreak/>
        <w:t>request; (b) access occurs within twenty-four hours of request for declared facilities and within seventy-two hours for all other locations; (c) managed access techniques protect legitimate conventional military secrets: shrouding, selective environmental sampling, escorted walkdowns, and the other techniques of Annex F, Section 16; (d) managed access manages sensitivity; it never defeats the verification objective, and the IAEA alone certifies whether its verification objective stands met; (e) refusal, delay beyond the timeline, or access defeating the verification objective registers as a Level 4 anomaly and enters the Cothrom Engine at Tier 3.</w:t>
      </w:r>
    </w:p>
    <w:p w14:paraId="6FBFC836" w14:textId="77777777" w:rsidR="00180E7C" w:rsidRDefault="00000000">
      <w:pPr>
        <w:pStyle w:val="BodyText"/>
      </w:pPr>
      <w:r>
        <w:t>62.4.2 The same architecture applies in mirror to the verification obligations of the United States under this Treaty within its defined scope: the mutual verification principle of Article 67.8.</w:t>
      </w:r>
    </w:p>
    <w:p w14:paraId="2B70A153" w14:textId="77777777" w:rsidR="00180E7C" w:rsidRDefault="00000000">
      <w:pPr>
        <w:pStyle w:val="Heading3"/>
      </w:pPr>
      <w:bookmarkStart w:id="376" w:name="the-role-of-the-joint-monitoring-cell"/>
      <w:bookmarkEnd w:id="375"/>
      <w:r>
        <w:t>62.5 The Role of the Joint Monitoring Cell</w:t>
      </w:r>
    </w:p>
    <w:p w14:paraId="1AE9C199" w14:textId="77777777" w:rsidR="00180E7C" w:rsidRDefault="00000000">
      <w:pPr>
        <w:pStyle w:val="FirstParagraph"/>
      </w:pPr>
      <w:r>
        <w:t>62.5.1 The JMC does not duplicate the IAEA; it amplifies it. The JMC receives the IAEA’s public and authorized data products, integrates them with the sensor and satellite architecture, and operates the anomaly and escalation machinery of Annex C for the nuclear domain exactly as for the other domains.</w:t>
      </w:r>
    </w:p>
    <w:p w14:paraId="14B4D942" w14:textId="77777777" w:rsidR="00180E7C" w:rsidRDefault="00000000">
      <w:pPr>
        <w:pStyle w:val="Heading3"/>
      </w:pPr>
      <w:bookmarkStart w:id="377" w:name="verification-funding"/>
      <w:bookmarkEnd w:id="376"/>
      <w:r>
        <w:t>62.6 Verification Funding</w:t>
      </w:r>
    </w:p>
    <w:p w14:paraId="78FF882C" w14:textId="77777777" w:rsidR="00180E7C" w:rsidRDefault="00000000">
      <w:pPr>
        <w:pStyle w:val="FirstParagraph"/>
      </w:pPr>
      <w:r>
        <w:t>62.6.1 The incremental costs of the enhanced verification regime fund through the mechanism of Annex I, Section 8: assessed shares of the Parties and voluntary contributions of the Facilitating States, with the IAEA’s regular budget processes respected.</w:t>
      </w:r>
    </w:p>
    <w:p w14:paraId="7E17FFF5" w14:textId="77777777" w:rsidR="00180E7C" w:rsidRDefault="00000000">
      <w:pPr>
        <w:pStyle w:val="Heading3"/>
      </w:pPr>
      <w:bookmarkStart w:id="378" w:name="the-nuclear-technical-channel"/>
      <w:bookmarkEnd w:id="377"/>
      <w:r>
        <w:t>62.7 The Nuclear Technical Channel</w:t>
      </w:r>
    </w:p>
    <w:p w14:paraId="79C3637E" w14:textId="77777777" w:rsidR="00180E7C" w:rsidRDefault="00000000">
      <w:pPr>
        <w:pStyle w:val="FirstParagraph"/>
      </w:pPr>
      <w:r>
        <w:t>62.7.1 The standing nuclear technical channel of Article 5.3.1(d) connects the Atomic Energy Organization of Iran, the IAEA Secretariat, and the United States Department of Energy: daily operational contact, immediate anomaly discussion, and weekly technical calls.</w:t>
      </w:r>
    </w:p>
    <w:p w14:paraId="57CCE4F7" w14:textId="77777777" w:rsidR="00180E7C" w:rsidRDefault="00000000">
      <w:pPr>
        <w:pStyle w:val="TOCArticle"/>
      </w:pPr>
      <w:bookmarkStart w:id="379" w:name="Xee4c5f3103767657b79e7e8b8e23bfd831c5d16"/>
      <w:bookmarkStart w:id="380" w:name="_Toc237843135"/>
      <w:bookmarkEnd w:id="370"/>
      <w:bookmarkEnd w:id="378"/>
      <w:r>
        <w:t>Article 63: Arms Control and Advanced Weapons Restrictions</w:t>
      </w:r>
      <w:bookmarkEnd w:id="380"/>
    </w:p>
    <w:p w14:paraId="6A78ABDF" w14:textId="77777777" w:rsidR="00180E7C" w:rsidRDefault="00000000">
      <w:pPr>
        <w:pStyle w:val="Heading3"/>
      </w:pPr>
      <w:bookmarkStart w:id="381" w:name="conventional-transfers"/>
      <w:r>
        <w:t>63.1 Conventional Transfers</w:t>
      </w:r>
    </w:p>
    <w:p w14:paraId="3266898A" w14:textId="77777777" w:rsidR="00180E7C" w:rsidRDefault="00000000">
      <w:pPr>
        <w:pStyle w:val="FirstParagraph"/>
      </w:pPr>
      <w:r>
        <w:t>63.1.1 From EIF, the framework excludes transfers of advanced conventional weapons between the Parties and third parties where the transfer destabilizes the Gulf Theater balance registered in the baseline, per the transparency regime of Article 27 and the notification regime of Article 25. Regional transfers proceed within the reporting architecture of the Regional Standing Conference.</w:t>
      </w:r>
    </w:p>
    <w:p w14:paraId="22B752D1" w14:textId="77777777" w:rsidR="00180E7C" w:rsidRDefault="00000000">
      <w:pPr>
        <w:pStyle w:val="Heading3"/>
      </w:pPr>
      <w:bookmarkStart w:id="382" w:name="armed-drone-restrictions"/>
      <w:bookmarkEnd w:id="381"/>
      <w:r>
        <w:t>63.2 Armed Drone Restrictions</w:t>
      </w:r>
    </w:p>
    <w:p w14:paraId="6DF0F40A" w14:textId="77777777" w:rsidR="00180E7C" w:rsidRDefault="00000000">
      <w:pPr>
        <w:pStyle w:val="FirstParagraph"/>
      </w:pPr>
      <w:r>
        <w:t>63.2.1 Iran terminates transfers of armed unmanned aerial systems and loitering munitions to non-state actors, per the proxy domain instruments of Annex L. The verification architecture of Annex L, Section 7, monitors the exclusion.</w:t>
      </w:r>
    </w:p>
    <w:p w14:paraId="4FCF14D9" w14:textId="77777777" w:rsidR="00180E7C" w:rsidRDefault="00000000">
      <w:pPr>
        <w:pStyle w:val="Heading3"/>
      </w:pPr>
      <w:bookmarkStart w:id="383" w:name="missile-interface"/>
      <w:bookmarkEnd w:id="382"/>
      <w:r>
        <w:lastRenderedPageBreak/>
        <w:t>63.3 Missile Interface</w:t>
      </w:r>
    </w:p>
    <w:p w14:paraId="565FB45A" w14:textId="77777777" w:rsidR="00180E7C" w:rsidRDefault="00000000">
      <w:pPr>
        <w:pStyle w:val="FirstParagraph"/>
      </w:pPr>
      <w:r>
        <w:t>63.3.1 The missile file operates under Article 21 and Annex K: the stand-down, the dialogue framework, and the nuclear-capable exclusion of Article 21.3.</w:t>
      </w:r>
    </w:p>
    <w:p w14:paraId="3096D3A3" w14:textId="77777777" w:rsidR="00180E7C" w:rsidRDefault="00000000">
      <w:pPr>
        <w:pStyle w:val="Heading3"/>
      </w:pPr>
      <w:bookmarkStart w:id="384" w:name="future-arms-control-track"/>
      <w:bookmarkEnd w:id="383"/>
      <w:r>
        <w:t>63.4 Future Arms Control Track</w:t>
      </w:r>
    </w:p>
    <w:p w14:paraId="2541E01F" w14:textId="77777777" w:rsidR="00180E7C" w:rsidRDefault="00000000">
      <w:pPr>
        <w:pStyle w:val="FirstParagraph"/>
      </w:pPr>
      <w:r>
        <w:t>63.4.1 The Regional Standing Conference launches, within two years of EIF, the regional arms control track addressing: missile transparency, drone proliferation, and maritime weapon systems, with the objective of a regional instrument within five years.</w:t>
      </w:r>
    </w:p>
    <w:p w14:paraId="6B3FB8CF" w14:textId="77777777" w:rsidR="00180E7C" w:rsidRDefault="00000000">
      <w:pPr>
        <w:pStyle w:val="TOCArticle"/>
      </w:pPr>
      <w:bookmarkStart w:id="385" w:name="X1d9231b7664abba091272693d7c96259cc7f2c7"/>
      <w:bookmarkStart w:id="386" w:name="_Toc237843136"/>
      <w:bookmarkEnd w:id="379"/>
      <w:bookmarkEnd w:id="384"/>
      <w:r>
        <w:t>Article 64: Detention Protocols, Prisoner Release, and Missing Persons</w:t>
      </w:r>
      <w:bookmarkEnd w:id="386"/>
    </w:p>
    <w:p w14:paraId="06A1DC35" w14:textId="77777777" w:rsidR="00180E7C" w:rsidRDefault="00000000">
      <w:pPr>
        <w:pStyle w:val="Heading3"/>
      </w:pPr>
      <w:bookmarkStart w:id="387" w:name="the-release"/>
      <w:r>
        <w:t>64.1 The Release</w:t>
      </w:r>
    </w:p>
    <w:p w14:paraId="0A898C3D" w14:textId="77777777" w:rsidR="00180E7C" w:rsidRDefault="00000000">
      <w:pPr>
        <w:pStyle w:val="FirstParagraph"/>
      </w:pPr>
      <w:r>
        <w:t>64.1.1 Within thirty days of EIF, the Parties execute the full reciprocal release of detained nationals listed in Annex M, Schedule M-1: every national of one Party detained in the other Party’s custody on charges connected to the bilateral conflict, and every person detained during the 2026 war by either side, with the lists verified by the International Committee of the Red Cross.</w:t>
      </w:r>
    </w:p>
    <w:p w14:paraId="59D5AF5D" w14:textId="77777777" w:rsidR="00180E7C" w:rsidRDefault="00000000">
      <w:pPr>
        <w:pStyle w:val="Heading3"/>
      </w:pPr>
      <w:bookmarkStart w:id="388" w:name="ongoing-detention-standards"/>
      <w:bookmarkEnd w:id="387"/>
      <w:r>
        <w:t>64.2 Ongoing Detention Standards</w:t>
      </w:r>
    </w:p>
    <w:p w14:paraId="75B56D41" w14:textId="77777777" w:rsidR="00180E7C" w:rsidRDefault="00000000">
      <w:pPr>
        <w:pStyle w:val="FirstParagraph"/>
      </w:pPr>
      <w:r>
        <w:t>64.2.1 Any future detention of the other Party’s nationals operates under: notification within ninety-six hours, consular access within seventy-two hours, due process under domestic law consistent with international standards, and the humanitarian review channel of Annex M, Section 6, which examines any detention with humanitarian dimensions within thirty days.</w:t>
      </w:r>
    </w:p>
    <w:p w14:paraId="4C2D5B16" w14:textId="77777777" w:rsidR="00180E7C" w:rsidRDefault="00000000">
      <w:pPr>
        <w:pStyle w:val="Heading3"/>
      </w:pPr>
      <w:bookmarkStart w:id="389" w:name="missing-persons-and-war-dead"/>
      <w:bookmarkEnd w:id="388"/>
      <w:r>
        <w:t>64.3 Missing Persons and War Dead</w:t>
      </w:r>
    </w:p>
    <w:p w14:paraId="030C3A3B" w14:textId="77777777" w:rsidR="00180E7C" w:rsidRDefault="00000000">
      <w:pPr>
        <w:pStyle w:val="FirstParagraph"/>
      </w:pPr>
      <w:r>
        <w:t>64.3.1 The Parties establish the Joint Missing Persons Commission under Annex M, Section 9, with ICRC partnership: accounting for missing persons from the 2026 war, the 1980-1988 Iran-Iraq war files of mutual interest, and historic cases; recovery and repatriation of remains; and family notification services. The Commission’s work proceeds without condition and joins the humanitarian firewall.</w:t>
      </w:r>
    </w:p>
    <w:p w14:paraId="072297BE" w14:textId="77777777" w:rsidR="00180E7C" w:rsidRDefault="00000000">
      <w:pPr>
        <w:pStyle w:val="Heading3"/>
      </w:pPr>
      <w:bookmarkStart w:id="390" w:name="humane-treatment"/>
      <w:bookmarkEnd w:id="389"/>
      <w:r>
        <w:t>64.4 Humane Treatment</w:t>
      </w:r>
    </w:p>
    <w:p w14:paraId="5524113E" w14:textId="77777777" w:rsidR="00180E7C" w:rsidRDefault="00000000">
      <w:pPr>
        <w:pStyle w:val="FirstParagraph"/>
      </w:pPr>
      <w:r>
        <w:t>64.4.1 All persons in the custody of either Party in connection with the conflict receive humane treatment under the Geneva Conventions and international human rights law, with ICRC access restored from EIF.</w:t>
      </w:r>
    </w:p>
    <w:p w14:paraId="63B6515A" w14:textId="77777777" w:rsidR="00180E7C" w:rsidRDefault="00000000">
      <w:pPr>
        <w:pStyle w:val="TOCArticle"/>
      </w:pPr>
      <w:bookmarkStart w:id="391" w:name="X4de1f28d16e7383dd850ef6e8cc2d31b538a22e"/>
      <w:bookmarkStart w:id="392" w:name="_Toc237843137"/>
      <w:bookmarkEnd w:id="385"/>
      <w:bookmarkEnd w:id="390"/>
      <w:r>
        <w:t>Article 65: Accountability and Mutual Claims Mechanisms</w:t>
      </w:r>
      <w:bookmarkEnd w:id="392"/>
    </w:p>
    <w:p w14:paraId="645BD271" w14:textId="77777777" w:rsidR="00180E7C" w:rsidRDefault="00000000">
      <w:pPr>
        <w:pStyle w:val="Heading3"/>
      </w:pPr>
      <w:bookmarkStart w:id="393" w:name="the-joint-claims-commission"/>
      <w:r>
        <w:t>65.1 The Joint Claims Commission</w:t>
      </w:r>
    </w:p>
    <w:p w14:paraId="31A536B5" w14:textId="77777777" w:rsidR="00180E7C" w:rsidRDefault="00000000">
      <w:pPr>
        <w:pStyle w:val="FirstParagraph"/>
      </w:pPr>
      <w:r>
        <w:t xml:space="preserve">65.1.1 The Parties establish the Iran-United States Joint Claims Commission under Annex O, Section 8, succeeding in function the historic tribunal model: nationals of either Party present claims arising from the 2026 war and from the measures addressed by this Treaty; </w:t>
      </w:r>
      <w:r>
        <w:lastRenderedPageBreak/>
        <w:t>the Commission adjudicates under its rules, and awards pay through the claims facility of Annex H, Section 11.</w:t>
      </w:r>
    </w:p>
    <w:p w14:paraId="2A3088AF" w14:textId="77777777" w:rsidR="00180E7C" w:rsidRDefault="00000000">
      <w:pPr>
        <w:pStyle w:val="Heading3"/>
      </w:pPr>
      <w:bookmarkStart w:id="394" w:name="the-compensation-question-resolved"/>
      <w:bookmarkEnd w:id="393"/>
      <w:r>
        <w:t>65.2 The Compensation Question Resolved</w:t>
      </w:r>
    </w:p>
    <w:p w14:paraId="22F86DA1" w14:textId="77777777" w:rsidR="00180E7C" w:rsidRDefault="00000000">
      <w:pPr>
        <w:pStyle w:val="FirstParagraph"/>
      </w:pPr>
      <w:r>
        <w:t>65.2.1 The negotiations recorded two mirror demands: Iran’s demand for compensation for war damage, and the United States demand for compensation for historic harms over fifty years. The Treaty resolves the collision through structure: (a) neither Party pays reparations to the other as such; (b) war damage in Iran reconstructs through the Reconstruction and Development Fund of Article 52, funded by the regional and international architecture; (c) claims of nationals proceed through the Joint Claims Commission; (d) each Party withdraws its official compensation demands against the other as state-to-state claims, without prejudice to the historical record or to the rights of nationals before the Commission. This architecture honors the substance of both demands: restoration for the harmed: while declining the form: state tribute: that neither Party’s red lines permit.</w:t>
      </w:r>
    </w:p>
    <w:p w14:paraId="2F927AFA" w14:textId="77777777" w:rsidR="00180E7C" w:rsidRDefault="00000000">
      <w:pPr>
        <w:pStyle w:val="Heading3"/>
      </w:pPr>
      <w:bookmarkStart w:id="395" w:name="accountability-for-grave-crimes"/>
      <w:bookmarkEnd w:id="394"/>
      <w:r>
        <w:t>65.3 Accountability for Grave Crimes</w:t>
      </w:r>
    </w:p>
    <w:p w14:paraId="21849938" w14:textId="77777777" w:rsidR="00180E7C" w:rsidRDefault="00000000">
      <w:pPr>
        <w:pStyle w:val="FirstParagraph"/>
      </w:pPr>
      <w:r>
        <w:t>65.3.1 Nothing in this Treaty bars accountability under domestic or international law for grave crimes under international law. The Joint Civilian Harm Review Cell of Article 9.3.2 documents; competent jurisdictions adjudicate. The Parties commit to cooperate with lawful processes of competent international bodies consistent with their respective international obligations.</w:t>
      </w:r>
    </w:p>
    <w:p w14:paraId="76F6CF5C" w14:textId="77777777" w:rsidR="00180E7C" w:rsidRDefault="00000000">
      <w:pPr>
        <w:pStyle w:val="TOCArticle"/>
      </w:pPr>
      <w:bookmarkStart w:id="396" w:name="X18269a35b83fbc71480f4d1dd7614d27248c2d5"/>
      <w:bookmarkStart w:id="397" w:name="_Toc237843138"/>
      <w:bookmarkEnd w:id="391"/>
      <w:bookmarkEnd w:id="395"/>
      <w:r>
        <w:t>Article 66: Legal Definitions and Terminology Register</w:t>
      </w:r>
      <w:bookmarkEnd w:id="397"/>
    </w:p>
    <w:p w14:paraId="757DEA57" w14:textId="77777777" w:rsidR="00180E7C" w:rsidRDefault="00000000">
      <w:pPr>
        <w:pStyle w:val="Heading3"/>
      </w:pPr>
      <w:bookmarkStart w:id="398" w:name="the-register"/>
      <w:r>
        <w:t>66.1 The Register</w:t>
      </w:r>
    </w:p>
    <w:p w14:paraId="7A93F76D" w14:textId="77777777" w:rsidR="00180E7C" w:rsidRDefault="00000000">
      <w:pPr>
        <w:pStyle w:val="FirstParagraph"/>
      </w:pPr>
      <w:r>
        <w:t>66.1.1 Annex A contains the complete Terminology Register: the complete set of the defined terms of this Treaty, each with its definition, its source provision, and its usage rule. The Joint Linguistic Panel of Annex O, Section 9, maintains the Register, resolves divergences between the authentic texts, and issues binding harmonized readings.</w:t>
      </w:r>
    </w:p>
    <w:p w14:paraId="1987F920" w14:textId="77777777" w:rsidR="00180E7C" w:rsidRDefault="00000000">
      <w:pPr>
        <w:pStyle w:val="Heading3"/>
      </w:pPr>
      <w:bookmarkStart w:id="399" w:name="violation-classifications"/>
      <w:bookmarkEnd w:id="398"/>
      <w:r>
        <w:t>66.2 Violation Classifications</w:t>
      </w:r>
    </w:p>
    <w:p w14:paraId="106D0317" w14:textId="77777777" w:rsidR="00180E7C" w:rsidRDefault="00000000">
      <w:pPr>
        <w:pStyle w:val="FirstParagraph"/>
      </w:pPr>
      <w:r>
        <w:t>66.2.1 The Treaty classifies every obligation deviation into exactly one of: Technical Deviation (no compliance significance; correction within thirty days); Minor Violation (Tier 1); Significant Violation (Tier 2); Grave Violation (Tier 3); Material Breach (Article 69.6 list). The classification table of Annex E, Section 3, assigns every operative obligation its default tier; the Cothrom Engine applies the table mechanically, without discretion inflation.</w:t>
      </w:r>
    </w:p>
    <w:p w14:paraId="411C4141" w14:textId="77777777" w:rsidR="00180E7C" w:rsidRDefault="00000000">
      <w:pPr>
        <w:pStyle w:val="TOCArticle"/>
      </w:pPr>
      <w:bookmarkStart w:id="400" w:name="Xc31e2d827c1513d9dbf5cfaec7683ac5e494736"/>
      <w:bookmarkStart w:id="401" w:name="_Toc237843139"/>
      <w:bookmarkEnd w:id="396"/>
      <w:bookmarkEnd w:id="399"/>
      <w:r>
        <w:t>Article 67: The Cothrom Verification Engine</w:t>
      </w:r>
      <w:bookmarkEnd w:id="401"/>
    </w:p>
    <w:p w14:paraId="7400216B" w14:textId="77777777" w:rsidR="00180E7C" w:rsidRDefault="00000000">
      <w:pPr>
        <w:pStyle w:val="Heading3"/>
      </w:pPr>
      <w:bookmarkStart w:id="402" w:name="the-engine-established"/>
      <w:r>
        <w:t>67.1 The Engine Established</w:t>
      </w:r>
    </w:p>
    <w:p w14:paraId="440EF8A9" w14:textId="77777777" w:rsidR="00180E7C" w:rsidRDefault="00000000">
      <w:pPr>
        <w:pStyle w:val="FirstParagraph"/>
      </w:pPr>
      <w:r>
        <w:t xml:space="preserve">67.1.1 The Parties establish the Cothrom Verification Engine as the single, unified verification and proportional compliance architecture of this Treaty, integrating: the Joint </w:t>
      </w:r>
      <w:r>
        <w:lastRenderedPageBreak/>
        <w:t>Monitoring Cell; the Shared Digital Registry; the anomaly detection and response system; the Technical Truth Escalation Chain; the claim and objection procedure; the demerit point system; and the step-back and earn-back schedules. Annex C constitutes the Engine’s operating protocol and binds as treaty law.</w:t>
      </w:r>
    </w:p>
    <w:p w14:paraId="0D664FBA" w14:textId="77777777" w:rsidR="00180E7C" w:rsidRDefault="00000000">
      <w:pPr>
        <w:pStyle w:val="Heading3"/>
      </w:pPr>
      <w:bookmarkStart w:id="403" w:name="the-cothrom-principle"/>
      <w:bookmarkEnd w:id="402"/>
      <w:r>
        <w:t>67.2 The Cothrom Principle</w:t>
      </w:r>
    </w:p>
    <w:p w14:paraId="290D4E5D" w14:textId="77777777" w:rsidR="00180E7C" w:rsidRDefault="00000000">
      <w:pPr>
        <w:pStyle w:val="FirstParagraph"/>
      </w:pPr>
      <w:r>
        <w:t>67.2.1 The Engine embodies the Cothrom principle: verification as a reciprocal architecture where both Parties invest, both Parties verify, and both Parties recover. Snapback dynamics have no place in this Treaty: no minor infraction cascades into existential crisis; no violation creates permanent exclusion; every penalty carries a defined earn-back pathway; and sustained compliance restores full benefits automatically.</w:t>
      </w:r>
    </w:p>
    <w:p w14:paraId="7E841DAC" w14:textId="77777777" w:rsidR="00180E7C" w:rsidRDefault="00000000">
      <w:pPr>
        <w:pStyle w:val="Heading3"/>
      </w:pPr>
      <w:bookmarkStart w:id="404" w:name="the-data-architecture"/>
      <w:bookmarkEnd w:id="403"/>
      <w:r>
        <w:t>67.3 The Data Architecture</w:t>
      </w:r>
    </w:p>
    <w:p w14:paraId="2D735229" w14:textId="77777777" w:rsidR="00180E7C" w:rsidRDefault="00000000">
      <w:pPr>
        <w:pStyle w:val="FirstParagraph"/>
      </w:pPr>
      <w:r>
        <w:t>67.3.1 All verification data flows under the standards of Annex C, Section 2: simultaneous transmission to both Parties with identical latency; unalterable logging with cryptographic chain-of-custody; transparency to both Parties and the Guarantor Matrix; five-year minimum retention; and the non-imputability rule that data serves technical verification exclusively and attaches no political or legal meaning.</w:t>
      </w:r>
    </w:p>
    <w:p w14:paraId="3C23C058" w14:textId="77777777" w:rsidR="00180E7C" w:rsidRDefault="00000000">
      <w:pPr>
        <w:pStyle w:val="Heading3"/>
      </w:pPr>
      <w:bookmarkStart w:id="405" w:name="the-anomaly-system"/>
      <w:bookmarkEnd w:id="404"/>
      <w:r>
        <w:t>67.4 The Anomaly System</w:t>
      </w:r>
    </w:p>
    <w:p w14:paraId="4296B474" w14:textId="77777777" w:rsidR="00180E7C" w:rsidRDefault="00000000">
      <w:pPr>
        <w:pStyle w:val="FirstParagraph"/>
      </w:pPr>
      <w:r>
        <w:t>67.3.1 Anomalies classify per Annex C, Section 6: Level 1 informational; Level 2 technical review; Level 3 compliance review; Level 4 breach indicator. Only Level 4 triggers step-back consideration, and only through the human-in-the-loop process of Annex C, Section 7, except the single automatic suspension of 67.5.</w:t>
      </w:r>
    </w:p>
    <w:p w14:paraId="2A95A0BB" w14:textId="77777777" w:rsidR="00180E7C" w:rsidRDefault="00000000">
      <w:pPr>
        <w:pStyle w:val="Heading3"/>
      </w:pPr>
      <w:bookmarkStart w:id="406" w:name="the-sole-automatic-trigger"/>
      <w:bookmarkEnd w:id="405"/>
      <w:r>
        <w:t>67.5 The Sole Automatic Trigger</w:t>
      </w:r>
    </w:p>
    <w:p w14:paraId="4943F090" w14:textId="77777777" w:rsidR="00180E7C" w:rsidRDefault="00000000">
      <w:pPr>
        <w:pStyle w:val="FirstParagraph"/>
      </w:pPr>
      <w:r>
        <w:t>67.5.1 If telemetry from a verification-relevant nuclear facility fails for more than seventy-two continuous hours without certified force majeure, the monitoring-suspension safeguard of Annex C, Section 6.5, executes automatically: the affected benefit line pauses at Tier 1 pending restoration. This purely technical trigger protects the integrity of verification itself and reverses automatically upon restoration plus one clean verification cycle.</w:t>
      </w:r>
    </w:p>
    <w:p w14:paraId="4E709ADB" w14:textId="77777777" w:rsidR="00180E7C" w:rsidRDefault="00000000">
      <w:pPr>
        <w:pStyle w:val="Heading3"/>
      </w:pPr>
      <w:bookmarkStart w:id="407" w:name="the-claim-procedure"/>
      <w:bookmarkEnd w:id="406"/>
      <w:r>
        <w:t>67.6 The Claim Procedure</w:t>
      </w:r>
    </w:p>
    <w:p w14:paraId="50F19588" w14:textId="77777777" w:rsidR="00180E7C" w:rsidRDefault="00000000">
      <w:pPr>
        <w:pStyle w:val="FirstParagraph"/>
      </w:pPr>
      <w:r>
        <w:t>67.6.1 Either Party submits compliance claims through the procedure of Annex C, Section 8: structured claim, evidence package, counter-evidence window, neutral expert review from the Third-Party Expert Pool, and determination. The procedure deters frivolous claims through forfeit risk and deters frivolous objections through the escalating objection-penalty ladder there defined.</w:t>
      </w:r>
    </w:p>
    <w:p w14:paraId="5F02514E" w14:textId="77777777" w:rsidR="00180E7C" w:rsidRDefault="00000000">
      <w:pPr>
        <w:pStyle w:val="Heading3"/>
      </w:pPr>
      <w:bookmarkStart w:id="408" w:name="the-demerit-system"/>
      <w:bookmarkEnd w:id="407"/>
      <w:r>
        <w:t>67.7 The Demerit System</w:t>
      </w:r>
    </w:p>
    <w:p w14:paraId="76F60170" w14:textId="77777777" w:rsidR="00180E7C" w:rsidRDefault="00000000">
      <w:pPr>
        <w:pStyle w:val="FirstParagraph"/>
      </w:pPr>
      <w:r>
        <w:t xml:space="preserve">67.7.1 Verified violations accrue demerit points per the exhaustive schedule of Annex D. Points expire after one hundred eighty days of verified compliance. Accumulated active </w:t>
      </w:r>
      <w:r>
        <w:lastRenderedPageBreak/>
        <w:t>points trigger the consequences ladder of Annex D, Section 4, up to the petition threshold of Article 69.6.4.</w:t>
      </w:r>
    </w:p>
    <w:p w14:paraId="56A2194D" w14:textId="77777777" w:rsidR="00180E7C" w:rsidRDefault="00000000">
      <w:pPr>
        <w:pStyle w:val="Heading3"/>
      </w:pPr>
      <w:bookmarkStart w:id="409" w:name="mutual-verification"/>
      <w:bookmarkEnd w:id="408"/>
      <w:r>
        <w:t>67.8 Mutual Verification</w:t>
      </w:r>
    </w:p>
    <w:p w14:paraId="23B1834E" w14:textId="77777777" w:rsidR="00180E7C" w:rsidRDefault="00000000">
      <w:pPr>
        <w:pStyle w:val="FirstParagraph"/>
      </w:pPr>
      <w:r>
        <w:t>67.8.1 The Engine verifies both Parties: United States obligations under Titles I, II, IV, and VI verify through the same data standards, the same anomaly system, and the same claim procedure as Iranian obligations under Titles II, III, V, and VI. The sanctions termination register, the escrow flows, the posture changes, and the corridor operations all log in the same Registry. Balance is the design; reciprocity is the law.</w:t>
      </w:r>
    </w:p>
    <w:p w14:paraId="6C070320" w14:textId="77777777" w:rsidR="00180E7C" w:rsidRDefault="00000000">
      <w:pPr>
        <w:pStyle w:val="Heading3"/>
      </w:pPr>
      <w:bookmarkStart w:id="410" w:name="the-swiss-facilitator-role"/>
      <w:bookmarkEnd w:id="409"/>
      <w:r>
        <w:t>67.9 The Swiss Facilitator Role</w:t>
      </w:r>
    </w:p>
    <w:p w14:paraId="640FE0E1" w14:textId="77777777" w:rsidR="00180E7C" w:rsidRDefault="00000000">
      <w:pPr>
        <w:pStyle w:val="FirstParagraph"/>
      </w:pPr>
      <w:r>
        <w:t>67.9.1 The Swiss Facilitator administers: the Third-Party Expert Pool; the escrow functions of Annex H; the tie-breaker telemetry contract; the auditor selection function; and the custodianship functions of Article 15.3. The Facilitator holds no vote in political organs and exercises no discretion over verified facts; it guards the machinery’s neutrality.</w:t>
      </w:r>
    </w:p>
    <w:p w14:paraId="5032F420" w14:textId="77777777" w:rsidR="00180E7C" w:rsidRDefault="00000000">
      <w:pPr>
        <w:pStyle w:val="TOCArticle"/>
      </w:pPr>
      <w:bookmarkStart w:id="411" w:name="article-68-reporting-cycles"/>
      <w:bookmarkStart w:id="412" w:name="_Toc237843140"/>
      <w:bookmarkEnd w:id="400"/>
      <w:bookmarkEnd w:id="410"/>
      <w:r>
        <w:t>Article 68: Reporting Cycles</w:t>
      </w:r>
      <w:bookmarkEnd w:id="412"/>
    </w:p>
    <w:p w14:paraId="4DCC480A" w14:textId="77777777" w:rsidR="00180E7C" w:rsidRDefault="00000000">
      <w:pPr>
        <w:pStyle w:val="Heading3"/>
      </w:pPr>
      <w:bookmarkStart w:id="413" w:name="the-reporting-architecture"/>
      <w:r>
        <w:t>68.1 The Reporting Architecture</w:t>
      </w:r>
    </w:p>
    <w:p w14:paraId="30F48E5C" w14:textId="77777777" w:rsidR="00180E7C" w:rsidRDefault="00000000">
      <w:pPr>
        <w:pStyle w:val="FirstParagraph"/>
      </w:pPr>
      <w:r>
        <w:t>68.1.1 The verification organs produce: daily situation reports (JOCs, MOC); weekly compliance summaries (JMC, Verification Cells); monthly compliance reports per domain (JMC to the High Contracting Council); quarterly public compliance dashboards (non-classified metrics); the quarterly breakout computation (IAEA per Article 61.6); and the annual comprehensive report (JMC to the Parties, the Guarantor Matrix, and the Security Council).</w:t>
      </w:r>
    </w:p>
    <w:p w14:paraId="31063A63" w14:textId="77777777" w:rsidR="00180E7C" w:rsidRDefault="00000000">
      <w:pPr>
        <w:pStyle w:val="Heading3"/>
      </w:pPr>
      <w:bookmarkStart w:id="414" w:name="publication-1"/>
      <w:bookmarkEnd w:id="413"/>
      <w:r>
        <w:t>68.2 Publication</w:t>
      </w:r>
    </w:p>
    <w:p w14:paraId="56FAAF12" w14:textId="77777777" w:rsidR="00180E7C" w:rsidRDefault="00000000">
      <w:pPr>
        <w:pStyle w:val="FirstParagraph"/>
      </w:pPr>
      <w:r>
        <w:t>68.2.1 The public dashboards publish on the compliance portal maintained by the Swiss Facilitator. Classified annexes circulate within the treaty organs under the handling rules of Annex C, Section 14.</w:t>
      </w:r>
    </w:p>
    <w:p w14:paraId="6A1B2DD6" w14:textId="77777777" w:rsidR="00180E7C" w:rsidRDefault="00000000">
      <w:pPr>
        <w:pStyle w:val="TOCArticle"/>
      </w:pPr>
      <w:bookmarkStart w:id="415" w:name="article-69-dispute-resolution"/>
      <w:bookmarkStart w:id="416" w:name="_Toc237843141"/>
      <w:bookmarkEnd w:id="411"/>
      <w:bookmarkEnd w:id="414"/>
      <w:r>
        <w:t>Article 69: Dispute Resolution</w:t>
      </w:r>
      <w:bookmarkEnd w:id="416"/>
    </w:p>
    <w:p w14:paraId="2FBA64F4" w14:textId="77777777" w:rsidR="00180E7C" w:rsidRDefault="00000000">
      <w:pPr>
        <w:pStyle w:val="Heading3"/>
      </w:pPr>
      <w:bookmarkStart w:id="417" w:name="the-high-contracting-council"/>
      <w:r>
        <w:t>69.1 The High Contracting Council</w:t>
      </w:r>
    </w:p>
    <w:p w14:paraId="1CBFA1EF" w14:textId="77777777" w:rsidR="00180E7C" w:rsidRDefault="00000000">
      <w:pPr>
        <w:pStyle w:val="FirstParagraph"/>
      </w:pPr>
      <w:r>
        <w:t>69.1.1 The High Contracting Council (HCC) stands as the principal political organ: one minister-level representative per Party, the Swiss Facilitator chairing without vote, meeting monthly in Geneva and on call. The HCC supervises implementation, adopts interpretive decisions, approves adjustments, and manages escalations.</w:t>
      </w:r>
    </w:p>
    <w:p w14:paraId="7EB417A0" w14:textId="77777777" w:rsidR="00180E7C" w:rsidRDefault="00000000">
      <w:pPr>
        <w:pStyle w:val="Heading3"/>
      </w:pPr>
      <w:bookmarkStart w:id="418" w:name="the-escalation-ladder"/>
      <w:bookmarkEnd w:id="417"/>
      <w:r>
        <w:t>69.2 The Escalation Ladder</w:t>
      </w:r>
    </w:p>
    <w:p w14:paraId="5DFB521B" w14:textId="77777777" w:rsidR="00180E7C" w:rsidRDefault="00000000">
      <w:pPr>
        <w:pStyle w:val="FirstParagraph"/>
      </w:pPr>
      <w:r>
        <w:t xml:space="preserve">69.2.1 Disputes resolve through the ladder: (1) working-level consultation within seven days; (2) the relevant technical organ (JMC, Verification Cell, EMB) within fourteen days; (3) the HCC within thirty days; (4) mediation by the Swiss Facilitator or a Guarantor Matrix </w:t>
      </w:r>
      <w:r>
        <w:lastRenderedPageBreak/>
        <w:t>member within thirty further days; (5) arbitration under Annex O at either Party’s election; (6) the Security Council track of 69.5 for matters engaging international peace and security.</w:t>
      </w:r>
    </w:p>
    <w:p w14:paraId="0D89AEC0" w14:textId="77777777" w:rsidR="00180E7C" w:rsidRDefault="00000000">
      <w:pPr>
        <w:pStyle w:val="Heading3"/>
      </w:pPr>
      <w:bookmarkStart w:id="419" w:name="time-bound-discipline"/>
      <w:bookmarkEnd w:id="418"/>
      <w:r>
        <w:t>69.3 Time-Bound Discipline</w:t>
      </w:r>
    </w:p>
    <w:p w14:paraId="7601C687" w14:textId="77777777" w:rsidR="00180E7C" w:rsidRDefault="00000000">
      <w:pPr>
        <w:pStyle w:val="FirstParagraph"/>
      </w:pPr>
      <w:r>
        <w:t>69.3.1 Every ladder step carries its deadline. Silence at any step moves the matter up the ladder automatically. The architecture tolerates no pocket veto: disputes move, resolve, or escalate on schedule, never rot in place.</w:t>
      </w:r>
    </w:p>
    <w:p w14:paraId="3D2A0D86" w14:textId="77777777" w:rsidR="00180E7C" w:rsidRDefault="00000000">
      <w:pPr>
        <w:pStyle w:val="Heading3"/>
      </w:pPr>
      <w:bookmarkStart w:id="420" w:name="arbitration-1"/>
      <w:bookmarkEnd w:id="419"/>
      <w:r>
        <w:t>69.4 Arbitration</w:t>
      </w:r>
    </w:p>
    <w:p w14:paraId="1155977D" w14:textId="77777777" w:rsidR="00180E7C" w:rsidRDefault="00000000">
      <w:pPr>
        <w:pStyle w:val="FirstParagraph"/>
      </w:pPr>
      <w:r>
        <w:t>69.4.1 Annex O constitutes the arbitration rules: a standing panel of fifteen arbitrators (five nominated per Party, five neutrals selected by the Swiss Facilitator), three-member tribunals, seats in Geneva or The Hague, awards binding and final, enforcement through the step-back schedules and the Guarantor Matrix’s diplomatic weight.</w:t>
      </w:r>
    </w:p>
    <w:p w14:paraId="1BA146AB" w14:textId="77777777" w:rsidR="00180E7C" w:rsidRDefault="00000000">
      <w:pPr>
        <w:pStyle w:val="Heading3"/>
      </w:pPr>
      <w:bookmarkStart w:id="421" w:name="security-council-interface"/>
      <w:bookmarkEnd w:id="420"/>
      <w:r>
        <w:t>69.5 Security Council Interface</w:t>
      </w:r>
    </w:p>
    <w:p w14:paraId="1520C0B3" w14:textId="77777777" w:rsidR="00180E7C" w:rsidRDefault="00000000">
      <w:pPr>
        <w:pStyle w:val="FirstParagraph"/>
      </w:pPr>
      <w:r>
        <w:t>69.5.1 The Depositary transmits the annual report and any Material Breach determination to the Security Council. The Council’s engagement proceeds under the resolution of Article 86, which provides the endorsement framework without re-creating any snapback mechanism.</w:t>
      </w:r>
    </w:p>
    <w:p w14:paraId="248D5DCF" w14:textId="77777777" w:rsidR="00180E7C" w:rsidRDefault="00000000">
      <w:pPr>
        <w:pStyle w:val="Heading3"/>
      </w:pPr>
      <w:bookmarkStart w:id="422" w:name="material-breach"/>
      <w:bookmarkEnd w:id="421"/>
      <w:r>
        <w:t>69.6 Material Breach</w:t>
      </w:r>
    </w:p>
    <w:p w14:paraId="5E548C50" w14:textId="77777777" w:rsidR="00180E7C" w:rsidRDefault="00000000">
      <w:pPr>
        <w:pStyle w:val="FirstParagraph"/>
      </w:pPr>
      <w:r>
        <w:t>69.6.1 Material Breach means exclusively: (a) resumption of general hostilities; (b) production of uranium enriched above 3.67 percent after the disposition completion, or diversion of Covered Nuclear Material, verified by the IAEA; (c) expulsion of the IAEA or sustained defeat of the verification regime; (d) re-closure of the Strait of Hormuz to transit passage; (e) denunciation of Article 4 or Article 61.1.</w:t>
      </w:r>
    </w:p>
    <w:p w14:paraId="6C97C927" w14:textId="77777777" w:rsidR="00180E7C" w:rsidRDefault="00000000">
      <w:pPr>
        <w:pStyle w:val="BodyText"/>
      </w:pPr>
      <w:r>
        <w:t>69.6.2 A Material Breach determination requires: IAEA or JMC verification, exhaustion of the ladder of 69.2, and an HCC finding, or failing consensus, an arbitral finding under Annex O.</w:t>
      </w:r>
    </w:p>
    <w:p w14:paraId="160CD32F" w14:textId="77777777" w:rsidR="00180E7C" w:rsidRDefault="00000000">
      <w:pPr>
        <w:pStyle w:val="BodyText"/>
      </w:pPr>
      <w:r>
        <w:t>69.6.3 Consequences of a determined Material Breach: the non-breaching Party suspends its corresponding obligations proportionately, the Guarantor Matrix convenes at principal level within seventy-two hours, and the Security Council receives the determination. Even then: the humanitarian firewall stands; the nuclear non-proliferation undertakings of Article 61.1 bind permanently regardless; and the re-entry pathway of Article 75.4 remains open.</w:t>
      </w:r>
    </w:p>
    <w:p w14:paraId="050E68DA" w14:textId="77777777" w:rsidR="00180E7C" w:rsidRDefault="00000000">
      <w:pPr>
        <w:pStyle w:val="BodyText"/>
      </w:pPr>
      <w:r>
        <w:t>69.6.4 The demerit petition: at twelve or more active demerit points, either Party petitions the HCC for aggregate review of the other Party’s compliance, which proceeds as a Material Breach review under this Article with the same safeguards.</w:t>
      </w:r>
    </w:p>
    <w:p w14:paraId="14D91E35" w14:textId="77777777" w:rsidR="00180E7C" w:rsidRDefault="00000000">
      <w:pPr>
        <w:pStyle w:val="TOCArticle"/>
      </w:pPr>
      <w:bookmarkStart w:id="423" w:name="X6f2f9aacd0ec97af39973d7b230fe46e18fae7b"/>
      <w:bookmarkStart w:id="424" w:name="_Toc237843142"/>
      <w:bookmarkEnd w:id="415"/>
      <w:bookmarkEnd w:id="422"/>
      <w:r>
        <w:lastRenderedPageBreak/>
        <w:t>Article 70: Penalty Framework: Step-Back and Earn-Back</w:t>
      </w:r>
      <w:bookmarkEnd w:id="424"/>
    </w:p>
    <w:p w14:paraId="686894C5" w14:textId="77777777" w:rsidR="00180E7C" w:rsidRDefault="00000000">
      <w:pPr>
        <w:pStyle w:val="Heading3"/>
      </w:pPr>
      <w:bookmarkStart w:id="425" w:name="the-schedules"/>
      <w:r>
        <w:t>70.1 The Schedules</w:t>
      </w:r>
    </w:p>
    <w:p w14:paraId="0F202847" w14:textId="77777777" w:rsidR="00180E7C" w:rsidRDefault="00000000">
      <w:pPr>
        <w:pStyle w:val="FirstParagraph"/>
      </w:pPr>
      <w:r>
        <w:t>70.1.1 Annex E contains the step-back and earn-back schedules: for each tier, the defined benefit lines that pause, the proportionality ceilings, the restoration conditions, and the automatic earn-back triggers. The schedules execute mechanically: no political discretion inflates or suspends a consequence, and no political discretion blocks an earned restoration.</w:t>
      </w:r>
    </w:p>
    <w:p w14:paraId="5FB5F60C" w14:textId="77777777" w:rsidR="00180E7C" w:rsidRDefault="00000000">
      <w:pPr>
        <w:pStyle w:val="Heading3"/>
      </w:pPr>
      <w:bookmarkStart w:id="426" w:name="proportionality-ceilings"/>
      <w:bookmarkEnd w:id="425"/>
      <w:r>
        <w:t>70.2 Proportionality Ceilings</w:t>
      </w:r>
    </w:p>
    <w:p w14:paraId="62AD046C" w14:textId="77777777" w:rsidR="00180E7C" w:rsidRDefault="00000000">
      <w:pPr>
        <w:pStyle w:val="FirstParagraph"/>
      </w:pPr>
      <w:r>
        <w:t>70.2.1 Tier 1 consequences pause no more than five percent of the affected benefit line; Tier 2, no more than twenty percent; Tier 3, no more than the affected line itself, never the whole Treaty. Humanitarian lines pause never. The ceilings bind the engine absolutely.</w:t>
      </w:r>
    </w:p>
    <w:p w14:paraId="228F89D0" w14:textId="77777777" w:rsidR="00180E7C" w:rsidRDefault="00000000">
      <w:pPr>
        <w:pStyle w:val="Heading3"/>
      </w:pPr>
      <w:bookmarkStart w:id="427" w:name="earn-back"/>
      <w:bookmarkEnd w:id="426"/>
      <w:r>
        <w:t>70.3 Earn-Back</w:t>
      </w:r>
    </w:p>
    <w:p w14:paraId="77A6BD96" w14:textId="77777777" w:rsidR="00180E7C" w:rsidRDefault="00000000">
      <w:pPr>
        <w:pStyle w:val="FirstParagraph"/>
      </w:pPr>
      <w:r>
        <w:t>70.3.1 Upon verified remediation plus one clean verification cycle (thirty days for Tier 1, sixty for Tier 2, ninety for Tier 3), paused benefits restore automatically. The JMC certifies restoration; certification issues on objective verification, not on discretion.</w:t>
      </w:r>
    </w:p>
    <w:p w14:paraId="52C41934" w14:textId="77777777" w:rsidR="00180E7C" w:rsidRDefault="00000000">
      <w:pPr>
        <w:pStyle w:val="Heading3"/>
      </w:pPr>
      <w:bookmarkStart w:id="428" w:name="symmetry"/>
      <w:bookmarkEnd w:id="427"/>
      <w:r>
        <w:t>70.4 Symmetry</w:t>
      </w:r>
    </w:p>
    <w:p w14:paraId="4807C784" w14:textId="77777777" w:rsidR="00180E7C" w:rsidRDefault="00000000">
      <w:pPr>
        <w:pStyle w:val="FirstParagraph"/>
      </w:pPr>
      <w:r>
        <w:t>70.4.1 The schedules apply symmetrically: Iranian violations pause Iranian benefits; United States violations pause United States performance (including scheduled sanctions terminations, which accelerate in compensation upon remediation, and including compensatory adjustments to Iranian obligations where the United States step causes the imbalance). The architecture holds each Party to its own promises, never to the other’s.</w:t>
      </w:r>
    </w:p>
    <w:p w14:paraId="6D7DF4CF" w14:textId="77777777" w:rsidR="00180E7C" w:rsidRDefault="00000000">
      <w:pPr>
        <w:pStyle w:val="Heading3"/>
      </w:pPr>
      <w:bookmarkStart w:id="429" w:name="Xdaf3ad3565c4b4b16feb6cb9c8ae95d31628dfe"/>
      <w:bookmarkEnd w:id="428"/>
      <w:r>
        <w:t>70.5 Countermeasures Outside the Engine Excluded</w:t>
      </w:r>
    </w:p>
    <w:p w14:paraId="14258B95" w14:textId="77777777" w:rsidR="00180E7C" w:rsidRDefault="00000000">
      <w:pPr>
        <w:pStyle w:val="FirstParagraph"/>
      </w:pPr>
      <w:r>
        <w:t>70.5.1 The Parties resolve every compliance grievance through the Engine. Unilateral countermeasures outside the schedules of Annex E register as violations themselves.</w:t>
      </w:r>
    </w:p>
    <w:p w14:paraId="7F6899A2" w14:textId="77777777" w:rsidR="00180E7C" w:rsidRDefault="00000000">
      <w:pPr>
        <w:pStyle w:val="TOCArticle"/>
      </w:pPr>
      <w:bookmarkStart w:id="430" w:name="article-71-legal-immunities"/>
      <w:bookmarkStart w:id="431" w:name="_Toc237843143"/>
      <w:bookmarkEnd w:id="423"/>
      <w:bookmarkEnd w:id="429"/>
      <w:r>
        <w:t>Article 71: Legal Immunities</w:t>
      </w:r>
      <w:bookmarkEnd w:id="431"/>
    </w:p>
    <w:p w14:paraId="6ADAD921" w14:textId="77777777" w:rsidR="00180E7C" w:rsidRDefault="00000000">
      <w:pPr>
        <w:pStyle w:val="Heading3"/>
      </w:pPr>
      <w:bookmarkStart w:id="432" w:name="treaty-personnel"/>
      <w:r>
        <w:t>71.1 Treaty Personnel</w:t>
      </w:r>
    </w:p>
    <w:p w14:paraId="68C8BBCD" w14:textId="77777777" w:rsidR="00180E7C" w:rsidRDefault="00000000">
      <w:pPr>
        <w:pStyle w:val="FirstParagraph"/>
      </w:pPr>
      <w:r>
        <w:t>71.1.1 Inspectors, monitors, Verification Cell members, JMC and JOC staff, escrow agents, arbitrators, panel members, and Facilitating State personnel enjoy, in the performance of official functions: immunity from legal process, inviolability of person and papers, and freedom of movement necessary for their functions, per the status agreements of Annex N, Section 5.</w:t>
      </w:r>
    </w:p>
    <w:p w14:paraId="77D98834" w14:textId="77777777" w:rsidR="00180E7C" w:rsidRDefault="00000000">
      <w:pPr>
        <w:pStyle w:val="Heading3"/>
      </w:pPr>
      <w:bookmarkStart w:id="433" w:name="negotiators"/>
      <w:bookmarkEnd w:id="432"/>
      <w:r>
        <w:t>71.2 Negotiators</w:t>
      </w:r>
    </w:p>
    <w:p w14:paraId="6F4B1FD5" w14:textId="77777777" w:rsidR="00180E7C" w:rsidRDefault="00000000">
      <w:pPr>
        <w:pStyle w:val="FirstParagraph"/>
      </w:pPr>
      <w:r>
        <w:t>71.2.1 No statement made in the negotiation of this Treaty serves in any proceeding against any negotiator or official. The Treaty record stands protected to protect the candor that made it possible.</w:t>
      </w:r>
    </w:p>
    <w:p w14:paraId="301132C7" w14:textId="77777777" w:rsidR="00180E7C" w:rsidRDefault="00000000">
      <w:pPr>
        <w:pStyle w:val="TOCArticle"/>
      </w:pPr>
      <w:bookmarkStart w:id="434" w:name="article-72-treaty-amendments"/>
      <w:bookmarkStart w:id="435" w:name="_Toc237843144"/>
      <w:bookmarkEnd w:id="430"/>
      <w:bookmarkEnd w:id="433"/>
      <w:r>
        <w:lastRenderedPageBreak/>
        <w:t>Article 72: Treaty Amendments</w:t>
      </w:r>
      <w:bookmarkEnd w:id="435"/>
    </w:p>
    <w:p w14:paraId="1ED5D4A3" w14:textId="77777777" w:rsidR="00180E7C" w:rsidRDefault="00000000">
      <w:pPr>
        <w:pStyle w:val="Heading3"/>
      </w:pPr>
      <w:bookmarkStart w:id="436" w:name="amendment-procedure"/>
      <w:r>
        <w:t>72.1 Amendment Procedure</w:t>
      </w:r>
    </w:p>
    <w:p w14:paraId="0C4B2A9D" w14:textId="77777777" w:rsidR="00180E7C" w:rsidRDefault="00000000">
      <w:pPr>
        <w:pStyle w:val="FirstParagraph"/>
      </w:pPr>
      <w:r>
        <w:t>72.1.1 Either Party proposes amendments in writing through the HCC. An amendment adopts by consensus of the Parties, and enters into force upon completion of both Parties’ constitutional procedures for the amendment, or upon provisional application by mutual declaration where the amendment is technical.</w:t>
      </w:r>
    </w:p>
    <w:p w14:paraId="3AAE81C2" w14:textId="77777777" w:rsidR="00180E7C" w:rsidRDefault="00000000">
      <w:pPr>
        <w:pStyle w:val="Heading3"/>
      </w:pPr>
      <w:bookmarkStart w:id="437" w:name="technical-updates"/>
      <w:bookmarkEnd w:id="436"/>
      <w:r>
        <w:t>72.2 Technical Updates</w:t>
      </w:r>
    </w:p>
    <w:p w14:paraId="53B4B635" w14:textId="77777777" w:rsidR="00180E7C" w:rsidRDefault="00000000">
      <w:pPr>
        <w:pStyle w:val="FirstParagraph"/>
      </w:pPr>
      <w:r>
        <w:t>72.1.1 Technical annexes (Annex B coordinates and tables, Annex C protocols, Annex P schedules) update through the technical organs’ consensus decisions, ratified by the HCC within sixty days, without full amendment procedure. The Registry logs every update with version control.</w:t>
      </w:r>
    </w:p>
    <w:p w14:paraId="56BEFB13" w14:textId="77777777" w:rsidR="00180E7C" w:rsidRDefault="00000000">
      <w:pPr>
        <w:pStyle w:val="Heading3"/>
      </w:pPr>
      <w:bookmarkStart w:id="438" w:name="accession-driven-adjustment"/>
      <w:bookmarkEnd w:id="437"/>
      <w:r>
        <w:t>72.3 Accession-Driven Adjustment</w:t>
      </w:r>
    </w:p>
    <w:p w14:paraId="77B2F059" w14:textId="77777777" w:rsidR="00180E7C" w:rsidRDefault="00000000">
      <w:pPr>
        <w:pStyle w:val="FirstParagraph"/>
      </w:pPr>
      <w:r>
        <w:t>72.3.1 Accessions under Article 43.6 or Article 8 adjust the affected annexes through the HCC consensus procedure, preserving the balance of the original architecture.</w:t>
      </w:r>
    </w:p>
    <w:p w14:paraId="26BB8E7B" w14:textId="77777777" w:rsidR="00180E7C" w:rsidRDefault="00000000">
      <w:pPr>
        <w:pStyle w:val="TOCArticle"/>
      </w:pPr>
      <w:bookmarkStart w:id="439" w:name="Xac83efff21586d7ba665111ec7d56760e0392e8"/>
      <w:bookmarkStart w:id="440" w:name="_Toc237843145"/>
      <w:bookmarkEnd w:id="434"/>
      <w:bookmarkEnd w:id="438"/>
      <w:r>
        <w:t>Article 73: Compliance Benchmarks and Objective Criteria</w:t>
      </w:r>
      <w:bookmarkEnd w:id="440"/>
    </w:p>
    <w:p w14:paraId="0455B9D0" w14:textId="77777777" w:rsidR="00180E7C" w:rsidRDefault="00000000">
      <w:pPr>
        <w:pStyle w:val="Heading3"/>
      </w:pPr>
      <w:bookmarkStart w:id="441" w:name="the-benchmark-standard"/>
      <w:r>
        <w:t>73.1 The Benchmark Standard</w:t>
      </w:r>
    </w:p>
    <w:p w14:paraId="67C60BB8" w14:textId="77777777" w:rsidR="00180E7C" w:rsidRDefault="00000000">
      <w:pPr>
        <w:pStyle w:val="FirstParagraph"/>
      </w:pPr>
      <w:r>
        <w:t>73.1.1 Every obligation of this Treaty carries: an objective indicator; a data source; a verification event; and a certification pathway. Annex P, Section 6, consolidates the benchmark register. An obligation without a benchmark does not exist in this Treaty: the drafting discipline guarantees verifiability of the whole.</w:t>
      </w:r>
    </w:p>
    <w:p w14:paraId="33BC83A9" w14:textId="77777777" w:rsidR="00180E7C" w:rsidRDefault="00000000">
      <w:pPr>
        <w:pStyle w:val="Heading3"/>
      </w:pPr>
      <w:bookmarkStart w:id="442" w:name="objective-judgment"/>
      <w:bookmarkEnd w:id="441"/>
      <w:r>
        <w:t>73.2 Objective Judgment</w:t>
      </w:r>
    </w:p>
    <w:p w14:paraId="6213C0DC" w14:textId="77777777" w:rsidR="00180E7C" w:rsidRDefault="00000000">
      <w:pPr>
        <w:pStyle w:val="FirstParagraph"/>
      </w:pPr>
      <w:r>
        <w:t>73.2.1 Compliance judgments rest on the verified data record, never on allegation, inference, or political characterization. The Engine knows no adjectives; it knows thresholds.</w:t>
      </w:r>
    </w:p>
    <w:p w14:paraId="2ADAA94A" w14:textId="77777777" w:rsidR="00180E7C" w:rsidRDefault="00000000">
      <w:pPr>
        <w:pStyle w:val="TOCArticle"/>
      </w:pPr>
      <w:bookmarkStart w:id="443" w:name="article-74-international-registration"/>
      <w:bookmarkStart w:id="444" w:name="_Toc237843146"/>
      <w:bookmarkEnd w:id="439"/>
      <w:bookmarkEnd w:id="442"/>
      <w:r>
        <w:t>Article 74: International Registration</w:t>
      </w:r>
      <w:bookmarkEnd w:id="444"/>
    </w:p>
    <w:p w14:paraId="219D4EE8" w14:textId="77777777" w:rsidR="00180E7C" w:rsidRDefault="00000000">
      <w:pPr>
        <w:pStyle w:val="Heading3"/>
      </w:pPr>
      <w:bookmarkStart w:id="445" w:name="registration-1"/>
      <w:r>
        <w:t>74.1 Registration</w:t>
      </w:r>
    </w:p>
    <w:p w14:paraId="2AE8D7A6" w14:textId="77777777" w:rsidR="00180E7C" w:rsidRDefault="00000000">
      <w:pPr>
        <w:pStyle w:val="FirstParagraph"/>
      </w:pPr>
      <w:r>
        <w:t>74.1.1 The Parties register this Treaty under Article 102 of the United Nations Charter upon entry into force, and register every amendment likewise.</w:t>
      </w:r>
    </w:p>
    <w:p w14:paraId="41A5CC14" w14:textId="77777777" w:rsidR="00180E7C" w:rsidRDefault="00000000">
      <w:pPr>
        <w:pStyle w:val="Heading3"/>
      </w:pPr>
      <w:bookmarkStart w:id="446" w:name="filing-with-technical-bodies"/>
      <w:bookmarkEnd w:id="445"/>
      <w:r>
        <w:t>74.2 Filing with Technical Bodies</w:t>
      </w:r>
    </w:p>
    <w:p w14:paraId="1092EDC4" w14:textId="77777777" w:rsidR="00180E7C" w:rsidRDefault="00000000">
      <w:pPr>
        <w:pStyle w:val="FirstParagraph"/>
      </w:pPr>
      <w:r>
        <w:t>74.2.1 The corridor system files with the IMO and IHO per Article 43.1; the nuclear undertakings file with the IAEA per Annex F, Section 12; the environmental commitments file with the United Nations Environment Programme; and the humanitarian architecture files with the United Nations Office for the Coordination of Humanitarian Affairs.</w:t>
      </w:r>
    </w:p>
    <w:p w14:paraId="6FB82B27" w14:textId="77777777" w:rsidR="00180E7C" w:rsidRDefault="00000000">
      <w:pPr>
        <w:pStyle w:val="TOCArticle"/>
      </w:pPr>
      <w:bookmarkStart w:id="447" w:name="Xa0f274930659de30bbea6f2b5d38570233a3683"/>
      <w:bookmarkStart w:id="448" w:name="_Toc237843147"/>
      <w:bookmarkEnd w:id="443"/>
      <w:bookmarkEnd w:id="446"/>
      <w:r>
        <w:lastRenderedPageBreak/>
        <w:t>Article 75: Sunset, Review, and Permanence Clauses</w:t>
      </w:r>
      <w:bookmarkEnd w:id="448"/>
    </w:p>
    <w:p w14:paraId="075C64CB" w14:textId="77777777" w:rsidR="00180E7C" w:rsidRDefault="00000000">
      <w:pPr>
        <w:pStyle w:val="Heading3"/>
      </w:pPr>
      <w:bookmarkStart w:id="449" w:name="duration-1"/>
      <w:r>
        <w:t>75.1 Duration</w:t>
      </w:r>
    </w:p>
    <w:p w14:paraId="7E936954" w14:textId="77777777" w:rsidR="00180E7C" w:rsidRDefault="00000000">
      <w:pPr>
        <w:pStyle w:val="FirstParagraph"/>
      </w:pPr>
      <w:r>
        <w:t>75.1.1 This Treaty has unlimited duration. Specific operational regimes within it carry the review cycles and adjustment mechanisms stated in their provisions; none expires into a vacuum.</w:t>
      </w:r>
    </w:p>
    <w:p w14:paraId="783CB472" w14:textId="77777777" w:rsidR="00180E7C" w:rsidRDefault="00000000">
      <w:pPr>
        <w:pStyle w:val="Heading3"/>
      </w:pPr>
      <w:bookmarkStart w:id="450" w:name="permanent-provisions"/>
      <w:bookmarkEnd w:id="449"/>
      <w:r>
        <w:t>75.2 Permanent Provisions</w:t>
      </w:r>
    </w:p>
    <w:p w14:paraId="4BE38036" w14:textId="77777777" w:rsidR="00180E7C" w:rsidRDefault="00000000">
      <w:pPr>
        <w:pStyle w:val="FirstParagraph"/>
      </w:pPr>
      <w:r>
        <w:t>75.2.1 The following bind permanently, surviving any suspension or termination of any other provision: Article 4 (non-aggression); Article 61.1 (the nuclear undertaking and the enrichment-right undertaking); Article 61.8 (no weaponization); Article 9 (humanitarian firewall); and this Article.</w:t>
      </w:r>
    </w:p>
    <w:p w14:paraId="71BA68C3" w14:textId="77777777" w:rsidR="00180E7C" w:rsidRDefault="00000000">
      <w:pPr>
        <w:pStyle w:val="Heading3"/>
      </w:pPr>
      <w:bookmarkStart w:id="451" w:name="review-conferences"/>
      <w:bookmarkEnd w:id="450"/>
      <w:r>
        <w:t>75.3 Review Conferences</w:t>
      </w:r>
    </w:p>
    <w:p w14:paraId="1751F62E" w14:textId="77777777" w:rsidR="00180E7C" w:rsidRDefault="00000000">
      <w:pPr>
        <w:pStyle w:val="FirstParagraph"/>
      </w:pPr>
      <w:r>
        <w:t>75.3.1 The Parties hold review conferences at the fifth, tenth, and twentieth anniversaries of EIF, with the Guarantor Matrix participating, to assess the architecture and adopt strengthening adjustments by consensus.</w:t>
      </w:r>
    </w:p>
    <w:p w14:paraId="3E5E0792" w14:textId="77777777" w:rsidR="00180E7C" w:rsidRDefault="00000000">
      <w:pPr>
        <w:pStyle w:val="Heading3"/>
      </w:pPr>
      <w:bookmarkStart w:id="452" w:name="the-re-entry-pathway"/>
      <w:bookmarkEnd w:id="451"/>
      <w:r>
        <w:t>75.4 The Re-Entry Pathway</w:t>
      </w:r>
    </w:p>
    <w:p w14:paraId="3855431B" w14:textId="77777777" w:rsidR="00180E7C" w:rsidRDefault="00000000">
      <w:pPr>
        <w:pStyle w:val="FirstParagraph"/>
      </w:pPr>
      <w:r>
        <w:t>75.4.1 Following any suspension, denunciation, or Material Breach determination, re-entry proceeds through: notification of intent; a verification baseline re-established within ninety days; restoration of the step-back schedules at the re-entry point; and an HCC consensus declaration of restored standing. The architecture always keeps the door open: exclusion ends nothing; return restores everything.</w:t>
      </w:r>
    </w:p>
    <w:p w14:paraId="39FC3F32" w14:textId="77777777" w:rsidR="00180E7C" w:rsidRDefault="00000000">
      <w:pPr>
        <w:pStyle w:val="Heading3"/>
      </w:pPr>
      <w:bookmarkStart w:id="453" w:name="withdrawal"/>
      <w:bookmarkEnd w:id="452"/>
      <w:r>
        <w:t>75.5 Withdrawal</w:t>
      </w:r>
    </w:p>
    <w:p w14:paraId="1D113995" w14:textId="77777777" w:rsidR="00180E7C" w:rsidRDefault="00000000">
      <w:pPr>
        <w:pStyle w:val="FirstParagraph"/>
      </w:pPr>
      <w:r>
        <w:t>75.5.1 A Party withdraws only upon twelve months written notice to the Depositary stating the extraordinary events it regards as having jeopardized its supreme interests, following exhaustion of the ladder of Article 69.2 and a final HCC session at principal level. During the notice year, all obligations continue in full force, and the Guarantor Matrix exercises its full engagement. Withdrawal affects no permanent provision of 75.2.</w:t>
      </w:r>
    </w:p>
    <w:p w14:paraId="38DAC97E" w14:textId="77777777" w:rsidR="00180E7C" w:rsidRDefault="00000000">
      <w:r>
        <w:br w:type="page"/>
      </w:r>
    </w:p>
    <w:p w14:paraId="3C70C1BD" w14:textId="77777777" w:rsidR="00180E7C" w:rsidRDefault="00000000">
      <w:pPr>
        <w:pStyle w:val="Heading1"/>
      </w:pPr>
      <w:bookmarkStart w:id="454" w:name="X64bf0379a6bfdf27fb2e10ae43bb4bdc54074b4"/>
      <w:bookmarkStart w:id="455" w:name="_Toc237843148"/>
      <w:bookmarkEnd w:id="358"/>
      <w:bookmarkEnd w:id="447"/>
      <w:bookmarkEnd w:id="453"/>
      <w:r>
        <w:lastRenderedPageBreak/>
        <w:t>TITLE VI: REGIONAL STABILIZATION PROTOCOLS</w:t>
      </w:r>
      <w:bookmarkEnd w:id="455"/>
    </w:p>
    <w:p w14:paraId="4CC536C4" w14:textId="77777777" w:rsidR="00180E7C" w:rsidRDefault="00000000">
      <w:pPr>
        <w:pStyle w:val="TOCArticle"/>
      </w:pPr>
      <w:bookmarkStart w:id="456" w:name="X085143e386cc13f2e6846abefa972d41a650fbd"/>
      <w:bookmarkStart w:id="457" w:name="_Toc237843149"/>
      <w:r>
        <w:t>Article 76: Lebanon Stabilization and the Parallel Binding Ceasefire</w:t>
      </w:r>
      <w:bookmarkEnd w:id="457"/>
    </w:p>
    <w:p w14:paraId="44D2E581" w14:textId="77777777" w:rsidR="00180E7C" w:rsidRDefault="00000000">
      <w:pPr>
        <w:pStyle w:val="Heading3"/>
      </w:pPr>
      <w:bookmarkStart w:id="458" w:name="the-parallel-instrument"/>
      <w:r>
        <w:t>76.1 The Parallel Instrument</w:t>
      </w:r>
    </w:p>
    <w:p w14:paraId="69BB59B5" w14:textId="77777777" w:rsidR="00180E7C" w:rsidRDefault="00000000">
      <w:pPr>
        <w:pStyle w:val="FirstParagraph"/>
      </w:pPr>
      <w:r>
        <w:t>76.1.1 The Parties establish, with the Lebanese Republic and with the facilitation of Qatar and the United Nations, the Lebanon Stabilization Protocol of Annex L, Part One, which enters into force simultaneously with this Treaty as a parallel binding instrument: legally separate, politically synchronized, and enforced through its own mechanisms so that neither instrument’s disputes contaminate the other.</w:t>
      </w:r>
    </w:p>
    <w:p w14:paraId="536D5868" w14:textId="77777777" w:rsidR="00180E7C" w:rsidRDefault="00000000">
      <w:pPr>
        <w:pStyle w:val="BodyText"/>
      </w:pPr>
      <w:r>
        <w:t>76.1.2 The Protocol consolidates the June 2026 Israel-Hezbollah cessation of hostilities into a durable ceasefire: no air, land, or sea attacks across the Blue Line in either direction; no offensive operations against Lebanese civilian, military, or state targets; no rocket, missile, drone, or infiltration attacks from Lebanese territory.</w:t>
      </w:r>
    </w:p>
    <w:p w14:paraId="24E57DF3" w14:textId="77777777" w:rsidR="00180E7C" w:rsidRDefault="00000000">
      <w:pPr>
        <w:pStyle w:val="Heading3"/>
      </w:pPr>
      <w:bookmarkStart w:id="459" w:name="implementation-of-resolution-1701"/>
      <w:bookmarkEnd w:id="458"/>
      <w:r>
        <w:t>76.2 Implementation of Resolution 1701</w:t>
      </w:r>
    </w:p>
    <w:p w14:paraId="131DA9E6" w14:textId="77777777" w:rsidR="00180E7C" w:rsidRDefault="00000000">
      <w:pPr>
        <w:pStyle w:val="FirstParagraph"/>
      </w:pPr>
      <w:r>
        <w:t>76.2.1 The Protocol operationalizes United Nations Security Council Resolution 1701 with the enhancement package of Annex L, Part Two: an expanded UNIFIL monitoring capability with modern sensors; the Lebanese Armed Forces deployment plan for the south, financed through the Reconstruction and Development Fund’s Lebanon envelope; and the tripartite verification mechanism (UNIFIL, LAF, and the monitoring architecture) with defined inspection and reporting powers.</w:t>
      </w:r>
    </w:p>
    <w:p w14:paraId="740B8F21" w14:textId="77777777" w:rsidR="00180E7C" w:rsidRDefault="00000000">
      <w:pPr>
        <w:pStyle w:val="Heading3"/>
      </w:pPr>
      <w:bookmarkStart w:id="460" w:name="X7b14e8d410888cf1f1490edb60b0c308ff2555d"/>
      <w:bookmarkEnd w:id="459"/>
      <w:r>
        <w:t>76.3 The Hezbollah Question Addressed Through Structure</w:t>
      </w:r>
    </w:p>
    <w:p w14:paraId="7A7ED620" w14:textId="77777777" w:rsidR="00180E7C" w:rsidRDefault="00000000">
      <w:pPr>
        <w:pStyle w:val="FirstParagraph"/>
      </w:pPr>
      <w:r>
        <w:t>76.3.1 The Protocol addresses the armed capacity of Hezbollah through the Lebanese sovereign track, consistent with the registered positions: the Lebanese state’s position that internal armed actors constitute a sovereign Lebanese matter; Hezbollah’s position rejecting externally imposed disarmament; and Israel’s position requiring verified security outcomes on its northern border. The architecture resolves the collision through the sequence of Annex L, Part Three: (a) the durable ceasefire locks first, removing the operational justification for cross-border arms; (b) the LAF capability builds second, creating the credible sovereign alternative for border security; (c) the heavy weapons of non-state actors in southern Lebanon canton under LAF-supervised arrangements negotiated within Lebanon’s national dialogue, facilitated but never dictated by this architecture; (d) Iran’s termination of weapons and military financing flows to non-state groups per Article 7.1.2 removes the external supply line, verified through the border monitoring architecture of Annex L, Section 7; (e) the political participation of all Lebanese movements within the Lebanese state continues unaffected.</w:t>
      </w:r>
    </w:p>
    <w:p w14:paraId="6EE9949D" w14:textId="77777777" w:rsidR="00180E7C" w:rsidRDefault="00000000">
      <w:pPr>
        <w:pStyle w:val="BodyText"/>
      </w:pPr>
      <w:r>
        <w:t>76.3.2 No element of this Treaty negotiates with, recognizes, or binds Hezbollah directly, consistent with the registered positions of both Israel and Hezbollah. The Protocol binds states; its effects transform the environment in which non-state actors operate.</w:t>
      </w:r>
    </w:p>
    <w:p w14:paraId="11F74925" w14:textId="77777777" w:rsidR="00180E7C" w:rsidRDefault="00000000">
      <w:pPr>
        <w:pStyle w:val="Heading3"/>
      </w:pPr>
      <w:bookmarkStart w:id="461" w:name="lebanon-reconstruction"/>
      <w:bookmarkEnd w:id="460"/>
      <w:r>
        <w:lastRenderedPageBreak/>
        <w:t>76.4 Lebanon Reconstruction</w:t>
      </w:r>
    </w:p>
    <w:p w14:paraId="56BDB887" w14:textId="77777777" w:rsidR="00180E7C" w:rsidRDefault="00000000">
      <w:pPr>
        <w:pStyle w:val="FirstParagraph"/>
      </w:pPr>
      <w:r>
        <w:t>76.4.1 The RDF’s Lebanon envelope of Annex I, Table I-4, finances reconstruction of war-damaged infrastructure across all affected areas, administered through Lebanese state institutions with international fiduciary standards, with the governance arrangements that international support requires and Lebanese sovereignty permits.</w:t>
      </w:r>
    </w:p>
    <w:p w14:paraId="475CF3B3" w14:textId="77777777" w:rsidR="00180E7C" w:rsidRDefault="00000000">
      <w:pPr>
        <w:pStyle w:val="Heading3"/>
      </w:pPr>
      <w:bookmarkStart w:id="462" w:name="border-files"/>
      <w:bookmarkEnd w:id="461"/>
      <w:r>
        <w:t>76.5 Border Files</w:t>
      </w:r>
    </w:p>
    <w:p w14:paraId="53FE0001" w14:textId="77777777" w:rsidR="00180E7C" w:rsidRDefault="00000000">
      <w:pPr>
        <w:pStyle w:val="FirstParagraph"/>
      </w:pPr>
      <w:r>
        <w:t>76.5.1 The Protocol establishes the Lebanon-Israel technical track under United Nations auspices: completion of Blue Line verification, the disputed sectors process including Ghajar, Shebaa, and Kfar Shouba, and the withdrawal of forces from positions re-entered during the 2026 fighting, per the schedule of Annex L, Table L-1.</w:t>
      </w:r>
    </w:p>
    <w:p w14:paraId="5253085E" w14:textId="77777777" w:rsidR="00180E7C" w:rsidRDefault="00000000">
      <w:pPr>
        <w:pStyle w:val="TOCArticle"/>
      </w:pPr>
      <w:bookmarkStart w:id="463" w:name="Xc29ba36d6c4b77a8be97dc0603d9285a28f6ec9"/>
      <w:bookmarkStart w:id="464" w:name="_Toc237843150"/>
      <w:bookmarkEnd w:id="456"/>
      <w:bookmarkEnd w:id="462"/>
      <w:r>
        <w:t>Article 77: Yemen Political Settlement Support</w:t>
      </w:r>
      <w:bookmarkEnd w:id="464"/>
    </w:p>
    <w:p w14:paraId="5674EE77" w14:textId="77777777" w:rsidR="00180E7C" w:rsidRDefault="00000000">
      <w:pPr>
        <w:pStyle w:val="Heading3"/>
      </w:pPr>
      <w:bookmarkStart w:id="465" w:name="the-support-architecture"/>
      <w:r>
        <w:t>77.1 The Support Architecture</w:t>
      </w:r>
    </w:p>
    <w:p w14:paraId="5EED2FC8" w14:textId="77777777" w:rsidR="00180E7C" w:rsidRDefault="00000000">
      <w:pPr>
        <w:pStyle w:val="FirstParagraph"/>
      </w:pPr>
      <w:r>
        <w:t>77.1.1 The Parties jointly support the United Nations-led Yemen political process: a comprehensive ceasefire, an inclusive political settlement, and the restoration of Red Sea and Bab el-Mandeb maritime security. The support executes through: diplomatic backing in the Security Council; the humanitarian surge of Annex M, Section 5.3; and the Yemen reconstruction track of the RDF.</w:t>
      </w:r>
    </w:p>
    <w:p w14:paraId="4C4F02B8" w14:textId="77777777" w:rsidR="00180E7C" w:rsidRDefault="00000000">
      <w:pPr>
        <w:pStyle w:val="Heading3"/>
      </w:pPr>
      <w:bookmarkStart w:id="466" w:name="red-sea-security"/>
      <w:bookmarkEnd w:id="465"/>
      <w:r>
        <w:t>77.2 Red Sea Security</w:t>
      </w:r>
    </w:p>
    <w:p w14:paraId="0E281860" w14:textId="77777777" w:rsidR="00180E7C" w:rsidRDefault="00000000">
      <w:pPr>
        <w:pStyle w:val="FirstParagraph"/>
      </w:pPr>
      <w:r>
        <w:t>77.2.1 Iran’s termination of weapons flows to the Houthi movement per Article 7.1.2, verified through the monitoring architecture, removes the supply dimension of the Red Sea crisis. The United States supports the maritime security arrangements for Bab el-Mandeb through the regional framework, including the defensive mission architecture transitioning to the coastal-state cooperative model as the political settlement matures.</w:t>
      </w:r>
    </w:p>
    <w:p w14:paraId="333BD1F3" w14:textId="77777777" w:rsidR="00180E7C" w:rsidRDefault="00000000">
      <w:pPr>
        <w:pStyle w:val="Heading3"/>
      </w:pPr>
      <w:bookmarkStart w:id="467" w:name="humanitarian-priority"/>
      <w:bookmarkEnd w:id="466"/>
      <w:r>
        <w:t>77.3 Humanitarian Priority</w:t>
      </w:r>
    </w:p>
    <w:p w14:paraId="18F21E2A" w14:textId="77777777" w:rsidR="00180E7C" w:rsidRDefault="00000000">
      <w:pPr>
        <w:pStyle w:val="FirstParagraph"/>
      </w:pPr>
      <w:r>
        <w:t>77.3.1 The Yemen humanitarian operation receives priority allocation in the humanitarian channel of Article 57, with the corridors of Annex M extending to Yemeni ports under United Nations verification.</w:t>
      </w:r>
    </w:p>
    <w:p w14:paraId="1B7BDE4B" w14:textId="77777777" w:rsidR="00180E7C" w:rsidRDefault="00000000">
      <w:pPr>
        <w:pStyle w:val="TOCArticle"/>
      </w:pPr>
      <w:bookmarkStart w:id="468" w:name="X1181d79f850a71f43398120333b0b083b0fcd4e"/>
      <w:bookmarkStart w:id="469" w:name="_Toc237843151"/>
      <w:bookmarkEnd w:id="463"/>
      <w:bookmarkEnd w:id="467"/>
      <w:r>
        <w:t>Article 78: Iraq Stabilization and Militia Integration Roadmap</w:t>
      </w:r>
      <w:bookmarkEnd w:id="469"/>
    </w:p>
    <w:p w14:paraId="7A0B9D16" w14:textId="77777777" w:rsidR="00180E7C" w:rsidRDefault="00000000">
      <w:pPr>
        <w:pStyle w:val="Heading3"/>
      </w:pPr>
      <w:bookmarkStart w:id="470" w:name="the-iraqi-sovereign-track"/>
      <w:r>
        <w:t>78.1 The Iraqi Sovereign Track</w:t>
      </w:r>
    </w:p>
    <w:p w14:paraId="2A965DE3" w14:textId="77777777" w:rsidR="00180E7C" w:rsidRDefault="00000000">
      <w:pPr>
        <w:pStyle w:val="FirstParagraph"/>
      </w:pPr>
      <w:r>
        <w:t>78.1.1 The Parties affirm the sovereignty, stability, and territorial integrity of Iraq, and support the Iraqi government’s own roadmap for the integration, demobilization, or regularization of armed groups operating outside full state command, per the Iraqi-designed sequence of Annex L, Part Four.</w:t>
      </w:r>
    </w:p>
    <w:p w14:paraId="659CA1E8" w14:textId="77777777" w:rsidR="00180E7C" w:rsidRDefault="00000000">
      <w:pPr>
        <w:pStyle w:val="Heading3"/>
      </w:pPr>
      <w:bookmarkStart w:id="471" w:name="bilateral-commitments-regarding-iraq"/>
      <w:bookmarkEnd w:id="470"/>
      <w:r>
        <w:lastRenderedPageBreak/>
        <w:t>78.2 Bilateral Commitments Regarding Iraq</w:t>
      </w:r>
    </w:p>
    <w:p w14:paraId="44FC3652" w14:textId="77777777" w:rsidR="00180E7C" w:rsidRDefault="00000000">
      <w:pPr>
        <w:pStyle w:val="FirstParagraph"/>
      </w:pPr>
      <w:r>
        <w:t>78.2.1 Iran supports the Iraqi integration process through the termination of weapons and financing flows per Article 7.1.2 and through diplomatic backing of the Iraqi government’s authority. The United States manages its force presence in Iraq per its bilateral arrangements with the Iraqi government, within the theater ceilings of Article 27 and the notification regime of Article 25.</w:t>
      </w:r>
    </w:p>
    <w:p w14:paraId="1ABCB6FE" w14:textId="77777777" w:rsidR="00180E7C" w:rsidRDefault="00000000">
      <w:pPr>
        <w:pStyle w:val="Heading3"/>
      </w:pPr>
      <w:bookmarkStart w:id="472" w:name="political-process-support"/>
      <w:bookmarkEnd w:id="471"/>
      <w:r>
        <w:t>78.3 Political Process Support</w:t>
      </w:r>
    </w:p>
    <w:p w14:paraId="54C4E186" w14:textId="77777777" w:rsidR="00180E7C" w:rsidRDefault="00000000">
      <w:pPr>
        <w:pStyle w:val="FirstParagraph"/>
      </w:pPr>
      <w:r>
        <w:t>78.3.1 The Parties support Iraq’s constitutional political process, including parliamentary participation of all political currents, government formation through institutional channels, and the rejection of violence as political instrument, through the good offices of the Regional Standing Conference where Iraq requests them.</w:t>
      </w:r>
    </w:p>
    <w:p w14:paraId="200CB4D0" w14:textId="77777777" w:rsidR="00180E7C" w:rsidRDefault="00000000">
      <w:pPr>
        <w:pStyle w:val="TOCArticle"/>
      </w:pPr>
      <w:bookmarkStart w:id="473" w:name="X1ad7b2034cba897a310c78ab98137cb1f807fa5"/>
      <w:bookmarkStart w:id="474" w:name="_Toc237843152"/>
      <w:bookmarkEnd w:id="468"/>
      <w:bookmarkEnd w:id="472"/>
      <w:r>
        <w:t>Article 79: Syria De-escalation and Advisory Presence Drawdown</w:t>
      </w:r>
      <w:bookmarkEnd w:id="474"/>
    </w:p>
    <w:p w14:paraId="22814EF4" w14:textId="77777777" w:rsidR="00180E7C" w:rsidRDefault="00000000">
      <w:pPr>
        <w:pStyle w:val="Heading3"/>
      </w:pPr>
      <w:bookmarkStart w:id="475" w:name="the-drawdown"/>
      <w:r>
        <w:t>79.1 The Drawdown</w:t>
      </w:r>
    </w:p>
    <w:p w14:paraId="55BEB3BE" w14:textId="77777777" w:rsidR="00180E7C" w:rsidRDefault="00000000">
      <w:pPr>
        <w:pStyle w:val="FirstParagraph"/>
      </w:pPr>
      <w:r>
        <w:t>79.1.1 Iran draws down its military advisory presence in Syria per the schedule of Annex L, Table L-5: reduction to the residual advisory mission agreed with the Syrian government within eighteen months, with the drawdown milestones verified through the declarations regime and the monitoring architecture.</w:t>
      </w:r>
    </w:p>
    <w:p w14:paraId="10025658" w14:textId="77777777" w:rsidR="00180E7C" w:rsidRDefault="00000000">
      <w:pPr>
        <w:pStyle w:val="Heading3"/>
      </w:pPr>
      <w:bookmarkStart w:id="476" w:name="weapons-transfer-corridor"/>
      <w:bookmarkEnd w:id="475"/>
      <w:r>
        <w:t>79.2 Weapons Transfer Corridor</w:t>
      </w:r>
    </w:p>
    <w:p w14:paraId="44B72B09" w14:textId="77777777" w:rsidR="00180E7C" w:rsidRDefault="00000000">
      <w:pPr>
        <w:pStyle w:val="FirstParagraph"/>
      </w:pPr>
      <w:r>
        <w:t>79.2.1 The Syria-Lebanon weapons transfer corridor closes under the border monitoring architecture of Annex L, Section 7: sensors, declarations, and the verification regime, with the technical support of the monitoring partners.</w:t>
      </w:r>
    </w:p>
    <w:p w14:paraId="41FAD388" w14:textId="77777777" w:rsidR="00180E7C" w:rsidRDefault="00000000">
      <w:pPr>
        <w:pStyle w:val="Heading3"/>
      </w:pPr>
      <w:bookmarkStart w:id="477" w:name="refugee-return"/>
      <w:bookmarkEnd w:id="476"/>
      <w:r>
        <w:t>79.3 Refugee Return</w:t>
      </w:r>
    </w:p>
    <w:p w14:paraId="4E91EB63" w14:textId="77777777" w:rsidR="00180E7C" w:rsidRDefault="00000000">
      <w:pPr>
        <w:pStyle w:val="FirstParagraph"/>
      </w:pPr>
      <w:r>
        <w:t>79.3.1 The Parties support the voluntary, safe, and dignified return of Syrian refugees through the United Nations framework, with the RDF’s Syria-adjacent programming supporting receiving communities, per Article 82.</w:t>
      </w:r>
    </w:p>
    <w:p w14:paraId="4F000CC8" w14:textId="77777777" w:rsidR="00180E7C" w:rsidRDefault="00000000">
      <w:pPr>
        <w:pStyle w:val="TOCArticle"/>
      </w:pPr>
      <w:bookmarkStart w:id="478" w:name="X6ae86d03eba6313e6ed17fdc9228ac50a3a6674"/>
      <w:bookmarkStart w:id="479" w:name="_Toc237843153"/>
      <w:bookmarkEnd w:id="473"/>
      <w:bookmarkEnd w:id="477"/>
      <w:r>
        <w:t>Article 80: Regional Non-Aggression and No-Strike Zones</w:t>
      </w:r>
      <w:bookmarkEnd w:id="479"/>
    </w:p>
    <w:p w14:paraId="4FF72A00" w14:textId="77777777" w:rsidR="00180E7C" w:rsidRDefault="00000000">
      <w:pPr>
        <w:pStyle w:val="Heading3"/>
      </w:pPr>
      <w:bookmarkStart w:id="480" w:name="the-no-strike-architecture"/>
      <w:r>
        <w:t>80.1 The No-Strike Architecture</w:t>
      </w:r>
    </w:p>
    <w:p w14:paraId="58131791" w14:textId="77777777" w:rsidR="00180E7C" w:rsidRDefault="00000000">
      <w:pPr>
        <w:pStyle w:val="FirstParagraph"/>
      </w:pPr>
      <w:r>
        <w:t>80.1.1 The framework excludes, in any future contingency, attacks on: nuclear facilities; desalination and water infrastructure; power generation and distribution; hospitals and medical facilities; and civilian energy infrastructure serving basic needs. The Parties codify this exclusion for the bilateral relationship and sponsor its regional adoption through the Regional Standing Conference.</w:t>
      </w:r>
    </w:p>
    <w:p w14:paraId="6F7C0025" w14:textId="77777777" w:rsidR="00180E7C" w:rsidRDefault="00000000">
      <w:pPr>
        <w:pStyle w:val="Heading3"/>
      </w:pPr>
      <w:bookmarkStart w:id="481" w:name="regional-non-aggression-declaration"/>
      <w:bookmarkEnd w:id="480"/>
      <w:r>
        <w:lastRenderedPageBreak/>
        <w:t>80.2 Regional Non-Aggression Declaration</w:t>
      </w:r>
    </w:p>
    <w:p w14:paraId="031E8FEB" w14:textId="77777777" w:rsidR="00180E7C" w:rsidRDefault="00000000">
      <w:pPr>
        <w:pStyle w:val="FirstParagraph"/>
      </w:pPr>
      <w:r>
        <w:t>80.2.1 The Regional Standing Conference adopts, within one year of EIF, the Regional Non-Aggression Declaration: renunciation of force in interstate disputes, commitment to the dispute mechanisms, and the deconfliction instruments of the conference.</w:t>
      </w:r>
    </w:p>
    <w:p w14:paraId="4683E33E" w14:textId="77777777" w:rsidR="00180E7C" w:rsidRDefault="00000000">
      <w:pPr>
        <w:pStyle w:val="TOCArticle"/>
      </w:pPr>
      <w:bookmarkStart w:id="482" w:name="X827d0d8393cf1688f55712393a2d88ad317e6e8"/>
      <w:bookmarkStart w:id="483" w:name="_Toc237843154"/>
      <w:bookmarkEnd w:id="478"/>
      <w:bookmarkEnd w:id="481"/>
      <w:r>
        <w:t>Article 81: Israel Security Protocol (Non-Signatory Track)</w:t>
      </w:r>
      <w:bookmarkEnd w:id="483"/>
    </w:p>
    <w:p w14:paraId="4CB19632" w14:textId="77777777" w:rsidR="00180E7C" w:rsidRDefault="00000000">
      <w:pPr>
        <w:pStyle w:val="Heading3"/>
      </w:pPr>
      <w:bookmarkStart w:id="484" w:name="status"/>
      <w:r>
        <w:t>81.1 Status</w:t>
      </w:r>
    </w:p>
    <w:p w14:paraId="53DBD062" w14:textId="77777777" w:rsidR="00180E7C" w:rsidRDefault="00000000">
      <w:pPr>
        <w:pStyle w:val="FirstParagraph"/>
      </w:pPr>
      <w:r>
        <w:t>81.1.1 Israel is not a party to this Treaty, and nothing in this Treaty binds Israel or derogates from its inherent right of self-defense. The Parties record this without qualification.</w:t>
      </w:r>
    </w:p>
    <w:p w14:paraId="32D61FBC" w14:textId="77777777" w:rsidR="00180E7C" w:rsidRDefault="00000000">
      <w:pPr>
        <w:pStyle w:val="Heading3"/>
      </w:pPr>
      <w:bookmarkStart w:id="485" w:name="the-security-outcomes-delivered"/>
      <w:bookmarkEnd w:id="484"/>
      <w:r>
        <w:t>81.2 The Security Outcomes Delivered</w:t>
      </w:r>
    </w:p>
    <w:p w14:paraId="5B8C4ADC" w14:textId="77777777" w:rsidR="00180E7C" w:rsidRDefault="00000000">
      <w:pPr>
        <w:pStyle w:val="FirstParagraph"/>
      </w:pPr>
      <w:r>
        <w:t>81.2.1 The architecture of this Treaty delivers, as verified facts rather than promises, the security outcomes that the Israeli position identifies as essential: (a) the permanent twelve-month Breakout Floor with zero stockpile above 3.67 percent, verified by continuous IAEA presence and the Uranium Ledger, answering the breakout concern more durably than any time-limited arrangement; (b) the anytime access protocol of Article 62.4 covering military sites, with refusal registering as Level 4; (c) the conversion of Fordow into an internationally governed isotope center, ending the hardened-site threat; (d) the termination of weapons and precision-guidance flows to Hezbollah and other non-state groups, verified through the border monitoring architecture; (e) the Lebanon protocol’s LAF-first border security build-up; (f) the missile stand-down and the nuclear-capable exclusion of Article 21.3; and (g) the closure of the Syria-Lebanon transfer corridor.</w:t>
      </w:r>
    </w:p>
    <w:p w14:paraId="3020B26A" w14:textId="77777777" w:rsidR="00180E7C" w:rsidRDefault="00000000">
      <w:pPr>
        <w:pStyle w:val="Heading3"/>
      </w:pPr>
      <w:bookmarkStart w:id="486" w:name="the-parallel-track"/>
      <w:bookmarkEnd w:id="485"/>
      <w:r>
        <w:t>81.3 The Parallel Track</w:t>
      </w:r>
    </w:p>
    <w:p w14:paraId="716953D6" w14:textId="77777777" w:rsidR="00180E7C" w:rsidRDefault="00000000">
      <w:pPr>
        <w:pStyle w:val="FirstParagraph"/>
      </w:pPr>
      <w:r>
        <w:t>81.3.1 The United States maintains its bilateral security relationship with Israel undiminished, including the qualitative military edge commitments under United States law. The Parties acknowledge the United States-Israel parallel assurance memorandum of Annex L, Part Six, as a bilateral instrument outside this Treaty that complements without contradicting it.</w:t>
      </w:r>
    </w:p>
    <w:p w14:paraId="70C235F2" w14:textId="77777777" w:rsidR="00180E7C" w:rsidRDefault="00000000">
      <w:pPr>
        <w:pStyle w:val="Heading3"/>
      </w:pPr>
      <w:bookmarkStart w:id="487" w:name="communication-channel"/>
      <w:bookmarkEnd w:id="486"/>
      <w:r>
        <w:t>81.4 Communication Channel</w:t>
      </w:r>
    </w:p>
    <w:p w14:paraId="659C72D5" w14:textId="77777777" w:rsidR="00180E7C" w:rsidRDefault="00000000">
      <w:pPr>
        <w:pStyle w:val="FirstParagraph"/>
      </w:pPr>
      <w:r>
        <w:t>81.4.1 The High Contracting Council maintains, through the Swiss Facilitator, an information channel to the Israeli government: quarterly briefings on the verification record relevant to Israeli security, and immediate notification of any Level 4 anomaly in the nuclear or proxy domains.</w:t>
      </w:r>
    </w:p>
    <w:p w14:paraId="3DEE4133" w14:textId="77777777" w:rsidR="00180E7C" w:rsidRDefault="00000000">
      <w:pPr>
        <w:pStyle w:val="TOCArticle"/>
      </w:pPr>
      <w:bookmarkStart w:id="488" w:name="X10e65057da6185884cc7d6f831a2ecd96b48b4d"/>
      <w:bookmarkStart w:id="489" w:name="_Toc237843155"/>
      <w:bookmarkEnd w:id="482"/>
      <w:bookmarkEnd w:id="487"/>
      <w:r>
        <w:t>Article 82: Refugee Return and Displacement</w:t>
      </w:r>
      <w:bookmarkEnd w:id="489"/>
    </w:p>
    <w:p w14:paraId="784829F9" w14:textId="77777777" w:rsidR="00180E7C" w:rsidRDefault="00000000">
      <w:pPr>
        <w:pStyle w:val="Heading3"/>
      </w:pPr>
      <w:bookmarkStart w:id="490" w:name="the-framework"/>
      <w:r>
        <w:t>82.1 The Framework</w:t>
      </w:r>
    </w:p>
    <w:p w14:paraId="037F3D9B" w14:textId="77777777" w:rsidR="00180E7C" w:rsidRDefault="00000000">
      <w:pPr>
        <w:pStyle w:val="FirstParagraph"/>
      </w:pPr>
      <w:r>
        <w:t>82.1.1 The Parties support, through the RDF and the humanitarian architecture: voluntary, safe, dignified return of refugees and displaced persons of the regional conflicts; receiving-</w:t>
      </w:r>
      <w:r>
        <w:lastRenderedPageBreak/>
        <w:t>community investment; and the documentation and property-restitution support programs of the United Nations refugee and migration agencies.</w:t>
      </w:r>
    </w:p>
    <w:p w14:paraId="436B186F" w14:textId="77777777" w:rsidR="00180E7C" w:rsidRDefault="00000000">
      <w:pPr>
        <w:pStyle w:val="Heading3"/>
      </w:pPr>
      <w:bookmarkStart w:id="491" w:name="war-displacement-of-2026"/>
      <w:bookmarkEnd w:id="490"/>
      <w:r>
        <w:t>82.2 War Displacement of 2026</w:t>
      </w:r>
    </w:p>
    <w:p w14:paraId="7E952BD8" w14:textId="77777777" w:rsidR="00180E7C" w:rsidRDefault="00000000">
      <w:pPr>
        <w:pStyle w:val="FirstParagraph"/>
      </w:pPr>
      <w:r>
        <w:t>82.2.1 Persons displaced by the 2026 war receive priority: the Joint Civilian Harm Review Cell coordinates with the United Nations on return conditions, housing reconstruction through the RDF, and the family tracing services of the missing persons architecture.</w:t>
      </w:r>
    </w:p>
    <w:p w14:paraId="3BBFEF49" w14:textId="77777777" w:rsidR="00180E7C" w:rsidRDefault="00000000">
      <w:pPr>
        <w:pStyle w:val="TOCArticle"/>
      </w:pPr>
      <w:bookmarkStart w:id="492" w:name="X665494667899e1bcdb4d03fa2a0e1a2abc116d7"/>
      <w:bookmarkStart w:id="493" w:name="_Toc237843156"/>
      <w:bookmarkEnd w:id="488"/>
      <w:bookmarkEnd w:id="491"/>
      <w:r>
        <w:t>Article 83: Environmental, Water, and Anti-Narcotics Cooperation</w:t>
      </w:r>
      <w:bookmarkEnd w:id="493"/>
    </w:p>
    <w:p w14:paraId="4D4B9A10" w14:textId="77777777" w:rsidR="00180E7C" w:rsidRDefault="00000000">
      <w:pPr>
        <w:pStyle w:val="Heading3"/>
      </w:pPr>
      <w:bookmarkStart w:id="494" w:name="the-environmental-cooperation-program"/>
      <w:r>
        <w:t>83.1 The Environmental Cooperation Program</w:t>
      </w:r>
    </w:p>
    <w:p w14:paraId="686229C8" w14:textId="77777777" w:rsidR="00180E7C" w:rsidRDefault="00000000">
      <w:pPr>
        <w:pStyle w:val="FirstParagraph"/>
      </w:pPr>
      <w:r>
        <w:t>83.1.1 The Parties establish the Joint Environmental Program under the RDF’s environmental envelope: dust and sandstorm mitigation (the shared affliction of the region), water scarcity cooperation including desalination technology exchange, Persian Gulf marine protection extending Article 39, and climate adaptation research.</w:t>
      </w:r>
    </w:p>
    <w:p w14:paraId="18E9D2EC" w14:textId="77777777" w:rsidR="00180E7C" w:rsidRDefault="00000000">
      <w:pPr>
        <w:pStyle w:val="Heading3"/>
      </w:pPr>
      <w:bookmarkStart w:id="495" w:name="the-environmental-fund"/>
      <w:bookmarkEnd w:id="494"/>
      <w:r>
        <w:t>83.2 The Environmental Fund</w:t>
      </w:r>
    </w:p>
    <w:p w14:paraId="5D4D6579" w14:textId="77777777" w:rsidR="00180E7C" w:rsidRDefault="00000000">
      <w:pPr>
        <w:pStyle w:val="FirstParagraph"/>
      </w:pPr>
      <w:r>
        <w:t>83.2.1 The Environmental Cooperation Fund of Annex I, Table I-5, operates ring-fenced from every political dispute: its projects continue through any step-back, any crisis, any disagreement, joining the spirit of the humanitarian firewall.</w:t>
      </w:r>
    </w:p>
    <w:p w14:paraId="7D3AC691" w14:textId="77777777" w:rsidR="00180E7C" w:rsidRDefault="00000000">
      <w:pPr>
        <w:pStyle w:val="Heading3"/>
      </w:pPr>
      <w:bookmarkStart w:id="496" w:name="water"/>
      <w:bookmarkEnd w:id="495"/>
      <w:r>
        <w:t>83.3 Water</w:t>
      </w:r>
    </w:p>
    <w:p w14:paraId="52E0B34B" w14:textId="77777777" w:rsidR="00180E7C" w:rsidRDefault="00000000">
      <w:pPr>
        <w:pStyle w:val="FirstParagraph"/>
      </w:pPr>
      <w:r>
        <w:t>83.3.1 The water cooperation track addresses: transboundary water management dialogue, desalination investment (the water scarcity crisis stands among Iran’s most acute structural challenges), and irrigation efficiency exchange.</w:t>
      </w:r>
    </w:p>
    <w:p w14:paraId="114B1F96" w14:textId="77777777" w:rsidR="00180E7C" w:rsidRDefault="00000000">
      <w:pPr>
        <w:pStyle w:val="Heading3"/>
      </w:pPr>
      <w:bookmarkStart w:id="497" w:name="anti-narcotics"/>
      <w:bookmarkEnd w:id="496"/>
      <w:r>
        <w:t>83.4 Anti-Narcotics</w:t>
      </w:r>
    </w:p>
    <w:p w14:paraId="0A078115" w14:textId="77777777" w:rsidR="00180E7C" w:rsidRDefault="00000000">
      <w:pPr>
        <w:pStyle w:val="FirstParagraph"/>
      </w:pPr>
      <w:r>
        <w:t>83.4.1 The Parties establish the Joint Anti-Narcotics Working Group: intelligence sharing, border management cooperation, and alternative development support addressing the Afghanistan-origin trafficking routes through Iran, resuming and expanding the cooperation that served both nations in earlier decades.</w:t>
      </w:r>
    </w:p>
    <w:p w14:paraId="5CEFAFF6" w14:textId="77777777" w:rsidR="00180E7C" w:rsidRDefault="00000000">
      <w:pPr>
        <w:pStyle w:val="Heading3"/>
      </w:pPr>
      <w:bookmarkStart w:id="498" w:name="energy-transition"/>
      <w:bookmarkEnd w:id="497"/>
      <w:r>
        <w:t>83.5 Energy Transition</w:t>
      </w:r>
    </w:p>
    <w:p w14:paraId="723E4615" w14:textId="77777777" w:rsidR="00180E7C" w:rsidRDefault="00000000">
      <w:pPr>
        <w:pStyle w:val="FirstParagraph"/>
      </w:pPr>
      <w:r>
        <w:t>83.5.1 The energy dialogue of Article 51.3 includes the transition track: renewable energy investment in Iran, grid integration with regional neighbors, and methane management cooperation in the petroleum sector.</w:t>
      </w:r>
    </w:p>
    <w:p w14:paraId="5A138C0A" w14:textId="77777777" w:rsidR="00180E7C" w:rsidRDefault="00000000">
      <w:pPr>
        <w:pStyle w:val="TOCArticle"/>
      </w:pPr>
      <w:bookmarkStart w:id="499" w:name="Xeca5b82bae99081f0449596bc7548e048daff6c"/>
      <w:bookmarkStart w:id="500" w:name="_Toc237843157"/>
      <w:bookmarkEnd w:id="492"/>
      <w:bookmarkEnd w:id="498"/>
      <w:r>
        <w:t>Article 84: Cultural, Academic, and Track II Exchange</w:t>
      </w:r>
      <w:bookmarkEnd w:id="500"/>
    </w:p>
    <w:p w14:paraId="3AF03194" w14:textId="77777777" w:rsidR="00180E7C" w:rsidRDefault="00000000">
      <w:pPr>
        <w:pStyle w:val="Heading3"/>
      </w:pPr>
      <w:bookmarkStart w:id="501" w:name="the-exchange-architecture"/>
      <w:r>
        <w:t>84.1 The Exchange Architecture</w:t>
      </w:r>
    </w:p>
    <w:p w14:paraId="2BAABB5B" w14:textId="77777777" w:rsidR="00180E7C" w:rsidRDefault="00000000">
      <w:pPr>
        <w:pStyle w:val="FirstParagraph"/>
      </w:pPr>
      <w:r>
        <w:t xml:space="preserve">84.1.1 The Parties establish the Bilateral Exchange Foundation, endowed jointly under Annex I, Section 10, supporting: university partnerships and student exchange; scholarly and scientific collaboration; cultural heritage cooperation, including the joint preservation </w:t>
      </w:r>
      <w:r>
        <w:lastRenderedPageBreak/>
        <w:t>of sites and the antiquities dialogue; athletic exchange; and media and journalist exchange programs.</w:t>
      </w:r>
    </w:p>
    <w:p w14:paraId="4FE25B90" w14:textId="77777777" w:rsidR="00180E7C" w:rsidRDefault="00000000">
      <w:pPr>
        <w:pStyle w:val="Heading3"/>
      </w:pPr>
      <w:bookmarkStart w:id="502" w:name="track-ii-continuity"/>
      <w:bookmarkEnd w:id="501"/>
      <w:r>
        <w:t>84.2 Track II Continuity</w:t>
      </w:r>
    </w:p>
    <w:p w14:paraId="39DF846C" w14:textId="77777777" w:rsidR="00180E7C" w:rsidRDefault="00000000">
      <w:pPr>
        <w:pStyle w:val="FirstParagraph"/>
      </w:pPr>
      <w:r>
        <w:t>84.2.1 The Foundation sustains the permanent Track II channel: the standing dialogue of former officials, scholars, and civil society figures that continues through every political weather, preserving the human infrastructure of peace for the moments when governments need it.</w:t>
      </w:r>
    </w:p>
    <w:p w14:paraId="4EE7E64B" w14:textId="77777777" w:rsidR="00180E7C" w:rsidRDefault="00000000">
      <w:pPr>
        <w:pStyle w:val="Heading3"/>
      </w:pPr>
      <w:bookmarkStart w:id="503" w:name="the-long-term-dialogue-channel"/>
      <w:bookmarkEnd w:id="502"/>
      <w:r>
        <w:t>84.3 The Long-Term Dialogue Channel</w:t>
      </w:r>
    </w:p>
    <w:p w14:paraId="317ABAE4" w14:textId="77777777" w:rsidR="00180E7C" w:rsidRDefault="00000000">
      <w:pPr>
        <w:pStyle w:val="FirstParagraph"/>
      </w:pPr>
      <w:r>
        <w:t>84.3.1 Beyond crisis machinery, the Parties maintain the low-stakes standing dialogue: quarterly deputy-foreign-minister consultations on the full bilateral agenda, grievances aired early and small, preventing the accumulation that precedes rupture.</w:t>
      </w:r>
    </w:p>
    <w:p w14:paraId="4C608908" w14:textId="77777777" w:rsidR="00180E7C" w:rsidRDefault="00000000">
      <w:pPr>
        <w:pStyle w:val="Heading3"/>
      </w:pPr>
      <w:bookmarkStart w:id="504" w:name="religious-and-cultural-respect"/>
      <w:bookmarkEnd w:id="503"/>
      <w:r>
        <w:t>84.4 Religious and Cultural Respect</w:t>
      </w:r>
    </w:p>
    <w:p w14:paraId="2E75C755" w14:textId="77777777" w:rsidR="00180E7C" w:rsidRDefault="00000000">
      <w:pPr>
        <w:pStyle w:val="FirstParagraph"/>
      </w:pPr>
      <w:r>
        <w:t>84.4.1 Official discourse of each Party respects the religious and cultural values of the other’s people. The framework excludes official insult to religious sanctities and national symbols, consistent with the Iranian position registered in the negotiations and with the mutual respect foundation of Article 3.</w:t>
      </w:r>
    </w:p>
    <w:p w14:paraId="776CD008" w14:textId="77777777" w:rsidR="00180E7C" w:rsidRDefault="00000000">
      <w:pPr>
        <w:pStyle w:val="Heading3"/>
      </w:pPr>
      <w:bookmarkStart w:id="505" w:name="education-and-the-next-generation"/>
      <w:bookmarkEnd w:id="504"/>
      <w:r>
        <w:t>84.5 Education and the Next Generation</w:t>
      </w:r>
    </w:p>
    <w:p w14:paraId="2475C00A" w14:textId="77777777" w:rsidR="00180E7C" w:rsidRDefault="00000000">
      <w:pPr>
        <w:pStyle w:val="FirstParagraph"/>
      </w:pPr>
      <w:r>
        <w:t>84.5.1 The Foundation supports curriculum projects teaching the history of the war and the peace accurately in both countries, so that the next generation inherits the lesson rather than the grievance.</w:t>
      </w:r>
    </w:p>
    <w:p w14:paraId="5455004C" w14:textId="77777777" w:rsidR="00180E7C" w:rsidRDefault="00000000">
      <w:pPr>
        <w:pStyle w:val="Heading3"/>
      </w:pPr>
      <w:bookmarkStart w:id="506" w:name="the-human-rights-dialogue"/>
      <w:bookmarkEnd w:id="505"/>
      <w:r>
        <w:t>84.6 The Human Rights Dialogue</w:t>
      </w:r>
    </w:p>
    <w:p w14:paraId="5BF93415" w14:textId="77777777" w:rsidR="00180E7C" w:rsidRDefault="00000000">
      <w:pPr>
        <w:pStyle w:val="FirstParagraph"/>
      </w:pPr>
      <w:r>
        <w:t>84.6.1 The Parties establish a standing human rights dialogue, meeting semi-annually, addressing each side’s concerns through discussion rather than coercion: the channel through which the human-rights-related measures of Article 46.4.3 resolve over time.</w:t>
      </w:r>
    </w:p>
    <w:p w14:paraId="024FE69E" w14:textId="77777777" w:rsidR="00180E7C" w:rsidRDefault="00000000">
      <w:r>
        <w:br w:type="page"/>
      </w:r>
    </w:p>
    <w:p w14:paraId="4E4EFED5" w14:textId="77777777" w:rsidR="00180E7C" w:rsidRDefault="00000000">
      <w:pPr>
        <w:pStyle w:val="Heading1"/>
      </w:pPr>
      <w:bookmarkStart w:id="507" w:name="title-vii-final-provisions"/>
      <w:bookmarkStart w:id="508" w:name="_Toc237843158"/>
      <w:bookmarkEnd w:id="454"/>
      <w:bookmarkEnd w:id="499"/>
      <w:bookmarkEnd w:id="506"/>
      <w:r>
        <w:lastRenderedPageBreak/>
        <w:t>TITLE VII: FINAL PROVISIONS</w:t>
      </w:r>
      <w:bookmarkEnd w:id="508"/>
    </w:p>
    <w:p w14:paraId="47931D81" w14:textId="77777777" w:rsidR="00180E7C" w:rsidRDefault="00000000">
      <w:pPr>
        <w:pStyle w:val="TOCArticle"/>
      </w:pPr>
      <w:bookmarkStart w:id="509" w:name="article-85-signature-and-ratification"/>
      <w:bookmarkStart w:id="510" w:name="_Toc237843159"/>
      <w:r>
        <w:t>Article 85: Signature and Ratification</w:t>
      </w:r>
      <w:bookmarkEnd w:id="510"/>
    </w:p>
    <w:p w14:paraId="71DFAC76" w14:textId="77777777" w:rsidR="00180E7C" w:rsidRDefault="00000000">
      <w:pPr>
        <w:pStyle w:val="Heading3"/>
      </w:pPr>
      <w:bookmarkStart w:id="511" w:name="signature"/>
      <w:r>
        <w:t>85.1 Signature</w:t>
      </w:r>
    </w:p>
    <w:p w14:paraId="2CE81976" w14:textId="77777777" w:rsidR="00180E7C" w:rsidRDefault="00000000">
      <w:pPr>
        <w:pStyle w:val="FirstParagraph"/>
      </w:pPr>
      <w:r>
        <w:t>85.1.1 This Treaty opens for signature at Islamabad on 17 August 2026, and thereafter at the United Nations Headquarters.</w:t>
      </w:r>
    </w:p>
    <w:p w14:paraId="5F25A19A" w14:textId="77777777" w:rsidR="00180E7C" w:rsidRDefault="00000000">
      <w:pPr>
        <w:pStyle w:val="Heading3"/>
      </w:pPr>
      <w:bookmarkStart w:id="512" w:name="ratification"/>
      <w:bookmarkEnd w:id="511"/>
      <w:r>
        <w:t>85.2 Ratification</w:t>
      </w:r>
    </w:p>
    <w:p w14:paraId="41B573B3" w14:textId="77777777" w:rsidR="00180E7C" w:rsidRDefault="00000000">
      <w:pPr>
        <w:pStyle w:val="FirstParagraph"/>
      </w:pPr>
      <w:r>
        <w:t>85.2.1 The Treaty subjects to ratification per Article 13. Instruments of ratification deposit with the Depositary. The Treaty enters into force per Article 87.</w:t>
      </w:r>
    </w:p>
    <w:p w14:paraId="6924834D" w14:textId="77777777" w:rsidR="00180E7C" w:rsidRDefault="00000000">
      <w:pPr>
        <w:pStyle w:val="TOCArticle"/>
      </w:pPr>
      <w:bookmarkStart w:id="513" w:name="X114c715ab2f3fed2e2f7f84873cfb1315557527"/>
      <w:bookmarkStart w:id="514" w:name="_Toc237843160"/>
      <w:bookmarkEnd w:id="509"/>
      <w:bookmarkEnd w:id="512"/>
      <w:r>
        <w:t>Article 86: United Nations Security Council Endorsement</w:t>
      </w:r>
      <w:bookmarkEnd w:id="514"/>
    </w:p>
    <w:p w14:paraId="38CE02AE" w14:textId="77777777" w:rsidR="00180E7C" w:rsidRDefault="00000000">
      <w:pPr>
        <w:pStyle w:val="Heading3"/>
      </w:pPr>
      <w:bookmarkStart w:id="515" w:name="the-endorsement-resolution"/>
      <w:r>
        <w:t>86.1 The Endorsement Resolution</w:t>
      </w:r>
    </w:p>
    <w:p w14:paraId="5249A1A8" w14:textId="77777777" w:rsidR="00180E7C" w:rsidRDefault="00000000">
      <w:pPr>
        <w:pStyle w:val="FirstParagraph"/>
      </w:pPr>
      <w:r>
        <w:t>86.1.1 Upon signature, the Parties jointly transmit this Treaty to the Security Council with the draft resolution of Annex R, Part 5, requesting: endorsement of the Treaty; termination of the prior Council measures listed in Annex G, Schedule G-2; authorization of the United Nations roles defined in this Treaty; and the Council’s standing attention to the annual reports of Article 68.</w:t>
      </w:r>
    </w:p>
    <w:p w14:paraId="6DCB78B4" w14:textId="77777777" w:rsidR="00180E7C" w:rsidRDefault="00000000">
      <w:pPr>
        <w:pStyle w:val="BodyText"/>
      </w:pPr>
      <w:r>
        <w:t>86.1.2 The endorsement resolution contains no snapback mechanism. The Council’s engagement with any future Material Breach proceeds under the Charter on the facts of that time, informed by the verification record of the Cothrom Engine.</w:t>
      </w:r>
    </w:p>
    <w:p w14:paraId="31E286F4" w14:textId="77777777" w:rsidR="00180E7C" w:rsidRDefault="00000000">
      <w:pPr>
        <w:pStyle w:val="TOCArticle"/>
      </w:pPr>
      <w:bookmarkStart w:id="516" w:name="X8e1fcfc079670c5acbe5a8f796b4f1a4c9ee92c"/>
      <w:bookmarkStart w:id="517" w:name="_Toc237843161"/>
      <w:bookmarkEnd w:id="513"/>
      <w:bookmarkEnd w:id="515"/>
      <w:r>
        <w:t>Article 87: Entry into Force and Activation Sequencing</w:t>
      </w:r>
      <w:bookmarkEnd w:id="517"/>
    </w:p>
    <w:p w14:paraId="5A601854" w14:textId="77777777" w:rsidR="00180E7C" w:rsidRDefault="00000000">
      <w:pPr>
        <w:pStyle w:val="Heading3"/>
      </w:pPr>
      <w:bookmarkStart w:id="518" w:name="entry-into-force"/>
      <w:r>
        <w:t>87.1 Entry into Force</w:t>
      </w:r>
    </w:p>
    <w:p w14:paraId="3392389D" w14:textId="77777777" w:rsidR="00180E7C" w:rsidRDefault="00000000">
      <w:pPr>
        <w:pStyle w:val="FirstParagraph"/>
      </w:pPr>
      <w:r>
        <w:t>87.1.1 This Treaty enters into force on the thirtieth day following the deposit of both Parties’ instruments of ratification, or on such earlier date as the Parties jointly notify the Depositary.</w:t>
      </w:r>
    </w:p>
    <w:p w14:paraId="0B92C0AC" w14:textId="77777777" w:rsidR="00180E7C" w:rsidRDefault="00000000">
      <w:pPr>
        <w:pStyle w:val="Heading3"/>
      </w:pPr>
      <w:bookmarkStart w:id="519" w:name="provisional-application"/>
      <w:bookmarkEnd w:id="518"/>
      <w:r>
        <w:t>87.2 Provisional Application</w:t>
      </w:r>
    </w:p>
    <w:p w14:paraId="17F62D9A" w14:textId="77777777" w:rsidR="00180E7C" w:rsidRDefault="00000000">
      <w:pPr>
        <w:pStyle w:val="FirstParagraph"/>
      </w:pPr>
      <w:r>
        <w:t>87.2.1 Pending entry into force, the Parties apply provisionally: Articles 1, 2, 9, 20, 24, 25, 29, 34, 44.1 (Phase I), 46.2.1, 47.2.1(a), 57, 61.2.6, 62.3, 64, and the corresponding annex provisions, from the date of signature, per the provisional application declarations of Annex R, Part 3.</w:t>
      </w:r>
    </w:p>
    <w:p w14:paraId="5A401960" w14:textId="77777777" w:rsidR="00180E7C" w:rsidRDefault="00000000">
      <w:pPr>
        <w:pStyle w:val="Heading3"/>
      </w:pPr>
      <w:bookmarkStart w:id="520" w:name="activation-sequencing"/>
      <w:bookmarkEnd w:id="519"/>
      <w:r>
        <w:t>87.3 Activation Sequencing</w:t>
      </w:r>
    </w:p>
    <w:p w14:paraId="681A6D10" w14:textId="77777777" w:rsidR="00180E7C" w:rsidRDefault="00000000">
      <w:pPr>
        <w:pStyle w:val="FirstParagraph"/>
      </w:pPr>
      <w:r>
        <w:t>87.3.1 The activation sequence of Annex P governs from EIF: Phase I activates immediately; each subsequent phase activates upon its phase-gate certifications. The sequence runs as one interlocked engine; Annex P, Section 9, contains the fallback sequences for every contingency.</w:t>
      </w:r>
    </w:p>
    <w:p w14:paraId="58D6DBF2" w14:textId="77777777" w:rsidR="00180E7C" w:rsidRDefault="00000000">
      <w:pPr>
        <w:pStyle w:val="Heading3"/>
      </w:pPr>
      <w:bookmarkStart w:id="521" w:name="provisional-organs"/>
      <w:bookmarkEnd w:id="520"/>
      <w:r>
        <w:lastRenderedPageBreak/>
        <w:t>87.4 Provisional Organs</w:t>
      </w:r>
    </w:p>
    <w:p w14:paraId="45C0CAA6" w14:textId="77777777" w:rsidR="00180E7C" w:rsidRDefault="00000000">
      <w:pPr>
        <w:pStyle w:val="FirstParagraph"/>
      </w:pPr>
      <w:r>
        <w:t>87.4.1 The treaty organs convene provisionally from signature: the HCC, the JMC, the JOCs, the Authority interim secretariat, and the escrow architecture stand up within the timelines of Annex P, Section 2, so that EIF finds the machinery running, not assembling.</w:t>
      </w:r>
    </w:p>
    <w:p w14:paraId="102B2630" w14:textId="77777777" w:rsidR="00180E7C" w:rsidRDefault="00000000">
      <w:pPr>
        <w:pStyle w:val="TOCArticle"/>
      </w:pPr>
      <w:bookmarkStart w:id="522" w:name="Xf46b00d7b71319aab27d2b45bd626274373d915"/>
      <w:bookmarkStart w:id="523" w:name="_Toc237843162"/>
      <w:bookmarkEnd w:id="516"/>
      <w:bookmarkEnd w:id="521"/>
      <w:r>
        <w:t>Article 88: Relationship to Prior Instruments</w:t>
      </w:r>
      <w:bookmarkEnd w:id="523"/>
    </w:p>
    <w:p w14:paraId="6264B7C8" w14:textId="77777777" w:rsidR="00180E7C" w:rsidRDefault="00000000">
      <w:pPr>
        <w:pStyle w:val="Heading3"/>
      </w:pPr>
      <w:bookmarkStart w:id="524" w:name="supersession-and-satisfaction"/>
      <w:r>
        <w:t>88.1 Supersession and Satisfaction</w:t>
      </w:r>
    </w:p>
    <w:p w14:paraId="4CEB6446" w14:textId="77777777" w:rsidR="00180E7C" w:rsidRDefault="00000000">
      <w:pPr>
        <w:pStyle w:val="FirstParagraph"/>
      </w:pPr>
      <w:r>
        <w:t>88.1.1 Upon entry into force: the Islamabad Memorandum of Understanding of 17 June 2026 stands fully performed and superseded; the ceasefire instruments of 2026 consolidate into Article 1; the joint Oman-Iran governance draft stands incorporated per Article 31.2; and the interim technical arrangements of the negotiation period fold into the permanent organs of this Treaty.</w:t>
      </w:r>
    </w:p>
    <w:p w14:paraId="7D72AB7D" w14:textId="77777777" w:rsidR="00180E7C" w:rsidRDefault="00000000">
      <w:pPr>
        <w:pStyle w:val="Heading3"/>
      </w:pPr>
      <w:bookmarkStart w:id="525" w:name="continuing-instruments"/>
      <w:bookmarkEnd w:id="524"/>
      <w:r>
        <w:t>88.2 Continuing Instruments</w:t>
      </w:r>
    </w:p>
    <w:p w14:paraId="3329E75A" w14:textId="77777777" w:rsidR="00180E7C" w:rsidRDefault="00000000">
      <w:pPr>
        <w:pStyle w:val="FirstParagraph"/>
      </w:pPr>
      <w:r>
        <w:t>88.2.1 The following continue undisturbed: the Treaty on the Non-Proliferation of Nuclear Weapons and Iran’s Comprehensive Safeguards Agreement; the Vienna Conventions on diplomatic and consular relations; the international maritime conventions; and the bilateral arrangements of each Party with third states except as this Treaty expressly adjusts them.</w:t>
      </w:r>
    </w:p>
    <w:p w14:paraId="699D34CB" w14:textId="77777777" w:rsidR="00180E7C" w:rsidRDefault="00000000">
      <w:pPr>
        <w:pStyle w:val="Heading3"/>
      </w:pPr>
      <w:bookmarkStart w:id="526" w:name="no-conflict"/>
      <w:bookmarkEnd w:id="525"/>
      <w:r>
        <w:t>88.3 No Conflict</w:t>
      </w:r>
    </w:p>
    <w:p w14:paraId="4EFF4C6D" w14:textId="77777777" w:rsidR="00180E7C" w:rsidRDefault="00000000">
      <w:pPr>
        <w:pStyle w:val="FirstParagraph"/>
      </w:pPr>
      <w:r>
        <w:t>88.3.1 Where a prior obligation of either Party appears to conflict with this Treaty, the Parties consult under Article 69 to harmonize; this Treaty prevails as between the Parties to the extent of any irreconcilable conflict concerning their mutual relations.</w:t>
      </w:r>
    </w:p>
    <w:p w14:paraId="3323D507" w14:textId="77777777" w:rsidR="00180E7C" w:rsidRDefault="00000000">
      <w:pPr>
        <w:pStyle w:val="TOCArticle"/>
      </w:pPr>
      <w:bookmarkStart w:id="527" w:name="article-89-depositary-functions"/>
      <w:bookmarkStart w:id="528" w:name="_Toc237843163"/>
      <w:bookmarkEnd w:id="522"/>
      <w:bookmarkEnd w:id="526"/>
      <w:r>
        <w:t>Article 89: Depositary Functions</w:t>
      </w:r>
      <w:bookmarkEnd w:id="528"/>
    </w:p>
    <w:p w14:paraId="00B048CF" w14:textId="77777777" w:rsidR="00180E7C" w:rsidRDefault="00000000">
      <w:pPr>
        <w:pStyle w:val="Heading3"/>
      </w:pPr>
      <w:bookmarkStart w:id="529" w:name="functions-2"/>
      <w:r>
        <w:t>89.1 Functions</w:t>
      </w:r>
    </w:p>
    <w:p w14:paraId="05E5E9D2" w14:textId="77777777" w:rsidR="00180E7C" w:rsidRDefault="00000000">
      <w:pPr>
        <w:pStyle w:val="FirstParagraph"/>
      </w:pPr>
      <w:r>
        <w:t>89.1.1 The Depositary: receives and registers instruments; circulates certified copies; maintains the official record of notifications, amendments, and accessions; transmits reports to the Security Council per Article 69.5; and convenes the review conferences of Article 75.3.</w:t>
      </w:r>
    </w:p>
    <w:p w14:paraId="6047CEBE" w14:textId="77777777" w:rsidR="00180E7C" w:rsidRDefault="00000000">
      <w:pPr>
        <w:pStyle w:val="Heading3"/>
      </w:pPr>
      <w:bookmarkStart w:id="530" w:name="certified-copies"/>
      <w:bookmarkEnd w:id="529"/>
      <w:r>
        <w:t>89.2 Certified Copies</w:t>
      </w:r>
    </w:p>
    <w:p w14:paraId="3DD32FDD" w14:textId="77777777" w:rsidR="00180E7C" w:rsidRDefault="00000000">
      <w:pPr>
        <w:pStyle w:val="FirstParagraph"/>
      </w:pPr>
      <w:r>
        <w:t>89.1.1 The Depositary transmits certified copies of this Treaty to the Parties, the Facilitating States, the Security Council, the IAEA, the IMO, and the Gulf Cooperation Council Secretariat within thirty days of EIF.</w:t>
      </w:r>
    </w:p>
    <w:p w14:paraId="69E00DE5" w14:textId="77777777" w:rsidR="00180E7C" w:rsidRDefault="00000000">
      <w:pPr>
        <w:pStyle w:val="TOCArticle"/>
      </w:pPr>
      <w:bookmarkStart w:id="531" w:name="article-90-authentic-texts"/>
      <w:bookmarkStart w:id="532" w:name="_Toc237843164"/>
      <w:bookmarkEnd w:id="527"/>
      <w:bookmarkEnd w:id="530"/>
      <w:r>
        <w:lastRenderedPageBreak/>
        <w:t>Article 90: Authentic Texts</w:t>
      </w:r>
      <w:bookmarkEnd w:id="532"/>
    </w:p>
    <w:p w14:paraId="5381F783" w14:textId="77777777" w:rsidR="00180E7C" w:rsidRDefault="00000000">
      <w:pPr>
        <w:pStyle w:val="Heading3"/>
      </w:pPr>
      <w:bookmarkStart w:id="533" w:name="texts"/>
      <w:r>
        <w:t>90.1 Texts</w:t>
      </w:r>
    </w:p>
    <w:p w14:paraId="3C0136F4" w14:textId="77777777" w:rsidR="00180E7C" w:rsidRDefault="00000000">
      <w:pPr>
        <w:pStyle w:val="FirstParagraph"/>
      </w:pPr>
      <w:r>
        <w:t>90.1.1 This Treaty is executed in the English and Persian languages, both texts equally authentic. An Arabic courtesy translation prepares under the Joint Linguistic Panel for regional reference without interpretive authority.</w:t>
      </w:r>
    </w:p>
    <w:p w14:paraId="15A60ABB" w14:textId="77777777" w:rsidR="00180E7C" w:rsidRDefault="00000000">
      <w:pPr>
        <w:pStyle w:val="BodyText"/>
      </w:pPr>
      <w:r>
        <w:t>IN WITNESS WHEREOF, the undersigned, duly authorized by their respective governments, sign this Treaty.</w:t>
      </w:r>
    </w:p>
    <w:p w14:paraId="1DF6647A" w14:textId="77777777" w:rsidR="00180E7C" w:rsidRDefault="00000000">
      <w:pPr>
        <w:pStyle w:val="BodyText"/>
      </w:pPr>
      <w:r>
        <w:t>DONE at Islamabad, this seventeenth day of August, two thousand twenty-six, in two originals in the English and Persian languages.</w:t>
      </w:r>
    </w:p>
    <w:p w14:paraId="10796D2C" w14:textId="77777777" w:rsidR="00180E7C" w:rsidRDefault="00000000">
      <w:pPr>
        <w:pStyle w:val="BodyText"/>
      </w:pPr>
      <w:r>
        <w:t>(Signature blocks appear in Annex R, Part 1.)</w:t>
      </w:r>
    </w:p>
    <w:p w14:paraId="1D5DE417" w14:textId="77777777" w:rsidR="00180E7C" w:rsidRDefault="00000000">
      <w:r>
        <w:br w:type="page"/>
      </w:r>
    </w:p>
    <w:p w14:paraId="3603F530" w14:textId="77777777" w:rsidR="00180E7C" w:rsidRDefault="00000000">
      <w:pPr>
        <w:pStyle w:val="Heading1"/>
      </w:pPr>
      <w:bookmarkStart w:id="534" w:name="annexes"/>
      <w:bookmarkStart w:id="535" w:name="_Toc237843165"/>
      <w:bookmarkEnd w:id="507"/>
      <w:bookmarkEnd w:id="531"/>
      <w:bookmarkEnd w:id="533"/>
      <w:r>
        <w:lastRenderedPageBreak/>
        <w:t>ANNEXES</w:t>
      </w:r>
      <w:bookmarkEnd w:id="535"/>
    </w:p>
    <w:p w14:paraId="50E1FA11" w14:textId="77777777" w:rsidR="00180E7C" w:rsidRDefault="00000000">
      <w:pPr>
        <w:pStyle w:val="Heading1"/>
      </w:pPr>
      <w:bookmarkStart w:id="536" w:name="Xb0c619c736d660505689a1f02f8c7a0b9cb73ca"/>
      <w:bookmarkStart w:id="537" w:name="_Toc237843166"/>
      <w:bookmarkEnd w:id="534"/>
      <w:r>
        <w:t>ANNEX A: CONSOLIDATED DEFINITIONS AND TERMINOLOGY REGISTER</w:t>
      </w:r>
      <w:bookmarkEnd w:id="537"/>
    </w:p>
    <w:p w14:paraId="084350E5" w14:textId="77777777" w:rsidR="00180E7C" w:rsidRDefault="00000000">
      <w:pPr>
        <w:pStyle w:val="Heading2"/>
      </w:pPr>
      <w:bookmarkStart w:id="538" w:name="a.1-structure-and-maintenance"/>
      <w:r>
        <w:t>A.1 Structure and Maintenance</w:t>
      </w:r>
    </w:p>
    <w:p w14:paraId="19831831" w14:textId="77777777" w:rsidR="00180E7C" w:rsidRDefault="00000000">
      <w:pPr>
        <w:pStyle w:val="FirstParagraph"/>
      </w:pPr>
      <w:r>
        <w:t>A.1.1 This Annex constitutes the Terminology Register of Article 66. Section A.2 contains the master alphabetical register of terms defined for use across the Treaty. Section A.3 contains the in-situ concordance: terms defined within a single provision for local use, with their source locations. The Joint Linguistic Panel maintains the Register per Annex O, Section 9, and publishes updated editions through the Shared Digital Registry with version control.</w:t>
      </w:r>
    </w:p>
    <w:p w14:paraId="5543CFB7" w14:textId="77777777" w:rsidR="00180E7C" w:rsidRDefault="00000000">
      <w:pPr>
        <w:pStyle w:val="BodyText"/>
      </w:pPr>
      <w:r>
        <w:t>A.1.2 A term appearing in italics in the authentic English text carries its registered meaning. Where the Persian text and the English text diverge on a registered term, the Joint Linguistic Panel issues the harmonized reading within fourteen days of any Party’s referral.</w:t>
      </w:r>
    </w:p>
    <w:p w14:paraId="25847700" w14:textId="77777777" w:rsidR="00180E7C" w:rsidRDefault="00000000">
      <w:pPr>
        <w:pStyle w:val="Heading2"/>
      </w:pPr>
      <w:bookmarkStart w:id="539" w:name="a.2-master-alphabetical-register"/>
      <w:bookmarkEnd w:id="538"/>
      <w:r>
        <w:t>A.2 Master Alphabetical Register</w:t>
      </w:r>
    </w:p>
    <w:tbl>
      <w:tblPr>
        <w:tblStyle w:val="Table"/>
        <w:tblW w:w="5000" w:type="pct"/>
        <w:tblLook w:val="0020" w:firstRow="1" w:lastRow="0" w:firstColumn="0" w:lastColumn="0" w:noHBand="0" w:noVBand="0"/>
      </w:tblPr>
      <w:tblGrid>
        <w:gridCol w:w="2469"/>
        <w:gridCol w:w="5805"/>
        <w:gridCol w:w="1302"/>
      </w:tblGrid>
      <w:tr w:rsidR="00180E7C" w14:paraId="4411443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5D5F478" w14:textId="77777777" w:rsidR="00180E7C" w:rsidRDefault="00000000">
            <w:pPr>
              <w:pStyle w:val="Compact"/>
            </w:pPr>
            <w:r>
              <w:t>Term</w:t>
            </w:r>
          </w:p>
        </w:tc>
        <w:tc>
          <w:tcPr>
            <w:tcW w:w="0" w:type="auto"/>
          </w:tcPr>
          <w:p w14:paraId="5C1085A5" w14:textId="77777777" w:rsidR="00180E7C" w:rsidRDefault="00000000">
            <w:pPr>
              <w:pStyle w:val="Compact"/>
            </w:pPr>
            <w:r>
              <w:t>Definition</w:t>
            </w:r>
          </w:p>
        </w:tc>
        <w:tc>
          <w:tcPr>
            <w:tcW w:w="0" w:type="auto"/>
          </w:tcPr>
          <w:p w14:paraId="00E3F3EC" w14:textId="77777777" w:rsidR="00180E7C" w:rsidRDefault="00000000">
            <w:pPr>
              <w:pStyle w:val="Compact"/>
            </w:pPr>
            <w:r>
              <w:t>Source</w:t>
            </w:r>
          </w:p>
        </w:tc>
      </w:tr>
      <w:tr w:rsidR="00180E7C" w14:paraId="5D0FB6AF" w14:textId="77777777">
        <w:tc>
          <w:tcPr>
            <w:tcW w:w="0" w:type="auto"/>
          </w:tcPr>
          <w:p w14:paraId="657263D1" w14:textId="77777777" w:rsidR="00180E7C" w:rsidRDefault="00000000">
            <w:pPr>
              <w:pStyle w:val="Compact"/>
            </w:pPr>
            <w:r>
              <w:t>Accession</w:t>
            </w:r>
          </w:p>
        </w:tc>
        <w:tc>
          <w:tcPr>
            <w:tcW w:w="0" w:type="auto"/>
          </w:tcPr>
          <w:p w14:paraId="706C47ED" w14:textId="77777777" w:rsidR="00180E7C" w:rsidRDefault="00000000">
            <w:pPr>
              <w:pStyle w:val="Compact"/>
            </w:pPr>
            <w:r>
              <w:t>The act by which a Gulf littoral state or invited regional state joins a specified instrument of this Treaty under its accession provisions.</w:t>
            </w:r>
          </w:p>
        </w:tc>
        <w:tc>
          <w:tcPr>
            <w:tcW w:w="0" w:type="auto"/>
          </w:tcPr>
          <w:p w14:paraId="05104ABC" w14:textId="77777777" w:rsidR="00180E7C" w:rsidRDefault="00000000">
            <w:pPr>
              <w:pStyle w:val="Compact"/>
            </w:pPr>
            <w:r>
              <w:t>Art. 43.6</w:t>
            </w:r>
          </w:p>
        </w:tc>
      </w:tr>
      <w:tr w:rsidR="00180E7C" w14:paraId="47EBA8BC" w14:textId="77777777">
        <w:tc>
          <w:tcPr>
            <w:tcW w:w="0" w:type="auto"/>
          </w:tcPr>
          <w:p w14:paraId="3EE02DBE" w14:textId="77777777" w:rsidR="00180E7C" w:rsidRDefault="00000000">
            <w:pPr>
              <w:pStyle w:val="Compact"/>
            </w:pPr>
            <w:r>
              <w:t>Active Points</w:t>
            </w:r>
          </w:p>
        </w:tc>
        <w:tc>
          <w:tcPr>
            <w:tcW w:w="0" w:type="auto"/>
          </w:tcPr>
          <w:p w14:paraId="3947A784" w14:textId="77777777" w:rsidR="00180E7C" w:rsidRDefault="00000000">
            <w:pPr>
              <w:pStyle w:val="Compact"/>
            </w:pPr>
            <w:r>
              <w:t>Demerit points assessed within the preceding 180 days that count toward escalation thresholds.</w:t>
            </w:r>
          </w:p>
        </w:tc>
        <w:tc>
          <w:tcPr>
            <w:tcW w:w="0" w:type="auto"/>
          </w:tcPr>
          <w:p w14:paraId="0CF25676" w14:textId="77777777" w:rsidR="00180E7C" w:rsidRDefault="00000000">
            <w:pPr>
              <w:pStyle w:val="Compact"/>
            </w:pPr>
            <w:r>
              <w:t>Annex D, 3.2</w:t>
            </w:r>
          </w:p>
        </w:tc>
      </w:tr>
      <w:tr w:rsidR="00180E7C" w14:paraId="0293D7E0" w14:textId="77777777">
        <w:tc>
          <w:tcPr>
            <w:tcW w:w="0" w:type="auto"/>
          </w:tcPr>
          <w:p w14:paraId="36B51328" w14:textId="77777777" w:rsidR="00180E7C" w:rsidRDefault="00000000">
            <w:pPr>
              <w:pStyle w:val="Compact"/>
            </w:pPr>
            <w:r>
              <w:t>Air Coordination Cell</w:t>
            </w:r>
          </w:p>
        </w:tc>
        <w:tc>
          <w:tcPr>
            <w:tcW w:w="0" w:type="auto"/>
          </w:tcPr>
          <w:p w14:paraId="5BACBDB8" w14:textId="77777777" w:rsidR="00180E7C" w:rsidRDefault="00000000">
            <w:pPr>
              <w:pStyle w:val="Compact"/>
            </w:pPr>
            <w:r>
              <w:t>The airspace deconfliction organ within JOC-Muscat with mirror at JOC-Doha.</w:t>
            </w:r>
          </w:p>
        </w:tc>
        <w:tc>
          <w:tcPr>
            <w:tcW w:w="0" w:type="auto"/>
          </w:tcPr>
          <w:p w14:paraId="0CF73408" w14:textId="77777777" w:rsidR="00180E7C" w:rsidRDefault="00000000">
            <w:pPr>
              <w:pStyle w:val="Compact"/>
            </w:pPr>
            <w:r>
              <w:t>Art. 19.5</w:t>
            </w:r>
          </w:p>
        </w:tc>
      </w:tr>
      <w:tr w:rsidR="00180E7C" w14:paraId="0B33DD80" w14:textId="77777777">
        <w:tc>
          <w:tcPr>
            <w:tcW w:w="0" w:type="auto"/>
          </w:tcPr>
          <w:p w14:paraId="7CCD4BFE" w14:textId="77777777" w:rsidR="00180E7C" w:rsidRDefault="00000000">
            <w:pPr>
              <w:pStyle w:val="Compact"/>
            </w:pPr>
            <w:r>
              <w:t>Anomaly</w:t>
            </w:r>
          </w:p>
        </w:tc>
        <w:tc>
          <w:tcPr>
            <w:tcW w:w="0" w:type="auto"/>
          </w:tcPr>
          <w:p w14:paraId="6AE94223" w14:textId="77777777" w:rsidR="00180E7C" w:rsidRDefault="00000000">
            <w:pPr>
              <w:pStyle w:val="Compact"/>
            </w:pPr>
            <w:r>
              <w:t>A deviation registered by the monitoring architecture, classified Level 1 through Level 4.</w:t>
            </w:r>
          </w:p>
        </w:tc>
        <w:tc>
          <w:tcPr>
            <w:tcW w:w="0" w:type="auto"/>
          </w:tcPr>
          <w:p w14:paraId="119B3B05" w14:textId="77777777" w:rsidR="00180E7C" w:rsidRDefault="00000000">
            <w:pPr>
              <w:pStyle w:val="Compact"/>
            </w:pPr>
            <w:r>
              <w:t>Annex C, 6.1</w:t>
            </w:r>
          </w:p>
        </w:tc>
      </w:tr>
      <w:tr w:rsidR="00180E7C" w14:paraId="7466634F" w14:textId="77777777">
        <w:tc>
          <w:tcPr>
            <w:tcW w:w="0" w:type="auto"/>
          </w:tcPr>
          <w:p w14:paraId="5FC53131" w14:textId="77777777" w:rsidR="00180E7C" w:rsidRDefault="00000000">
            <w:pPr>
              <w:pStyle w:val="Compact"/>
            </w:pPr>
            <w:r>
              <w:t>Anomaly Response Playbook</w:t>
            </w:r>
          </w:p>
        </w:tc>
        <w:tc>
          <w:tcPr>
            <w:tcW w:w="0" w:type="auto"/>
          </w:tcPr>
          <w:p w14:paraId="2AFD1FC2" w14:textId="77777777" w:rsidR="00180E7C" w:rsidRDefault="00000000">
            <w:pPr>
              <w:pStyle w:val="Compact"/>
            </w:pPr>
            <w:r>
              <w:t>The binding response sequence activating upon Level 3 or Level 4 alerts.</w:t>
            </w:r>
          </w:p>
        </w:tc>
        <w:tc>
          <w:tcPr>
            <w:tcW w:w="0" w:type="auto"/>
          </w:tcPr>
          <w:p w14:paraId="4BB83216" w14:textId="77777777" w:rsidR="00180E7C" w:rsidRDefault="00000000">
            <w:pPr>
              <w:pStyle w:val="Compact"/>
            </w:pPr>
            <w:r>
              <w:t>Annex C, 6.2</w:t>
            </w:r>
          </w:p>
        </w:tc>
      </w:tr>
      <w:tr w:rsidR="00180E7C" w14:paraId="4701BE76" w14:textId="77777777">
        <w:tc>
          <w:tcPr>
            <w:tcW w:w="0" w:type="auto"/>
          </w:tcPr>
          <w:p w14:paraId="16FCCE6E" w14:textId="77777777" w:rsidR="00180E7C" w:rsidRDefault="00000000">
            <w:pPr>
              <w:pStyle w:val="Compact"/>
            </w:pPr>
            <w:r>
              <w:t>Arbitration Tribunal</w:t>
            </w:r>
          </w:p>
        </w:tc>
        <w:tc>
          <w:tcPr>
            <w:tcW w:w="0" w:type="auto"/>
          </w:tcPr>
          <w:p w14:paraId="7B8807D5" w14:textId="77777777" w:rsidR="00180E7C" w:rsidRDefault="00000000">
            <w:pPr>
              <w:pStyle w:val="Compact"/>
            </w:pPr>
            <w:r>
              <w:t>The standing arbitral mechanism of Annex O.</w:t>
            </w:r>
          </w:p>
        </w:tc>
        <w:tc>
          <w:tcPr>
            <w:tcW w:w="0" w:type="auto"/>
          </w:tcPr>
          <w:p w14:paraId="2CA16739" w14:textId="77777777" w:rsidR="00180E7C" w:rsidRDefault="00000000">
            <w:pPr>
              <w:pStyle w:val="Compact"/>
            </w:pPr>
            <w:r>
              <w:t>Art. 69.4</w:t>
            </w:r>
          </w:p>
        </w:tc>
      </w:tr>
      <w:tr w:rsidR="00180E7C" w14:paraId="439043DD" w14:textId="77777777">
        <w:tc>
          <w:tcPr>
            <w:tcW w:w="0" w:type="auto"/>
          </w:tcPr>
          <w:p w14:paraId="28F49D05" w14:textId="77777777" w:rsidR="00180E7C" w:rsidRDefault="00000000">
            <w:pPr>
              <w:pStyle w:val="Compact"/>
            </w:pPr>
            <w:r>
              <w:t>Authority</w:t>
            </w:r>
          </w:p>
        </w:tc>
        <w:tc>
          <w:tcPr>
            <w:tcW w:w="0" w:type="auto"/>
          </w:tcPr>
          <w:p w14:paraId="4B388EB9" w14:textId="77777777" w:rsidR="00180E7C" w:rsidRDefault="00000000">
            <w:pPr>
              <w:pStyle w:val="Compact"/>
            </w:pPr>
            <w:r>
              <w:t>The Hormuz Authority established by Article 31.</w:t>
            </w:r>
          </w:p>
        </w:tc>
        <w:tc>
          <w:tcPr>
            <w:tcW w:w="0" w:type="auto"/>
          </w:tcPr>
          <w:p w14:paraId="53C83B1A" w14:textId="77777777" w:rsidR="00180E7C" w:rsidRDefault="00000000">
            <w:pPr>
              <w:pStyle w:val="Compact"/>
            </w:pPr>
            <w:r>
              <w:t>Art. 0.4.6</w:t>
            </w:r>
          </w:p>
        </w:tc>
      </w:tr>
      <w:tr w:rsidR="00180E7C" w14:paraId="063BC192" w14:textId="77777777">
        <w:tc>
          <w:tcPr>
            <w:tcW w:w="0" w:type="auto"/>
          </w:tcPr>
          <w:p w14:paraId="108852F3" w14:textId="77777777" w:rsidR="00180E7C" w:rsidRDefault="00000000">
            <w:pPr>
              <w:pStyle w:val="Compact"/>
            </w:pPr>
            <w:r>
              <w:t>Authority Council</w:t>
            </w:r>
          </w:p>
        </w:tc>
        <w:tc>
          <w:tcPr>
            <w:tcW w:w="0" w:type="auto"/>
          </w:tcPr>
          <w:p w14:paraId="58E2E9B3" w14:textId="77777777" w:rsidR="00180E7C" w:rsidRDefault="00000000">
            <w:pPr>
              <w:pStyle w:val="Compact"/>
            </w:pPr>
            <w:r>
              <w:t>The directing organ of the Hormuz Authority.</w:t>
            </w:r>
          </w:p>
        </w:tc>
        <w:tc>
          <w:tcPr>
            <w:tcW w:w="0" w:type="auto"/>
          </w:tcPr>
          <w:p w14:paraId="142C656D" w14:textId="77777777" w:rsidR="00180E7C" w:rsidRDefault="00000000">
            <w:pPr>
              <w:pStyle w:val="Compact"/>
            </w:pPr>
            <w:r>
              <w:t>Art. 31.3.1</w:t>
            </w:r>
          </w:p>
        </w:tc>
      </w:tr>
      <w:tr w:rsidR="00180E7C" w14:paraId="69A8FE1B" w14:textId="77777777">
        <w:tc>
          <w:tcPr>
            <w:tcW w:w="0" w:type="auto"/>
          </w:tcPr>
          <w:p w14:paraId="3D7DAFA4" w14:textId="77777777" w:rsidR="00180E7C" w:rsidRDefault="00000000">
            <w:pPr>
              <w:pStyle w:val="Compact"/>
            </w:pPr>
            <w:r>
              <w:t>Baseline</w:t>
            </w:r>
          </w:p>
        </w:tc>
        <w:tc>
          <w:tcPr>
            <w:tcW w:w="0" w:type="auto"/>
          </w:tcPr>
          <w:p w14:paraId="19C809DC" w14:textId="77777777" w:rsidR="00180E7C" w:rsidRDefault="00000000">
            <w:pPr>
              <w:pStyle w:val="Compact"/>
            </w:pPr>
            <w:r>
              <w:t>The Verified Baseline Order of Battle of Annex P, Schedule P-2.</w:t>
            </w:r>
          </w:p>
        </w:tc>
        <w:tc>
          <w:tcPr>
            <w:tcW w:w="0" w:type="auto"/>
          </w:tcPr>
          <w:p w14:paraId="2A2F0A40" w14:textId="77777777" w:rsidR="00180E7C" w:rsidRDefault="00000000">
            <w:pPr>
              <w:pStyle w:val="Compact"/>
            </w:pPr>
            <w:r>
              <w:t>Art. 16.1</w:t>
            </w:r>
          </w:p>
        </w:tc>
      </w:tr>
      <w:tr w:rsidR="00180E7C" w14:paraId="407F9628" w14:textId="77777777">
        <w:tc>
          <w:tcPr>
            <w:tcW w:w="0" w:type="auto"/>
          </w:tcPr>
          <w:p w14:paraId="13294F3E" w14:textId="77777777" w:rsidR="00180E7C" w:rsidRDefault="00000000">
            <w:pPr>
              <w:pStyle w:val="Compact"/>
            </w:pPr>
            <w:r>
              <w:t>Blue Line</w:t>
            </w:r>
          </w:p>
        </w:tc>
        <w:tc>
          <w:tcPr>
            <w:tcW w:w="0" w:type="auto"/>
          </w:tcPr>
          <w:p w14:paraId="32D1B38C" w14:textId="77777777" w:rsidR="00180E7C" w:rsidRDefault="00000000">
            <w:pPr>
              <w:pStyle w:val="Compact"/>
            </w:pPr>
            <w:r>
              <w:t>The line of withdrawal between Lebanon and Israel as verified by the United Nations.</w:t>
            </w:r>
          </w:p>
        </w:tc>
        <w:tc>
          <w:tcPr>
            <w:tcW w:w="0" w:type="auto"/>
          </w:tcPr>
          <w:p w14:paraId="31E1DA47" w14:textId="77777777" w:rsidR="00180E7C" w:rsidRDefault="00000000">
            <w:pPr>
              <w:pStyle w:val="Compact"/>
            </w:pPr>
            <w:r>
              <w:t>Art. 76.5</w:t>
            </w:r>
          </w:p>
        </w:tc>
      </w:tr>
      <w:tr w:rsidR="00180E7C" w14:paraId="4FE1B671" w14:textId="77777777">
        <w:tc>
          <w:tcPr>
            <w:tcW w:w="0" w:type="auto"/>
          </w:tcPr>
          <w:p w14:paraId="79B0577E" w14:textId="77777777" w:rsidR="00180E7C" w:rsidRDefault="00000000">
            <w:pPr>
              <w:pStyle w:val="Compact"/>
            </w:pPr>
            <w:r>
              <w:t>Breakout Floor</w:t>
            </w:r>
          </w:p>
        </w:tc>
        <w:tc>
          <w:tcPr>
            <w:tcW w:w="0" w:type="auto"/>
          </w:tcPr>
          <w:p w14:paraId="7D196A3E" w14:textId="77777777" w:rsidR="00180E7C" w:rsidRDefault="00000000">
            <w:pPr>
              <w:pStyle w:val="Compact"/>
            </w:pPr>
            <w:r>
              <w:t>The minimum verified time to one significant quantity of weapons-grade uranium, set at twelve months.</w:t>
            </w:r>
          </w:p>
        </w:tc>
        <w:tc>
          <w:tcPr>
            <w:tcW w:w="0" w:type="auto"/>
          </w:tcPr>
          <w:p w14:paraId="530DB4E6" w14:textId="77777777" w:rsidR="00180E7C" w:rsidRDefault="00000000">
            <w:pPr>
              <w:pStyle w:val="Compact"/>
            </w:pPr>
            <w:r>
              <w:t>Art. 0.4.9</w:t>
            </w:r>
          </w:p>
        </w:tc>
      </w:tr>
      <w:tr w:rsidR="00180E7C" w14:paraId="5B80D052" w14:textId="77777777">
        <w:tc>
          <w:tcPr>
            <w:tcW w:w="0" w:type="auto"/>
          </w:tcPr>
          <w:p w14:paraId="2120F38E" w14:textId="77777777" w:rsidR="00180E7C" w:rsidRDefault="00000000">
            <w:pPr>
              <w:pStyle w:val="Compact"/>
            </w:pPr>
            <w:r>
              <w:t>Buffer Corridor</w:t>
            </w:r>
          </w:p>
        </w:tc>
        <w:tc>
          <w:tcPr>
            <w:tcW w:w="0" w:type="auto"/>
          </w:tcPr>
          <w:p w14:paraId="082C54A6" w14:textId="77777777" w:rsidR="00180E7C" w:rsidRDefault="00000000">
            <w:pPr>
              <w:pStyle w:val="Compact"/>
            </w:pPr>
            <w:r>
              <w:t>Corridor Three of the four-corridor system.</w:t>
            </w:r>
          </w:p>
        </w:tc>
        <w:tc>
          <w:tcPr>
            <w:tcW w:w="0" w:type="auto"/>
          </w:tcPr>
          <w:p w14:paraId="27B8116A" w14:textId="77777777" w:rsidR="00180E7C" w:rsidRDefault="00000000">
            <w:pPr>
              <w:pStyle w:val="Compact"/>
            </w:pPr>
            <w:r>
              <w:t>Art. 32.1.1</w:t>
            </w:r>
          </w:p>
        </w:tc>
      </w:tr>
      <w:tr w:rsidR="00180E7C" w14:paraId="3C3F81FC" w14:textId="77777777">
        <w:tc>
          <w:tcPr>
            <w:tcW w:w="0" w:type="auto"/>
          </w:tcPr>
          <w:p w14:paraId="77C4B832" w14:textId="77777777" w:rsidR="00180E7C" w:rsidRDefault="00000000">
            <w:pPr>
              <w:pStyle w:val="Compact"/>
            </w:pPr>
            <w:r>
              <w:t>Business Day</w:t>
            </w:r>
          </w:p>
        </w:tc>
        <w:tc>
          <w:tcPr>
            <w:tcW w:w="0" w:type="auto"/>
          </w:tcPr>
          <w:p w14:paraId="50DB5145" w14:textId="77777777" w:rsidR="00180E7C" w:rsidRDefault="00000000">
            <w:pPr>
              <w:pStyle w:val="Compact"/>
            </w:pPr>
            <w:r>
              <w:t xml:space="preserve">A day other than Saturday, Sunday, or a public holiday </w:t>
            </w:r>
            <w:r>
              <w:lastRenderedPageBreak/>
              <w:t>at the place of performance.</w:t>
            </w:r>
          </w:p>
        </w:tc>
        <w:tc>
          <w:tcPr>
            <w:tcW w:w="0" w:type="auto"/>
          </w:tcPr>
          <w:p w14:paraId="08C9AEB1" w14:textId="77777777" w:rsidR="00180E7C" w:rsidRDefault="00000000">
            <w:pPr>
              <w:pStyle w:val="Compact"/>
            </w:pPr>
            <w:r>
              <w:lastRenderedPageBreak/>
              <w:t>Art. 0.4.25</w:t>
            </w:r>
          </w:p>
        </w:tc>
      </w:tr>
      <w:tr w:rsidR="00180E7C" w14:paraId="25240FE8" w14:textId="77777777">
        <w:tc>
          <w:tcPr>
            <w:tcW w:w="0" w:type="auto"/>
          </w:tcPr>
          <w:p w14:paraId="6B6A7789" w14:textId="77777777" w:rsidR="00180E7C" w:rsidRDefault="00000000">
            <w:pPr>
              <w:pStyle w:val="Compact"/>
            </w:pPr>
            <w:r>
              <w:t>Catalog</w:t>
            </w:r>
          </w:p>
        </w:tc>
        <w:tc>
          <w:tcPr>
            <w:tcW w:w="0" w:type="auto"/>
          </w:tcPr>
          <w:p w14:paraId="6E78BE8C" w14:textId="77777777" w:rsidR="00180E7C" w:rsidRDefault="00000000">
            <w:pPr>
              <w:pStyle w:val="Compact"/>
            </w:pPr>
            <w:r>
              <w:t>The Verified Services Catalog of Article 37 and Annex B, Section 9.</w:t>
            </w:r>
          </w:p>
        </w:tc>
        <w:tc>
          <w:tcPr>
            <w:tcW w:w="0" w:type="auto"/>
          </w:tcPr>
          <w:p w14:paraId="293303C3" w14:textId="77777777" w:rsidR="00180E7C" w:rsidRDefault="00000000">
            <w:pPr>
              <w:pStyle w:val="Compact"/>
            </w:pPr>
            <w:r>
              <w:t>Art. 0.4.24</w:t>
            </w:r>
          </w:p>
        </w:tc>
      </w:tr>
      <w:tr w:rsidR="00180E7C" w14:paraId="7440D0B0" w14:textId="77777777">
        <w:tc>
          <w:tcPr>
            <w:tcW w:w="0" w:type="auto"/>
          </w:tcPr>
          <w:p w14:paraId="7382F65E" w14:textId="77777777" w:rsidR="00180E7C" w:rsidRDefault="00000000">
            <w:pPr>
              <w:pStyle w:val="Compact"/>
            </w:pPr>
            <w:r>
              <w:t>Ceasefire Line</w:t>
            </w:r>
          </w:p>
        </w:tc>
        <w:tc>
          <w:tcPr>
            <w:tcW w:w="0" w:type="auto"/>
          </w:tcPr>
          <w:p w14:paraId="0232721B" w14:textId="77777777" w:rsidR="00180E7C" w:rsidRDefault="00000000">
            <w:pPr>
              <w:pStyle w:val="Compact"/>
            </w:pPr>
            <w:r>
              <w:t>The aggregate cessation obligations of Article 1.</w:t>
            </w:r>
          </w:p>
        </w:tc>
        <w:tc>
          <w:tcPr>
            <w:tcW w:w="0" w:type="auto"/>
          </w:tcPr>
          <w:p w14:paraId="64503652" w14:textId="77777777" w:rsidR="00180E7C" w:rsidRDefault="00000000">
            <w:pPr>
              <w:pStyle w:val="Compact"/>
            </w:pPr>
            <w:r>
              <w:t>Art. 0.4.4</w:t>
            </w:r>
          </w:p>
        </w:tc>
      </w:tr>
      <w:tr w:rsidR="00180E7C" w14:paraId="39172536" w14:textId="77777777">
        <w:tc>
          <w:tcPr>
            <w:tcW w:w="0" w:type="auto"/>
          </w:tcPr>
          <w:p w14:paraId="7592EC2A" w14:textId="77777777" w:rsidR="00180E7C" w:rsidRDefault="00000000">
            <w:pPr>
              <w:pStyle w:val="Compact"/>
            </w:pPr>
            <w:r>
              <w:t>Cell</w:t>
            </w:r>
          </w:p>
        </w:tc>
        <w:tc>
          <w:tcPr>
            <w:tcW w:w="0" w:type="auto"/>
          </w:tcPr>
          <w:p w14:paraId="207B0DC2" w14:textId="77777777" w:rsidR="00180E7C" w:rsidRDefault="00000000">
            <w:pPr>
              <w:pStyle w:val="Compact"/>
            </w:pPr>
            <w:r>
              <w:t>A Verification Cell of Article 33.</w:t>
            </w:r>
          </w:p>
        </w:tc>
        <w:tc>
          <w:tcPr>
            <w:tcW w:w="0" w:type="auto"/>
          </w:tcPr>
          <w:p w14:paraId="2BCB80C1" w14:textId="77777777" w:rsidR="00180E7C" w:rsidRDefault="00000000">
            <w:pPr>
              <w:pStyle w:val="Compact"/>
            </w:pPr>
            <w:r>
              <w:t>Art. 33.1</w:t>
            </w:r>
          </w:p>
        </w:tc>
      </w:tr>
      <w:tr w:rsidR="00180E7C" w14:paraId="6169F2A6" w14:textId="77777777">
        <w:tc>
          <w:tcPr>
            <w:tcW w:w="0" w:type="auto"/>
          </w:tcPr>
          <w:p w14:paraId="47FB4BD4" w14:textId="77777777" w:rsidR="00180E7C" w:rsidRDefault="00000000">
            <w:pPr>
              <w:pStyle w:val="Compact"/>
            </w:pPr>
            <w:r>
              <w:t>Certified</w:t>
            </w:r>
          </w:p>
        </w:tc>
        <w:tc>
          <w:tcPr>
            <w:tcW w:w="0" w:type="auto"/>
          </w:tcPr>
          <w:p w14:paraId="0E98DB3C" w14:textId="77777777" w:rsidR="00180E7C" w:rsidRDefault="00000000">
            <w:pPr>
              <w:pStyle w:val="Compact"/>
            </w:pPr>
            <w:r>
              <w:t>Issued by the Joint Monitoring Cell upon objective verification of a benchmark.</w:t>
            </w:r>
          </w:p>
        </w:tc>
        <w:tc>
          <w:tcPr>
            <w:tcW w:w="0" w:type="auto"/>
          </w:tcPr>
          <w:p w14:paraId="191F50C2" w14:textId="77777777" w:rsidR="00180E7C" w:rsidRDefault="00000000">
            <w:pPr>
              <w:pStyle w:val="Compact"/>
            </w:pPr>
            <w:r>
              <w:t>Art. 30.2</w:t>
            </w:r>
          </w:p>
        </w:tc>
      </w:tr>
      <w:tr w:rsidR="00180E7C" w14:paraId="3FF35D3A" w14:textId="77777777">
        <w:tc>
          <w:tcPr>
            <w:tcW w:w="0" w:type="auto"/>
          </w:tcPr>
          <w:p w14:paraId="388EB1C8" w14:textId="77777777" w:rsidR="00180E7C" w:rsidRDefault="00000000">
            <w:pPr>
              <w:pStyle w:val="Compact"/>
            </w:pPr>
            <w:r>
              <w:t>Claim</w:t>
            </w:r>
          </w:p>
        </w:tc>
        <w:tc>
          <w:tcPr>
            <w:tcW w:w="0" w:type="auto"/>
          </w:tcPr>
          <w:p w14:paraId="55471993" w14:textId="77777777" w:rsidR="00180E7C" w:rsidRDefault="00000000">
            <w:pPr>
              <w:pStyle w:val="Compact"/>
            </w:pPr>
            <w:r>
              <w:t>A structured compliance claim under Annex C, Section 8.</w:t>
            </w:r>
          </w:p>
        </w:tc>
        <w:tc>
          <w:tcPr>
            <w:tcW w:w="0" w:type="auto"/>
          </w:tcPr>
          <w:p w14:paraId="23AD0707" w14:textId="77777777" w:rsidR="00180E7C" w:rsidRDefault="00000000">
            <w:pPr>
              <w:pStyle w:val="Compact"/>
            </w:pPr>
            <w:r>
              <w:t>Art. 67.6</w:t>
            </w:r>
          </w:p>
        </w:tc>
      </w:tr>
      <w:tr w:rsidR="00180E7C" w14:paraId="5EEFFF72" w14:textId="77777777">
        <w:tc>
          <w:tcPr>
            <w:tcW w:w="0" w:type="auto"/>
          </w:tcPr>
          <w:p w14:paraId="764C510F" w14:textId="77777777" w:rsidR="00180E7C" w:rsidRDefault="00000000">
            <w:pPr>
              <w:pStyle w:val="Compact"/>
            </w:pPr>
            <w:r>
              <w:t>Coastal Air Identification Zone</w:t>
            </w:r>
          </w:p>
        </w:tc>
        <w:tc>
          <w:tcPr>
            <w:tcW w:w="0" w:type="auto"/>
          </w:tcPr>
          <w:p w14:paraId="68CEA83B" w14:textId="77777777" w:rsidR="00180E7C" w:rsidRDefault="00000000">
            <w:pPr>
              <w:pStyle w:val="Compact"/>
            </w:pPr>
            <w:r>
              <w:t>The sixty-nautical-mile identification zone of Article 19.2.</w:t>
            </w:r>
          </w:p>
        </w:tc>
        <w:tc>
          <w:tcPr>
            <w:tcW w:w="0" w:type="auto"/>
          </w:tcPr>
          <w:p w14:paraId="5B18BBF8" w14:textId="77777777" w:rsidR="00180E7C" w:rsidRDefault="00000000">
            <w:pPr>
              <w:pStyle w:val="Compact"/>
            </w:pPr>
            <w:r>
              <w:t>Art. 19.2</w:t>
            </w:r>
          </w:p>
        </w:tc>
      </w:tr>
      <w:tr w:rsidR="00180E7C" w14:paraId="3D444B71" w14:textId="77777777">
        <w:tc>
          <w:tcPr>
            <w:tcW w:w="0" w:type="auto"/>
          </w:tcPr>
          <w:p w14:paraId="382796E6" w14:textId="77777777" w:rsidR="00180E7C" w:rsidRDefault="00000000">
            <w:pPr>
              <w:pStyle w:val="Compact"/>
            </w:pPr>
            <w:r>
              <w:t>Coastal States</w:t>
            </w:r>
          </w:p>
        </w:tc>
        <w:tc>
          <w:tcPr>
            <w:tcW w:w="0" w:type="auto"/>
          </w:tcPr>
          <w:p w14:paraId="61D4D144" w14:textId="77777777" w:rsidR="00180E7C" w:rsidRDefault="00000000">
            <w:pPr>
              <w:pStyle w:val="Compact"/>
            </w:pPr>
            <w:r>
              <w:t>The Islamic Republic of Iran and the Sultanate of Oman, as the states bordering the Strait of Hormuz.</w:t>
            </w:r>
          </w:p>
        </w:tc>
        <w:tc>
          <w:tcPr>
            <w:tcW w:w="0" w:type="auto"/>
          </w:tcPr>
          <w:p w14:paraId="3C6D0421" w14:textId="77777777" w:rsidR="00180E7C" w:rsidRDefault="00000000">
            <w:pPr>
              <w:pStyle w:val="Compact"/>
            </w:pPr>
            <w:r>
              <w:t>Title III</w:t>
            </w:r>
          </w:p>
        </w:tc>
      </w:tr>
      <w:tr w:rsidR="00180E7C" w14:paraId="629D2A9B" w14:textId="77777777">
        <w:tc>
          <w:tcPr>
            <w:tcW w:w="0" w:type="auto"/>
          </w:tcPr>
          <w:p w14:paraId="000F05A5" w14:textId="77777777" w:rsidR="00180E7C" w:rsidRDefault="00000000">
            <w:pPr>
              <w:pStyle w:val="Compact"/>
            </w:pPr>
            <w:r>
              <w:t>Contribution Program</w:t>
            </w:r>
          </w:p>
        </w:tc>
        <w:tc>
          <w:tcPr>
            <w:tcW w:w="0" w:type="auto"/>
          </w:tcPr>
          <w:p w14:paraId="5B584B61" w14:textId="77777777" w:rsidR="00180E7C" w:rsidRDefault="00000000">
            <w:pPr>
              <w:pStyle w:val="Compact"/>
            </w:pPr>
            <w:r>
              <w:t>The Maritime Safety Contribution Program of Article 37.3.</w:t>
            </w:r>
          </w:p>
        </w:tc>
        <w:tc>
          <w:tcPr>
            <w:tcW w:w="0" w:type="auto"/>
          </w:tcPr>
          <w:p w14:paraId="6550AA2B" w14:textId="77777777" w:rsidR="00180E7C" w:rsidRDefault="00000000">
            <w:pPr>
              <w:pStyle w:val="Compact"/>
            </w:pPr>
            <w:r>
              <w:t>Art. 37.3</w:t>
            </w:r>
          </w:p>
        </w:tc>
      </w:tr>
      <w:tr w:rsidR="00180E7C" w14:paraId="5F1E0892" w14:textId="77777777">
        <w:tc>
          <w:tcPr>
            <w:tcW w:w="0" w:type="auto"/>
          </w:tcPr>
          <w:p w14:paraId="4278673B" w14:textId="77777777" w:rsidR="00180E7C" w:rsidRDefault="00000000">
            <w:pPr>
              <w:pStyle w:val="Compact"/>
            </w:pPr>
            <w:r>
              <w:t>Corridor</w:t>
            </w:r>
          </w:p>
        </w:tc>
        <w:tc>
          <w:tcPr>
            <w:tcW w:w="0" w:type="auto"/>
          </w:tcPr>
          <w:p w14:paraId="201D23FE" w14:textId="77777777" w:rsidR="00180E7C" w:rsidRDefault="00000000">
            <w:pPr>
              <w:pStyle w:val="Compact"/>
            </w:pPr>
            <w:r>
              <w:t>One of the four corridors of Article 32.</w:t>
            </w:r>
          </w:p>
        </w:tc>
        <w:tc>
          <w:tcPr>
            <w:tcW w:w="0" w:type="auto"/>
          </w:tcPr>
          <w:p w14:paraId="18FA8DC9" w14:textId="77777777" w:rsidR="00180E7C" w:rsidRDefault="00000000">
            <w:pPr>
              <w:pStyle w:val="Compact"/>
            </w:pPr>
            <w:r>
              <w:t>Art. 32.1</w:t>
            </w:r>
          </w:p>
        </w:tc>
      </w:tr>
      <w:tr w:rsidR="00180E7C" w14:paraId="735AFB10" w14:textId="77777777">
        <w:tc>
          <w:tcPr>
            <w:tcW w:w="0" w:type="auto"/>
          </w:tcPr>
          <w:p w14:paraId="1E3BBDDB" w14:textId="77777777" w:rsidR="00180E7C" w:rsidRDefault="00000000">
            <w:pPr>
              <w:pStyle w:val="Compact"/>
            </w:pPr>
            <w:r>
              <w:t>Cothrom Engine</w:t>
            </w:r>
          </w:p>
        </w:tc>
        <w:tc>
          <w:tcPr>
            <w:tcW w:w="0" w:type="auto"/>
          </w:tcPr>
          <w:p w14:paraId="74EF34DA" w14:textId="77777777" w:rsidR="00180E7C" w:rsidRDefault="00000000">
            <w:pPr>
              <w:pStyle w:val="Compact"/>
            </w:pPr>
            <w:r>
              <w:t>The verification and proportional compliance architecture of Article 67 and Annex C.</w:t>
            </w:r>
          </w:p>
        </w:tc>
        <w:tc>
          <w:tcPr>
            <w:tcW w:w="0" w:type="auto"/>
          </w:tcPr>
          <w:p w14:paraId="17CB752D" w14:textId="77777777" w:rsidR="00180E7C" w:rsidRDefault="00000000">
            <w:pPr>
              <w:pStyle w:val="Compact"/>
            </w:pPr>
            <w:r>
              <w:t>Art. 0.4.12</w:t>
            </w:r>
          </w:p>
        </w:tc>
      </w:tr>
      <w:tr w:rsidR="00180E7C" w14:paraId="4A43FC8C" w14:textId="77777777">
        <w:tc>
          <w:tcPr>
            <w:tcW w:w="0" w:type="auto"/>
          </w:tcPr>
          <w:p w14:paraId="045E8C1A" w14:textId="77777777" w:rsidR="00180E7C" w:rsidRDefault="00000000">
            <w:pPr>
              <w:pStyle w:val="Compact"/>
            </w:pPr>
            <w:r>
              <w:t>Covered Nuclear Material</w:t>
            </w:r>
          </w:p>
        </w:tc>
        <w:tc>
          <w:tcPr>
            <w:tcW w:w="0" w:type="auto"/>
          </w:tcPr>
          <w:p w14:paraId="3A317B84" w14:textId="77777777" w:rsidR="00180E7C" w:rsidRDefault="00000000">
            <w:pPr>
              <w:pStyle w:val="Compact"/>
            </w:pPr>
            <w:r>
              <w:t>All uranium above 0.711 percent U-235 under Iranian jurisdiction or control, per the inventory of Annex F, Schedule F-1.</w:t>
            </w:r>
          </w:p>
        </w:tc>
        <w:tc>
          <w:tcPr>
            <w:tcW w:w="0" w:type="auto"/>
          </w:tcPr>
          <w:p w14:paraId="175C4807" w14:textId="77777777" w:rsidR="00180E7C" w:rsidRDefault="00000000">
            <w:pPr>
              <w:pStyle w:val="Compact"/>
            </w:pPr>
            <w:r>
              <w:t>Art. 0.4.7</w:t>
            </w:r>
          </w:p>
        </w:tc>
      </w:tr>
      <w:tr w:rsidR="00180E7C" w14:paraId="276540E3" w14:textId="77777777">
        <w:tc>
          <w:tcPr>
            <w:tcW w:w="0" w:type="auto"/>
          </w:tcPr>
          <w:p w14:paraId="2D3C760E" w14:textId="77777777" w:rsidR="00180E7C" w:rsidRDefault="00000000">
            <w:pPr>
              <w:pStyle w:val="Compact"/>
            </w:pPr>
            <w:r>
              <w:t>Day 0</w:t>
            </w:r>
          </w:p>
        </w:tc>
        <w:tc>
          <w:tcPr>
            <w:tcW w:w="0" w:type="auto"/>
          </w:tcPr>
          <w:p w14:paraId="0389BFD8" w14:textId="77777777" w:rsidR="00180E7C" w:rsidRDefault="00000000">
            <w:pPr>
              <w:pStyle w:val="Compact"/>
            </w:pPr>
            <w:r>
              <w:t>The date of Entry into Force.</w:t>
            </w:r>
          </w:p>
        </w:tc>
        <w:tc>
          <w:tcPr>
            <w:tcW w:w="0" w:type="auto"/>
          </w:tcPr>
          <w:p w14:paraId="56918341" w14:textId="77777777" w:rsidR="00180E7C" w:rsidRDefault="00000000">
            <w:pPr>
              <w:pStyle w:val="Compact"/>
            </w:pPr>
            <w:r>
              <w:t>Art. 0.4.3</w:t>
            </w:r>
          </w:p>
        </w:tc>
      </w:tr>
      <w:tr w:rsidR="00180E7C" w14:paraId="46B1BC0B" w14:textId="77777777">
        <w:tc>
          <w:tcPr>
            <w:tcW w:w="0" w:type="auto"/>
          </w:tcPr>
          <w:p w14:paraId="727709FF" w14:textId="77777777" w:rsidR="00180E7C" w:rsidRDefault="00000000">
            <w:pPr>
              <w:pStyle w:val="Compact"/>
            </w:pPr>
            <w:r>
              <w:t>Deconfliction Belt</w:t>
            </w:r>
          </w:p>
        </w:tc>
        <w:tc>
          <w:tcPr>
            <w:tcW w:w="0" w:type="auto"/>
          </w:tcPr>
          <w:p w14:paraId="5BC76B0E" w14:textId="77777777" w:rsidR="00180E7C" w:rsidRDefault="00000000">
            <w:pPr>
              <w:pStyle w:val="Compact"/>
            </w:pPr>
            <w:r>
              <w:t>The ten-nautical-mile zone around Authority monitoring platforms.</w:t>
            </w:r>
          </w:p>
        </w:tc>
        <w:tc>
          <w:tcPr>
            <w:tcW w:w="0" w:type="auto"/>
          </w:tcPr>
          <w:p w14:paraId="0C62D5D3" w14:textId="77777777" w:rsidR="00180E7C" w:rsidRDefault="00000000">
            <w:pPr>
              <w:pStyle w:val="Compact"/>
            </w:pPr>
            <w:r>
              <w:t>Art. 17.1.2</w:t>
            </w:r>
          </w:p>
        </w:tc>
      </w:tr>
      <w:tr w:rsidR="00180E7C" w14:paraId="77DDF08C" w14:textId="77777777">
        <w:tc>
          <w:tcPr>
            <w:tcW w:w="0" w:type="auto"/>
          </w:tcPr>
          <w:p w14:paraId="2B87DB46" w14:textId="77777777" w:rsidR="00180E7C" w:rsidRDefault="00000000">
            <w:pPr>
              <w:pStyle w:val="Compact"/>
            </w:pPr>
            <w:r>
              <w:t>Demerit Point</w:t>
            </w:r>
          </w:p>
        </w:tc>
        <w:tc>
          <w:tcPr>
            <w:tcW w:w="0" w:type="auto"/>
          </w:tcPr>
          <w:p w14:paraId="15F3C7C7" w14:textId="77777777" w:rsidR="00180E7C" w:rsidRDefault="00000000">
            <w:pPr>
              <w:pStyle w:val="Compact"/>
            </w:pPr>
            <w:r>
              <w:t>A point assessed against a verified violation per Annex D.</w:t>
            </w:r>
          </w:p>
        </w:tc>
        <w:tc>
          <w:tcPr>
            <w:tcW w:w="0" w:type="auto"/>
          </w:tcPr>
          <w:p w14:paraId="4443CB60" w14:textId="77777777" w:rsidR="00180E7C" w:rsidRDefault="00000000">
            <w:pPr>
              <w:pStyle w:val="Compact"/>
            </w:pPr>
            <w:r>
              <w:t>Art. 67.7</w:t>
            </w:r>
          </w:p>
        </w:tc>
      </w:tr>
      <w:tr w:rsidR="00180E7C" w14:paraId="59DE8002" w14:textId="77777777">
        <w:tc>
          <w:tcPr>
            <w:tcW w:w="0" w:type="auto"/>
          </w:tcPr>
          <w:p w14:paraId="1862206D" w14:textId="77777777" w:rsidR="00180E7C" w:rsidRDefault="00000000">
            <w:pPr>
              <w:pStyle w:val="Compact"/>
            </w:pPr>
            <w:r>
              <w:t>Depositary</w:t>
            </w:r>
          </w:p>
        </w:tc>
        <w:tc>
          <w:tcPr>
            <w:tcW w:w="0" w:type="auto"/>
          </w:tcPr>
          <w:p w14:paraId="0782A8ED" w14:textId="77777777" w:rsidR="00180E7C" w:rsidRDefault="00000000">
            <w:pPr>
              <w:pStyle w:val="Compact"/>
            </w:pPr>
            <w:r>
              <w:t>The Secretary-General of the United Nations.</w:t>
            </w:r>
          </w:p>
        </w:tc>
        <w:tc>
          <w:tcPr>
            <w:tcW w:w="0" w:type="auto"/>
          </w:tcPr>
          <w:p w14:paraId="3A974FD5" w14:textId="77777777" w:rsidR="00180E7C" w:rsidRDefault="00000000">
            <w:pPr>
              <w:pStyle w:val="Compact"/>
            </w:pPr>
            <w:r>
              <w:t>Art. 14.1</w:t>
            </w:r>
          </w:p>
        </w:tc>
      </w:tr>
      <w:tr w:rsidR="00180E7C" w14:paraId="15AA7ACC" w14:textId="77777777">
        <w:tc>
          <w:tcPr>
            <w:tcW w:w="0" w:type="auto"/>
          </w:tcPr>
          <w:p w14:paraId="47E1C091" w14:textId="77777777" w:rsidR="00180E7C" w:rsidRDefault="00000000">
            <w:pPr>
              <w:pStyle w:val="Compact"/>
            </w:pPr>
            <w:r>
              <w:t>Detention Review Panel</w:t>
            </w:r>
          </w:p>
        </w:tc>
        <w:tc>
          <w:tcPr>
            <w:tcW w:w="0" w:type="auto"/>
          </w:tcPr>
          <w:p w14:paraId="3AA54D79" w14:textId="77777777" w:rsidR="00180E7C" w:rsidRDefault="00000000">
            <w:pPr>
              <w:pStyle w:val="Compact"/>
            </w:pPr>
            <w:r>
              <w:t>The Legal Panel sitting in detention review under Article 45.3.</w:t>
            </w:r>
          </w:p>
        </w:tc>
        <w:tc>
          <w:tcPr>
            <w:tcW w:w="0" w:type="auto"/>
          </w:tcPr>
          <w:p w14:paraId="7299E9C7" w14:textId="77777777" w:rsidR="00180E7C" w:rsidRDefault="00000000">
            <w:pPr>
              <w:pStyle w:val="Compact"/>
            </w:pPr>
            <w:r>
              <w:t>Art. 45.3</w:t>
            </w:r>
          </w:p>
        </w:tc>
      </w:tr>
      <w:tr w:rsidR="00180E7C" w14:paraId="24E54AD2" w14:textId="77777777">
        <w:tc>
          <w:tcPr>
            <w:tcW w:w="0" w:type="auto"/>
          </w:tcPr>
          <w:p w14:paraId="48358F31" w14:textId="77777777" w:rsidR="00180E7C" w:rsidRDefault="00000000">
            <w:pPr>
              <w:pStyle w:val="Compact"/>
            </w:pPr>
            <w:r>
              <w:t>Down-Blending</w:t>
            </w:r>
          </w:p>
        </w:tc>
        <w:tc>
          <w:tcPr>
            <w:tcW w:w="0" w:type="auto"/>
          </w:tcPr>
          <w:p w14:paraId="49C335A6" w14:textId="77777777" w:rsidR="00180E7C" w:rsidRDefault="00000000">
            <w:pPr>
              <w:pStyle w:val="Compact"/>
            </w:pPr>
            <w:r>
              <w:t>Isotopic dilution of enriched uranium to the target assay, executed in Iran under continuous IAEA presence.</w:t>
            </w:r>
          </w:p>
        </w:tc>
        <w:tc>
          <w:tcPr>
            <w:tcW w:w="0" w:type="auto"/>
          </w:tcPr>
          <w:p w14:paraId="60EDFBE4" w14:textId="77777777" w:rsidR="00180E7C" w:rsidRDefault="00000000">
            <w:pPr>
              <w:pStyle w:val="Compact"/>
            </w:pPr>
            <w:r>
              <w:t>Art. 0.4.8</w:t>
            </w:r>
          </w:p>
        </w:tc>
      </w:tr>
      <w:tr w:rsidR="00180E7C" w14:paraId="4A413F53" w14:textId="77777777">
        <w:tc>
          <w:tcPr>
            <w:tcW w:w="0" w:type="auto"/>
          </w:tcPr>
          <w:p w14:paraId="0B7430D6" w14:textId="77777777" w:rsidR="00180E7C" w:rsidRDefault="00000000">
            <w:pPr>
              <w:pStyle w:val="Compact"/>
            </w:pPr>
            <w:r>
              <w:t>Down-Blending Facility</w:t>
            </w:r>
          </w:p>
        </w:tc>
        <w:tc>
          <w:tcPr>
            <w:tcW w:w="0" w:type="auto"/>
          </w:tcPr>
          <w:p w14:paraId="03822D5B" w14:textId="77777777" w:rsidR="00180E7C" w:rsidRDefault="00000000">
            <w:pPr>
              <w:pStyle w:val="Compact"/>
            </w:pPr>
            <w:r>
              <w:t>The Isfahan Down-Blending Facility of Annex F, Section 4.</w:t>
            </w:r>
          </w:p>
        </w:tc>
        <w:tc>
          <w:tcPr>
            <w:tcW w:w="0" w:type="auto"/>
          </w:tcPr>
          <w:p w14:paraId="3412A499" w14:textId="77777777" w:rsidR="00180E7C" w:rsidRDefault="00000000">
            <w:pPr>
              <w:pStyle w:val="Compact"/>
            </w:pPr>
            <w:r>
              <w:t>Art. 61.2.2</w:t>
            </w:r>
          </w:p>
        </w:tc>
      </w:tr>
      <w:tr w:rsidR="00180E7C" w14:paraId="195CEA80" w14:textId="77777777">
        <w:tc>
          <w:tcPr>
            <w:tcW w:w="0" w:type="auto"/>
          </w:tcPr>
          <w:p w14:paraId="44272067" w14:textId="77777777" w:rsidR="00180E7C" w:rsidRDefault="00000000">
            <w:pPr>
              <w:pStyle w:val="Compact"/>
            </w:pPr>
            <w:r>
              <w:t>Dual-Key Custody</w:t>
            </w:r>
          </w:p>
        </w:tc>
        <w:tc>
          <w:tcPr>
            <w:tcW w:w="0" w:type="auto"/>
          </w:tcPr>
          <w:p w14:paraId="2C12F3AC" w14:textId="77777777" w:rsidR="00180E7C" w:rsidRDefault="00000000">
            <w:pPr>
              <w:pStyle w:val="Compact"/>
            </w:pPr>
            <w:r>
              <w:t>Custody requiring concurrent IAEA seal and Iranian custodial action for access.</w:t>
            </w:r>
          </w:p>
        </w:tc>
        <w:tc>
          <w:tcPr>
            <w:tcW w:w="0" w:type="auto"/>
          </w:tcPr>
          <w:p w14:paraId="6E1AE8AB" w14:textId="77777777" w:rsidR="00180E7C" w:rsidRDefault="00000000">
            <w:pPr>
              <w:pStyle w:val="Compact"/>
            </w:pPr>
            <w:r>
              <w:t>Art. 61.3.1(d)</w:t>
            </w:r>
          </w:p>
        </w:tc>
      </w:tr>
      <w:tr w:rsidR="00180E7C" w14:paraId="72BFC528" w14:textId="77777777">
        <w:tc>
          <w:tcPr>
            <w:tcW w:w="0" w:type="auto"/>
          </w:tcPr>
          <w:p w14:paraId="1C9CE614" w14:textId="77777777" w:rsidR="00180E7C" w:rsidRDefault="00000000">
            <w:pPr>
              <w:pStyle w:val="Compact"/>
            </w:pPr>
            <w:r>
              <w:t>Earn-Back</w:t>
            </w:r>
          </w:p>
        </w:tc>
        <w:tc>
          <w:tcPr>
            <w:tcW w:w="0" w:type="auto"/>
          </w:tcPr>
          <w:p w14:paraId="4A333BDF" w14:textId="77777777" w:rsidR="00180E7C" w:rsidRDefault="00000000">
            <w:pPr>
              <w:pStyle w:val="Compact"/>
            </w:pPr>
            <w:r>
              <w:t>Automatic restoration of paused benefits upon verified remediation.</w:t>
            </w:r>
          </w:p>
        </w:tc>
        <w:tc>
          <w:tcPr>
            <w:tcW w:w="0" w:type="auto"/>
          </w:tcPr>
          <w:p w14:paraId="2A8CB31A" w14:textId="77777777" w:rsidR="00180E7C" w:rsidRDefault="00000000">
            <w:pPr>
              <w:pStyle w:val="Compact"/>
            </w:pPr>
            <w:r>
              <w:t>Art. 0.4.13</w:t>
            </w:r>
          </w:p>
        </w:tc>
      </w:tr>
      <w:tr w:rsidR="00180E7C" w14:paraId="48265ACD" w14:textId="77777777">
        <w:tc>
          <w:tcPr>
            <w:tcW w:w="0" w:type="auto"/>
          </w:tcPr>
          <w:p w14:paraId="41FB9222" w14:textId="77777777" w:rsidR="00180E7C" w:rsidRDefault="00000000">
            <w:pPr>
              <w:pStyle w:val="Compact"/>
            </w:pPr>
            <w:r>
              <w:t xml:space="preserve">Economic Monitoring </w:t>
            </w:r>
            <w:r>
              <w:lastRenderedPageBreak/>
              <w:t>Board</w:t>
            </w:r>
          </w:p>
        </w:tc>
        <w:tc>
          <w:tcPr>
            <w:tcW w:w="0" w:type="auto"/>
          </w:tcPr>
          <w:p w14:paraId="6B21ECE7" w14:textId="77777777" w:rsidR="00180E7C" w:rsidRDefault="00000000">
            <w:pPr>
              <w:pStyle w:val="Compact"/>
            </w:pPr>
            <w:r>
              <w:lastRenderedPageBreak/>
              <w:t xml:space="preserve">The economic oversight organ of Article 55 and Annex </w:t>
            </w:r>
            <w:r>
              <w:lastRenderedPageBreak/>
              <w:t>I, Section 7.</w:t>
            </w:r>
          </w:p>
        </w:tc>
        <w:tc>
          <w:tcPr>
            <w:tcW w:w="0" w:type="auto"/>
          </w:tcPr>
          <w:p w14:paraId="0F8A4FDC" w14:textId="77777777" w:rsidR="00180E7C" w:rsidRDefault="00000000">
            <w:pPr>
              <w:pStyle w:val="Compact"/>
            </w:pPr>
            <w:r>
              <w:lastRenderedPageBreak/>
              <w:t>Art. 55.1</w:t>
            </w:r>
          </w:p>
        </w:tc>
      </w:tr>
      <w:tr w:rsidR="00180E7C" w14:paraId="493A1F43" w14:textId="77777777">
        <w:tc>
          <w:tcPr>
            <w:tcW w:w="0" w:type="auto"/>
          </w:tcPr>
          <w:p w14:paraId="027646F0" w14:textId="77777777" w:rsidR="00180E7C" w:rsidRDefault="00000000">
            <w:pPr>
              <w:pStyle w:val="Compact"/>
            </w:pPr>
            <w:r>
              <w:t>Emergency Lane</w:t>
            </w:r>
          </w:p>
        </w:tc>
        <w:tc>
          <w:tcPr>
            <w:tcW w:w="0" w:type="auto"/>
          </w:tcPr>
          <w:p w14:paraId="0E8C1E36" w14:textId="77777777" w:rsidR="00180E7C" w:rsidRDefault="00000000">
            <w:pPr>
              <w:pStyle w:val="Compact"/>
            </w:pPr>
            <w:r>
              <w:t>Corridor Four of the four-corridor system.</w:t>
            </w:r>
          </w:p>
        </w:tc>
        <w:tc>
          <w:tcPr>
            <w:tcW w:w="0" w:type="auto"/>
          </w:tcPr>
          <w:p w14:paraId="306FB9DD" w14:textId="77777777" w:rsidR="00180E7C" w:rsidRDefault="00000000">
            <w:pPr>
              <w:pStyle w:val="Compact"/>
            </w:pPr>
            <w:r>
              <w:t>Art. 32.1.1</w:t>
            </w:r>
          </w:p>
        </w:tc>
      </w:tr>
      <w:tr w:rsidR="00180E7C" w14:paraId="3ABF628F" w14:textId="77777777">
        <w:tc>
          <w:tcPr>
            <w:tcW w:w="0" w:type="auto"/>
          </w:tcPr>
          <w:p w14:paraId="55CE2E39" w14:textId="77777777" w:rsidR="00180E7C" w:rsidRDefault="00000000">
            <w:pPr>
              <w:pStyle w:val="Compact"/>
            </w:pPr>
            <w:r>
              <w:t>Emergency Session</w:t>
            </w:r>
          </w:p>
        </w:tc>
        <w:tc>
          <w:tcPr>
            <w:tcW w:w="0" w:type="auto"/>
          </w:tcPr>
          <w:p w14:paraId="61D01539" w14:textId="77777777" w:rsidR="00180E7C" w:rsidRDefault="00000000">
            <w:pPr>
              <w:pStyle w:val="Compact"/>
            </w:pPr>
            <w:r>
              <w:t>The crisis session of the High Contracting Council under Article 29.1.</w:t>
            </w:r>
          </w:p>
        </w:tc>
        <w:tc>
          <w:tcPr>
            <w:tcW w:w="0" w:type="auto"/>
          </w:tcPr>
          <w:p w14:paraId="06CB27B8" w14:textId="77777777" w:rsidR="00180E7C" w:rsidRDefault="00000000">
            <w:pPr>
              <w:pStyle w:val="Compact"/>
            </w:pPr>
            <w:r>
              <w:t>Art. 29.1</w:t>
            </w:r>
          </w:p>
        </w:tc>
      </w:tr>
      <w:tr w:rsidR="00180E7C" w14:paraId="06B214F4" w14:textId="77777777">
        <w:tc>
          <w:tcPr>
            <w:tcW w:w="0" w:type="auto"/>
          </w:tcPr>
          <w:p w14:paraId="5B34E1F0" w14:textId="77777777" w:rsidR="00180E7C" w:rsidRDefault="00000000">
            <w:pPr>
              <w:pStyle w:val="Compact"/>
            </w:pPr>
            <w:r>
              <w:t>Entry into Force (EIF)</w:t>
            </w:r>
          </w:p>
        </w:tc>
        <w:tc>
          <w:tcPr>
            <w:tcW w:w="0" w:type="auto"/>
          </w:tcPr>
          <w:p w14:paraId="16CC93CD" w14:textId="77777777" w:rsidR="00180E7C" w:rsidRDefault="00000000">
            <w:pPr>
              <w:pStyle w:val="Compact"/>
            </w:pPr>
            <w:r>
              <w:t>The moment defined in Article 87.1.</w:t>
            </w:r>
          </w:p>
        </w:tc>
        <w:tc>
          <w:tcPr>
            <w:tcW w:w="0" w:type="auto"/>
          </w:tcPr>
          <w:p w14:paraId="414ECA42" w14:textId="77777777" w:rsidR="00180E7C" w:rsidRDefault="00000000">
            <w:pPr>
              <w:pStyle w:val="Compact"/>
            </w:pPr>
            <w:r>
              <w:t>Art. 0.4.3</w:t>
            </w:r>
          </w:p>
        </w:tc>
      </w:tr>
      <w:tr w:rsidR="00180E7C" w14:paraId="7C1362E5" w14:textId="77777777">
        <w:tc>
          <w:tcPr>
            <w:tcW w:w="0" w:type="auto"/>
          </w:tcPr>
          <w:p w14:paraId="78DA9959" w14:textId="77777777" w:rsidR="00180E7C" w:rsidRDefault="00000000">
            <w:pPr>
              <w:pStyle w:val="Compact"/>
            </w:pPr>
            <w:r>
              <w:t>Escrow Agent</w:t>
            </w:r>
          </w:p>
        </w:tc>
        <w:tc>
          <w:tcPr>
            <w:tcW w:w="0" w:type="auto"/>
          </w:tcPr>
          <w:p w14:paraId="7539DAD3" w14:textId="77777777" w:rsidR="00180E7C" w:rsidRDefault="00000000">
            <w:pPr>
              <w:pStyle w:val="Compact"/>
            </w:pPr>
            <w:r>
              <w:t>The Swiss Facilitator acting through the designated escrow institution.</w:t>
            </w:r>
          </w:p>
        </w:tc>
        <w:tc>
          <w:tcPr>
            <w:tcW w:w="0" w:type="auto"/>
          </w:tcPr>
          <w:p w14:paraId="478CB548" w14:textId="77777777" w:rsidR="00180E7C" w:rsidRDefault="00000000">
            <w:pPr>
              <w:pStyle w:val="Compact"/>
            </w:pPr>
            <w:r>
              <w:t>Annex H, 2.1</w:t>
            </w:r>
          </w:p>
        </w:tc>
      </w:tr>
      <w:tr w:rsidR="00180E7C" w14:paraId="6421A154" w14:textId="77777777">
        <w:tc>
          <w:tcPr>
            <w:tcW w:w="0" w:type="auto"/>
          </w:tcPr>
          <w:p w14:paraId="0EC5DFEF" w14:textId="77777777" w:rsidR="00180E7C" w:rsidRDefault="00000000">
            <w:pPr>
              <w:pStyle w:val="Compact"/>
            </w:pPr>
            <w:r>
              <w:t>Facilitating States</w:t>
            </w:r>
          </w:p>
        </w:tc>
        <w:tc>
          <w:tcPr>
            <w:tcW w:w="0" w:type="auto"/>
          </w:tcPr>
          <w:p w14:paraId="582C874C" w14:textId="77777777" w:rsidR="00180E7C" w:rsidRDefault="00000000">
            <w:pPr>
              <w:pStyle w:val="Compact"/>
            </w:pPr>
            <w:r>
              <w:t>Pakistan, Oman, Qatar, and Switzerland.</w:t>
            </w:r>
          </w:p>
        </w:tc>
        <w:tc>
          <w:tcPr>
            <w:tcW w:w="0" w:type="auto"/>
          </w:tcPr>
          <w:p w14:paraId="3F4F66A5" w14:textId="77777777" w:rsidR="00180E7C" w:rsidRDefault="00000000">
            <w:pPr>
              <w:pStyle w:val="Compact"/>
            </w:pPr>
            <w:r>
              <w:t>Art. 0.7.1</w:t>
            </w:r>
          </w:p>
        </w:tc>
      </w:tr>
      <w:tr w:rsidR="00180E7C" w14:paraId="1D1EAEA3" w14:textId="77777777">
        <w:tc>
          <w:tcPr>
            <w:tcW w:w="0" w:type="auto"/>
          </w:tcPr>
          <w:p w14:paraId="7937081A" w14:textId="77777777" w:rsidR="00180E7C" w:rsidRDefault="00000000">
            <w:pPr>
              <w:pStyle w:val="Compact"/>
            </w:pPr>
            <w:r>
              <w:t>Fordow International Center</w:t>
            </w:r>
          </w:p>
        </w:tc>
        <w:tc>
          <w:tcPr>
            <w:tcW w:w="0" w:type="auto"/>
          </w:tcPr>
          <w:p w14:paraId="4F3EBF8F" w14:textId="77777777" w:rsidR="00180E7C" w:rsidRDefault="00000000">
            <w:pPr>
              <w:pStyle w:val="Compact"/>
            </w:pPr>
            <w:r>
              <w:t>The converted Fordow facility of Article 61.5.1.</w:t>
            </w:r>
          </w:p>
        </w:tc>
        <w:tc>
          <w:tcPr>
            <w:tcW w:w="0" w:type="auto"/>
          </w:tcPr>
          <w:p w14:paraId="3547C35E" w14:textId="77777777" w:rsidR="00180E7C" w:rsidRDefault="00000000">
            <w:pPr>
              <w:pStyle w:val="Compact"/>
            </w:pPr>
            <w:r>
              <w:t>Art. 61.5.1</w:t>
            </w:r>
          </w:p>
        </w:tc>
      </w:tr>
      <w:tr w:rsidR="00180E7C" w14:paraId="74732352" w14:textId="77777777">
        <w:tc>
          <w:tcPr>
            <w:tcW w:w="0" w:type="auto"/>
          </w:tcPr>
          <w:p w14:paraId="3D1E739D" w14:textId="77777777" w:rsidR="00180E7C" w:rsidRDefault="00000000">
            <w:pPr>
              <w:pStyle w:val="Compact"/>
            </w:pPr>
            <w:r>
              <w:t>Four-Corridor System</w:t>
            </w:r>
          </w:p>
        </w:tc>
        <w:tc>
          <w:tcPr>
            <w:tcW w:w="0" w:type="auto"/>
          </w:tcPr>
          <w:p w14:paraId="5446240D" w14:textId="77777777" w:rsidR="00180E7C" w:rsidRDefault="00000000">
            <w:pPr>
              <w:pStyle w:val="Compact"/>
            </w:pPr>
            <w:r>
              <w:t>The corridor architecture of Article 32.</w:t>
            </w:r>
          </w:p>
        </w:tc>
        <w:tc>
          <w:tcPr>
            <w:tcW w:w="0" w:type="auto"/>
          </w:tcPr>
          <w:p w14:paraId="21E1F4A5" w14:textId="77777777" w:rsidR="00180E7C" w:rsidRDefault="00000000">
            <w:pPr>
              <w:pStyle w:val="Compact"/>
            </w:pPr>
            <w:r>
              <w:t>Art. 32.1</w:t>
            </w:r>
          </w:p>
        </w:tc>
      </w:tr>
      <w:tr w:rsidR="00180E7C" w14:paraId="07971D86" w14:textId="77777777">
        <w:tc>
          <w:tcPr>
            <w:tcW w:w="0" w:type="auto"/>
          </w:tcPr>
          <w:p w14:paraId="001F08A3" w14:textId="77777777" w:rsidR="00180E7C" w:rsidRDefault="00000000">
            <w:pPr>
              <w:pStyle w:val="Compact"/>
            </w:pPr>
            <w:r>
              <w:t>Frozen Assets</w:t>
            </w:r>
          </w:p>
        </w:tc>
        <w:tc>
          <w:tcPr>
            <w:tcW w:w="0" w:type="auto"/>
          </w:tcPr>
          <w:p w14:paraId="419B14D4" w14:textId="77777777" w:rsidR="00180E7C" w:rsidRDefault="00000000">
            <w:pPr>
              <w:pStyle w:val="Compact"/>
            </w:pPr>
            <w:r>
              <w:t>The funds listed in Annex H, Schedule H-1.</w:t>
            </w:r>
          </w:p>
        </w:tc>
        <w:tc>
          <w:tcPr>
            <w:tcW w:w="0" w:type="auto"/>
          </w:tcPr>
          <w:p w14:paraId="757AEB05" w14:textId="77777777" w:rsidR="00180E7C" w:rsidRDefault="00000000">
            <w:pPr>
              <w:pStyle w:val="Compact"/>
            </w:pPr>
            <w:r>
              <w:t>Art. 0.4.10</w:t>
            </w:r>
          </w:p>
        </w:tc>
      </w:tr>
      <w:tr w:rsidR="00180E7C" w14:paraId="7A0B21AD" w14:textId="77777777">
        <w:tc>
          <w:tcPr>
            <w:tcW w:w="0" w:type="auto"/>
          </w:tcPr>
          <w:p w14:paraId="4B545726" w14:textId="77777777" w:rsidR="00180E7C" w:rsidRDefault="00000000">
            <w:pPr>
              <w:pStyle w:val="Compact"/>
            </w:pPr>
            <w:r>
              <w:t>Functional Principle</w:t>
            </w:r>
          </w:p>
        </w:tc>
        <w:tc>
          <w:tcPr>
            <w:tcW w:w="0" w:type="auto"/>
          </w:tcPr>
          <w:p w14:paraId="7DA032DB" w14:textId="77777777" w:rsidR="00180E7C" w:rsidRDefault="00000000">
            <w:pPr>
              <w:pStyle w:val="Compact"/>
            </w:pPr>
            <w:r>
              <w:t>The allocation of functions rather than territory in Strait governance.</w:t>
            </w:r>
          </w:p>
        </w:tc>
        <w:tc>
          <w:tcPr>
            <w:tcW w:w="0" w:type="auto"/>
          </w:tcPr>
          <w:p w14:paraId="05CBE489" w14:textId="77777777" w:rsidR="00180E7C" w:rsidRDefault="00000000">
            <w:pPr>
              <w:pStyle w:val="Compact"/>
            </w:pPr>
            <w:r>
              <w:t>Art. 35.1</w:t>
            </w:r>
          </w:p>
        </w:tc>
      </w:tr>
      <w:tr w:rsidR="00180E7C" w14:paraId="046D0EE9" w14:textId="77777777">
        <w:tc>
          <w:tcPr>
            <w:tcW w:w="0" w:type="auto"/>
          </w:tcPr>
          <w:p w14:paraId="1817D5BF" w14:textId="77777777" w:rsidR="00180E7C" w:rsidRDefault="00000000">
            <w:pPr>
              <w:pStyle w:val="Compact"/>
            </w:pPr>
            <w:r>
              <w:t>Governance Area</w:t>
            </w:r>
          </w:p>
        </w:tc>
        <w:tc>
          <w:tcPr>
            <w:tcW w:w="0" w:type="auto"/>
          </w:tcPr>
          <w:p w14:paraId="656FC971" w14:textId="77777777" w:rsidR="00180E7C" w:rsidRDefault="00000000">
            <w:pPr>
              <w:pStyle w:val="Compact"/>
            </w:pPr>
            <w:r>
              <w:t>The maritime area of Annex B, Section 2.</w:t>
            </w:r>
          </w:p>
        </w:tc>
        <w:tc>
          <w:tcPr>
            <w:tcW w:w="0" w:type="auto"/>
          </w:tcPr>
          <w:p w14:paraId="0C8FD1B7" w14:textId="77777777" w:rsidR="00180E7C" w:rsidRDefault="00000000">
            <w:pPr>
              <w:pStyle w:val="Compact"/>
            </w:pPr>
            <w:r>
              <w:t>Art. 0.4.5</w:t>
            </w:r>
          </w:p>
        </w:tc>
      </w:tr>
      <w:tr w:rsidR="00180E7C" w14:paraId="5B085576" w14:textId="77777777">
        <w:tc>
          <w:tcPr>
            <w:tcW w:w="0" w:type="auto"/>
          </w:tcPr>
          <w:p w14:paraId="66E1A150" w14:textId="77777777" w:rsidR="00180E7C" w:rsidRDefault="00000000">
            <w:pPr>
              <w:pStyle w:val="Compact"/>
            </w:pPr>
            <w:r>
              <w:t>Grave Violation</w:t>
            </w:r>
          </w:p>
        </w:tc>
        <w:tc>
          <w:tcPr>
            <w:tcW w:w="0" w:type="auto"/>
          </w:tcPr>
          <w:p w14:paraId="78F65B64" w14:textId="77777777" w:rsidR="00180E7C" w:rsidRDefault="00000000">
            <w:pPr>
              <w:pStyle w:val="Compact"/>
            </w:pPr>
            <w:r>
              <w:t>A Tier 3 violation per Annex E, Section 3.</w:t>
            </w:r>
          </w:p>
        </w:tc>
        <w:tc>
          <w:tcPr>
            <w:tcW w:w="0" w:type="auto"/>
          </w:tcPr>
          <w:p w14:paraId="1E1D09A9" w14:textId="77777777" w:rsidR="00180E7C" w:rsidRDefault="00000000">
            <w:pPr>
              <w:pStyle w:val="Compact"/>
            </w:pPr>
            <w:r>
              <w:t>Art. 66.2</w:t>
            </w:r>
          </w:p>
        </w:tc>
      </w:tr>
      <w:tr w:rsidR="00180E7C" w14:paraId="6C6CA7FC" w14:textId="77777777">
        <w:tc>
          <w:tcPr>
            <w:tcW w:w="0" w:type="auto"/>
          </w:tcPr>
          <w:p w14:paraId="69C36B21" w14:textId="77777777" w:rsidR="00180E7C" w:rsidRDefault="00000000">
            <w:pPr>
              <w:pStyle w:val="Compact"/>
            </w:pPr>
            <w:r>
              <w:t>Green Standard</w:t>
            </w:r>
          </w:p>
        </w:tc>
        <w:tc>
          <w:tcPr>
            <w:tcW w:w="0" w:type="auto"/>
          </w:tcPr>
          <w:p w14:paraId="08F1B3F9" w14:textId="77777777" w:rsidR="00180E7C" w:rsidRDefault="00000000">
            <w:pPr>
              <w:pStyle w:val="Compact"/>
            </w:pPr>
            <w:r>
              <w:t>The environmental certification of Annex B, Table B-14.</w:t>
            </w:r>
          </w:p>
        </w:tc>
        <w:tc>
          <w:tcPr>
            <w:tcW w:w="0" w:type="auto"/>
          </w:tcPr>
          <w:p w14:paraId="3B9208E9" w14:textId="77777777" w:rsidR="00180E7C" w:rsidRDefault="00000000">
            <w:pPr>
              <w:pStyle w:val="Compact"/>
            </w:pPr>
            <w:r>
              <w:t>Art. 39.4</w:t>
            </w:r>
          </w:p>
        </w:tc>
      </w:tr>
      <w:tr w:rsidR="00180E7C" w14:paraId="1ACD5DBA" w14:textId="77777777">
        <w:tc>
          <w:tcPr>
            <w:tcW w:w="0" w:type="auto"/>
          </w:tcPr>
          <w:p w14:paraId="1F756A7B" w14:textId="77777777" w:rsidR="00180E7C" w:rsidRDefault="00000000">
            <w:pPr>
              <w:pStyle w:val="Compact"/>
            </w:pPr>
            <w:r>
              <w:t>Guarantor Matrix</w:t>
            </w:r>
          </w:p>
        </w:tc>
        <w:tc>
          <w:tcPr>
            <w:tcW w:w="0" w:type="auto"/>
          </w:tcPr>
          <w:p w14:paraId="7682B4F1" w14:textId="77777777" w:rsidR="00180E7C" w:rsidRDefault="00000000">
            <w:pPr>
              <w:pStyle w:val="Compact"/>
            </w:pPr>
            <w:r>
              <w:t>The guarantee architecture of Article 26 and Annex N.</w:t>
            </w:r>
          </w:p>
        </w:tc>
        <w:tc>
          <w:tcPr>
            <w:tcW w:w="0" w:type="auto"/>
          </w:tcPr>
          <w:p w14:paraId="0F646D9A" w14:textId="77777777" w:rsidR="00180E7C" w:rsidRDefault="00000000">
            <w:pPr>
              <w:pStyle w:val="Compact"/>
            </w:pPr>
            <w:r>
              <w:t>Art. 0.4.14</w:t>
            </w:r>
          </w:p>
        </w:tc>
      </w:tr>
      <w:tr w:rsidR="00180E7C" w14:paraId="18AD3197" w14:textId="77777777">
        <w:tc>
          <w:tcPr>
            <w:tcW w:w="0" w:type="auto"/>
          </w:tcPr>
          <w:p w14:paraId="53916590" w14:textId="77777777" w:rsidR="00180E7C" w:rsidRDefault="00000000">
            <w:pPr>
              <w:pStyle w:val="Compact"/>
            </w:pPr>
            <w:r>
              <w:t>Gulf Theater</w:t>
            </w:r>
          </w:p>
        </w:tc>
        <w:tc>
          <w:tcPr>
            <w:tcW w:w="0" w:type="auto"/>
          </w:tcPr>
          <w:p w14:paraId="0BF2199C" w14:textId="77777777" w:rsidR="00180E7C" w:rsidRDefault="00000000">
            <w:pPr>
              <w:pStyle w:val="Compact"/>
            </w:pPr>
            <w:r>
              <w:t>The geographic scope of Annex B, Section 2.4, for Title II purposes.</w:t>
            </w:r>
          </w:p>
        </w:tc>
        <w:tc>
          <w:tcPr>
            <w:tcW w:w="0" w:type="auto"/>
          </w:tcPr>
          <w:p w14:paraId="61CD3668" w14:textId="77777777" w:rsidR="00180E7C" w:rsidRDefault="00000000">
            <w:pPr>
              <w:pStyle w:val="Compact"/>
            </w:pPr>
            <w:r>
              <w:t>Art. 16.1.1</w:t>
            </w:r>
          </w:p>
        </w:tc>
      </w:tr>
      <w:tr w:rsidR="00180E7C" w14:paraId="3F0B37A0" w14:textId="77777777">
        <w:tc>
          <w:tcPr>
            <w:tcW w:w="0" w:type="auto"/>
          </w:tcPr>
          <w:p w14:paraId="4754205B" w14:textId="77777777" w:rsidR="00180E7C" w:rsidRDefault="00000000">
            <w:pPr>
              <w:pStyle w:val="Compact"/>
            </w:pPr>
            <w:r>
              <w:t>High Contracting Council (HCC)</w:t>
            </w:r>
          </w:p>
        </w:tc>
        <w:tc>
          <w:tcPr>
            <w:tcW w:w="0" w:type="auto"/>
          </w:tcPr>
          <w:p w14:paraId="016A2D3C" w14:textId="77777777" w:rsidR="00180E7C" w:rsidRDefault="00000000">
            <w:pPr>
              <w:pStyle w:val="Compact"/>
            </w:pPr>
            <w:r>
              <w:t>The principal political organ of the Treaty.</w:t>
            </w:r>
          </w:p>
        </w:tc>
        <w:tc>
          <w:tcPr>
            <w:tcW w:w="0" w:type="auto"/>
          </w:tcPr>
          <w:p w14:paraId="61561908" w14:textId="77777777" w:rsidR="00180E7C" w:rsidRDefault="00000000">
            <w:pPr>
              <w:pStyle w:val="Compact"/>
            </w:pPr>
            <w:r>
              <w:t>Art. 0.4.18</w:t>
            </w:r>
          </w:p>
        </w:tc>
      </w:tr>
      <w:tr w:rsidR="00180E7C" w14:paraId="1A704B67" w14:textId="77777777">
        <w:tc>
          <w:tcPr>
            <w:tcW w:w="0" w:type="auto"/>
          </w:tcPr>
          <w:p w14:paraId="2C61D3C3" w14:textId="77777777" w:rsidR="00180E7C" w:rsidRDefault="00000000">
            <w:pPr>
              <w:pStyle w:val="Compact"/>
            </w:pPr>
            <w:r>
              <w:t>Hormuz Authority</w:t>
            </w:r>
          </w:p>
        </w:tc>
        <w:tc>
          <w:tcPr>
            <w:tcW w:w="0" w:type="auto"/>
          </w:tcPr>
          <w:p w14:paraId="4005A320" w14:textId="77777777" w:rsidR="00180E7C" w:rsidRDefault="00000000">
            <w:pPr>
              <w:pStyle w:val="Compact"/>
            </w:pPr>
            <w:r>
              <w:t>See Authority.</w:t>
            </w:r>
          </w:p>
        </w:tc>
        <w:tc>
          <w:tcPr>
            <w:tcW w:w="0" w:type="auto"/>
          </w:tcPr>
          <w:p w14:paraId="334FE0D0" w14:textId="77777777" w:rsidR="00180E7C" w:rsidRDefault="00000000">
            <w:pPr>
              <w:pStyle w:val="Compact"/>
            </w:pPr>
            <w:r>
              <w:t>Art. 31</w:t>
            </w:r>
          </w:p>
        </w:tc>
      </w:tr>
      <w:tr w:rsidR="00180E7C" w14:paraId="7B3F9BBE" w14:textId="77777777">
        <w:tc>
          <w:tcPr>
            <w:tcW w:w="0" w:type="auto"/>
          </w:tcPr>
          <w:p w14:paraId="61097EF7" w14:textId="77777777" w:rsidR="00180E7C" w:rsidRDefault="00000000">
            <w:pPr>
              <w:pStyle w:val="Compact"/>
            </w:pPr>
            <w:r>
              <w:t>Humanitarian Corridor</w:t>
            </w:r>
          </w:p>
        </w:tc>
        <w:tc>
          <w:tcPr>
            <w:tcW w:w="0" w:type="auto"/>
          </w:tcPr>
          <w:p w14:paraId="4458ADAF" w14:textId="77777777" w:rsidR="00180E7C" w:rsidRDefault="00000000">
            <w:pPr>
              <w:pStyle w:val="Compact"/>
            </w:pPr>
            <w:r>
              <w:t>Any route dedicated to humanitarian movement under this Treaty.</w:t>
            </w:r>
          </w:p>
        </w:tc>
        <w:tc>
          <w:tcPr>
            <w:tcW w:w="0" w:type="auto"/>
          </w:tcPr>
          <w:p w14:paraId="190BF841" w14:textId="77777777" w:rsidR="00180E7C" w:rsidRDefault="00000000">
            <w:pPr>
              <w:pStyle w:val="Compact"/>
            </w:pPr>
            <w:r>
              <w:t>Art. 0.4.22</w:t>
            </w:r>
          </w:p>
        </w:tc>
      </w:tr>
      <w:tr w:rsidR="00180E7C" w14:paraId="06736040" w14:textId="77777777">
        <w:tc>
          <w:tcPr>
            <w:tcW w:w="0" w:type="auto"/>
          </w:tcPr>
          <w:p w14:paraId="5246C8D3" w14:textId="77777777" w:rsidR="00180E7C" w:rsidRDefault="00000000">
            <w:pPr>
              <w:pStyle w:val="Compact"/>
            </w:pPr>
            <w:r>
              <w:t>Humanitarian Firewall</w:t>
            </w:r>
          </w:p>
        </w:tc>
        <w:tc>
          <w:tcPr>
            <w:tcW w:w="0" w:type="auto"/>
          </w:tcPr>
          <w:p w14:paraId="009329C9" w14:textId="77777777" w:rsidR="00180E7C" w:rsidRDefault="00000000">
            <w:pPr>
              <w:pStyle w:val="Compact"/>
            </w:pPr>
            <w:r>
              <w:t>The absolute protection of humanitarian movement and civilian protection.</w:t>
            </w:r>
          </w:p>
        </w:tc>
        <w:tc>
          <w:tcPr>
            <w:tcW w:w="0" w:type="auto"/>
          </w:tcPr>
          <w:p w14:paraId="28B6C369" w14:textId="77777777" w:rsidR="00180E7C" w:rsidRDefault="00000000">
            <w:pPr>
              <w:pStyle w:val="Compact"/>
            </w:pPr>
            <w:r>
              <w:t>Art. 0.2.5</w:t>
            </w:r>
          </w:p>
        </w:tc>
      </w:tr>
      <w:tr w:rsidR="00180E7C" w14:paraId="665CBED3" w14:textId="77777777">
        <w:tc>
          <w:tcPr>
            <w:tcW w:w="0" w:type="auto"/>
          </w:tcPr>
          <w:p w14:paraId="134032B5" w14:textId="77777777" w:rsidR="00180E7C" w:rsidRDefault="00000000">
            <w:pPr>
              <w:pStyle w:val="Compact"/>
            </w:pPr>
            <w:r>
              <w:t>Interdiction Protocol</w:t>
            </w:r>
          </w:p>
        </w:tc>
        <w:tc>
          <w:tcPr>
            <w:tcW w:w="0" w:type="auto"/>
          </w:tcPr>
          <w:p w14:paraId="20E61579" w14:textId="77777777" w:rsidR="00180E7C" w:rsidRDefault="00000000">
            <w:pPr>
              <w:pStyle w:val="Compact"/>
            </w:pPr>
            <w:r>
              <w:t>The twin-key interdiction procedure of Article 36.4.</w:t>
            </w:r>
          </w:p>
        </w:tc>
        <w:tc>
          <w:tcPr>
            <w:tcW w:w="0" w:type="auto"/>
          </w:tcPr>
          <w:p w14:paraId="35D27845" w14:textId="77777777" w:rsidR="00180E7C" w:rsidRDefault="00000000">
            <w:pPr>
              <w:pStyle w:val="Compact"/>
            </w:pPr>
            <w:r>
              <w:t>Art. 36.4</w:t>
            </w:r>
          </w:p>
        </w:tc>
      </w:tr>
      <w:tr w:rsidR="00180E7C" w14:paraId="1E0EAD14" w14:textId="77777777">
        <w:tc>
          <w:tcPr>
            <w:tcW w:w="0" w:type="auto"/>
          </w:tcPr>
          <w:p w14:paraId="0F119F63" w14:textId="77777777" w:rsidR="00180E7C" w:rsidRDefault="00000000">
            <w:pPr>
              <w:pStyle w:val="Compact"/>
            </w:pPr>
            <w:r>
              <w:t>Interim Routing</w:t>
            </w:r>
          </w:p>
        </w:tc>
        <w:tc>
          <w:tcPr>
            <w:tcW w:w="0" w:type="auto"/>
          </w:tcPr>
          <w:p w14:paraId="321C60AC" w14:textId="77777777" w:rsidR="00180E7C" w:rsidRDefault="00000000">
            <w:pPr>
              <w:pStyle w:val="Compact"/>
            </w:pPr>
            <w:r>
              <w:t>The Phase I routing of Annex B, Section 3.8.</w:t>
            </w:r>
          </w:p>
        </w:tc>
        <w:tc>
          <w:tcPr>
            <w:tcW w:w="0" w:type="auto"/>
          </w:tcPr>
          <w:p w14:paraId="05B579CF" w14:textId="77777777" w:rsidR="00180E7C" w:rsidRDefault="00000000">
            <w:pPr>
              <w:pStyle w:val="Compact"/>
            </w:pPr>
            <w:r>
              <w:t>Art. 32.3</w:t>
            </w:r>
          </w:p>
        </w:tc>
      </w:tr>
      <w:tr w:rsidR="00180E7C" w14:paraId="2149F8FD" w14:textId="77777777">
        <w:tc>
          <w:tcPr>
            <w:tcW w:w="0" w:type="auto"/>
          </w:tcPr>
          <w:p w14:paraId="3412988E" w14:textId="77777777" w:rsidR="00180E7C" w:rsidRDefault="00000000">
            <w:pPr>
              <w:pStyle w:val="Compact"/>
            </w:pPr>
            <w:r>
              <w:t>Joint Communication Cell</w:t>
            </w:r>
          </w:p>
        </w:tc>
        <w:tc>
          <w:tcPr>
            <w:tcW w:w="0" w:type="auto"/>
          </w:tcPr>
          <w:p w14:paraId="48735395" w14:textId="77777777" w:rsidR="00180E7C" w:rsidRDefault="00000000">
            <w:pPr>
              <w:pStyle w:val="Compact"/>
            </w:pPr>
            <w:r>
              <w:t>The public communication organ of Article 12.1.</w:t>
            </w:r>
          </w:p>
        </w:tc>
        <w:tc>
          <w:tcPr>
            <w:tcW w:w="0" w:type="auto"/>
          </w:tcPr>
          <w:p w14:paraId="0B5A465C" w14:textId="77777777" w:rsidR="00180E7C" w:rsidRDefault="00000000">
            <w:pPr>
              <w:pStyle w:val="Compact"/>
            </w:pPr>
            <w:r>
              <w:t>Art. 12.1</w:t>
            </w:r>
          </w:p>
        </w:tc>
      </w:tr>
      <w:tr w:rsidR="00180E7C" w14:paraId="490DC7D8" w14:textId="77777777">
        <w:tc>
          <w:tcPr>
            <w:tcW w:w="0" w:type="auto"/>
          </w:tcPr>
          <w:p w14:paraId="2DE1B2EA" w14:textId="77777777" w:rsidR="00180E7C" w:rsidRDefault="00000000">
            <w:pPr>
              <w:pStyle w:val="Compact"/>
            </w:pPr>
            <w:r>
              <w:t>Joint Monitoring Cell (JMC)</w:t>
            </w:r>
          </w:p>
        </w:tc>
        <w:tc>
          <w:tcPr>
            <w:tcW w:w="0" w:type="auto"/>
          </w:tcPr>
          <w:p w14:paraId="46998CE8" w14:textId="77777777" w:rsidR="00180E7C" w:rsidRDefault="00000000">
            <w:pPr>
              <w:pStyle w:val="Compact"/>
            </w:pPr>
            <w:r>
              <w:t>The standing verification organ of Annex C, Section 3.</w:t>
            </w:r>
          </w:p>
        </w:tc>
        <w:tc>
          <w:tcPr>
            <w:tcW w:w="0" w:type="auto"/>
          </w:tcPr>
          <w:p w14:paraId="0BBF6837" w14:textId="77777777" w:rsidR="00180E7C" w:rsidRDefault="00000000">
            <w:pPr>
              <w:pStyle w:val="Compact"/>
            </w:pPr>
            <w:r>
              <w:t>Art. 0.4.15</w:t>
            </w:r>
          </w:p>
        </w:tc>
      </w:tr>
      <w:tr w:rsidR="00180E7C" w14:paraId="23E85111" w14:textId="77777777">
        <w:tc>
          <w:tcPr>
            <w:tcW w:w="0" w:type="auto"/>
          </w:tcPr>
          <w:p w14:paraId="30B87659" w14:textId="77777777" w:rsidR="00180E7C" w:rsidRDefault="00000000">
            <w:pPr>
              <w:pStyle w:val="Compact"/>
            </w:pPr>
            <w:r>
              <w:t>Joint Operations Center (JOC)</w:t>
            </w:r>
          </w:p>
        </w:tc>
        <w:tc>
          <w:tcPr>
            <w:tcW w:w="0" w:type="auto"/>
          </w:tcPr>
          <w:p w14:paraId="2FA0F5BF" w14:textId="77777777" w:rsidR="00180E7C" w:rsidRDefault="00000000">
            <w:pPr>
              <w:pStyle w:val="Compact"/>
            </w:pPr>
            <w:r>
              <w:t>JOC-Muscat or JOC-Doha.</w:t>
            </w:r>
          </w:p>
        </w:tc>
        <w:tc>
          <w:tcPr>
            <w:tcW w:w="0" w:type="auto"/>
          </w:tcPr>
          <w:p w14:paraId="4D0069D1" w14:textId="77777777" w:rsidR="00180E7C" w:rsidRDefault="00000000">
            <w:pPr>
              <w:pStyle w:val="Compact"/>
            </w:pPr>
            <w:r>
              <w:t>Art. 24.1</w:t>
            </w:r>
          </w:p>
        </w:tc>
      </w:tr>
      <w:tr w:rsidR="00180E7C" w14:paraId="5E807830" w14:textId="77777777">
        <w:tc>
          <w:tcPr>
            <w:tcW w:w="0" w:type="auto"/>
          </w:tcPr>
          <w:p w14:paraId="227AC05C" w14:textId="77777777" w:rsidR="00180E7C" w:rsidRDefault="00000000">
            <w:pPr>
              <w:pStyle w:val="Compact"/>
            </w:pPr>
            <w:r>
              <w:t>Legal Panel</w:t>
            </w:r>
          </w:p>
        </w:tc>
        <w:tc>
          <w:tcPr>
            <w:tcW w:w="0" w:type="auto"/>
          </w:tcPr>
          <w:p w14:paraId="5A325253" w14:textId="77777777" w:rsidR="00180E7C" w:rsidRDefault="00000000">
            <w:pPr>
              <w:pStyle w:val="Compact"/>
            </w:pPr>
            <w:r>
              <w:t>Tier 2 of the maritime dispute system.</w:t>
            </w:r>
          </w:p>
        </w:tc>
        <w:tc>
          <w:tcPr>
            <w:tcW w:w="0" w:type="auto"/>
          </w:tcPr>
          <w:p w14:paraId="578D303D" w14:textId="77777777" w:rsidR="00180E7C" w:rsidRDefault="00000000">
            <w:pPr>
              <w:pStyle w:val="Compact"/>
            </w:pPr>
            <w:r>
              <w:t>Art. 45.1.1</w:t>
            </w:r>
          </w:p>
        </w:tc>
      </w:tr>
      <w:tr w:rsidR="00180E7C" w14:paraId="38E29262" w14:textId="77777777">
        <w:tc>
          <w:tcPr>
            <w:tcW w:w="0" w:type="auto"/>
          </w:tcPr>
          <w:p w14:paraId="018FB616" w14:textId="77777777" w:rsidR="00180E7C" w:rsidRDefault="00000000">
            <w:pPr>
              <w:pStyle w:val="Compact"/>
            </w:pPr>
            <w:r>
              <w:t>Level 4</w:t>
            </w:r>
          </w:p>
        </w:tc>
        <w:tc>
          <w:tcPr>
            <w:tcW w:w="0" w:type="auto"/>
          </w:tcPr>
          <w:p w14:paraId="01492C02" w14:textId="77777777" w:rsidR="00180E7C" w:rsidRDefault="00000000">
            <w:pPr>
              <w:pStyle w:val="Compact"/>
            </w:pPr>
            <w:r>
              <w:t>Breach-indicator anomaly classification.</w:t>
            </w:r>
          </w:p>
        </w:tc>
        <w:tc>
          <w:tcPr>
            <w:tcW w:w="0" w:type="auto"/>
          </w:tcPr>
          <w:p w14:paraId="6F29FD2D" w14:textId="77777777" w:rsidR="00180E7C" w:rsidRDefault="00000000">
            <w:pPr>
              <w:pStyle w:val="Compact"/>
            </w:pPr>
            <w:r>
              <w:t xml:space="preserve">Annex C, </w:t>
            </w:r>
            <w:r>
              <w:lastRenderedPageBreak/>
              <w:t>6.1</w:t>
            </w:r>
          </w:p>
        </w:tc>
      </w:tr>
      <w:tr w:rsidR="00180E7C" w14:paraId="2F8D23EC" w14:textId="77777777">
        <w:tc>
          <w:tcPr>
            <w:tcW w:w="0" w:type="auto"/>
          </w:tcPr>
          <w:p w14:paraId="67167B76" w14:textId="77777777" w:rsidR="00180E7C" w:rsidRDefault="00000000">
            <w:pPr>
              <w:pStyle w:val="Compact"/>
            </w:pPr>
            <w:r>
              <w:lastRenderedPageBreak/>
              <w:t>Littoral Stand-Down Band</w:t>
            </w:r>
          </w:p>
        </w:tc>
        <w:tc>
          <w:tcPr>
            <w:tcW w:w="0" w:type="auto"/>
          </w:tcPr>
          <w:p w14:paraId="648B511B" w14:textId="77777777" w:rsidR="00180E7C" w:rsidRDefault="00000000">
            <w:pPr>
              <w:pStyle w:val="Compact"/>
            </w:pPr>
            <w:r>
              <w:t>The coastal band of Annex B, Section 15.</w:t>
            </w:r>
          </w:p>
        </w:tc>
        <w:tc>
          <w:tcPr>
            <w:tcW w:w="0" w:type="auto"/>
          </w:tcPr>
          <w:p w14:paraId="4FB36095" w14:textId="77777777" w:rsidR="00180E7C" w:rsidRDefault="00000000">
            <w:pPr>
              <w:pStyle w:val="Compact"/>
            </w:pPr>
            <w:r>
              <w:t>Art. 16.3.1(b)</w:t>
            </w:r>
          </w:p>
        </w:tc>
      </w:tr>
      <w:tr w:rsidR="00180E7C" w14:paraId="4431FD48" w14:textId="77777777">
        <w:tc>
          <w:tcPr>
            <w:tcW w:w="0" w:type="auto"/>
          </w:tcPr>
          <w:p w14:paraId="54A7EEDF" w14:textId="77777777" w:rsidR="00180E7C" w:rsidRDefault="00000000">
            <w:pPr>
              <w:pStyle w:val="Compact"/>
            </w:pPr>
            <w:r>
              <w:t>Managed Access</w:t>
            </w:r>
          </w:p>
        </w:tc>
        <w:tc>
          <w:tcPr>
            <w:tcW w:w="0" w:type="auto"/>
          </w:tcPr>
          <w:p w14:paraId="4983CE8E" w14:textId="77777777" w:rsidR="00180E7C" w:rsidRDefault="00000000">
            <w:pPr>
              <w:pStyle w:val="Compact"/>
            </w:pPr>
            <w:r>
              <w:t>The access techniques of Annex F, Section 16, protecting legitimate secrets while verifying.</w:t>
            </w:r>
          </w:p>
        </w:tc>
        <w:tc>
          <w:tcPr>
            <w:tcW w:w="0" w:type="auto"/>
          </w:tcPr>
          <w:p w14:paraId="60980CDA" w14:textId="77777777" w:rsidR="00180E7C" w:rsidRDefault="00000000">
            <w:pPr>
              <w:pStyle w:val="Compact"/>
            </w:pPr>
            <w:r>
              <w:t>Art. 62.4</w:t>
            </w:r>
          </w:p>
        </w:tc>
      </w:tr>
      <w:tr w:rsidR="00180E7C" w14:paraId="1F14D029" w14:textId="77777777">
        <w:tc>
          <w:tcPr>
            <w:tcW w:w="0" w:type="auto"/>
          </w:tcPr>
          <w:p w14:paraId="4CCE972F" w14:textId="77777777" w:rsidR="00180E7C" w:rsidRDefault="00000000">
            <w:pPr>
              <w:pStyle w:val="Compact"/>
            </w:pPr>
            <w:r>
              <w:t>Maritime Arbitration Tribunal</w:t>
            </w:r>
          </w:p>
        </w:tc>
        <w:tc>
          <w:tcPr>
            <w:tcW w:w="0" w:type="auto"/>
          </w:tcPr>
          <w:p w14:paraId="2C8AD2B9" w14:textId="77777777" w:rsidR="00180E7C" w:rsidRDefault="00000000">
            <w:pPr>
              <w:pStyle w:val="Compact"/>
            </w:pPr>
            <w:r>
              <w:t>Tier 3 of the maritime dispute system.</w:t>
            </w:r>
          </w:p>
        </w:tc>
        <w:tc>
          <w:tcPr>
            <w:tcW w:w="0" w:type="auto"/>
          </w:tcPr>
          <w:p w14:paraId="64C2C538" w14:textId="77777777" w:rsidR="00180E7C" w:rsidRDefault="00000000">
            <w:pPr>
              <w:pStyle w:val="Compact"/>
            </w:pPr>
            <w:r>
              <w:t>Art. 45.1.1</w:t>
            </w:r>
          </w:p>
        </w:tc>
      </w:tr>
      <w:tr w:rsidR="00180E7C" w14:paraId="1B3E0C9C" w14:textId="77777777">
        <w:tc>
          <w:tcPr>
            <w:tcW w:w="0" w:type="auto"/>
          </w:tcPr>
          <w:p w14:paraId="7C826E10" w14:textId="77777777" w:rsidR="00180E7C" w:rsidRDefault="00000000">
            <w:pPr>
              <w:pStyle w:val="Compact"/>
            </w:pPr>
            <w:r>
              <w:t>Maritime Operations Center (MOC)</w:t>
            </w:r>
          </w:p>
        </w:tc>
        <w:tc>
          <w:tcPr>
            <w:tcW w:w="0" w:type="auto"/>
          </w:tcPr>
          <w:p w14:paraId="32C54C5B" w14:textId="77777777" w:rsidR="00180E7C" w:rsidRDefault="00000000">
            <w:pPr>
              <w:pStyle w:val="Compact"/>
            </w:pPr>
            <w:r>
              <w:t>The traffic coordination center of Article 31.3.4.</w:t>
            </w:r>
          </w:p>
        </w:tc>
        <w:tc>
          <w:tcPr>
            <w:tcW w:w="0" w:type="auto"/>
          </w:tcPr>
          <w:p w14:paraId="560F124E" w14:textId="77777777" w:rsidR="00180E7C" w:rsidRDefault="00000000">
            <w:pPr>
              <w:pStyle w:val="Compact"/>
            </w:pPr>
            <w:r>
              <w:t>Art. 31.3.4</w:t>
            </w:r>
          </w:p>
        </w:tc>
      </w:tr>
      <w:tr w:rsidR="00180E7C" w14:paraId="0ECBEA3F" w14:textId="77777777">
        <w:tc>
          <w:tcPr>
            <w:tcW w:w="0" w:type="auto"/>
          </w:tcPr>
          <w:p w14:paraId="36768115" w14:textId="77777777" w:rsidR="00180E7C" w:rsidRDefault="00000000">
            <w:pPr>
              <w:pStyle w:val="Compact"/>
            </w:pPr>
            <w:r>
              <w:t>Material Breach</w:t>
            </w:r>
          </w:p>
        </w:tc>
        <w:tc>
          <w:tcPr>
            <w:tcW w:w="0" w:type="auto"/>
          </w:tcPr>
          <w:p w14:paraId="7B42D63F" w14:textId="77777777" w:rsidR="00180E7C" w:rsidRDefault="00000000">
            <w:pPr>
              <w:pStyle w:val="Compact"/>
            </w:pPr>
            <w:r>
              <w:t>A violation within the exhaustive list of Article 69.6.1.</w:t>
            </w:r>
          </w:p>
        </w:tc>
        <w:tc>
          <w:tcPr>
            <w:tcW w:w="0" w:type="auto"/>
          </w:tcPr>
          <w:p w14:paraId="4E222400" w14:textId="77777777" w:rsidR="00180E7C" w:rsidRDefault="00000000">
            <w:pPr>
              <w:pStyle w:val="Compact"/>
            </w:pPr>
            <w:r>
              <w:t>Art. 0.4.20</w:t>
            </w:r>
          </w:p>
        </w:tc>
      </w:tr>
      <w:tr w:rsidR="00180E7C" w14:paraId="51BA9A83" w14:textId="77777777">
        <w:tc>
          <w:tcPr>
            <w:tcW w:w="0" w:type="auto"/>
          </w:tcPr>
          <w:p w14:paraId="3FE628FC" w14:textId="77777777" w:rsidR="00180E7C" w:rsidRDefault="00000000">
            <w:pPr>
              <w:pStyle w:val="Compact"/>
            </w:pPr>
            <w:r>
              <w:t>MOC Mirror</w:t>
            </w:r>
          </w:p>
        </w:tc>
        <w:tc>
          <w:tcPr>
            <w:tcW w:w="0" w:type="auto"/>
          </w:tcPr>
          <w:p w14:paraId="7BBF2AED" w14:textId="77777777" w:rsidR="00180E7C" w:rsidRDefault="00000000">
            <w:pPr>
              <w:pStyle w:val="Compact"/>
            </w:pPr>
            <w:r>
              <w:t>The fully redundant Muscat counterpart of the MOC.</w:t>
            </w:r>
          </w:p>
        </w:tc>
        <w:tc>
          <w:tcPr>
            <w:tcW w:w="0" w:type="auto"/>
          </w:tcPr>
          <w:p w14:paraId="6FDECF10" w14:textId="77777777" w:rsidR="00180E7C" w:rsidRDefault="00000000">
            <w:pPr>
              <w:pStyle w:val="Compact"/>
            </w:pPr>
            <w:r>
              <w:t>Art. 31.3.4</w:t>
            </w:r>
          </w:p>
        </w:tc>
      </w:tr>
      <w:tr w:rsidR="00180E7C" w14:paraId="779EBA49" w14:textId="77777777">
        <w:tc>
          <w:tcPr>
            <w:tcW w:w="0" w:type="auto"/>
          </w:tcPr>
          <w:p w14:paraId="7EC67D9C" w14:textId="77777777" w:rsidR="00180E7C" w:rsidRDefault="00000000">
            <w:pPr>
              <w:pStyle w:val="Compact"/>
            </w:pPr>
            <w:r>
              <w:t>Offshore Platform</w:t>
            </w:r>
          </w:p>
        </w:tc>
        <w:tc>
          <w:tcPr>
            <w:tcW w:w="0" w:type="auto"/>
          </w:tcPr>
          <w:p w14:paraId="1FCDCAB3" w14:textId="77777777" w:rsidR="00180E7C" w:rsidRDefault="00000000">
            <w:pPr>
              <w:pStyle w:val="Compact"/>
            </w:pPr>
            <w:r>
              <w:t>The offshore verification platform of Article 31.3.5.</w:t>
            </w:r>
          </w:p>
        </w:tc>
        <w:tc>
          <w:tcPr>
            <w:tcW w:w="0" w:type="auto"/>
          </w:tcPr>
          <w:p w14:paraId="34E606C6" w14:textId="77777777" w:rsidR="00180E7C" w:rsidRDefault="00000000">
            <w:pPr>
              <w:pStyle w:val="Compact"/>
            </w:pPr>
            <w:r>
              <w:t>Art. 31.3.5</w:t>
            </w:r>
          </w:p>
        </w:tc>
      </w:tr>
      <w:tr w:rsidR="00180E7C" w14:paraId="2548F086" w14:textId="77777777">
        <w:tc>
          <w:tcPr>
            <w:tcW w:w="0" w:type="auto"/>
          </w:tcPr>
          <w:p w14:paraId="1F5D72FD" w14:textId="77777777" w:rsidR="00180E7C" w:rsidRDefault="00000000">
            <w:pPr>
              <w:pStyle w:val="Compact"/>
            </w:pPr>
            <w:r>
              <w:t>Over-Compliance Register</w:t>
            </w:r>
          </w:p>
        </w:tc>
        <w:tc>
          <w:tcPr>
            <w:tcW w:w="0" w:type="auto"/>
          </w:tcPr>
          <w:p w14:paraId="5F11201C" w14:textId="77777777" w:rsidR="00180E7C" w:rsidRDefault="00000000">
            <w:pPr>
              <w:pStyle w:val="Compact"/>
            </w:pPr>
            <w:r>
              <w:t>The register of declined lawful business of Article 55.2.</w:t>
            </w:r>
          </w:p>
        </w:tc>
        <w:tc>
          <w:tcPr>
            <w:tcW w:w="0" w:type="auto"/>
          </w:tcPr>
          <w:p w14:paraId="2F09C7F6" w14:textId="77777777" w:rsidR="00180E7C" w:rsidRDefault="00000000">
            <w:pPr>
              <w:pStyle w:val="Compact"/>
            </w:pPr>
            <w:r>
              <w:t>Art. 55.2</w:t>
            </w:r>
          </w:p>
        </w:tc>
      </w:tr>
      <w:tr w:rsidR="00180E7C" w14:paraId="2DAEC3C2" w14:textId="77777777">
        <w:tc>
          <w:tcPr>
            <w:tcW w:w="0" w:type="auto"/>
          </w:tcPr>
          <w:p w14:paraId="7A401B72" w14:textId="77777777" w:rsidR="00180E7C" w:rsidRDefault="00000000">
            <w:pPr>
              <w:pStyle w:val="Compact"/>
            </w:pPr>
            <w:r>
              <w:t>Party</w:t>
            </w:r>
          </w:p>
        </w:tc>
        <w:tc>
          <w:tcPr>
            <w:tcW w:w="0" w:type="auto"/>
          </w:tcPr>
          <w:p w14:paraId="0869CB4B" w14:textId="77777777" w:rsidR="00180E7C" w:rsidRDefault="00000000">
            <w:pPr>
              <w:pStyle w:val="Compact"/>
            </w:pPr>
            <w:r>
              <w:t>The United States of America or the Islamic Republic of Iran.</w:t>
            </w:r>
          </w:p>
        </w:tc>
        <w:tc>
          <w:tcPr>
            <w:tcW w:w="0" w:type="auto"/>
          </w:tcPr>
          <w:p w14:paraId="5DA8BEDB" w14:textId="77777777" w:rsidR="00180E7C" w:rsidRDefault="00000000">
            <w:pPr>
              <w:pStyle w:val="Compact"/>
            </w:pPr>
            <w:r>
              <w:t>Art. 0.4.2</w:t>
            </w:r>
          </w:p>
        </w:tc>
      </w:tr>
      <w:tr w:rsidR="00180E7C" w14:paraId="7D014A5F" w14:textId="77777777">
        <w:tc>
          <w:tcPr>
            <w:tcW w:w="0" w:type="auto"/>
          </w:tcPr>
          <w:p w14:paraId="2498A80B" w14:textId="77777777" w:rsidR="00180E7C" w:rsidRDefault="00000000">
            <w:pPr>
              <w:pStyle w:val="Compact"/>
            </w:pPr>
            <w:r>
              <w:t>Permitted Inventory</w:t>
            </w:r>
          </w:p>
        </w:tc>
        <w:tc>
          <w:tcPr>
            <w:tcW w:w="0" w:type="auto"/>
          </w:tcPr>
          <w:p w14:paraId="0F737B2D" w14:textId="77777777" w:rsidR="00180E7C" w:rsidRDefault="00000000">
            <w:pPr>
              <w:pStyle w:val="Compact"/>
            </w:pPr>
            <w:r>
              <w:t>The low-enriched uranium cap of Article 61.3.1(b).</w:t>
            </w:r>
          </w:p>
        </w:tc>
        <w:tc>
          <w:tcPr>
            <w:tcW w:w="0" w:type="auto"/>
          </w:tcPr>
          <w:p w14:paraId="5C492445" w14:textId="77777777" w:rsidR="00180E7C" w:rsidRDefault="00000000">
            <w:pPr>
              <w:pStyle w:val="Compact"/>
            </w:pPr>
            <w:r>
              <w:t>Art. 61.3.1</w:t>
            </w:r>
          </w:p>
        </w:tc>
      </w:tr>
      <w:tr w:rsidR="00180E7C" w14:paraId="543ABBEE" w14:textId="77777777">
        <w:tc>
          <w:tcPr>
            <w:tcW w:w="0" w:type="auto"/>
          </w:tcPr>
          <w:p w14:paraId="358F2083" w14:textId="77777777" w:rsidR="00180E7C" w:rsidRDefault="00000000">
            <w:pPr>
              <w:pStyle w:val="Compact"/>
            </w:pPr>
            <w:r>
              <w:t>Phase Gate</w:t>
            </w:r>
          </w:p>
        </w:tc>
        <w:tc>
          <w:tcPr>
            <w:tcW w:w="0" w:type="auto"/>
          </w:tcPr>
          <w:p w14:paraId="4EDF211F" w14:textId="77777777" w:rsidR="00180E7C" w:rsidRDefault="00000000">
            <w:pPr>
              <w:pStyle w:val="Compact"/>
            </w:pPr>
            <w:r>
              <w:t>A certification-locked transition between implementation phases.</w:t>
            </w:r>
          </w:p>
        </w:tc>
        <w:tc>
          <w:tcPr>
            <w:tcW w:w="0" w:type="auto"/>
          </w:tcPr>
          <w:p w14:paraId="610692CD" w14:textId="77777777" w:rsidR="00180E7C" w:rsidRDefault="00000000">
            <w:pPr>
              <w:pStyle w:val="Compact"/>
            </w:pPr>
            <w:r>
              <w:t>Art. 10.1.2</w:t>
            </w:r>
          </w:p>
        </w:tc>
      </w:tr>
      <w:tr w:rsidR="00180E7C" w14:paraId="1838019A" w14:textId="77777777">
        <w:tc>
          <w:tcPr>
            <w:tcW w:w="0" w:type="auto"/>
          </w:tcPr>
          <w:p w14:paraId="6C488428" w14:textId="77777777" w:rsidR="00180E7C" w:rsidRDefault="00000000">
            <w:pPr>
              <w:pStyle w:val="Compact"/>
            </w:pPr>
            <w:r>
              <w:t>Pool A / Pool B</w:t>
            </w:r>
          </w:p>
        </w:tc>
        <w:tc>
          <w:tcPr>
            <w:tcW w:w="0" w:type="auto"/>
          </w:tcPr>
          <w:p w14:paraId="3502E58C" w14:textId="77777777" w:rsidR="00180E7C" w:rsidRDefault="00000000">
            <w:pPr>
              <w:pStyle w:val="Compact"/>
            </w:pPr>
            <w:r>
              <w:t>The two escrow pools of Article 47.1.1.</w:t>
            </w:r>
          </w:p>
        </w:tc>
        <w:tc>
          <w:tcPr>
            <w:tcW w:w="0" w:type="auto"/>
          </w:tcPr>
          <w:p w14:paraId="4B2CFECE" w14:textId="77777777" w:rsidR="00180E7C" w:rsidRDefault="00000000">
            <w:pPr>
              <w:pStyle w:val="Compact"/>
            </w:pPr>
            <w:r>
              <w:t>Art. 47.1</w:t>
            </w:r>
          </w:p>
        </w:tc>
      </w:tr>
      <w:tr w:rsidR="00180E7C" w14:paraId="5423A453" w14:textId="77777777">
        <w:tc>
          <w:tcPr>
            <w:tcW w:w="0" w:type="auto"/>
          </w:tcPr>
          <w:p w14:paraId="37A21F7A" w14:textId="77777777" w:rsidR="00180E7C" w:rsidRDefault="00000000">
            <w:pPr>
              <w:pStyle w:val="Compact"/>
            </w:pPr>
            <w:r>
              <w:t>Proxy Domain</w:t>
            </w:r>
          </w:p>
        </w:tc>
        <w:tc>
          <w:tcPr>
            <w:tcW w:w="0" w:type="auto"/>
          </w:tcPr>
          <w:p w14:paraId="619E5D71" w14:textId="77777777" w:rsidR="00180E7C" w:rsidRDefault="00000000">
            <w:pPr>
              <w:pStyle w:val="Compact"/>
            </w:pPr>
            <w:r>
              <w:t>The field of non-state armed group activity addressed by this Treaty.</w:t>
            </w:r>
          </w:p>
        </w:tc>
        <w:tc>
          <w:tcPr>
            <w:tcW w:w="0" w:type="auto"/>
          </w:tcPr>
          <w:p w14:paraId="137394E4" w14:textId="77777777" w:rsidR="00180E7C" w:rsidRDefault="00000000">
            <w:pPr>
              <w:pStyle w:val="Compact"/>
            </w:pPr>
            <w:r>
              <w:t>Art. 0.4.21</w:t>
            </w:r>
          </w:p>
        </w:tc>
      </w:tr>
      <w:tr w:rsidR="00180E7C" w14:paraId="1B6FE96B" w14:textId="77777777">
        <w:tc>
          <w:tcPr>
            <w:tcW w:w="0" w:type="auto"/>
          </w:tcPr>
          <w:p w14:paraId="7663F883" w14:textId="77777777" w:rsidR="00180E7C" w:rsidRDefault="00000000">
            <w:pPr>
              <w:pStyle w:val="Compact"/>
            </w:pPr>
            <w:r>
              <w:t>RDF</w:t>
            </w:r>
          </w:p>
        </w:tc>
        <w:tc>
          <w:tcPr>
            <w:tcW w:w="0" w:type="auto"/>
          </w:tcPr>
          <w:p w14:paraId="7441BD29" w14:textId="77777777" w:rsidR="00180E7C" w:rsidRDefault="00000000">
            <w:pPr>
              <w:pStyle w:val="Compact"/>
            </w:pPr>
            <w:r>
              <w:t>The Reconstruction and Development Fund of Article 52 and Annex I.</w:t>
            </w:r>
          </w:p>
        </w:tc>
        <w:tc>
          <w:tcPr>
            <w:tcW w:w="0" w:type="auto"/>
          </w:tcPr>
          <w:p w14:paraId="1902CC9A" w14:textId="77777777" w:rsidR="00180E7C" w:rsidRDefault="00000000">
            <w:pPr>
              <w:pStyle w:val="Compact"/>
            </w:pPr>
            <w:r>
              <w:t>Art. 52.1</w:t>
            </w:r>
          </w:p>
        </w:tc>
      </w:tr>
      <w:tr w:rsidR="00180E7C" w14:paraId="60F0BB63" w14:textId="77777777">
        <w:tc>
          <w:tcPr>
            <w:tcW w:w="0" w:type="auto"/>
          </w:tcPr>
          <w:p w14:paraId="2F5A6D90" w14:textId="77777777" w:rsidR="00180E7C" w:rsidRDefault="00000000">
            <w:pPr>
              <w:pStyle w:val="Compact"/>
            </w:pPr>
            <w:r>
              <w:t>RDSF</w:t>
            </w:r>
          </w:p>
        </w:tc>
        <w:tc>
          <w:tcPr>
            <w:tcW w:w="0" w:type="auto"/>
          </w:tcPr>
          <w:p w14:paraId="3B29EFED" w14:textId="77777777" w:rsidR="00180E7C" w:rsidRDefault="00000000">
            <w:pPr>
              <w:pStyle w:val="Compact"/>
            </w:pPr>
            <w:r>
              <w:t>The Regional Demobilization Support Facility of Article 23.1.</w:t>
            </w:r>
          </w:p>
        </w:tc>
        <w:tc>
          <w:tcPr>
            <w:tcW w:w="0" w:type="auto"/>
          </w:tcPr>
          <w:p w14:paraId="52E61CEE" w14:textId="77777777" w:rsidR="00180E7C" w:rsidRDefault="00000000">
            <w:pPr>
              <w:pStyle w:val="Compact"/>
            </w:pPr>
            <w:r>
              <w:t>Art. 23.1</w:t>
            </w:r>
          </w:p>
        </w:tc>
      </w:tr>
      <w:tr w:rsidR="00180E7C" w14:paraId="58DFBB2C" w14:textId="77777777">
        <w:tc>
          <w:tcPr>
            <w:tcW w:w="0" w:type="auto"/>
          </w:tcPr>
          <w:p w14:paraId="0E51B882" w14:textId="77777777" w:rsidR="00180E7C" w:rsidRDefault="00000000">
            <w:pPr>
              <w:pStyle w:val="Compact"/>
            </w:pPr>
            <w:r>
              <w:t>Red Line</w:t>
            </w:r>
          </w:p>
        </w:tc>
        <w:tc>
          <w:tcPr>
            <w:tcW w:w="0" w:type="auto"/>
          </w:tcPr>
          <w:p w14:paraId="70200A25" w14:textId="77777777" w:rsidR="00180E7C" w:rsidRDefault="00000000">
            <w:pPr>
              <w:pStyle w:val="Compact"/>
            </w:pPr>
            <w:r>
              <w:t>A registered non-negotiable position of a Party.</w:t>
            </w:r>
          </w:p>
        </w:tc>
        <w:tc>
          <w:tcPr>
            <w:tcW w:w="0" w:type="auto"/>
          </w:tcPr>
          <w:p w14:paraId="1832331E" w14:textId="77777777" w:rsidR="00180E7C" w:rsidRDefault="00000000">
            <w:pPr>
              <w:pStyle w:val="Compact"/>
            </w:pPr>
            <w:r>
              <w:t>Art. 0.4.19</w:t>
            </w:r>
          </w:p>
        </w:tc>
      </w:tr>
      <w:tr w:rsidR="00180E7C" w14:paraId="2DA476EE" w14:textId="77777777">
        <w:tc>
          <w:tcPr>
            <w:tcW w:w="0" w:type="auto"/>
          </w:tcPr>
          <w:p w14:paraId="1A1C6672" w14:textId="77777777" w:rsidR="00180E7C" w:rsidRDefault="00000000">
            <w:pPr>
              <w:pStyle w:val="Compact"/>
            </w:pPr>
            <w:r>
              <w:t>RSCSC</w:t>
            </w:r>
          </w:p>
        </w:tc>
        <w:tc>
          <w:tcPr>
            <w:tcW w:w="0" w:type="auto"/>
          </w:tcPr>
          <w:p w14:paraId="4E92E6A0" w14:textId="77777777" w:rsidR="00180E7C" w:rsidRDefault="00000000">
            <w:pPr>
              <w:pStyle w:val="Compact"/>
            </w:pPr>
            <w:r>
              <w:t>The Regional Standing Conference on Security and Cooperation.</w:t>
            </w:r>
          </w:p>
        </w:tc>
        <w:tc>
          <w:tcPr>
            <w:tcW w:w="0" w:type="auto"/>
          </w:tcPr>
          <w:p w14:paraId="74A65F57" w14:textId="77777777" w:rsidR="00180E7C" w:rsidRDefault="00000000">
            <w:pPr>
              <w:pStyle w:val="Compact"/>
            </w:pPr>
            <w:r>
              <w:t>Art. 8.1</w:t>
            </w:r>
          </w:p>
        </w:tc>
      </w:tr>
      <w:tr w:rsidR="00180E7C" w14:paraId="75893539" w14:textId="77777777">
        <w:tc>
          <w:tcPr>
            <w:tcW w:w="0" w:type="auto"/>
          </w:tcPr>
          <w:p w14:paraId="197358B6" w14:textId="77777777" w:rsidR="00180E7C" w:rsidRDefault="00000000">
            <w:pPr>
              <w:pStyle w:val="Compact"/>
            </w:pPr>
            <w:r>
              <w:t>Rules of Transit</w:t>
            </w:r>
          </w:p>
        </w:tc>
        <w:tc>
          <w:tcPr>
            <w:tcW w:w="0" w:type="auto"/>
          </w:tcPr>
          <w:p w14:paraId="791F0632" w14:textId="77777777" w:rsidR="00180E7C" w:rsidRDefault="00000000">
            <w:pPr>
              <w:pStyle w:val="Compact"/>
            </w:pPr>
            <w:r>
              <w:t>The published transit rules of Annex B, Section 9.</w:t>
            </w:r>
          </w:p>
        </w:tc>
        <w:tc>
          <w:tcPr>
            <w:tcW w:w="0" w:type="auto"/>
          </w:tcPr>
          <w:p w14:paraId="363DA254" w14:textId="77777777" w:rsidR="00180E7C" w:rsidRDefault="00000000">
            <w:pPr>
              <w:pStyle w:val="Compact"/>
            </w:pPr>
            <w:r>
              <w:t>Art. 34.1</w:t>
            </w:r>
          </w:p>
        </w:tc>
      </w:tr>
      <w:tr w:rsidR="00180E7C" w14:paraId="060761F0" w14:textId="77777777">
        <w:tc>
          <w:tcPr>
            <w:tcW w:w="0" w:type="auto"/>
          </w:tcPr>
          <w:p w14:paraId="2BCBBB34" w14:textId="77777777" w:rsidR="00180E7C" w:rsidRDefault="00000000">
            <w:pPr>
              <w:pStyle w:val="Compact"/>
            </w:pPr>
            <w:r>
              <w:t>Sanctions Architecture</w:t>
            </w:r>
          </w:p>
        </w:tc>
        <w:tc>
          <w:tcPr>
            <w:tcW w:w="0" w:type="auto"/>
          </w:tcPr>
          <w:p w14:paraId="41D97828" w14:textId="77777777" w:rsidR="00180E7C" w:rsidRDefault="00000000">
            <w:pPr>
              <w:pStyle w:val="Compact"/>
            </w:pPr>
            <w:r>
              <w:t>The totality of measures of Annex G, Schedule G-1.</w:t>
            </w:r>
          </w:p>
        </w:tc>
        <w:tc>
          <w:tcPr>
            <w:tcW w:w="0" w:type="auto"/>
          </w:tcPr>
          <w:p w14:paraId="4EE36E32" w14:textId="77777777" w:rsidR="00180E7C" w:rsidRDefault="00000000">
            <w:pPr>
              <w:pStyle w:val="Compact"/>
            </w:pPr>
            <w:r>
              <w:t>Art. 0.4.11</w:t>
            </w:r>
          </w:p>
        </w:tc>
      </w:tr>
      <w:tr w:rsidR="00180E7C" w14:paraId="386D2CAB" w14:textId="77777777">
        <w:tc>
          <w:tcPr>
            <w:tcW w:w="0" w:type="auto"/>
          </w:tcPr>
          <w:p w14:paraId="6444EBA2" w14:textId="77777777" w:rsidR="00180E7C" w:rsidRDefault="00000000">
            <w:pPr>
              <w:pStyle w:val="Compact"/>
            </w:pPr>
            <w:r>
              <w:t>Shared Digital Registry (SDR)</w:t>
            </w:r>
          </w:p>
        </w:tc>
        <w:tc>
          <w:tcPr>
            <w:tcW w:w="0" w:type="auto"/>
          </w:tcPr>
          <w:p w14:paraId="43108F93" w14:textId="77777777" w:rsidR="00180E7C" w:rsidRDefault="00000000">
            <w:pPr>
              <w:pStyle w:val="Compact"/>
            </w:pPr>
            <w:r>
              <w:t>The cryptographically secured data repository of Annex C, Section 4.</w:t>
            </w:r>
          </w:p>
        </w:tc>
        <w:tc>
          <w:tcPr>
            <w:tcW w:w="0" w:type="auto"/>
          </w:tcPr>
          <w:p w14:paraId="6D60DF8E" w14:textId="77777777" w:rsidR="00180E7C" w:rsidRDefault="00000000">
            <w:pPr>
              <w:pStyle w:val="Compact"/>
            </w:pPr>
            <w:r>
              <w:t>Art. 0.4.16</w:t>
            </w:r>
          </w:p>
        </w:tc>
      </w:tr>
      <w:tr w:rsidR="00180E7C" w14:paraId="739FC17A" w14:textId="77777777">
        <w:tc>
          <w:tcPr>
            <w:tcW w:w="0" w:type="auto"/>
          </w:tcPr>
          <w:p w14:paraId="4F576D1E" w14:textId="77777777" w:rsidR="00180E7C" w:rsidRDefault="00000000">
            <w:pPr>
              <w:pStyle w:val="Compact"/>
            </w:pPr>
            <w:r>
              <w:t>Significant Quantity</w:t>
            </w:r>
          </w:p>
        </w:tc>
        <w:tc>
          <w:tcPr>
            <w:tcW w:w="0" w:type="auto"/>
          </w:tcPr>
          <w:p w14:paraId="6801FF4C" w14:textId="77777777" w:rsidR="00180E7C" w:rsidRDefault="00000000">
            <w:pPr>
              <w:pStyle w:val="Compact"/>
            </w:pPr>
            <w:r>
              <w:t>The IAEA-defined quantity of nuclear material for breakout computation.</w:t>
            </w:r>
          </w:p>
        </w:tc>
        <w:tc>
          <w:tcPr>
            <w:tcW w:w="0" w:type="auto"/>
          </w:tcPr>
          <w:p w14:paraId="2FABF9ED" w14:textId="77777777" w:rsidR="00180E7C" w:rsidRDefault="00000000">
            <w:pPr>
              <w:pStyle w:val="Compact"/>
            </w:pPr>
            <w:r>
              <w:t>Annex F, 11.2</w:t>
            </w:r>
          </w:p>
        </w:tc>
      </w:tr>
      <w:tr w:rsidR="00180E7C" w14:paraId="0F90798E" w14:textId="77777777">
        <w:tc>
          <w:tcPr>
            <w:tcW w:w="0" w:type="auto"/>
          </w:tcPr>
          <w:p w14:paraId="52CE50FE" w14:textId="77777777" w:rsidR="00180E7C" w:rsidRDefault="00000000">
            <w:pPr>
              <w:pStyle w:val="Compact"/>
            </w:pPr>
            <w:r>
              <w:t>Step-Back</w:t>
            </w:r>
          </w:p>
        </w:tc>
        <w:tc>
          <w:tcPr>
            <w:tcW w:w="0" w:type="auto"/>
          </w:tcPr>
          <w:p w14:paraId="5005FADC" w14:textId="77777777" w:rsidR="00180E7C" w:rsidRDefault="00000000">
            <w:pPr>
              <w:pStyle w:val="Compact"/>
            </w:pPr>
            <w:r>
              <w:t>A proportionate, reversible pause of defined benefits.</w:t>
            </w:r>
          </w:p>
        </w:tc>
        <w:tc>
          <w:tcPr>
            <w:tcW w:w="0" w:type="auto"/>
          </w:tcPr>
          <w:p w14:paraId="1075BAEB" w14:textId="77777777" w:rsidR="00180E7C" w:rsidRDefault="00000000">
            <w:pPr>
              <w:pStyle w:val="Compact"/>
            </w:pPr>
            <w:r>
              <w:t>Art. 0.4.13</w:t>
            </w:r>
          </w:p>
        </w:tc>
      </w:tr>
      <w:tr w:rsidR="00180E7C" w14:paraId="338086A0" w14:textId="77777777">
        <w:tc>
          <w:tcPr>
            <w:tcW w:w="0" w:type="auto"/>
          </w:tcPr>
          <w:p w14:paraId="3493E832" w14:textId="77777777" w:rsidR="00180E7C" w:rsidRDefault="00000000">
            <w:pPr>
              <w:pStyle w:val="Compact"/>
            </w:pPr>
            <w:r>
              <w:t>Swiss Facilitator</w:t>
            </w:r>
          </w:p>
        </w:tc>
        <w:tc>
          <w:tcPr>
            <w:tcW w:w="0" w:type="auto"/>
          </w:tcPr>
          <w:p w14:paraId="293F9511" w14:textId="77777777" w:rsidR="00180E7C" w:rsidRDefault="00000000">
            <w:pPr>
              <w:pStyle w:val="Compact"/>
            </w:pPr>
            <w:r>
              <w:t>The Swiss Confederation in its facilitation capacity.</w:t>
            </w:r>
          </w:p>
        </w:tc>
        <w:tc>
          <w:tcPr>
            <w:tcW w:w="0" w:type="auto"/>
          </w:tcPr>
          <w:p w14:paraId="07466AEC" w14:textId="77777777" w:rsidR="00180E7C" w:rsidRDefault="00000000">
            <w:pPr>
              <w:pStyle w:val="Compact"/>
            </w:pPr>
            <w:r>
              <w:t>Art. 0.4.17</w:t>
            </w:r>
          </w:p>
        </w:tc>
      </w:tr>
      <w:tr w:rsidR="00180E7C" w14:paraId="1FB9E1CB" w14:textId="77777777">
        <w:tc>
          <w:tcPr>
            <w:tcW w:w="0" w:type="auto"/>
          </w:tcPr>
          <w:p w14:paraId="64B96604" w14:textId="77777777" w:rsidR="00180E7C" w:rsidRDefault="00000000">
            <w:pPr>
              <w:pStyle w:val="Compact"/>
            </w:pPr>
            <w:r>
              <w:lastRenderedPageBreak/>
              <w:t>Technical Deviation</w:t>
            </w:r>
          </w:p>
        </w:tc>
        <w:tc>
          <w:tcPr>
            <w:tcW w:w="0" w:type="auto"/>
          </w:tcPr>
          <w:p w14:paraId="378B82A4" w14:textId="77777777" w:rsidR="00180E7C" w:rsidRDefault="00000000">
            <w:pPr>
              <w:pStyle w:val="Compact"/>
            </w:pPr>
            <w:r>
              <w:t>A deviation without compliance significance.</w:t>
            </w:r>
          </w:p>
        </w:tc>
        <w:tc>
          <w:tcPr>
            <w:tcW w:w="0" w:type="auto"/>
          </w:tcPr>
          <w:p w14:paraId="7E1FA996" w14:textId="77777777" w:rsidR="00180E7C" w:rsidRDefault="00000000">
            <w:pPr>
              <w:pStyle w:val="Compact"/>
            </w:pPr>
            <w:r>
              <w:t>Art. 66.2</w:t>
            </w:r>
          </w:p>
        </w:tc>
      </w:tr>
      <w:tr w:rsidR="00180E7C" w14:paraId="0C386B8E" w14:textId="77777777">
        <w:tc>
          <w:tcPr>
            <w:tcW w:w="0" w:type="auto"/>
          </w:tcPr>
          <w:p w14:paraId="3917FDCA" w14:textId="77777777" w:rsidR="00180E7C" w:rsidRDefault="00000000">
            <w:pPr>
              <w:pStyle w:val="Compact"/>
            </w:pPr>
            <w:r>
              <w:t>Technical Panel</w:t>
            </w:r>
          </w:p>
        </w:tc>
        <w:tc>
          <w:tcPr>
            <w:tcW w:w="0" w:type="auto"/>
          </w:tcPr>
          <w:p w14:paraId="68700E70" w14:textId="77777777" w:rsidR="00180E7C" w:rsidRDefault="00000000">
            <w:pPr>
              <w:pStyle w:val="Compact"/>
            </w:pPr>
            <w:r>
              <w:t>Tier 1 of the maritime dispute system.</w:t>
            </w:r>
          </w:p>
        </w:tc>
        <w:tc>
          <w:tcPr>
            <w:tcW w:w="0" w:type="auto"/>
          </w:tcPr>
          <w:p w14:paraId="2DE6D9A5" w14:textId="77777777" w:rsidR="00180E7C" w:rsidRDefault="00000000">
            <w:pPr>
              <w:pStyle w:val="Compact"/>
            </w:pPr>
            <w:r>
              <w:t>Art. 45.1.1</w:t>
            </w:r>
          </w:p>
        </w:tc>
      </w:tr>
      <w:tr w:rsidR="00180E7C" w14:paraId="7ECF325F" w14:textId="77777777">
        <w:tc>
          <w:tcPr>
            <w:tcW w:w="0" w:type="auto"/>
          </w:tcPr>
          <w:p w14:paraId="6B82ED8A" w14:textId="77777777" w:rsidR="00180E7C" w:rsidRDefault="00000000">
            <w:pPr>
              <w:pStyle w:val="Compact"/>
            </w:pPr>
            <w:r>
              <w:t>Technical Truth Escalation Chain</w:t>
            </w:r>
          </w:p>
        </w:tc>
        <w:tc>
          <w:tcPr>
            <w:tcW w:w="0" w:type="auto"/>
          </w:tcPr>
          <w:p w14:paraId="18DFC7DD" w14:textId="77777777" w:rsidR="00180E7C" w:rsidRDefault="00000000">
            <w:pPr>
              <w:pStyle w:val="Compact"/>
            </w:pPr>
            <w:r>
              <w:t>The data-fidelity dispute chain of Annex C, Section 7.</w:t>
            </w:r>
          </w:p>
        </w:tc>
        <w:tc>
          <w:tcPr>
            <w:tcW w:w="0" w:type="auto"/>
          </w:tcPr>
          <w:p w14:paraId="5C031F28" w14:textId="77777777" w:rsidR="00180E7C" w:rsidRDefault="00000000">
            <w:pPr>
              <w:pStyle w:val="Compact"/>
            </w:pPr>
            <w:r>
              <w:t>Annex C, 7</w:t>
            </w:r>
          </w:p>
        </w:tc>
      </w:tr>
      <w:tr w:rsidR="00180E7C" w14:paraId="5FF8704C" w14:textId="77777777">
        <w:tc>
          <w:tcPr>
            <w:tcW w:w="0" w:type="auto"/>
          </w:tcPr>
          <w:p w14:paraId="6DCC557A" w14:textId="77777777" w:rsidR="00180E7C" w:rsidRDefault="00000000">
            <w:pPr>
              <w:pStyle w:val="Compact"/>
            </w:pPr>
            <w:r>
              <w:t>Third-Party Expert Pool</w:t>
            </w:r>
          </w:p>
        </w:tc>
        <w:tc>
          <w:tcPr>
            <w:tcW w:w="0" w:type="auto"/>
          </w:tcPr>
          <w:p w14:paraId="52F829F9" w14:textId="77777777" w:rsidR="00180E7C" w:rsidRDefault="00000000">
            <w:pPr>
              <w:pStyle w:val="Compact"/>
            </w:pPr>
            <w:r>
              <w:t>The standing neutral expert pool of Annex C, Section 13.</w:t>
            </w:r>
          </w:p>
        </w:tc>
        <w:tc>
          <w:tcPr>
            <w:tcW w:w="0" w:type="auto"/>
          </w:tcPr>
          <w:p w14:paraId="156F0AA7" w14:textId="77777777" w:rsidR="00180E7C" w:rsidRDefault="00000000">
            <w:pPr>
              <w:pStyle w:val="Compact"/>
            </w:pPr>
            <w:r>
              <w:t>Annex C, 13</w:t>
            </w:r>
          </w:p>
        </w:tc>
      </w:tr>
      <w:tr w:rsidR="00180E7C" w14:paraId="6D4CBA2A" w14:textId="77777777">
        <w:tc>
          <w:tcPr>
            <w:tcW w:w="0" w:type="auto"/>
          </w:tcPr>
          <w:p w14:paraId="58F90653" w14:textId="77777777" w:rsidR="00180E7C" w:rsidRDefault="00000000">
            <w:pPr>
              <w:pStyle w:val="Compact"/>
            </w:pPr>
            <w:r>
              <w:t>Tier</w:t>
            </w:r>
          </w:p>
        </w:tc>
        <w:tc>
          <w:tcPr>
            <w:tcW w:w="0" w:type="auto"/>
          </w:tcPr>
          <w:p w14:paraId="64747B83" w14:textId="77777777" w:rsidR="00180E7C" w:rsidRDefault="00000000">
            <w:pPr>
              <w:pStyle w:val="Compact"/>
            </w:pPr>
            <w:r>
              <w:t>A violation and consequence classification (Tier 1, 2, or 3).</w:t>
            </w:r>
          </w:p>
        </w:tc>
        <w:tc>
          <w:tcPr>
            <w:tcW w:w="0" w:type="auto"/>
          </w:tcPr>
          <w:p w14:paraId="63B336DD" w14:textId="77777777" w:rsidR="00180E7C" w:rsidRDefault="00000000">
            <w:pPr>
              <w:pStyle w:val="Compact"/>
            </w:pPr>
            <w:r>
              <w:t>Art. 66.2</w:t>
            </w:r>
          </w:p>
        </w:tc>
      </w:tr>
      <w:tr w:rsidR="00180E7C" w14:paraId="62BCD133" w14:textId="77777777">
        <w:tc>
          <w:tcPr>
            <w:tcW w:w="0" w:type="auto"/>
          </w:tcPr>
          <w:p w14:paraId="338EBD18" w14:textId="77777777" w:rsidR="00180E7C" w:rsidRDefault="00000000">
            <w:pPr>
              <w:pStyle w:val="Compact"/>
            </w:pPr>
            <w:r>
              <w:t>Transit Passage</w:t>
            </w:r>
          </w:p>
        </w:tc>
        <w:tc>
          <w:tcPr>
            <w:tcW w:w="0" w:type="auto"/>
          </w:tcPr>
          <w:p w14:paraId="05F9017D" w14:textId="77777777" w:rsidR="00180E7C" w:rsidRDefault="00000000">
            <w:pPr>
              <w:pStyle w:val="Compact"/>
            </w:pPr>
            <w:r>
              <w:t>Continuous and expeditious navigation through the Strait.</w:t>
            </w:r>
          </w:p>
        </w:tc>
        <w:tc>
          <w:tcPr>
            <w:tcW w:w="0" w:type="auto"/>
          </w:tcPr>
          <w:p w14:paraId="3CBABBA1" w14:textId="77777777" w:rsidR="00180E7C" w:rsidRDefault="00000000">
            <w:pPr>
              <w:pStyle w:val="Compact"/>
            </w:pPr>
            <w:r>
              <w:t>Art. 0.4.23</w:t>
            </w:r>
          </w:p>
        </w:tc>
      </w:tr>
      <w:tr w:rsidR="00180E7C" w14:paraId="1CA0BEED" w14:textId="77777777">
        <w:tc>
          <w:tcPr>
            <w:tcW w:w="0" w:type="auto"/>
          </w:tcPr>
          <w:p w14:paraId="00B276D6" w14:textId="77777777" w:rsidR="00180E7C" w:rsidRDefault="00000000">
            <w:pPr>
              <w:pStyle w:val="Compact"/>
            </w:pPr>
            <w:r>
              <w:t>Treaty</w:t>
            </w:r>
          </w:p>
        </w:tc>
        <w:tc>
          <w:tcPr>
            <w:tcW w:w="0" w:type="auto"/>
          </w:tcPr>
          <w:p w14:paraId="59859308" w14:textId="77777777" w:rsidR="00180E7C" w:rsidRDefault="00000000">
            <w:pPr>
              <w:pStyle w:val="Compact"/>
            </w:pPr>
            <w:r>
              <w:t>This instrument in its entirety.</w:t>
            </w:r>
          </w:p>
        </w:tc>
        <w:tc>
          <w:tcPr>
            <w:tcW w:w="0" w:type="auto"/>
          </w:tcPr>
          <w:p w14:paraId="746688F3" w14:textId="77777777" w:rsidR="00180E7C" w:rsidRDefault="00000000">
            <w:pPr>
              <w:pStyle w:val="Compact"/>
            </w:pPr>
            <w:r>
              <w:t>Art. 0.4.1</w:t>
            </w:r>
          </w:p>
        </w:tc>
      </w:tr>
      <w:tr w:rsidR="00180E7C" w14:paraId="0DCCAF38" w14:textId="77777777">
        <w:tc>
          <w:tcPr>
            <w:tcW w:w="0" w:type="auto"/>
          </w:tcPr>
          <w:p w14:paraId="5DC94C42" w14:textId="77777777" w:rsidR="00180E7C" w:rsidRDefault="00000000">
            <w:pPr>
              <w:pStyle w:val="Compact"/>
            </w:pPr>
            <w:r>
              <w:t>Twin-Key</w:t>
            </w:r>
          </w:p>
        </w:tc>
        <w:tc>
          <w:tcPr>
            <w:tcW w:w="0" w:type="auto"/>
          </w:tcPr>
          <w:p w14:paraId="0E7F68BB" w14:textId="77777777" w:rsidR="00180E7C" w:rsidRDefault="00000000">
            <w:pPr>
              <w:pStyle w:val="Compact"/>
            </w:pPr>
            <w:r>
              <w:t>The requirement of concurrent Omani and Iranian authorization for consequential actions.</w:t>
            </w:r>
          </w:p>
        </w:tc>
        <w:tc>
          <w:tcPr>
            <w:tcW w:w="0" w:type="auto"/>
          </w:tcPr>
          <w:p w14:paraId="48E17EDD" w14:textId="77777777" w:rsidR="00180E7C" w:rsidRDefault="00000000">
            <w:pPr>
              <w:pStyle w:val="Compact"/>
            </w:pPr>
            <w:r>
              <w:t>Art. 31.3.2</w:t>
            </w:r>
          </w:p>
        </w:tc>
      </w:tr>
      <w:tr w:rsidR="00180E7C" w14:paraId="71F307E4" w14:textId="77777777">
        <w:tc>
          <w:tcPr>
            <w:tcW w:w="0" w:type="auto"/>
          </w:tcPr>
          <w:p w14:paraId="006A9D09" w14:textId="77777777" w:rsidR="00180E7C" w:rsidRDefault="00000000">
            <w:pPr>
              <w:pStyle w:val="Compact"/>
            </w:pPr>
            <w:r>
              <w:t>Two-Pool Mechanism</w:t>
            </w:r>
          </w:p>
        </w:tc>
        <w:tc>
          <w:tcPr>
            <w:tcW w:w="0" w:type="auto"/>
          </w:tcPr>
          <w:p w14:paraId="151723C3" w14:textId="77777777" w:rsidR="00180E7C" w:rsidRDefault="00000000">
            <w:pPr>
              <w:pStyle w:val="Compact"/>
            </w:pPr>
            <w:r>
              <w:t>The synchronized disbursement architecture of Annex H.</w:t>
            </w:r>
          </w:p>
        </w:tc>
        <w:tc>
          <w:tcPr>
            <w:tcW w:w="0" w:type="auto"/>
          </w:tcPr>
          <w:p w14:paraId="33C399E0" w14:textId="77777777" w:rsidR="00180E7C" w:rsidRDefault="00000000">
            <w:pPr>
              <w:pStyle w:val="Compact"/>
            </w:pPr>
            <w:r>
              <w:t>Art. 47.1</w:t>
            </w:r>
          </w:p>
        </w:tc>
      </w:tr>
      <w:tr w:rsidR="00180E7C" w14:paraId="03FD76C3" w14:textId="77777777">
        <w:tc>
          <w:tcPr>
            <w:tcW w:w="0" w:type="auto"/>
          </w:tcPr>
          <w:p w14:paraId="1382B266" w14:textId="77777777" w:rsidR="00180E7C" w:rsidRDefault="00000000">
            <w:pPr>
              <w:pStyle w:val="Compact"/>
            </w:pPr>
            <w:r>
              <w:t>Uranium Ledger</w:t>
            </w:r>
          </w:p>
        </w:tc>
        <w:tc>
          <w:tcPr>
            <w:tcW w:w="0" w:type="auto"/>
          </w:tcPr>
          <w:p w14:paraId="1802B8F7" w14:textId="77777777" w:rsidR="00180E7C" w:rsidRDefault="00000000">
            <w:pPr>
              <w:pStyle w:val="Compact"/>
            </w:pPr>
            <w:r>
              <w:t>The gram-level cryptographic inventory of Annex F, Section 3.</w:t>
            </w:r>
          </w:p>
        </w:tc>
        <w:tc>
          <w:tcPr>
            <w:tcW w:w="0" w:type="auto"/>
          </w:tcPr>
          <w:p w14:paraId="3B7EA144" w14:textId="77777777" w:rsidR="00180E7C" w:rsidRDefault="00000000">
            <w:pPr>
              <w:pStyle w:val="Compact"/>
            </w:pPr>
            <w:r>
              <w:t>Art. 61.4</w:t>
            </w:r>
          </w:p>
        </w:tc>
      </w:tr>
      <w:tr w:rsidR="00180E7C" w14:paraId="55FC7186" w14:textId="77777777">
        <w:tc>
          <w:tcPr>
            <w:tcW w:w="0" w:type="auto"/>
          </w:tcPr>
          <w:p w14:paraId="2DC1CE23" w14:textId="77777777" w:rsidR="00180E7C" w:rsidRDefault="00000000">
            <w:pPr>
              <w:pStyle w:val="Compact"/>
            </w:pPr>
            <w:r>
              <w:t>Verification Cell</w:t>
            </w:r>
          </w:p>
        </w:tc>
        <w:tc>
          <w:tcPr>
            <w:tcW w:w="0" w:type="auto"/>
          </w:tcPr>
          <w:p w14:paraId="7F0DF080" w14:textId="77777777" w:rsidR="00180E7C" w:rsidRDefault="00000000">
            <w:pPr>
              <w:pStyle w:val="Compact"/>
            </w:pPr>
            <w:r>
              <w:t>See Cell.</w:t>
            </w:r>
          </w:p>
        </w:tc>
        <w:tc>
          <w:tcPr>
            <w:tcW w:w="0" w:type="auto"/>
          </w:tcPr>
          <w:p w14:paraId="54D04BE5" w14:textId="77777777" w:rsidR="00180E7C" w:rsidRDefault="00000000">
            <w:pPr>
              <w:pStyle w:val="Compact"/>
            </w:pPr>
            <w:r>
              <w:t>Art. 33</w:t>
            </w:r>
          </w:p>
        </w:tc>
      </w:tr>
      <w:tr w:rsidR="00180E7C" w14:paraId="7DE43820" w14:textId="77777777">
        <w:tc>
          <w:tcPr>
            <w:tcW w:w="0" w:type="auto"/>
          </w:tcPr>
          <w:p w14:paraId="509BF9A5" w14:textId="77777777" w:rsidR="00180E7C" w:rsidRDefault="00000000">
            <w:pPr>
              <w:pStyle w:val="Compact"/>
            </w:pPr>
            <w:r>
              <w:t>Verified Services Catalog</w:t>
            </w:r>
          </w:p>
        </w:tc>
        <w:tc>
          <w:tcPr>
            <w:tcW w:w="0" w:type="auto"/>
          </w:tcPr>
          <w:p w14:paraId="0AC5123A" w14:textId="77777777" w:rsidR="00180E7C" w:rsidRDefault="00000000">
            <w:pPr>
              <w:pStyle w:val="Compact"/>
            </w:pPr>
            <w:r>
              <w:t>See Catalog.</w:t>
            </w:r>
          </w:p>
        </w:tc>
        <w:tc>
          <w:tcPr>
            <w:tcW w:w="0" w:type="auto"/>
          </w:tcPr>
          <w:p w14:paraId="4558E208" w14:textId="77777777" w:rsidR="00180E7C" w:rsidRDefault="00000000">
            <w:pPr>
              <w:pStyle w:val="Compact"/>
            </w:pPr>
            <w:r>
              <w:t>Art. 37</w:t>
            </w:r>
          </w:p>
        </w:tc>
      </w:tr>
      <w:tr w:rsidR="00180E7C" w14:paraId="30DECB05" w14:textId="77777777">
        <w:tc>
          <w:tcPr>
            <w:tcW w:w="0" w:type="auto"/>
          </w:tcPr>
          <w:p w14:paraId="374A210E" w14:textId="77777777" w:rsidR="00180E7C" w:rsidRDefault="00000000">
            <w:pPr>
              <w:pStyle w:val="Compact"/>
            </w:pPr>
            <w:r>
              <w:t>Watch Floor</w:t>
            </w:r>
          </w:p>
        </w:tc>
        <w:tc>
          <w:tcPr>
            <w:tcW w:w="0" w:type="auto"/>
          </w:tcPr>
          <w:p w14:paraId="31E2F2A0" w14:textId="77777777" w:rsidR="00180E7C" w:rsidRDefault="00000000">
            <w:pPr>
              <w:pStyle w:val="Compact"/>
            </w:pPr>
            <w:r>
              <w:t>The 24/7 monitoring station of a JOC, Cell, or JMC sub-organ.</w:t>
            </w:r>
          </w:p>
        </w:tc>
        <w:tc>
          <w:tcPr>
            <w:tcW w:w="0" w:type="auto"/>
          </w:tcPr>
          <w:p w14:paraId="6A82A41D" w14:textId="77777777" w:rsidR="00180E7C" w:rsidRDefault="00000000">
            <w:pPr>
              <w:pStyle w:val="Compact"/>
            </w:pPr>
            <w:r>
              <w:t>Annex C, 3.4</w:t>
            </w:r>
          </w:p>
        </w:tc>
      </w:tr>
    </w:tbl>
    <w:p w14:paraId="6E1F5A87" w14:textId="77777777" w:rsidR="00180E7C" w:rsidRDefault="00000000">
      <w:pPr>
        <w:pStyle w:val="Heading2"/>
      </w:pPr>
      <w:bookmarkStart w:id="540" w:name="a.3-in-situ-concordance"/>
      <w:bookmarkEnd w:id="539"/>
      <w:r>
        <w:t>A.3 In-Situ Concordance</w:t>
      </w:r>
    </w:p>
    <w:p w14:paraId="43E0D378" w14:textId="77777777" w:rsidR="00180E7C" w:rsidRDefault="00000000">
      <w:pPr>
        <w:pStyle w:val="FirstParagraph"/>
      </w:pPr>
      <w:r>
        <w:t>A.3.1 The following terms carry definitions within single provisions for local use: Anomaly Response Playbook (Annex C, 6.2); Breakout Floor methodology (Annex F, 11); Class A through Class D incidents (Art. 36.1.1); Deconfliction Belt (Art. 17.1.2); Escalation Ladder (Art. 69.2); Green Discount (Art. 39.4.1); Major exercise (Art. 16.5.1(b)); Over-Compliance Register (Art. 55.2.1); Phase 0 through Phase V (Art. 44.1.1; Art. 46.2); Polluter-pays rule (Annex B, 11.2); Stand-Still Principle (Art. 1.4); Synchronization rule (Art. 10.1.2); Technical Dispute Hold (Annex C, 7.4); Tranche (Art. 16.4.1).</w:t>
      </w:r>
    </w:p>
    <w:p w14:paraId="231D8820" w14:textId="77777777" w:rsidR="00180E7C" w:rsidRDefault="00000000">
      <w:pPr>
        <w:pStyle w:val="BodyText"/>
      </w:pPr>
      <w:r>
        <w:t>A.3.2 Every definition across the Treaty indexes into the Register through the Registry’s semantic layer, so that any organ querying a term receives its registered meaning, its source, and its harmonization history.</w:t>
      </w:r>
    </w:p>
    <w:p w14:paraId="3EFBEBD2" w14:textId="77777777" w:rsidR="00180E7C" w:rsidRDefault="00000000">
      <w:r>
        <w:br w:type="page"/>
      </w:r>
    </w:p>
    <w:p w14:paraId="6192B9F8" w14:textId="77777777" w:rsidR="00180E7C" w:rsidRDefault="00000000">
      <w:pPr>
        <w:pStyle w:val="Heading1"/>
      </w:pPr>
      <w:bookmarkStart w:id="541" w:name="X219763b7060d90ddb2328dcb09acc7cc70b2933"/>
      <w:bookmarkStart w:id="542" w:name="_Toc237843167"/>
      <w:bookmarkEnd w:id="536"/>
      <w:bookmarkEnd w:id="540"/>
      <w:r>
        <w:lastRenderedPageBreak/>
        <w:t>ANNEX B: HORMUZ CORRIDOR COORDINATES, TECHNICAL METRICS, AND CHARTS REGISTER</w:t>
      </w:r>
      <w:bookmarkEnd w:id="542"/>
    </w:p>
    <w:p w14:paraId="54F54166" w14:textId="77777777" w:rsidR="00180E7C" w:rsidRDefault="00000000">
      <w:pPr>
        <w:pStyle w:val="Heading2"/>
      </w:pPr>
      <w:bookmarkStart w:id="543" w:name="b.1-purpose"/>
      <w:r>
        <w:t>B.1 Purpose</w:t>
      </w:r>
    </w:p>
    <w:p w14:paraId="5FDACBE1" w14:textId="77777777" w:rsidR="00180E7C" w:rsidRDefault="00000000">
      <w:pPr>
        <w:pStyle w:val="FirstParagraph"/>
      </w:pPr>
      <w:r>
        <w:t>B.1.1 This Annex contains the complete technical specification of the four-corridor system and the operational metrics of the Hormuz Authority. The International Hydrographic Organization verifies the hydrographic accuracy of all coordinates and depths stated herein before publication in the first Notice to Mariners.</w:t>
      </w:r>
    </w:p>
    <w:p w14:paraId="67CC712B" w14:textId="77777777" w:rsidR="00180E7C" w:rsidRDefault="00000000">
      <w:pPr>
        <w:pStyle w:val="Heading2"/>
      </w:pPr>
      <w:bookmarkStart w:id="544" w:name="b.2-the-governance-area"/>
      <w:bookmarkEnd w:id="543"/>
      <w:r>
        <w:t>B.2 The Governance Area</w:t>
      </w:r>
    </w:p>
    <w:p w14:paraId="291E772F" w14:textId="77777777" w:rsidR="00180E7C" w:rsidRDefault="00000000">
      <w:pPr>
        <w:pStyle w:val="FirstParagraph"/>
      </w:pPr>
      <w:r>
        <w:t>B.2.1 The Governance Area comprises the waters enclosed by the following boundary (all coordinates WGS-84):</w:t>
      </w:r>
    </w:p>
    <w:tbl>
      <w:tblPr>
        <w:tblStyle w:val="Table"/>
        <w:tblW w:w="0" w:type="auto"/>
        <w:tblLook w:val="0020" w:firstRow="1" w:lastRow="0" w:firstColumn="0" w:lastColumn="0" w:noHBand="0" w:noVBand="0"/>
      </w:tblPr>
      <w:tblGrid>
        <w:gridCol w:w="762"/>
        <w:gridCol w:w="1342"/>
        <w:gridCol w:w="1450"/>
      </w:tblGrid>
      <w:tr w:rsidR="00180E7C" w14:paraId="5F0AEE78"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10CF0385" w14:textId="77777777" w:rsidR="00180E7C" w:rsidRDefault="00000000">
            <w:pPr>
              <w:pStyle w:val="Compact"/>
            </w:pPr>
            <w:r>
              <w:t>Point</w:t>
            </w:r>
          </w:p>
        </w:tc>
        <w:tc>
          <w:tcPr>
            <w:tcW w:w="0" w:type="auto"/>
          </w:tcPr>
          <w:p w14:paraId="70C6B6B1" w14:textId="77777777" w:rsidR="00180E7C" w:rsidRDefault="00000000">
            <w:pPr>
              <w:pStyle w:val="Compact"/>
            </w:pPr>
            <w:r>
              <w:t>Latitude</w:t>
            </w:r>
          </w:p>
        </w:tc>
        <w:tc>
          <w:tcPr>
            <w:tcW w:w="0" w:type="auto"/>
          </w:tcPr>
          <w:p w14:paraId="125B990B" w14:textId="77777777" w:rsidR="00180E7C" w:rsidRDefault="00000000">
            <w:pPr>
              <w:pStyle w:val="Compact"/>
            </w:pPr>
            <w:r>
              <w:t>Longitude</w:t>
            </w:r>
          </w:p>
        </w:tc>
      </w:tr>
      <w:tr w:rsidR="00180E7C" w14:paraId="01D3AE7D" w14:textId="77777777">
        <w:tc>
          <w:tcPr>
            <w:tcW w:w="0" w:type="auto"/>
          </w:tcPr>
          <w:p w14:paraId="416B69A1" w14:textId="77777777" w:rsidR="00180E7C" w:rsidRDefault="00000000">
            <w:pPr>
              <w:pStyle w:val="Compact"/>
            </w:pPr>
            <w:r>
              <w:t>GA-1</w:t>
            </w:r>
          </w:p>
        </w:tc>
        <w:tc>
          <w:tcPr>
            <w:tcW w:w="0" w:type="auto"/>
          </w:tcPr>
          <w:p w14:paraId="50C01EE1" w14:textId="77777777" w:rsidR="00180E7C" w:rsidRDefault="00000000">
            <w:pPr>
              <w:pStyle w:val="Compact"/>
            </w:pPr>
            <w:r>
              <w:t>27° 12.0’ N</w:t>
            </w:r>
          </w:p>
        </w:tc>
        <w:tc>
          <w:tcPr>
            <w:tcW w:w="0" w:type="auto"/>
          </w:tcPr>
          <w:p w14:paraId="756D6BF6" w14:textId="77777777" w:rsidR="00180E7C" w:rsidRDefault="00000000">
            <w:pPr>
              <w:pStyle w:val="Compact"/>
            </w:pPr>
            <w:r>
              <w:t>056° 00.0’ E</w:t>
            </w:r>
          </w:p>
        </w:tc>
      </w:tr>
      <w:tr w:rsidR="00180E7C" w14:paraId="02F09F07" w14:textId="77777777">
        <w:tc>
          <w:tcPr>
            <w:tcW w:w="0" w:type="auto"/>
          </w:tcPr>
          <w:p w14:paraId="30D9971A" w14:textId="77777777" w:rsidR="00180E7C" w:rsidRDefault="00000000">
            <w:pPr>
              <w:pStyle w:val="Compact"/>
            </w:pPr>
            <w:r>
              <w:t>GA-2</w:t>
            </w:r>
          </w:p>
        </w:tc>
        <w:tc>
          <w:tcPr>
            <w:tcW w:w="0" w:type="auto"/>
          </w:tcPr>
          <w:p w14:paraId="268681F0" w14:textId="77777777" w:rsidR="00180E7C" w:rsidRDefault="00000000">
            <w:pPr>
              <w:pStyle w:val="Compact"/>
            </w:pPr>
            <w:r>
              <w:t>26° 48.0’ N</w:t>
            </w:r>
          </w:p>
        </w:tc>
        <w:tc>
          <w:tcPr>
            <w:tcW w:w="0" w:type="auto"/>
          </w:tcPr>
          <w:p w14:paraId="1133953A" w14:textId="77777777" w:rsidR="00180E7C" w:rsidRDefault="00000000">
            <w:pPr>
              <w:pStyle w:val="Compact"/>
            </w:pPr>
            <w:r>
              <w:t>056° 42.0’ E</w:t>
            </w:r>
          </w:p>
        </w:tc>
      </w:tr>
      <w:tr w:rsidR="00180E7C" w14:paraId="34FD2BC0" w14:textId="77777777">
        <w:tc>
          <w:tcPr>
            <w:tcW w:w="0" w:type="auto"/>
          </w:tcPr>
          <w:p w14:paraId="6411718F" w14:textId="77777777" w:rsidR="00180E7C" w:rsidRDefault="00000000">
            <w:pPr>
              <w:pStyle w:val="Compact"/>
            </w:pPr>
            <w:r>
              <w:t>GA-3</w:t>
            </w:r>
          </w:p>
        </w:tc>
        <w:tc>
          <w:tcPr>
            <w:tcW w:w="0" w:type="auto"/>
          </w:tcPr>
          <w:p w14:paraId="0C3E66A1" w14:textId="77777777" w:rsidR="00180E7C" w:rsidRDefault="00000000">
            <w:pPr>
              <w:pStyle w:val="Compact"/>
            </w:pPr>
            <w:r>
              <w:t>26° 30.0’ N</w:t>
            </w:r>
          </w:p>
        </w:tc>
        <w:tc>
          <w:tcPr>
            <w:tcW w:w="0" w:type="auto"/>
          </w:tcPr>
          <w:p w14:paraId="50F3D347" w14:textId="77777777" w:rsidR="00180E7C" w:rsidRDefault="00000000">
            <w:pPr>
              <w:pStyle w:val="Compact"/>
            </w:pPr>
            <w:r>
              <w:t>057° 18.0’ E</w:t>
            </w:r>
          </w:p>
        </w:tc>
      </w:tr>
      <w:tr w:rsidR="00180E7C" w14:paraId="47AC5103" w14:textId="77777777">
        <w:tc>
          <w:tcPr>
            <w:tcW w:w="0" w:type="auto"/>
          </w:tcPr>
          <w:p w14:paraId="6F84403C" w14:textId="77777777" w:rsidR="00180E7C" w:rsidRDefault="00000000">
            <w:pPr>
              <w:pStyle w:val="Compact"/>
            </w:pPr>
            <w:r>
              <w:t>GA-4</w:t>
            </w:r>
          </w:p>
        </w:tc>
        <w:tc>
          <w:tcPr>
            <w:tcW w:w="0" w:type="auto"/>
          </w:tcPr>
          <w:p w14:paraId="3FA135AF" w14:textId="77777777" w:rsidR="00180E7C" w:rsidRDefault="00000000">
            <w:pPr>
              <w:pStyle w:val="Compact"/>
            </w:pPr>
            <w:r>
              <w:t>26° 06.0’ N</w:t>
            </w:r>
          </w:p>
        </w:tc>
        <w:tc>
          <w:tcPr>
            <w:tcW w:w="0" w:type="auto"/>
          </w:tcPr>
          <w:p w14:paraId="26954607" w14:textId="77777777" w:rsidR="00180E7C" w:rsidRDefault="00000000">
            <w:pPr>
              <w:pStyle w:val="Compact"/>
            </w:pPr>
            <w:r>
              <w:t>057° 00.0’ E</w:t>
            </w:r>
          </w:p>
        </w:tc>
      </w:tr>
      <w:tr w:rsidR="00180E7C" w14:paraId="3CF2C51A" w14:textId="77777777">
        <w:tc>
          <w:tcPr>
            <w:tcW w:w="0" w:type="auto"/>
          </w:tcPr>
          <w:p w14:paraId="38ACAB18" w14:textId="77777777" w:rsidR="00180E7C" w:rsidRDefault="00000000">
            <w:pPr>
              <w:pStyle w:val="Compact"/>
            </w:pPr>
            <w:r>
              <w:t>GA-5</w:t>
            </w:r>
          </w:p>
        </w:tc>
        <w:tc>
          <w:tcPr>
            <w:tcW w:w="0" w:type="auto"/>
          </w:tcPr>
          <w:p w14:paraId="532C8ABD" w14:textId="77777777" w:rsidR="00180E7C" w:rsidRDefault="00000000">
            <w:pPr>
              <w:pStyle w:val="Compact"/>
            </w:pPr>
            <w:r>
              <w:t>26° 12.0’ N</w:t>
            </w:r>
          </w:p>
        </w:tc>
        <w:tc>
          <w:tcPr>
            <w:tcW w:w="0" w:type="auto"/>
          </w:tcPr>
          <w:p w14:paraId="6ED35863" w14:textId="77777777" w:rsidR="00180E7C" w:rsidRDefault="00000000">
            <w:pPr>
              <w:pStyle w:val="Compact"/>
            </w:pPr>
            <w:r>
              <w:t>056° 18.0’ E</w:t>
            </w:r>
          </w:p>
        </w:tc>
      </w:tr>
      <w:tr w:rsidR="00180E7C" w14:paraId="5AF4C1A2" w14:textId="77777777">
        <w:tc>
          <w:tcPr>
            <w:tcW w:w="0" w:type="auto"/>
          </w:tcPr>
          <w:p w14:paraId="48804917" w14:textId="77777777" w:rsidR="00180E7C" w:rsidRDefault="00000000">
            <w:pPr>
              <w:pStyle w:val="Compact"/>
            </w:pPr>
            <w:r>
              <w:t>GA-6</w:t>
            </w:r>
          </w:p>
        </w:tc>
        <w:tc>
          <w:tcPr>
            <w:tcW w:w="0" w:type="auto"/>
          </w:tcPr>
          <w:p w14:paraId="7C80DE9A" w14:textId="77777777" w:rsidR="00180E7C" w:rsidRDefault="00000000">
            <w:pPr>
              <w:pStyle w:val="Compact"/>
            </w:pPr>
            <w:r>
              <w:t>26° 36.0’ N</w:t>
            </w:r>
          </w:p>
        </w:tc>
        <w:tc>
          <w:tcPr>
            <w:tcW w:w="0" w:type="auto"/>
          </w:tcPr>
          <w:p w14:paraId="76E8C5AF" w14:textId="77777777" w:rsidR="00180E7C" w:rsidRDefault="00000000">
            <w:pPr>
              <w:pStyle w:val="Compact"/>
            </w:pPr>
            <w:r>
              <w:t>055° 54.0’ E</w:t>
            </w:r>
          </w:p>
        </w:tc>
      </w:tr>
    </w:tbl>
    <w:p w14:paraId="7AB555D0" w14:textId="77777777" w:rsidR="00180E7C" w:rsidRDefault="00000000">
      <w:pPr>
        <w:pStyle w:val="BodyText"/>
      </w:pPr>
      <w:r>
        <w:t>B.2.2 The boundary follows a line connecting GA-1 through GA-6 and returning to GA-1, encompassing the traffic separation waters of the Strait and their immediate approaches. Adjustments of the boundary require Category A Council decision and IMO notification.</w:t>
      </w:r>
    </w:p>
    <w:p w14:paraId="19AA1755" w14:textId="77777777" w:rsidR="00180E7C" w:rsidRDefault="00000000">
      <w:pPr>
        <w:pStyle w:val="BodyText"/>
      </w:pPr>
      <w:r>
        <w:t>B.2.3 The Governance Area for Title III purposes differs from the Gulf Theater for Title II purposes; Annex B, Section 2.4, defines the latter as the maritime and land area bounded by 23° N to 31° N latitude and 048° E to 062° E longitude, plus the extraterritorial facilities listed in Annex P, Schedule P-3.</w:t>
      </w:r>
    </w:p>
    <w:p w14:paraId="2D4DDAA4" w14:textId="77777777" w:rsidR="00180E7C" w:rsidRDefault="00000000">
      <w:pPr>
        <w:pStyle w:val="Heading2"/>
      </w:pPr>
      <w:bookmarkStart w:id="545" w:name="b.3-corridor-geometry"/>
      <w:bookmarkEnd w:id="544"/>
      <w:r>
        <w:t>B.3 Corridor Geometry</w:t>
      </w:r>
    </w:p>
    <w:p w14:paraId="1EC9995A" w14:textId="77777777" w:rsidR="00180E7C" w:rsidRDefault="00000000">
      <w:pPr>
        <w:pStyle w:val="Heading3"/>
      </w:pPr>
      <w:bookmarkStart w:id="546" w:name="Xc9605802c41b22073499122de6909cc3055d2ca"/>
      <w:r>
        <w:t>B.3.1 Table B-1: Corridor One (Inbound, Eastbound)</w:t>
      </w:r>
    </w:p>
    <w:tbl>
      <w:tblPr>
        <w:tblStyle w:val="Table"/>
        <w:tblW w:w="0" w:type="auto"/>
        <w:tblLook w:val="0020" w:firstRow="1" w:lastRow="0" w:firstColumn="0" w:lastColumn="0" w:noHBand="0" w:noVBand="0"/>
      </w:tblPr>
      <w:tblGrid>
        <w:gridCol w:w="1218"/>
        <w:gridCol w:w="1342"/>
        <w:gridCol w:w="1450"/>
        <w:gridCol w:w="2492"/>
      </w:tblGrid>
      <w:tr w:rsidR="00180E7C" w14:paraId="0C760208"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70CC805" w14:textId="77777777" w:rsidR="00180E7C" w:rsidRDefault="00000000">
            <w:pPr>
              <w:pStyle w:val="Compact"/>
            </w:pPr>
            <w:r>
              <w:t>Waypoint</w:t>
            </w:r>
          </w:p>
        </w:tc>
        <w:tc>
          <w:tcPr>
            <w:tcW w:w="0" w:type="auto"/>
          </w:tcPr>
          <w:p w14:paraId="006235BF" w14:textId="77777777" w:rsidR="00180E7C" w:rsidRDefault="00000000">
            <w:pPr>
              <w:pStyle w:val="Compact"/>
            </w:pPr>
            <w:r>
              <w:t>Latitude</w:t>
            </w:r>
          </w:p>
        </w:tc>
        <w:tc>
          <w:tcPr>
            <w:tcW w:w="0" w:type="auto"/>
          </w:tcPr>
          <w:p w14:paraId="52B49044" w14:textId="77777777" w:rsidR="00180E7C" w:rsidRDefault="00000000">
            <w:pPr>
              <w:pStyle w:val="Compact"/>
            </w:pPr>
            <w:r>
              <w:t>Longitude</w:t>
            </w:r>
          </w:p>
        </w:tc>
        <w:tc>
          <w:tcPr>
            <w:tcW w:w="0" w:type="auto"/>
          </w:tcPr>
          <w:p w14:paraId="740F5D2A" w14:textId="77777777" w:rsidR="00180E7C" w:rsidRDefault="00000000">
            <w:pPr>
              <w:pStyle w:val="Compact"/>
            </w:pPr>
            <w:r>
              <w:t>Function</w:t>
            </w:r>
          </w:p>
        </w:tc>
      </w:tr>
      <w:tr w:rsidR="00180E7C" w14:paraId="70441AC7" w14:textId="77777777">
        <w:tc>
          <w:tcPr>
            <w:tcW w:w="0" w:type="auto"/>
          </w:tcPr>
          <w:p w14:paraId="2638A46E" w14:textId="77777777" w:rsidR="00180E7C" w:rsidRDefault="00000000">
            <w:pPr>
              <w:pStyle w:val="Compact"/>
            </w:pPr>
            <w:r>
              <w:t>C1-W1</w:t>
            </w:r>
          </w:p>
        </w:tc>
        <w:tc>
          <w:tcPr>
            <w:tcW w:w="0" w:type="auto"/>
          </w:tcPr>
          <w:p w14:paraId="6608DA4A" w14:textId="77777777" w:rsidR="00180E7C" w:rsidRDefault="00000000">
            <w:pPr>
              <w:pStyle w:val="Compact"/>
            </w:pPr>
            <w:r>
              <w:t>26° 27.0’ N</w:t>
            </w:r>
          </w:p>
        </w:tc>
        <w:tc>
          <w:tcPr>
            <w:tcW w:w="0" w:type="auto"/>
          </w:tcPr>
          <w:p w14:paraId="7CAB29E9" w14:textId="77777777" w:rsidR="00180E7C" w:rsidRDefault="00000000">
            <w:pPr>
              <w:pStyle w:val="Compact"/>
            </w:pPr>
            <w:r>
              <w:t>056° 06.0’ E</w:t>
            </w:r>
          </w:p>
        </w:tc>
        <w:tc>
          <w:tcPr>
            <w:tcW w:w="0" w:type="auto"/>
          </w:tcPr>
          <w:p w14:paraId="4D73D877" w14:textId="77777777" w:rsidR="00180E7C" w:rsidRDefault="00000000">
            <w:pPr>
              <w:pStyle w:val="Compact"/>
            </w:pPr>
            <w:r>
              <w:t>Western entry gate</w:t>
            </w:r>
          </w:p>
        </w:tc>
      </w:tr>
      <w:tr w:rsidR="00180E7C" w14:paraId="0CBD8650" w14:textId="77777777">
        <w:tc>
          <w:tcPr>
            <w:tcW w:w="0" w:type="auto"/>
          </w:tcPr>
          <w:p w14:paraId="7FC4446B" w14:textId="77777777" w:rsidR="00180E7C" w:rsidRDefault="00000000">
            <w:pPr>
              <w:pStyle w:val="Compact"/>
            </w:pPr>
            <w:r>
              <w:t>C1-W2</w:t>
            </w:r>
          </w:p>
        </w:tc>
        <w:tc>
          <w:tcPr>
            <w:tcW w:w="0" w:type="auto"/>
          </w:tcPr>
          <w:p w14:paraId="2781AE17" w14:textId="77777777" w:rsidR="00180E7C" w:rsidRDefault="00000000">
            <w:pPr>
              <w:pStyle w:val="Compact"/>
            </w:pPr>
            <w:r>
              <w:t>26° 33.0’ N</w:t>
            </w:r>
          </w:p>
        </w:tc>
        <w:tc>
          <w:tcPr>
            <w:tcW w:w="0" w:type="auto"/>
          </w:tcPr>
          <w:p w14:paraId="35006D84" w14:textId="77777777" w:rsidR="00180E7C" w:rsidRDefault="00000000">
            <w:pPr>
              <w:pStyle w:val="Compact"/>
            </w:pPr>
            <w:r>
              <w:t>056° 24.0’ E</w:t>
            </w:r>
          </w:p>
        </w:tc>
        <w:tc>
          <w:tcPr>
            <w:tcW w:w="0" w:type="auto"/>
          </w:tcPr>
          <w:p w14:paraId="6C762D87" w14:textId="77777777" w:rsidR="00180E7C" w:rsidRDefault="00000000">
            <w:pPr>
              <w:pStyle w:val="Compact"/>
            </w:pPr>
            <w:r>
              <w:t>Reporting Point Alpha</w:t>
            </w:r>
          </w:p>
        </w:tc>
      </w:tr>
      <w:tr w:rsidR="00180E7C" w14:paraId="0FE2B21A" w14:textId="77777777">
        <w:tc>
          <w:tcPr>
            <w:tcW w:w="0" w:type="auto"/>
          </w:tcPr>
          <w:p w14:paraId="5DD65EB0" w14:textId="77777777" w:rsidR="00180E7C" w:rsidRDefault="00000000">
            <w:pPr>
              <w:pStyle w:val="Compact"/>
            </w:pPr>
            <w:r>
              <w:t>C1-W3</w:t>
            </w:r>
          </w:p>
        </w:tc>
        <w:tc>
          <w:tcPr>
            <w:tcW w:w="0" w:type="auto"/>
          </w:tcPr>
          <w:p w14:paraId="03FB658D" w14:textId="77777777" w:rsidR="00180E7C" w:rsidRDefault="00000000">
            <w:pPr>
              <w:pStyle w:val="Compact"/>
            </w:pPr>
            <w:r>
              <w:t>26° 40.0’ N</w:t>
            </w:r>
          </w:p>
        </w:tc>
        <w:tc>
          <w:tcPr>
            <w:tcW w:w="0" w:type="auto"/>
          </w:tcPr>
          <w:p w14:paraId="5E737D01" w14:textId="77777777" w:rsidR="00180E7C" w:rsidRDefault="00000000">
            <w:pPr>
              <w:pStyle w:val="Compact"/>
            </w:pPr>
            <w:r>
              <w:t>056° 48.0’ E</w:t>
            </w:r>
          </w:p>
        </w:tc>
        <w:tc>
          <w:tcPr>
            <w:tcW w:w="0" w:type="auto"/>
          </w:tcPr>
          <w:p w14:paraId="0F8F84B4" w14:textId="77777777" w:rsidR="00180E7C" w:rsidRDefault="00000000">
            <w:pPr>
              <w:pStyle w:val="Compact"/>
            </w:pPr>
            <w:r>
              <w:t>Larak abeam point</w:t>
            </w:r>
          </w:p>
        </w:tc>
      </w:tr>
      <w:tr w:rsidR="00180E7C" w14:paraId="41120702" w14:textId="77777777">
        <w:tc>
          <w:tcPr>
            <w:tcW w:w="0" w:type="auto"/>
          </w:tcPr>
          <w:p w14:paraId="06D75894" w14:textId="77777777" w:rsidR="00180E7C" w:rsidRDefault="00000000">
            <w:pPr>
              <w:pStyle w:val="Compact"/>
            </w:pPr>
            <w:r>
              <w:t>C1-W4</w:t>
            </w:r>
          </w:p>
        </w:tc>
        <w:tc>
          <w:tcPr>
            <w:tcW w:w="0" w:type="auto"/>
          </w:tcPr>
          <w:p w14:paraId="0E6DE409" w14:textId="77777777" w:rsidR="00180E7C" w:rsidRDefault="00000000">
            <w:pPr>
              <w:pStyle w:val="Compact"/>
            </w:pPr>
            <w:r>
              <w:t>26° 42.0’ N</w:t>
            </w:r>
          </w:p>
        </w:tc>
        <w:tc>
          <w:tcPr>
            <w:tcW w:w="0" w:type="auto"/>
          </w:tcPr>
          <w:p w14:paraId="28D1DE93" w14:textId="77777777" w:rsidR="00180E7C" w:rsidRDefault="00000000">
            <w:pPr>
              <w:pStyle w:val="Compact"/>
            </w:pPr>
            <w:r>
              <w:t>057° 06.0’ E</w:t>
            </w:r>
          </w:p>
        </w:tc>
        <w:tc>
          <w:tcPr>
            <w:tcW w:w="0" w:type="auto"/>
          </w:tcPr>
          <w:p w14:paraId="165474D0" w14:textId="77777777" w:rsidR="00180E7C" w:rsidRDefault="00000000">
            <w:pPr>
              <w:pStyle w:val="Compact"/>
            </w:pPr>
            <w:r>
              <w:t>Eastern exit gate</w:t>
            </w:r>
          </w:p>
        </w:tc>
      </w:tr>
    </w:tbl>
    <w:p w14:paraId="6BA3C173" w14:textId="77777777" w:rsidR="00180E7C" w:rsidRDefault="00000000">
      <w:pPr>
        <w:pStyle w:val="BodyText"/>
      </w:pPr>
      <w:r>
        <w:t>Corridor width: 2.0 nautical miles centerline to boundary each side. Minimum charted depth: 33 meters. Direction: eastbound only. Iranian functional coordination per Article 32.2.1.</w:t>
      </w:r>
    </w:p>
    <w:p w14:paraId="04413DEF" w14:textId="77777777" w:rsidR="00180E7C" w:rsidRDefault="00000000">
      <w:pPr>
        <w:pStyle w:val="Heading3"/>
      </w:pPr>
      <w:bookmarkStart w:id="547" w:name="X78e0fec261cdc1f68ea0c078e4e851a2636506c"/>
      <w:bookmarkEnd w:id="546"/>
      <w:r>
        <w:lastRenderedPageBreak/>
        <w:t>B.3.2 Table B-2: Corridor Two (Outbound, Westbound)</w:t>
      </w:r>
    </w:p>
    <w:tbl>
      <w:tblPr>
        <w:tblStyle w:val="Table"/>
        <w:tblW w:w="0" w:type="auto"/>
        <w:tblLook w:val="0020" w:firstRow="1" w:lastRow="0" w:firstColumn="0" w:lastColumn="0" w:noHBand="0" w:noVBand="0"/>
      </w:tblPr>
      <w:tblGrid>
        <w:gridCol w:w="1218"/>
        <w:gridCol w:w="1342"/>
        <w:gridCol w:w="1450"/>
        <w:gridCol w:w="2506"/>
      </w:tblGrid>
      <w:tr w:rsidR="00180E7C" w14:paraId="75DAFEE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5F1B5B1" w14:textId="77777777" w:rsidR="00180E7C" w:rsidRDefault="00000000">
            <w:pPr>
              <w:pStyle w:val="Compact"/>
            </w:pPr>
            <w:r>
              <w:t>Waypoint</w:t>
            </w:r>
          </w:p>
        </w:tc>
        <w:tc>
          <w:tcPr>
            <w:tcW w:w="0" w:type="auto"/>
          </w:tcPr>
          <w:p w14:paraId="34D42629" w14:textId="77777777" w:rsidR="00180E7C" w:rsidRDefault="00000000">
            <w:pPr>
              <w:pStyle w:val="Compact"/>
            </w:pPr>
            <w:r>
              <w:t>Latitude</w:t>
            </w:r>
          </w:p>
        </w:tc>
        <w:tc>
          <w:tcPr>
            <w:tcW w:w="0" w:type="auto"/>
          </w:tcPr>
          <w:p w14:paraId="49C8CB16" w14:textId="77777777" w:rsidR="00180E7C" w:rsidRDefault="00000000">
            <w:pPr>
              <w:pStyle w:val="Compact"/>
            </w:pPr>
            <w:r>
              <w:t>Longitude</w:t>
            </w:r>
          </w:p>
        </w:tc>
        <w:tc>
          <w:tcPr>
            <w:tcW w:w="0" w:type="auto"/>
          </w:tcPr>
          <w:p w14:paraId="3723DCD1" w14:textId="77777777" w:rsidR="00180E7C" w:rsidRDefault="00000000">
            <w:pPr>
              <w:pStyle w:val="Compact"/>
            </w:pPr>
            <w:r>
              <w:t>Function</w:t>
            </w:r>
          </w:p>
        </w:tc>
      </w:tr>
      <w:tr w:rsidR="00180E7C" w14:paraId="5A1D2AD0" w14:textId="77777777">
        <w:tc>
          <w:tcPr>
            <w:tcW w:w="0" w:type="auto"/>
          </w:tcPr>
          <w:p w14:paraId="6D7136CF" w14:textId="77777777" w:rsidR="00180E7C" w:rsidRDefault="00000000">
            <w:pPr>
              <w:pStyle w:val="Compact"/>
            </w:pPr>
            <w:r>
              <w:t>C2-W1</w:t>
            </w:r>
          </w:p>
        </w:tc>
        <w:tc>
          <w:tcPr>
            <w:tcW w:w="0" w:type="auto"/>
          </w:tcPr>
          <w:p w14:paraId="2B509637" w14:textId="77777777" w:rsidR="00180E7C" w:rsidRDefault="00000000">
            <w:pPr>
              <w:pStyle w:val="Compact"/>
            </w:pPr>
            <w:r>
              <w:t>26° 33.0’ N</w:t>
            </w:r>
          </w:p>
        </w:tc>
        <w:tc>
          <w:tcPr>
            <w:tcW w:w="0" w:type="auto"/>
          </w:tcPr>
          <w:p w14:paraId="4D9F8EED" w14:textId="77777777" w:rsidR="00180E7C" w:rsidRDefault="00000000">
            <w:pPr>
              <w:pStyle w:val="Compact"/>
            </w:pPr>
            <w:r>
              <w:t>057° 10.0’ E</w:t>
            </w:r>
          </w:p>
        </w:tc>
        <w:tc>
          <w:tcPr>
            <w:tcW w:w="0" w:type="auto"/>
          </w:tcPr>
          <w:p w14:paraId="7D3AF6DB" w14:textId="77777777" w:rsidR="00180E7C" w:rsidRDefault="00000000">
            <w:pPr>
              <w:pStyle w:val="Compact"/>
            </w:pPr>
            <w:r>
              <w:t>Eastern entry gate</w:t>
            </w:r>
          </w:p>
        </w:tc>
      </w:tr>
      <w:tr w:rsidR="00180E7C" w14:paraId="0F41F83B" w14:textId="77777777">
        <w:tc>
          <w:tcPr>
            <w:tcW w:w="0" w:type="auto"/>
          </w:tcPr>
          <w:p w14:paraId="2C006620" w14:textId="77777777" w:rsidR="00180E7C" w:rsidRDefault="00000000">
            <w:pPr>
              <w:pStyle w:val="Compact"/>
            </w:pPr>
            <w:r>
              <w:t>C2-W2</w:t>
            </w:r>
          </w:p>
        </w:tc>
        <w:tc>
          <w:tcPr>
            <w:tcW w:w="0" w:type="auto"/>
          </w:tcPr>
          <w:p w14:paraId="265A9711" w14:textId="77777777" w:rsidR="00180E7C" w:rsidRDefault="00000000">
            <w:pPr>
              <w:pStyle w:val="Compact"/>
            </w:pPr>
            <w:r>
              <w:t>26° 29.0’ N</w:t>
            </w:r>
          </w:p>
        </w:tc>
        <w:tc>
          <w:tcPr>
            <w:tcW w:w="0" w:type="auto"/>
          </w:tcPr>
          <w:p w14:paraId="7C623EEA" w14:textId="77777777" w:rsidR="00180E7C" w:rsidRDefault="00000000">
            <w:pPr>
              <w:pStyle w:val="Compact"/>
            </w:pPr>
            <w:r>
              <w:t>056° 50.0’ E</w:t>
            </w:r>
          </w:p>
        </w:tc>
        <w:tc>
          <w:tcPr>
            <w:tcW w:w="0" w:type="auto"/>
          </w:tcPr>
          <w:p w14:paraId="60148BBF" w14:textId="77777777" w:rsidR="00180E7C" w:rsidRDefault="00000000">
            <w:pPr>
              <w:pStyle w:val="Compact"/>
            </w:pPr>
            <w:r>
              <w:t>Reporting Point Bravo</w:t>
            </w:r>
          </w:p>
        </w:tc>
      </w:tr>
      <w:tr w:rsidR="00180E7C" w14:paraId="4F6BC497" w14:textId="77777777">
        <w:tc>
          <w:tcPr>
            <w:tcW w:w="0" w:type="auto"/>
          </w:tcPr>
          <w:p w14:paraId="70DC9ABD" w14:textId="77777777" w:rsidR="00180E7C" w:rsidRDefault="00000000">
            <w:pPr>
              <w:pStyle w:val="Compact"/>
            </w:pPr>
            <w:r>
              <w:t>C2-W3</w:t>
            </w:r>
          </w:p>
        </w:tc>
        <w:tc>
          <w:tcPr>
            <w:tcW w:w="0" w:type="auto"/>
          </w:tcPr>
          <w:p w14:paraId="5A294469" w14:textId="77777777" w:rsidR="00180E7C" w:rsidRDefault="00000000">
            <w:pPr>
              <w:pStyle w:val="Compact"/>
            </w:pPr>
            <w:r>
              <w:t>26° 22.0’ N</w:t>
            </w:r>
          </w:p>
        </w:tc>
        <w:tc>
          <w:tcPr>
            <w:tcW w:w="0" w:type="auto"/>
          </w:tcPr>
          <w:p w14:paraId="7C3264CE" w14:textId="77777777" w:rsidR="00180E7C" w:rsidRDefault="00000000">
            <w:pPr>
              <w:pStyle w:val="Compact"/>
            </w:pPr>
            <w:r>
              <w:t>056° 26.0’ E</w:t>
            </w:r>
          </w:p>
        </w:tc>
        <w:tc>
          <w:tcPr>
            <w:tcW w:w="0" w:type="auto"/>
          </w:tcPr>
          <w:p w14:paraId="34522BEC" w14:textId="77777777" w:rsidR="00180E7C" w:rsidRDefault="00000000">
            <w:pPr>
              <w:pStyle w:val="Compact"/>
            </w:pPr>
            <w:r>
              <w:t>Quoins abeam point</w:t>
            </w:r>
          </w:p>
        </w:tc>
      </w:tr>
      <w:tr w:rsidR="00180E7C" w14:paraId="4F173F70" w14:textId="77777777">
        <w:tc>
          <w:tcPr>
            <w:tcW w:w="0" w:type="auto"/>
          </w:tcPr>
          <w:p w14:paraId="7461B61C" w14:textId="77777777" w:rsidR="00180E7C" w:rsidRDefault="00000000">
            <w:pPr>
              <w:pStyle w:val="Compact"/>
            </w:pPr>
            <w:r>
              <w:t>C2-W4</w:t>
            </w:r>
          </w:p>
        </w:tc>
        <w:tc>
          <w:tcPr>
            <w:tcW w:w="0" w:type="auto"/>
          </w:tcPr>
          <w:p w14:paraId="63944788" w14:textId="77777777" w:rsidR="00180E7C" w:rsidRDefault="00000000">
            <w:pPr>
              <w:pStyle w:val="Compact"/>
            </w:pPr>
            <w:r>
              <w:t>26° 18.0’ N</w:t>
            </w:r>
          </w:p>
        </w:tc>
        <w:tc>
          <w:tcPr>
            <w:tcW w:w="0" w:type="auto"/>
          </w:tcPr>
          <w:p w14:paraId="4A8913E2" w14:textId="77777777" w:rsidR="00180E7C" w:rsidRDefault="00000000">
            <w:pPr>
              <w:pStyle w:val="Compact"/>
            </w:pPr>
            <w:r>
              <w:t>056° 04.0’ E</w:t>
            </w:r>
          </w:p>
        </w:tc>
        <w:tc>
          <w:tcPr>
            <w:tcW w:w="0" w:type="auto"/>
          </w:tcPr>
          <w:p w14:paraId="07CC9906" w14:textId="77777777" w:rsidR="00180E7C" w:rsidRDefault="00000000">
            <w:pPr>
              <w:pStyle w:val="Compact"/>
            </w:pPr>
            <w:r>
              <w:t>Western exit gate</w:t>
            </w:r>
          </w:p>
        </w:tc>
      </w:tr>
    </w:tbl>
    <w:p w14:paraId="49E997BC" w14:textId="77777777" w:rsidR="00180E7C" w:rsidRDefault="00000000">
      <w:pPr>
        <w:pStyle w:val="BodyText"/>
      </w:pPr>
      <w:r>
        <w:t>Corridor width: 2.0 nautical miles each side of centerline. Minimum charted depth: 33 meters. Direction: westbound only. Omani administrative coordination per Article 32.2.2.</w:t>
      </w:r>
    </w:p>
    <w:p w14:paraId="216EDE4A" w14:textId="77777777" w:rsidR="00180E7C" w:rsidRDefault="00000000">
      <w:pPr>
        <w:pStyle w:val="Heading3"/>
      </w:pPr>
      <w:bookmarkStart w:id="548" w:name="b.3.3-table-b-3-corridor-three-buffer"/>
      <w:bookmarkEnd w:id="547"/>
      <w:r>
        <w:t>B.3.3 Table B-3: Corridor Three (Buffer)</w:t>
      </w:r>
    </w:p>
    <w:p w14:paraId="3552924D" w14:textId="77777777" w:rsidR="00180E7C" w:rsidRDefault="00000000">
      <w:pPr>
        <w:pStyle w:val="FirstParagraph"/>
      </w:pPr>
      <w:r>
        <w:t>The buffer corridor occupies the waters between the southern boundary of Corridor One and the northern boundary of Corridor Two, width not less than 1.0 nautical mile at the narrowest point, expanding to 2.5 nautical miles at the turning basins. Closed to transit traffic. Joint monitoring per Article 32.2.3. Designated crossing points at CP-1 (26° 30.5’ N, 056° 15.0’ E) and CP-2 (26° 36.0’ N, 056° 58.0’ E).</w:t>
      </w:r>
    </w:p>
    <w:p w14:paraId="3BC37082" w14:textId="77777777" w:rsidR="00180E7C" w:rsidRDefault="00000000">
      <w:pPr>
        <w:pStyle w:val="Heading3"/>
      </w:pPr>
      <w:bookmarkStart w:id="549" w:name="Xe88022c9377ee08963b754a17dbc1bb93ff54d0"/>
      <w:bookmarkEnd w:id="548"/>
      <w:r>
        <w:t>B.3.4 Table B-4: Corridor Four (Emergency and Diversion)</w:t>
      </w:r>
    </w:p>
    <w:tbl>
      <w:tblPr>
        <w:tblStyle w:val="Table"/>
        <w:tblW w:w="5000" w:type="pct"/>
        <w:tblLook w:val="0020" w:firstRow="1" w:lastRow="0" w:firstColumn="0" w:lastColumn="0" w:noHBand="0" w:noVBand="0"/>
      </w:tblPr>
      <w:tblGrid>
        <w:gridCol w:w="1165"/>
        <w:gridCol w:w="2716"/>
        <w:gridCol w:w="2930"/>
        <w:gridCol w:w="2765"/>
      </w:tblGrid>
      <w:tr w:rsidR="00180E7C" w14:paraId="57AEC73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3C01194" w14:textId="77777777" w:rsidR="00180E7C" w:rsidRDefault="00000000">
            <w:pPr>
              <w:pStyle w:val="Compact"/>
            </w:pPr>
            <w:r>
              <w:t>Segment</w:t>
            </w:r>
          </w:p>
        </w:tc>
        <w:tc>
          <w:tcPr>
            <w:tcW w:w="0" w:type="auto"/>
          </w:tcPr>
          <w:p w14:paraId="0A6F3941" w14:textId="77777777" w:rsidR="00180E7C" w:rsidRDefault="00000000">
            <w:pPr>
              <w:pStyle w:val="Compact"/>
            </w:pPr>
            <w:r>
              <w:t>Latitude Band</w:t>
            </w:r>
          </w:p>
        </w:tc>
        <w:tc>
          <w:tcPr>
            <w:tcW w:w="0" w:type="auto"/>
          </w:tcPr>
          <w:p w14:paraId="67F427F6" w14:textId="77777777" w:rsidR="00180E7C" w:rsidRDefault="00000000">
            <w:pPr>
              <w:pStyle w:val="Compact"/>
            </w:pPr>
            <w:r>
              <w:t>Longitude Band</w:t>
            </w:r>
          </w:p>
        </w:tc>
        <w:tc>
          <w:tcPr>
            <w:tcW w:w="0" w:type="auto"/>
          </w:tcPr>
          <w:p w14:paraId="1CADEECC" w14:textId="77777777" w:rsidR="00180E7C" w:rsidRDefault="00000000">
            <w:pPr>
              <w:pStyle w:val="Compact"/>
            </w:pPr>
            <w:r>
              <w:t>Notes</w:t>
            </w:r>
          </w:p>
        </w:tc>
      </w:tr>
      <w:tr w:rsidR="00180E7C" w14:paraId="47C0495F" w14:textId="77777777">
        <w:tc>
          <w:tcPr>
            <w:tcW w:w="0" w:type="auto"/>
          </w:tcPr>
          <w:p w14:paraId="671CC71E" w14:textId="77777777" w:rsidR="00180E7C" w:rsidRDefault="00000000">
            <w:pPr>
              <w:pStyle w:val="Compact"/>
            </w:pPr>
            <w:r>
              <w:t>C4-North</w:t>
            </w:r>
          </w:p>
        </w:tc>
        <w:tc>
          <w:tcPr>
            <w:tcW w:w="0" w:type="auto"/>
          </w:tcPr>
          <w:p w14:paraId="560FB0B3" w14:textId="77777777" w:rsidR="00180E7C" w:rsidRDefault="00000000">
            <w:pPr>
              <w:pStyle w:val="Compact"/>
            </w:pPr>
            <w:r>
              <w:t>26° 45.0’ N to 26° 50.0’ N</w:t>
            </w:r>
          </w:p>
        </w:tc>
        <w:tc>
          <w:tcPr>
            <w:tcW w:w="0" w:type="auto"/>
          </w:tcPr>
          <w:p w14:paraId="32FAA4F6" w14:textId="77777777" w:rsidR="00180E7C" w:rsidRDefault="00000000">
            <w:pPr>
              <w:pStyle w:val="Compact"/>
            </w:pPr>
            <w:r>
              <w:t>056° 10.0’ E to 057° 05.0’ E</w:t>
            </w:r>
          </w:p>
        </w:tc>
        <w:tc>
          <w:tcPr>
            <w:tcW w:w="0" w:type="auto"/>
          </w:tcPr>
          <w:p w14:paraId="5497345A" w14:textId="77777777" w:rsidR="00180E7C" w:rsidRDefault="00000000">
            <w:pPr>
              <w:pStyle w:val="Compact"/>
            </w:pPr>
            <w:r>
              <w:t>Northern inshore reserve</w:t>
            </w:r>
          </w:p>
        </w:tc>
      </w:tr>
      <w:tr w:rsidR="00180E7C" w14:paraId="06848151" w14:textId="77777777">
        <w:tc>
          <w:tcPr>
            <w:tcW w:w="0" w:type="auto"/>
          </w:tcPr>
          <w:p w14:paraId="36CB91D6" w14:textId="77777777" w:rsidR="00180E7C" w:rsidRDefault="00000000">
            <w:pPr>
              <w:pStyle w:val="Compact"/>
            </w:pPr>
            <w:r>
              <w:t>C4-South</w:t>
            </w:r>
          </w:p>
        </w:tc>
        <w:tc>
          <w:tcPr>
            <w:tcW w:w="0" w:type="auto"/>
          </w:tcPr>
          <w:p w14:paraId="3AA68DCB" w14:textId="77777777" w:rsidR="00180E7C" w:rsidRDefault="00000000">
            <w:pPr>
              <w:pStyle w:val="Compact"/>
            </w:pPr>
            <w:r>
              <w:t>26° 12.0’ N to 26° 17.0’ N</w:t>
            </w:r>
          </w:p>
        </w:tc>
        <w:tc>
          <w:tcPr>
            <w:tcW w:w="0" w:type="auto"/>
          </w:tcPr>
          <w:p w14:paraId="229A706D" w14:textId="77777777" w:rsidR="00180E7C" w:rsidRDefault="00000000">
            <w:pPr>
              <w:pStyle w:val="Compact"/>
            </w:pPr>
            <w:r>
              <w:t>056° 10.0’ E to 057° 05.0’ E</w:t>
            </w:r>
          </w:p>
        </w:tc>
        <w:tc>
          <w:tcPr>
            <w:tcW w:w="0" w:type="auto"/>
          </w:tcPr>
          <w:p w14:paraId="19D7CA9C" w14:textId="77777777" w:rsidR="00180E7C" w:rsidRDefault="00000000">
            <w:pPr>
              <w:pStyle w:val="Compact"/>
            </w:pPr>
            <w:r>
              <w:t>Southern inshore reserve</w:t>
            </w:r>
          </w:p>
        </w:tc>
      </w:tr>
    </w:tbl>
    <w:p w14:paraId="2461AE35" w14:textId="77777777" w:rsidR="00180E7C" w:rsidRDefault="00000000">
      <w:pPr>
        <w:pStyle w:val="BodyText"/>
      </w:pPr>
      <w:r>
        <w:t>Corridor Four activates on MOC direction for: search and rescue operations, damaged or disabled vessels, humanitarian priority traffic under Article 9, and Authority-directed diversions. Omani primary coordination per Article 32.2.4.</w:t>
      </w:r>
    </w:p>
    <w:p w14:paraId="5265006B" w14:textId="77777777" w:rsidR="00180E7C" w:rsidRDefault="00000000">
      <w:pPr>
        <w:pStyle w:val="Heading3"/>
      </w:pPr>
      <w:bookmarkStart w:id="550" w:name="X7607068ec0799eccaa032a7fb13af3b967790a7"/>
      <w:bookmarkEnd w:id="549"/>
      <w:r>
        <w:t>B.3.5 Table B-5: Separation and Spacing Rules</w:t>
      </w:r>
    </w:p>
    <w:tbl>
      <w:tblPr>
        <w:tblStyle w:val="Table"/>
        <w:tblW w:w="5000" w:type="pct"/>
        <w:tblLook w:val="0020" w:firstRow="1" w:lastRow="0" w:firstColumn="0" w:lastColumn="0" w:noHBand="0" w:noVBand="0"/>
      </w:tblPr>
      <w:tblGrid>
        <w:gridCol w:w="4099"/>
        <w:gridCol w:w="5477"/>
      </w:tblGrid>
      <w:tr w:rsidR="00180E7C" w14:paraId="441A2F3E"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7CDE88F" w14:textId="77777777" w:rsidR="00180E7C" w:rsidRDefault="00000000">
            <w:pPr>
              <w:pStyle w:val="Compact"/>
            </w:pPr>
            <w:r>
              <w:t>Rule</w:t>
            </w:r>
          </w:p>
        </w:tc>
        <w:tc>
          <w:tcPr>
            <w:tcW w:w="0" w:type="auto"/>
          </w:tcPr>
          <w:p w14:paraId="015F67B5" w14:textId="77777777" w:rsidR="00180E7C" w:rsidRDefault="00000000">
            <w:pPr>
              <w:pStyle w:val="Compact"/>
            </w:pPr>
            <w:r>
              <w:t>Value</w:t>
            </w:r>
          </w:p>
        </w:tc>
      </w:tr>
      <w:tr w:rsidR="00180E7C" w14:paraId="2808AE6A" w14:textId="77777777">
        <w:tc>
          <w:tcPr>
            <w:tcW w:w="0" w:type="auto"/>
          </w:tcPr>
          <w:p w14:paraId="3B9348F9" w14:textId="77777777" w:rsidR="00180E7C" w:rsidRDefault="00000000">
            <w:pPr>
              <w:pStyle w:val="Compact"/>
            </w:pPr>
            <w:r>
              <w:t>Longitudinal spacing, standard vessels</w:t>
            </w:r>
          </w:p>
        </w:tc>
        <w:tc>
          <w:tcPr>
            <w:tcW w:w="0" w:type="auto"/>
          </w:tcPr>
          <w:p w14:paraId="1C634988" w14:textId="77777777" w:rsidR="00180E7C" w:rsidRDefault="00000000">
            <w:pPr>
              <w:pStyle w:val="Compact"/>
            </w:pPr>
            <w:r>
              <w:t>1.0 nautical mile</w:t>
            </w:r>
          </w:p>
        </w:tc>
      </w:tr>
      <w:tr w:rsidR="00180E7C" w14:paraId="4B84A4A6" w14:textId="77777777">
        <w:tc>
          <w:tcPr>
            <w:tcW w:w="0" w:type="auto"/>
          </w:tcPr>
          <w:p w14:paraId="7017E156" w14:textId="77777777" w:rsidR="00180E7C" w:rsidRDefault="00000000">
            <w:pPr>
              <w:pStyle w:val="Compact"/>
            </w:pPr>
            <w:r>
              <w:t>Longitudinal spacing, tankers above 150,000 DWT</w:t>
            </w:r>
          </w:p>
        </w:tc>
        <w:tc>
          <w:tcPr>
            <w:tcW w:w="0" w:type="auto"/>
          </w:tcPr>
          <w:p w14:paraId="5F2C8F5C" w14:textId="77777777" w:rsidR="00180E7C" w:rsidRDefault="00000000">
            <w:pPr>
              <w:pStyle w:val="Compact"/>
            </w:pPr>
            <w:r>
              <w:t>2.0 nautical miles</w:t>
            </w:r>
          </w:p>
        </w:tc>
      </w:tr>
      <w:tr w:rsidR="00180E7C" w14:paraId="5B9DA9D7" w14:textId="77777777">
        <w:tc>
          <w:tcPr>
            <w:tcW w:w="0" w:type="auto"/>
          </w:tcPr>
          <w:p w14:paraId="3AAD412F" w14:textId="77777777" w:rsidR="00180E7C" w:rsidRDefault="00000000">
            <w:pPr>
              <w:pStyle w:val="Compact"/>
            </w:pPr>
            <w:r>
              <w:t>Lateral clearance from corridor boundary</w:t>
            </w:r>
          </w:p>
        </w:tc>
        <w:tc>
          <w:tcPr>
            <w:tcW w:w="0" w:type="auto"/>
          </w:tcPr>
          <w:p w14:paraId="23AA697D" w14:textId="77777777" w:rsidR="00180E7C" w:rsidRDefault="00000000">
            <w:pPr>
              <w:pStyle w:val="Compact"/>
            </w:pPr>
            <w:r>
              <w:t>0.3 nautical mile minimum</w:t>
            </w:r>
          </w:p>
        </w:tc>
      </w:tr>
      <w:tr w:rsidR="00180E7C" w14:paraId="0A3B4273" w14:textId="77777777">
        <w:tc>
          <w:tcPr>
            <w:tcW w:w="0" w:type="auto"/>
          </w:tcPr>
          <w:p w14:paraId="4A89773E" w14:textId="77777777" w:rsidR="00180E7C" w:rsidRDefault="00000000">
            <w:pPr>
              <w:pStyle w:val="Compact"/>
            </w:pPr>
            <w:r>
              <w:t>Overtaking</w:t>
            </w:r>
          </w:p>
        </w:tc>
        <w:tc>
          <w:tcPr>
            <w:tcW w:w="0" w:type="auto"/>
          </w:tcPr>
          <w:p w14:paraId="16B07312" w14:textId="77777777" w:rsidR="00180E7C" w:rsidRDefault="00000000">
            <w:pPr>
              <w:pStyle w:val="Compact"/>
            </w:pPr>
            <w:r>
              <w:t>Prohibited within corridors except at overtaking sectors OT-1 and OT-2</w:t>
            </w:r>
          </w:p>
        </w:tc>
      </w:tr>
      <w:tr w:rsidR="00180E7C" w14:paraId="3E0DD6AB" w14:textId="77777777">
        <w:tc>
          <w:tcPr>
            <w:tcW w:w="0" w:type="auto"/>
          </w:tcPr>
          <w:p w14:paraId="1E70DF24" w14:textId="77777777" w:rsidR="00180E7C" w:rsidRDefault="00000000">
            <w:pPr>
              <w:pStyle w:val="Compact"/>
            </w:pPr>
            <w:r>
              <w:t>Convoy formation</w:t>
            </w:r>
          </w:p>
        </w:tc>
        <w:tc>
          <w:tcPr>
            <w:tcW w:w="0" w:type="auto"/>
          </w:tcPr>
          <w:p w14:paraId="6B2D25BE" w14:textId="77777777" w:rsidR="00180E7C" w:rsidRDefault="00000000">
            <w:pPr>
              <w:pStyle w:val="Compact"/>
            </w:pPr>
            <w:r>
              <w:t>By MOC direction only</w:t>
            </w:r>
          </w:p>
        </w:tc>
      </w:tr>
    </w:tbl>
    <w:p w14:paraId="33F146A6" w14:textId="77777777" w:rsidR="00180E7C" w:rsidRDefault="00000000">
      <w:pPr>
        <w:pStyle w:val="Heading3"/>
      </w:pPr>
      <w:bookmarkStart w:id="551" w:name="b.3.6-table-b-6-speed-regimes"/>
      <w:bookmarkEnd w:id="550"/>
      <w:r>
        <w:t>B.3.6 Table B-6: Speed Regimes</w:t>
      </w:r>
    </w:p>
    <w:tbl>
      <w:tblPr>
        <w:tblStyle w:val="Table"/>
        <w:tblW w:w="0" w:type="auto"/>
        <w:tblLook w:val="0020" w:firstRow="1" w:lastRow="0" w:firstColumn="0" w:lastColumn="0" w:noHBand="0" w:noVBand="0"/>
      </w:tblPr>
      <w:tblGrid>
        <w:gridCol w:w="1104"/>
        <w:gridCol w:w="2221"/>
        <w:gridCol w:w="2221"/>
      </w:tblGrid>
      <w:tr w:rsidR="00180E7C" w14:paraId="32ABDCDC"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4A3010B1" w14:textId="77777777" w:rsidR="00180E7C" w:rsidRDefault="00000000">
            <w:pPr>
              <w:pStyle w:val="Compact"/>
            </w:pPr>
            <w:r>
              <w:t>Corridor</w:t>
            </w:r>
          </w:p>
        </w:tc>
        <w:tc>
          <w:tcPr>
            <w:tcW w:w="0" w:type="auto"/>
          </w:tcPr>
          <w:p w14:paraId="30FD2D98" w14:textId="77777777" w:rsidR="00180E7C" w:rsidRDefault="00000000">
            <w:pPr>
              <w:pStyle w:val="Compact"/>
            </w:pPr>
            <w:r>
              <w:t>Maximum</w:t>
            </w:r>
          </w:p>
        </w:tc>
        <w:tc>
          <w:tcPr>
            <w:tcW w:w="0" w:type="auto"/>
          </w:tcPr>
          <w:p w14:paraId="7BCAEB25" w14:textId="77777777" w:rsidR="00180E7C" w:rsidRDefault="00000000">
            <w:pPr>
              <w:pStyle w:val="Compact"/>
            </w:pPr>
            <w:r>
              <w:t>Minimum</w:t>
            </w:r>
          </w:p>
        </w:tc>
      </w:tr>
      <w:tr w:rsidR="00180E7C" w14:paraId="08E8C6B7" w14:textId="77777777">
        <w:tc>
          <w:tcPr>
            <w:tcW w:w="0" w:type="auto"/>
          </w:tcPr>
          <w:p w14:paraId="0644A57D" w14:textId="77777777" w:rsidR="00180E7C" w:rsidRDefault="00000000">
            <w:pPr>
              <w:pStyle w:val="Compact"/>
            </w:pPr>
            <w:r>
              <w:lastRenderedPageBreak/>
              <w:t>One</w:t>
            </w:r>
          </w:p>
        </w:tc>
        <w:tc>
          <w:tcPr>
            <w:tcW w:w="0" w:type="auto"/>
          </w:tcPr>
          <w:p w14:paraId="128D5D6B" w14:textId="77777777" w:rsidR="00180E7C" w:rsidRDefault="00000000">
            <w:pPr>
              <w:pStyle w:val="Compact"/>
            </w:pPr>
            <w:r>
              <w:t>12 knots</w:t>
            </w:r>
          </w:p>
        </w:tc>
        <w:tc>
          <w:tcPr>
            <w:tcW w:w="0" w:type="auto"/>
          </w:tcPr>
          <w:p w14:paraId="54457D67" w14:textId="77777777" w:rsidR="00180E7C" w:rsidRDefault="00000000">
            <w:pPr>
              <w:pStyle w:val="Compact"/>
            </w:pPr>
            <w:r>
              <w:t>6 knots</w:t>
            </w:r>
          </w:p>
        </w:tc>
      </w:tr>
      <w:tr w:rsidR="00180E7C" w14:paraId="30CC1052" w14:textId="77777777">
        <w:tc>
          <w:tcPr>
            <w:tcW w:w="0" w:type="auto"/>
          </w:tcPr>
          <w:p w14:paraId="651C1C57" w14:textId="77777777" w:rsidR="00180E7C" w:rsidRDefault="00000000">
            <w:pPr>
              <w:pStyle w:val="Compact"/>
            </w:pPr>
            <w:r>
              <w:t>Two</w:t>
            </w:r>
          </w:p>
        </w:tc>
        <w:tc>
          <w:tcPr>
            <w:tcW w:w="0" w:type="auto"/>
          </w:tcPr>
          <w:p w14:paraId="027828D9" w14:textId="77777777" w:rsidR="00180E7C" w:rsidRDefault="00000000">
            <w:pPr>
              <w:pStyle w:val="Compact"/>
            </w:pPr>
            <w:r>
              <w:t>12 knots</w:t>
            </w:r>
          </w:p>
        </w:tc>
        <w:tc>
          <w:tcPr>
            <w:tcW w:w="0" w:type="auto"/>
          </w:tcPr>
          <w:p w14:paraId="56C3CE3E" w14:textId="77777777" w:rsidR="00180E7C" w:rsidRDefault="00000000">
            <w:pPr>
              <w:pStyle w:val="Compact"/>
            </w:pPr>
            <w:r>
              <w:t>6 knots</w:t>
            </w:r>
          </w:p>
        </w:tc>
      </w:tr>
      <w:tr w:rsidR="00180E7C" w14:paraId="4551CCFD" w14:textId="77777777">
        <w:tc>
          <w:tcPr>
            <w:tcW w:w="0" w:type="auto"/>
          </w:tcPr>
          <w:p w14:paraId="1F9AE492" w14:textId="77777777" w:rsidR="00180E7C" w:rsidRDefault="00000000">
            <w:pPr>
              <w:pStyle w:val="Compact"/>
            </w:pPr>
            <w:r>
              <w:t>Four</w:t>
            </w:r>
          </w:p>
        </w:tc>
        <w:tc>
          <w:tcPr>
            <w:tcW w:w="0" w:type="auto"/>
          </w:tcPr>
          <w:p w14:paraId="143F7328" w14:textId="77777777" w:rsidR="00180E7C" w:rsidRDefault="00000000">
            <w:pPr>
              <w:pStyle w:val="Compact"/>
            </w:pPr>
            <w:r>
              <w:t>As directed by MOC</w:t>
            </w:r>
          </w:p>
        </w:tc>
        <w:tc>
          <w:tcPr>
            <w:tcW w:w="0" w:type="auto"/>
          </w:tcPr>
          <w:p w14:paraId="61318F42" w14:textId="77777777" w:rsidR="00180E7C" w:rsidRDefault="00000000">
            <w:pPr>
              <w:pStyle w:val="Compact"/>
            </w:pPr>
            <w:r>
              <w:t>As directed by MOC</w:t>
            </w:r>
          </w:p>
        </w:tc>
      </w:tr>
    </w:tbl>
    <w:p w14:paraId="6E31E2F8" w14:textId="77777777" w:rsidR="00180E7C" w:rsidRDefault="00000000">
      <w:pPr>
        <w:pStyle w:val="Heading3"/>
      </w:pPr>
      <w:bookmarkStart w:id="552" w:name="X3cee2119d17ae8b9b1dc3fb3a7800015902a06f"/>
      <w:bookmarkEnd w:id="551"/>
      <w:r>
        <w:t>B.3.7 Table B-7: Hazardous Cargo Enhanced Rules</w:t>
      </w:r>
    </w:p>
    <w:tbl>
      <w:tblPr>
        <w:tblStyle w:val="Table"/>
        <w:tblW w:w="5000" w:type="pct"/>
        <w:tblLook w:val="0020" w:firstRow="1" w:lastRow="0" w:firstColumn="0" w:lastColumn="0" w:noHBand="0" w:noVBand="0"/>
      </w:tblPr>
      <w:tblGrid>
        <w:gridCol w:w="2807"/>
        <w:gridCol w:w="1011"/>
        <w:gridCol w:w="3151"/>
        <w:gridCol w:w="2607"/>
      </w:tblGrid>
      <w:tr w:rsidR="00180E7C" w14:paraId="02D2A70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ADD34DD" w14:textId="77777777" w:rsidR="00180E7C" w:rsidRDefault="00000000">
            <w:pPr>
              <w:pStyle w:val="Compact"/>
            </w:pPr>
            <w:r>
              <w:t>Cargo Class</w:t>
            </w:r>
          </w:p>
        </w:tc>
        <w:tc>
          <w:tcPr>
            <w:tcW w:w="0" w:type="auto"/>
          </w:tcPr>
          <w:p w14:paraId="6341C3FF" w14:textId="77777777" w:rsidR="00180E7C" w:rsidRDefault="00000000">
            <w:pPr>
              <w:pStyle w:val="Compact"/>
            </w:pPr>
            <w:r>
              <w:t>Spacing</w:t>
            </w:r>
          </w:p>
        </w:tc>
        <w:tc>
          <w:tcPr>
            <w:tcW w:w="0" w:type="auto"/>
          </w:tcPr>
          <w:p w14:paraId="6D08F2F0" w14:textId="77777777" w:rsidR="00180E7C" w:rsidRDefault="00000000">
            <w:pPr>
              <w:pStyle w:val="Compact"/>
            </w:pPr>
            <w:r>
              <w:t>Escort Readiness</w:t>
            </w:r>
          </w:p>
        </w:tc>
        <w:tc>
          <w:tcPr>
            <w:tcW w:w="0" w:type="auto"/>
          </w:tcPr>
          <w:p w14:paraId="0B5CD135" w14:textId="77777777" w:rsidR="00180E7C" w:rsidRDefault="00000000">
            <w:pPr>
              <w:pStyle w:val="Compact"/>
            </w:pPr>
            <w:r>
              <w:t>Manifest Addendum</w:t>
            </w:r>
          </w:p>
        </w:tc>
      </w:tr>
      <w:tr w:rsidR="00180E7C" w14:paraId="354F6924" w14:textId="77777777">
        <w:tc>
          <w:tcPr>
            <w:tcW w:w="0" w:type="auto"/>
          </w:tcPr>
          <w:p w14:paraId="665DDFE0" w14:textId="77777777" w:rsidR="00180E7C" w:rsidRDefault="00000000">
            <w:pPr>
              <w:pStyle w:val="Compact"/>
            </w:pPr>
            <w:r>
              <w:t>Crude oil above 150,000 DWT</w:t>
            </w:r>
          </w:p>
        </w:tc>
        <w:tc>
          <w:tcPr>
            <w:tcW w:w="0" w:type="auto"/>
          </w:tcPr>
          <w:p w14:paraId="3A6280A6" w14:textId="77777777" w:rsidR="00180E7C" w:rsidRDefault="00000000">
            <w:pPr>
              <w:pStyle w:val="Compact"/>
            </w:pPr>
            <w:r>
              <w:t>2.0 nm</w:t>
            </w:r>
          </w:p>
        </w:tc>
        <w:tc>
          <w:tcPr>
            <w:tcW w:w="0" w:type="auto"/>
          </w:tcPr>
          <w:p w14:paraId="6FEE3CD7" w14:textId="77777777" w:rsidR="00180E7C" w:rsidRDefault="00000000">
            <w:pPr>
              <w:pStyle w:val="Compact"/>
            </w:pPr>
            <w:r>
              <w:t>Tug on 30-minute standby</w:t>
            </w:r>
          </w:p>
        </w:tc>
        <w:tc>
          <w:tcPr>
            <w:tcW w:w="0" w:type="auto"/>
          </w:tcPr>
          <w:p w14:paraId="21A0EA76" w14:textId="77777777" w:rsidR="00180E7C" w:rsidRDefault="00000000">
            <w:pPr>
              <w:pStyle w:val="Compact"/>
            </w:pPr>
            <w:r>
              <w:t>Full cargo plan</w:t>
            </w:r>
          </w:p>
        </w:tc>
      </w:tr>
      <w:tr w:rsidR="00180E7C" w14:paraId="2AED347D" w14:textId="77777777">
        <w:tc>
          <w:tcPr>
            <w:tcW w:w="0" w:type="auto"/>
          </w:tcPr>
          <w:p w14:paraId="42814D5D" w14:textId="77777777" w:rsidR="00180E7C" w:rsidRDefault="00000000">
            <w:pPr>
              <w:pStyle w:val="Compact"/>
            </w:pPr>
            <w:r>
              <w:t>LNG / LPG</w:t>
            </w:r>
          </w:p>
        </w:tc>
        <w:tc>
          <w:tcPr>
            <w:tcW w:w="0" w:type="auto"/>
          </w:tcPr>
          <w:p w14:paraId="7581C6F8" w14:textId="77777777" w:rsidR="00180E7C" w:rsidRDefault="00000000">
            <w:pPr>
              <w:pStyle w:val="Compact"/>
            </w:pPr>
            <w:r>
              <w:t>2.5 nm</w:t>
            </w:r>
          </w:p>
        </w:tc>
        <w:tc>
          <w:tcPr>
            <w:tcW w:w="0" w:type="auto"/>
          </w:tcPr>
          <w:p w14:paraId="0EBAFE4D" w14:textId="77777777" w:rsidR="00180E7C" w:rsidRDefault="00000000">
            <w:pPr>
              <w:pStyle w:val="Compact"/>
            </w:pPr>
            <w:r>
              <w:t>Tug escort through turning basins</w:t>
            </w:r>
          </w:p>
        </w:tc>
        <w:tc>
          <w:tcPr>
            <w:tcW w:w="0" w:type="auto"/>
          </w:tcPr>
          <w:p w14:paraId="36BA7A28" w14:textId="77777777" w:rsidR="00180E7C" w:rsidRDefault="00000000">
            <w:pPr>
              <w:pStyle w:val="Compact"/>
            </w:pPr>
            <w:r>
              <w:t>Gas-freeing certificate data</w:t>
            </w:r>
          </w:p>
        </w:tc>
      </w:tr>
      <w:tr w:rsidR="00180E7C" w14:paraId="5F893B52" w14:textId="77777777">
        <w:tc>
          <w:tcPr>
            <w:tcW w:w="0" w:type="auto"/>
          </w:tcPr>
          <w:p w14:paraId="69035EB9" w14:textId="77777777" w:rsidR="00180E7C" w:rsidRDefault="00000000">
            <w:pPr>
              <w:pStyle w:val="Compact"/>
            </w:pPr>
            <w:r>
              <w:t>Chemical (IMDG bulk)</w:t>
            </w:r>
          </w:p>
        </w:tc>
        <w:tc>
          <w:tcPr>
            <w:tcW w:w="0" w:type="auto"/>
          </w:tcPr>
          <w:p w14:paraId="4155CBB4" w14:textId="77777777" w:rsidR="00180E7C" w:rsidRDefault="00000000">
            <w:pPr>
              <w:pStyle w:val="Compact"/>
            </w:pPr>
            <w:r>
              <w:t>2.0 nm</w:t>
            </w:r>
          </w:p>
        </w:tc>
        <w:tc>
          <w:tcPr>
            <w:tcW w:w="0" w:type="auto"/>
          </w:tcPr>
          <w:p w14:paraId="137492D5" w14:textId="77777777" w:rsidR="00180E7C" w:rsidRDefault="00000000">
            <w:pPr>
              <w:pStyle w:val="Compact"/>
            </w:pPr>
            <w:r>
              <w:t>Tug on 30-minute standby</w:t>
            </w:r>
          </w:p>
        </w:tc>
        <w:tc>
          <w:tcPr>
            <w:tcW w:w="0" w:type="auto"/>
          </w:tcPr>
          <w:p w14:paraId="7A31B211" w14:textId="77777777" w:rsidR="00180E7C" w:rsidRDefault="00000000">
            <w:pPr>
              <w:pStyle w:val="Compact"/>
            </w:pPr>
            <w:r>
              <w:t>IMDG manifest</w:t>
            </w:r>
          </w:p>
        </w:tc>
      </w:tr>
    </w:tbl>
    <w:p w14:paraId="2EB5B073" w14:textId="77777777" w:rsidR="00180E7C" w:rsidRDefault="00000000">
      <w:pPr>
        <w:pStyle w:val="Heading3"/>
      </w:pPr>
      <w:bookmarkStart w:id="553" w:name="b.3.8-interim-routing"/>
      <w:bookmarkEnd w:id="552"/>
      <w:r>
        <w:t>B.3.8 Interim Routing</w:t>
      </w:r>
    </w:p>
    <w:p w14:paraId="0B3F08B1" w14:textId="77777777" w:rsidR="00180E7C" w:rsidRDefault="00000000">
      <w:pPr>
        <w:pStyle w:val="FirstParagraph"/>
      </w:pPr>
      <w:r>
        <w:t>During Phase I, the interim lanes follow the wartime widened routing adjacent to Omani waters as published by the Joint Maritime Information Center on 27 June 2026, formalized as: interim eastbound along the Corridor One alignment with 1.5-mile width; interim westbound along the Corridor Two alignment with 1.5-mile width; enhanced escort posture per Annex J, Section 11.6, until mine clearance certification.</w:t>
      </w:r>
    </w:p>
    <w:p w14:paraId="0C3D2AC5" w14:textId="77777777" w:rsidR="00180E7C" w:rsidRDefault="00000000">
      <w:pPr>
        <w:pStyle w:val="Heading3"/>
      </w:pPr>
      <w:bookmarkStart w:id="554" w:name="b.3.9-inshore-traffic-zones"/>
      <w:bookmarkEnd w:id="553"/>
      <w:r>
        <w:t>B.3.9 Inshore Traffic Zones</w:t>
      </w:r>
    </w:p>
    <w:p w14:paraId="219E9173" w14:textId="77777777" w:rsidR="00180E7C" w:rsidRDefault="00000000">
      <w:pPr>
        <w:pStyle w:val="FirstParagraph"/>
      </w:pPr>
      <w:r>
        <w:t>Fishing vessels and small craft under 24 meters operate in the inshore traffic zones within 3 nautical miles of the respective coasts, outside the corridors, marked by the buoyage plan of Section B.4.</w:t>
      </w:r>
    </w:p>
    <w:p w14:paraId="5B3EA000" w14:textId="77777777" w:rsidR="00180E7C" w:rsidRDefault="00000000">
      <w:pPr>
        <w:pStyle w:val="Heading2"/>
      </w:pPr>
      <w:bookmarkStart w:id="555" w:name="b.4-navigational-aids-and-charting"/>
      <w:bookmarkEnd w:id="545"/>
      <w:bookmarkEnd w:id="554"/>
      <w:r>
        <w:t>B.4 Navigational Aids and Charting</w:t>
      </w:r>
    </w:p>
    <w:p w14:paraId="0C8CF4D3" w14:textId="77777777" w:rsidR="00180E7C" w:rsidRDefault="00000000">
      <w:pPr>
        <w:pStyle w:val="FirstParagraph"/>
      </w:pPr>
      <w:r>
        <w:t>B.4.1 The Authority maintains: 26 lateral marks, 8 cardinal marks, 4 safe water marks, 2 isolated danger marks, and 6 virtual AIS aids to navigation, per the buoyage schedule filed with the IHO. All marks carry AIS transponders and radar reflectors.</w:t>
      </w:r>
    </w:p>
    <w:p w14:paraId="1698E772" w14:textId="77777777" w:rsidR="00180E7C" w:rsidRDefault="00000000">
      <w:pPr>
        <w:pStyle w:val="BodyText"/>
      </w:pPr>
      <w:r>
        <w:t>B.4.2 The IHO updates charts within ninety days of corridor activation: new editions of the relevant international chart series incorporating the corridor system, the inshore zones, and the reporting points.</w:t>
      </w:r>
    </w:p>
    <w:p w14:paraId="02F3BB03" w14:textId="77777777" w:rsidR="00180E7C" w:rsidRDefault="00000000">
      <w:pPr>
        <w:pStyle w:val="Heading2"/>
      </w:pPr>
      <w:bookmarkStart w:id="556" w:name="b.5-decision-categories"/>
      <w:bookmarkEnd w:id="555"/>
      <w:r>
        <w:t>B.5 Decision Categories</w:t>
      </w:r>
    </w:p>
    <w:tbl>
      <w:tblPr>
        <w:tblStyle w:val="Table"/>
        <w:tblW w:w="5000" w:type="pct"/>
        <w:tblLook w:val="0020" w:firstRow="1" w:lastRow="0" w:firstColumn="0" w:lastColumn="0" w:noHBand="0" w:noVBand="0"/>
      </w:tblPr>
      <w:tblGrid>
        <w:gridCol w:w="1133"/>
        <w:gridCol w:w="5826"/>
        <w:gridCol w:w="2617"/>
      </w:tblGrid>
      <w:tr w:rsidR="00180E7C" w14:paraId="5E4D4C3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B5A1736" w14:textId="77777777" w:rsidR="00180E7C" w:rsidRDefault="00000000">
            <w:pPr>
              <w:pStyle w:val="Compact"/>
            </w:pPr>
            <w:r>
              <w:t>Category</w:t>
            </w:r>
          </w:p>
        </w:tc>
        <w:tc>
          <w:tcPr>
            <w:tcW w:w="0" w:type="auto"/>
          </w:tcPr>
          <w:p w14:paraId="2A396A82" w14:textId="77777777" w:rsidR="00180E7C" w:rsidRDefault="00000000">
            <w:pPr>
              <w:pStyle w:val="Compact"/>
            </w:pPr>
            <w:r>
              <w:t>Matters</w:t>
            </w:r>
          </w:p>
        </w:tc>
        <w:tc>
          <w:tcPr>
            <w:tcW w:w="0" w:type="auto"/>
          </w:tcPr>
          <w:p w14:paraId="77B7B951" w14:textId="77777777" w:rsidR="00180E7C" w:rsidRDefault="00000000">
            <w:pPr>
              <w:pStyle w:val="Compact"/>
            </w:pPr>
            <w:r>
              <w:t>Decision Rule</w:t>
            </w:r>
          </w:p>
        </w:tc>
      </w:tr>
      <w:tr w:rsidR="00180E7C" w14:paraId="6FC31A16" w14:textId="77777777">
        <w:tc>
          <w:tcPr>
            <w:tcW w:w="0" w:type="auto"/>
          </w:tcPr>
          <w:p w14:paraId="5670BFB4" w14:textId="77777777" w:rsidR="00180E7C" w:rsidRDefault="00000000">
            <w:pPr>
              <w:pStyle w:val="Compact"/>
            </w:pPr>
            <w:r>
              <w:t>A</w:t>
            </w:r>
          </w:p>
        </w:tc>
        <w:tc>
          <w:tcPr>
            <w:tcW w:w="0" w:type="auto"/>
          </w:tcPr>
          <w:p w14:paraId="3E77364E" w14:textId="77777777" w:rsidR="00180E7C" w:rsidRDefault="00000000">
            <w:pPr>
              <w:pStyle w:val="Compact"/>
            </w:pPr>
            <w:r>
              <w:t>Corridor geometry, fee schedule, Rules of Transit amendments, budget adoption, accession welcomes</w:t>
            </w:r>
          </w:p>
        </w:tc>
        <w:tc>
          <w:tcPr>
            <w:tcW w:w="0" w:type="auto"/>
          </w:tcPr>
          <w:p w14:paraId="7E6B26F9" w14:textId="77777777" w:rsidR="00180E7C" w:rsidRDefault="00000000">
            <w:pPr>
              <w:pStyle w:val="Compact"/>
            </w:pPr>
            <w:r>
              <w:t>Full Council consensus</w:t>
            </w:r>
          </w:p>
        </w:tc>
      </w:tr>
      <w:tr w:rsidR="00180E7C" w14:paraId="42220E75" w14:textId="77777777">
        <w:tc>
          <w:tcPr>
            <w:tcW w:w="0" w:type="auto"/>
          </w:tcPr>
          <w:p w14:paraId="2ACCB31B" w14:textId="77777777" w:rsidR="00180E7C" w:rsidRDefault="00000000">
            <w:pPr>
              <w:pStyle w:val="Compact"/>
            </w:pPr>
            <w:r>
              <w:t>B</w:t>
            </w:r>
          </w:p>
        </w:tc>
        <w:tc>
          <w:tcPr>
            <w:tcW w:w="0" w:type="auto"/>
          </w:tcPr>
          <w:p w14:paraId="09FFE90E" w14:textId="77777777" w:rsidR="00180E7C" w:rsidRDefault="00000000">
            <w:pPr>
              <w:pStyle w:val="Compact"/>
            </w:pPr>
            <w:r>
              <w:t>Operational procedures, staffing below director level, procurement within budget, publications</w:t>
            </w:r>
          </w:p>
        </w:tc>
        <w:tc>
          <w:tcPr>
            <w:tcW w:w="0" w:type="auto"/>
          </w:tcPr>
          <w:p w14:paraId="399C742F" w14:textId="77777777" w:rsidR="00180E7C" w:rsidRDefault="00000000">
            <w:pPr>
              <w:pStyle w:val="Compact"/>
            </w:pPr>
            <w:r>
              <w:t>Chair and Co-Chair jointly</w:t>
            </w:r>
          </w:p>
        </w:tc>
      </w:tr>
      <w:tr w:rsidR="00180E7C" w14:paraId="3C71FD31" w14:textId="77777777">
        <w:tc>
          <w:tcPr>
            <w:tcW w:w="0" w:type="auto"/>
          </w:tcPr>
          <w:p w14:paraId="2F91811C" w14:textId="77777777" w:rsidR="00180E7C" w:rsidRDefault="00000000">
            <w:pPr>
              <w:pStyle w:val="Compact"/>
            </w:pPr>
            <w:r>
              <w:t>C</w:t>
            </w:r>
          </w:p>
        </w:tc>
        <w:tc>
          <w:tcPr>
            <w:tcW w:w="0" w:type="auto"/>
          </w:tcPr>
          <w:p w14:paraId="7C12EA82" w14:textId="77777777" w:rsidR="00180E7C" w:rsidRDefault="00000000">
            <w:pPr>
              <w:pStyle w:val="Compact"/>
            </w:pPr>
            <w:r>
              <w:t>Emergency operational direction within published procedures</w:t>
            </w:r>
          </w:p>
        </w:tc>
        <w:tc>
          <w:tcPr>
            <w:tcW w:w="0" w:type="auto"/>
          </w:tcPr>
          <w:p w14:paraId="7CBB672C" w14:textId="77777777" w:rsidR="00180E7C" w:rsidRDefault="00000000">
            <w:pPr>
              <w:pStyle w:val="Compact"/>
            </w:pPr>
            <w:r>
              <w:t>MOC duty officer, logged and reported</w:t>
            </w:r>
          </w:p>
        </w:tc>
      </w:tr>
    </w:tbl>
    <w:p w14:paraId="7C0B2487" w14:textId="77777777" w:rsidR="00180E7C" w:rsidRDefault="00000000">
      <w:pPr>
        <w:pStyle w:val="Heading2"/>
      </w:pPr>
      <w:bookmarkStart w:id="557" w:name="b.6-staffing-parity-table"/>
      <w:bookmarkEnd w:id="556"/>
      <w:r>
        <w:lastRenderedPageBreak/>
        <w:t>B.6 Staffing Parity Table</w:t>
      </w:r>
    </w:p>
    <w:tbl>
      <w:tblPr>
        <w:tblStyle w:val="Table"/>
        <w:tblW w:w="0" w:type="auto"/>
        <w:tblLook w:val="0020" w:firstRow="1" w:lastRow="0" w:firstColumn="0" w:lastColumn="0" w:noHBand="0" w:noVBand="0"/>
      </w:tblPr>
      <w:tblGrid>
        <w:gridCol w:w="3038"/>
        <w:gridCol w:w="891"/>
        <w:gridCol w:w="963"/>
        <w:gridCol w:w="1568"/>
        <w:gridCol w:w="750"/>
      </w:tblGrid>
      <w:tr w:rsidR="00180E7C" w14:paraId="59B6A56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285462E" w14:textId="77777777" w:rsidR="00180E7C" w:rsidRDefault="00000000">
            <w:pPr>
              <w:pStyle w:val="Compact"/>
            </w:pPr>
            <w:r>
              <w:t>Organ</w:t>
            </w:r>
          </w:p>
        </w:tc>
        <w:tc>
          <w:tcPr>
            <w:tcW w:w="0" w:type="auto"/>
          </w:tcPr>
          <w:p w14:paraId="5DE2255B" w14:textId="77777777" w:rsidR="00180E7C" w:rsidRDefault="00000000">
            <w:pPr>
              <w:pStyle w:val="Compact"/>
            </w:pPr>
            <w:r>
              <w:t>Omani</w:t>
            </w:r>
          </w:p>
        </w:tc>
        <w:tc>
          <w:tcPr>
            <w:tcW w:w="0" w:type="auto"/>
          </w:tcPr>
          <w:p w14:paraId="47BFFB4F" w14:textId="77777777" w:rsidR="00180E7C" w:rsidRDefault="00000000">
            <w:pPr>
              <w:pStyle w:val="Compact"/>
            </w:pPr>
            <w:r>
              <w:t>Iranian</w:t>
            </w:r>
          </w:p>
        </w:tc>
        <w:tc>
          <w:tcPr>
            <w:tcW w:w="0" w:type="auto"/>
          </w:tcPr>
          <w:p w14:paraId="2B18EB14" w14:textId="77777777" w:rsidR="00180E7C" w:rsidRDefault="00000000">
            <w:pPr>
              <w:pStyle w:val="Compact"/>
            </w:pPr>
            <w:r>
              <w:t>International</w:t>
            </w:r>
          </w:p>
        </w:tc>
        <w:tc>
          <w:tcPr>
            <w:tcW w:w="0" w:type="auto"/>
          </w:tcPr>
          <w:p w14:paraId="75FF2EE3" w14:textId="77777777" w:rsidR="00180E7C" w:rsidRDefault="00000000">
            <w:pPr>
              <w:pStyle w:val="Compact"/>
            </w:pPr>
            <w:r>
              <w:t>Total</w:t>
            </w:r>
          </w:p>
        </w:tc>
      </w:tr>
      <w:tr w:rsidR="00180E7C" w14:paraId="50D793BF" w14:textId="77777777">
        <w:tc>
          <w:tcPr>
            <w:tcW w:w="0" w:type="auto"/>
          </w:tcPr>
          <w:p w14:paraId="4EF3A899" w14:textId="77777777" w:rsidR="00180E7C" w:rsidRDefault="00000000">
            <w:pPr>
              <w:pStyle w:val="Compact"/>
            </w:pPr>
            <w:r>
              <w:t>Secretariat</w:t>
            </w:r>
          </w:p>
        </w:tc>
        <w:tc>
          <w:tcPr>
            <w:tcW w:w="0" w:type="auto"/>
          </w:tcPr>
          <w:p w14:paraId="7497C30E" w14:textId="77777777" w:rsidR="00180E7C" w:rsidRDefault="00000000">
            <w:pPr>
              <w:pStyle w:val="Compact"/>
            </w:pPr>
            <w:r>
              <w:t>18</w:t>
            </w:r>
          </w:p>
        </w:tc>
        <w:tc>
          <w:tcPr>
            <w:tcW w:w="0" w:type="auto"/>
          </w:tcPr>
          <w:p w14:paraId="7D22E93E" w14:textId="77777777" w:rsidR="00180E7C" w:rsidRDefault="00000000">
            <w:pPr>
              <w:pStyle w:val="Compact"/>
            </w:pPr>
            <w:r>
              <w:t>18</w:t>
            </w:r>
          </w:p>
        </w:tc>
        <w:tc>
          <w:tcPr>
            <w:tcW w:w="0" w:type="auto"/>
          </w:tcPr>
          <w:p w14:paraId="3F5AE4C9" w14:textId="77777777" w:rsidR="00180E7C" w:rsidRDefault="00000000">
            <w:pPr>
              <w:pStyle w:val="Compact"/>
            </w:pPr>
            <w:r>
              <w:t>6</w:t>
            </w:r>
          </w:p>
        </w:tc>
        <w:tc>
          <w:tcPr>
            <w:tcW w:w="0" w:type="auto"/>
          </w:tcPr>
          <w:p w14:paraId="1D07D733" w14:textId="77777777" w:rsidR="00180E7C" w:rsidRDefault="00000000">
            <w:pPr>
              <w:pStyle w:val="Compact"/>
            </w:pPr>
            <w:r>
              <w:t>42</w:t>
            </w:r>
          </w:p>
        </w:tc>
      </w:tr>
      <w:tr w:rsidR="00180E7C" w14:paraId="391E2123" w14:textId="77777777">
        <w:tc>
          <w:tcPr>
            <w:tcW w:w="0" w:type="auto"/>
          </w:tcPr>
          <w:p w14:paraId="794BE684" w14:textId="77777777" w:rsidR="00180E7C" w:rsidRDefault="00000000">
            <w:pPr>
              <w:pStyle w:val="Compact"/>
            </w:pPr>
            <w:r>
              <w:t>MOC watch floor</w:t>
            </w:r>
          </w:p>
        </w:tc>
        <w:tc>
          <w:tcPr>
            <w:tcW w:w="0" w:type="auto"/>
          </w:tcPr>
          <w:p w14:paraId="6FD757E0" w14:textId="77777777" w:rsidR="00180E7C" w:rsidRDefault="00000000">
            <w:pPr>
              <w:pStyle w:val="Compact"/>
            </w:pPr>
            <w:r>
              <w:t>12</w:t>
            </w:r>
          </w:p>
        </w:tc>
        <w:tc>
          <w:tcPr>
            <w:tcW w:w="0" w:type="auto"/>
          </w:tcPr>
          <w:p w14:paraId="33532B61" w14:textId="77777777" w:rsidR="00180E7C" w:rsidRDefault="00000000">
            <w:pPr>
              <w:pStyle w:val="Compact"/>
            </w:pPr>
            <w:r>
              <w:t>12</w:t>
            </w:r>
          </w:p>
        </w:tc>
        <w:tc>
          <w:tcPr>
            <w:tcW w:w="0" w:type="auto"/>
          </w:tcPr>
          <w:p w14:paraId="18B3FD96" w14:textId="77777777" w:rsidR="00180E7C" w:rsidRDefault="00000000">
            <w:pPr>
              <w:pStyle w:val="Compact"/>
            </w:pPr>
            <w:r>
              <w:t>6</w:t>
            </w:r>
          </w:p>
        </w:tc>
        <w:tc>
          <w:tcPr>
            <w:tcW w:w="0" w:type="auto"/>
          </w:tcPr>
          <w:p w14:paraId="4C1412B2" w14:textId="77777777" w:rsidR="00180E7C" w:rsidRDefault="00000000">
            <w:pPr>
              <w:pStyle w:val="Compact"/>
            </w:pPr>
            <w:r>
              <w:t>30</w:t>
            </w:r>
          </w:p>
        </w:tc>
      </w:tr>
      <w:tr w:rsidR="00180E7C" w14:paraId="4831F701" w14:textId="77777777">
        <w:tc>
          <w:tcPr>
            <w:tcW w:w="0" w:type="auto"/>
          </w:tcPr>
          <w:p w14:paraId="53EA19D3" w14:textId="77777777" w:rsidR="00180E7C" w:rsidRDefault="00000000">
            <w:pPr>
              <w:pStyle w:val="Compact"/>
            </w:pPr>
            <w:r>
              <w:t>Verification Cells (all three)</w:t>
            </w:r>
          </w:p>
        </w:tc>
        <w:tc>
          <w:tcPr>
            <w:tcW w:w="0" w:type="auto"/>
          </w:tcPr>
          <w:p w14:paraId="56ED92E3" w14:textId="77777777" w:rsidR="00180E7C" w:rsidRDefault="00000000">
            <w:pPr>
              <w:pStyle w:val="Compact"/>
            </w:pPr>
            <w:r>
              <w:t>12</w:t>
            </w:r>
          </w:p>
        </w:tc>
        <w:tc>
          <w:tcPr>
            <w:tcW w:w="0" w:type="auto"/>
          </w:tcPr>
          <w:p w14:paraId="7328E322" w14:textId="77777777" w:rsidR="00180E7C" w:rsidRDefault="00000000">
            <w:pPr>
              <w:pStyle w:val="Compact"/>
            </w:pPr>
            <w:r>
              <w:t>12</w:t>
            </w:r>
          </w:p>
        </w:tc>
        <w:tc>
          <w:tcPr>
            <w:tcW w:w="0" w:type="auto"/>
          </w:tcPr>
          <w:p w14:paraId="029E72EF" w14:textId="77777777" w:rsidR="00180E7C" w:rsidRDefault="00000000">
            <w:pPr>
              <w:pStyle w:val="Compact"/>
            </w:pPr>
            <w:r>
              <w:t>12</w:t>
            </w:r>
          </w:p>
        </w:tc>
        <w:tc>
          <w:tcPr>
            <w:tcW w:w="0" w:type="auto"/>
          </w:tcPr>
          <w:p w14:paraId="13ABFDBD" w14:textId="77777777" w:rsidR="00180E7C" w:rsidRDefault="00000000">
            <w:pPr>
              <w:pStyle w:val="Compact"/>
            </w:pPr>
            <w:r>
              <w:t>36</w:t>
            </w:r>
          </w:p>
        </w:tc>
      </w:tr>
      <w:tr w:rsidR="00180E7C" w14:paraId="3A53DF29" w14:textId="77777777">
        <w:tc>
          <w:tcPr>
            <w:tcW w:w="0" w:type="auto"/>
          </w:tcPr>
          <w:p w14:paraId="3FDDCCD0" w14:textId="77777777" w:rsidR="00180E7C" w:rsidRDefault="00000000">
            <w:pPr>
              <w:pStyle w:val="Compact"/>
            </w:pPr>
            <w:r>
              <w:t>Environmental unit</w:t>
            </w:r>
          </w:p>
        </w:tc>
        <w:tc>
          <w:tcPr>
            <w:tcW w:w="0" w:type="auto"/>
          </w:tcPr>
          <w:p w14:paraId="3B070D2C" w14:textId="77777777" w:rsidR="00180E7C" w:rsidRDefault="00000000">
            <w:pPr>
              <w:pStyle w:val="Compact"/>
            </w:pPr>
            <w:r>
              <w:t>4</w:t>
            </w:r>
          </w:p>
        </w:tc>
        <w:tc>
          <w:tcPr>
            <w:tcW w:w="0" w:type="auto"/>
          </w:tcPr>
          <w:p w14:paraId="18912103" w14:textId="77777777" w:rsidR="00180E7C" w:rsidRDefault="00000000">
            <w:pPr>
              <w:pStyle w:val="Compact"/>
            </w:pPr>
            <w:r>
              <w:t>4</w:t>
            </w:r>
          </w:p>
        </w:tc>
        <w:tc>
          <w:tcPr>
            <w:tcW w:w="0" w:type="auto"/>
          </w:tcPr>
          <w:p w14:paraId="12AC2345" w14:textId="77777777" w:rsidR="00180E7C" w:rsidRDefault="00000000">
            <w:pPr>
              <w:pStyle w:val="Compact"/>
            </w:pPr>
            <w:r>
              <w:t>2</w:t>
            </w:r>
          </w:p>
        </w:tc>
        <w:tc>
          <w:tcPr>
            <w:tcW w:w="0" w:type="auto"/>
          </w:tcPr>
          <w:p w14:paraId="70D1C3DD" w14:textId="77777777" w:rsidR="00180E7C" w:rsidRDefault="00000000">
            <w:pPr>
              <w:pStyle w:val="Compact"/>
            </w:pPr>
            <w:r>
              <w:t>10</w:t>
            </w:r>
          </w:p>
        </w:tc>
      </w:tr>
      <w:tr w:rsidR="00180E7C" w14:paraId="3DAB2668" w14:textId="77777777">
        <w:tc>
          <w:tcPr>
            <w:tcW w:w="0" w:type="auto"/>
          </w:tcPr>
          <w:p w14:paraId="3EA4F4B2" w14:textId="77777777" w:rsidR="00180E7C" w:rsidRDefault="00000000">
            <w:pPr>
              <w:pStyle w:val="Compact"/>
            </w:pPr>
            <w:r>
              <w:t>SAR coordination</w:t>
            </w:r>
          </w:p>
        </w:tc>
        <w:tc>
          <w:tcPr>
            <w:tcW w:w="0" w:type="auto"/>
          </w:tcPr>
          <w:p w14:paraId="594C3178" w14:textId="77777777" w:rsidR="00180E7C" w:rsidRDefault="00000000">
            <w:pPr>
              <w:pStyle w:val="Compact"/>
            </w:pPr>
            <w:r>
              <w:t>6</w:t>
            </w:r>
          </w:p>
        </w:tc>
        <w:tc>
          <w:tcPr>
            <w:tcW w:w="0" w:type="auto"/>
          </w:tcPr>
          <w:p w14:paraId="5B12BC82" w14:textId="77777777" w:rsidR="00180E7C" w:rsidRDefault="00000000">
            <w:pPr>
              <w:pStyle w:val="Compact"/>
            </w:pPr>
            <w:r>
              <w:t>4</w:t>
            </w:r>
          </w:p>
        </w:tc>
        <w:tc>
          <w:tcPr>
            <w:tcW w:w="0" w:type="auto"/>
          </w:tcPr>
          <w:p w14:paraId="78D6A0FD" w14:textId="77777777" w:rsidR="00180E7C" w:rsidRDefault="00000000">
            <w:pPr>
              <w:pStyle w:val="Compact"/>
            </w:pPr>
            <w:r>
              <w:t>2</w:t>
            </w:r>
          </w:p>
        </w:tc>
        <w:tc>
          <w:tcPr>
            <w:tcW w:w="0" w:type="auto"/>
          </w:tcPr>
          <w:p w14:paraId="5CEAFAFA" w14:textId="77777777" w:rsidR="00180E7C" w:rsidRDefault="00000000">
            <w:pPr>
              <w:pStyle w:val="Compact"/>
            </w:pPr>
            <w:r>
              <w:t>12</w:t>
            </w:r>
          </w:p>
        </w:tc>
      </w:tr>
    </w:tbl>
    <w:p w14:paraId="69ED3899" w14:textId="77777777" w:rsidR="00180E7C" w:rsidRDefault="00000000">
      <w:pPr>
        <w:pStyle w:val="Heading2"/>
      </w:pPr>
      <w:bookmarkStart w:id="558" w:name="b.7-offshore-platform"/>
      <w:bookmarkEnd w:id="557"/>
      <w:r>
        <w:t>B.7 Offshore Platform</w:t>
      </w:r>
    </w:p>
    <w:p w14:paraId="4CA13719" w14:textId="77777777" w:rsidR="00180E7C" w:rsidRDefault="00000000">
      <w:pPr>
        <w:pStyle w:val="FirstParagraph"/>
      </w:pPr>
      <w:r>
        <w:t>B.7.1 Location: 26° 31.5’ N, 056° 47.0’ E, within the buffer corridor waters, on the artificial installation registered with the IMO. Facilities: Verification Cell Offshore; radar and AIS mast; meteorological and oceanographic suite; helicopter deck; fast rescue craft davits; spill response store; accommodation for 24 personnel.</w:t>
      </w:r>
    </w:p>
    <w:p w14:paraId="5FCB9B0A" w14:textId="77777777" w:rsidR="00180E7C" w:rsidRDefault="00000000">
      <w:pPr>
        <w:pStyle w:val="Heading2"/>
      </w:pPr>
      <w:bookmarkStart w:id="559" w:name="b.8-budget-and-audit"/>
      <w:bookmarkEnd w:id="558"/>
      <w:r>
        <w:t>B.8 Budget and Audit</w:t>
      </w:r>
    </w:p>
    <w:p w14:paraId="2107AA1F" w14:textId="77777777" w:rsidR="00180E7C" w:rsidRDefault="00000000">
      <w:pPr>
        <w:pStyle w:val="FirstParagraph"/>
      </w:pPr>
      <w:r>
        <w:t>B.8.1 First biennium indicative budget: 84 million United States dollars, funded 60 percent from Catalog and contribution revenues, 25 percent from coastal state contributions (Iran 13.75 percent, Oman 11.25 percent), 15 percent from RDF capital grant.</w:t>
      </w:r>
    </w:p>
    <w:p w14:paraId="3E1638C9" w14:textId="77777777" w:rsidR="00180E7C" w:rsidRDefault="00000000">
      <w:pPr>
        <w:pStyle w:val="BodyText"/>
      </w:pPr>
      <w:r>
        <w:t>B.8.2 The pre-qualified external audit firms: three international firms selected by the Council from the list maintained by the Swiss Facilitator, rotating on four-year engagements.</w:t>
      </w:r>
    </w:p>
    <w:p w14:paraId="758D4278" w14:textId="77777777" w:rsidR="00180E7C" w:rsidRDefault="00000000">
      <w:pPr>
        <w:pStyle w:val="Heading2"/>
      </w:pPr>
      <w:bookmarkStart w:id="560" w:name="X7d915913cf38e1bb1e81e53434a1f35a883a54c"/>
      <w:bookmarkEnd w:id="559"/>
      <w:r>
        <w:t>B.9 Verified Services Catalog and Rate Card</w:t>
      </w:r>
    </w:p>
    <w:p w14:paraId="473BF26D" w14:textId="77777777" w:rsidR="00180E7C" w:rsidRDefault="00000000">
      <w:pPr>
        <w:pStyle w:val="FirstParagraph"/>
      </w:pPr>
      <w:r>
        <w:t>B.9.1 Table B-9: Indicative Rate Card (reviewed annually, cost-based):</w:t>
      </w:r>
    </w:p>
    <w:tbl>
      <w:tblPr>
        <w:tblStyle w:val="Table"/>
        <w:tblW w:w="0" w:type="auto"/>
        <w:tblLook w:val="0020" w:firstRow="1" w:lastRow="0" w:firstColumn="0" w:lastColumn="0" w:noHBand="0" w:noVBand="0"/>
      </w:tblPr>
      <w:tblGrid>
        <w:gridCol w:w="3880"/>
        <w:gridCol w:w="2156"/>
        <w:gridCol w:w="2424"/>
      </w:tblGrid>
      <w:tr w:rsidR="00180E7C" w14:paraId="03FFD30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1D00AC0" w14:textId="77777777" w:rsidR="00180E7C" w:rsidRDefault="00000000">
            <w:pPr>
              <w:pStyle w:val="Compact"/>
            </w:pPr>
            <w:r>
              <w:t>Service</w:t>
            </w:r>
          </w:p>
        </w:tc>
        <w:tc>
          <w:tcPr>
            <w:tcW w:w="0" w:type="auto"/>
          </w:tcPr>
          <w:p w14:paraId="053948B6" w14:textId="77777777" w:rsidR="00180E7C" w:rsidRDefault="00000000">
            <w:pPr>
              <w:pStyle w:val="Compact"/>
            </w:pPr>
            <w:r>
              <w:t>Unit</w:t>
            </w:r>
          </w:p>
        </w:tc>
        <w:tc>
          <w:tcPr>
            <w:tcW w:w="0" w:type="auto"/>
          </w:tcPr>
          <w:p w14:paraId="01A7233F" w14:textId="77777777" w:rsidR="00180E7C" w:rsidRDefault="00000000">
            <w:pPr>
              <w:pStyle w:val="Compact"/>
            </w:pPr>
            <w:r>
              <w:t>Indicative Rate (USD)</w:t>
            </w:r>
          </w:p>
        </w:tc>
      </w:tr>
      <w:tr w:rsidR="00180E7C" w14:paraId="602FB441" w14:textId="77777777">
        <w:tc>
          <w:tcPr>
            <w:tcW w:w="0" w:type="auto"/>
          </w:tcPr>
          <w:p w14:paraId="08503ED1" w14:textId="77777777" w:rsidR="00180E7C" w:rsidRDefault="00000000">
            <w:pPr>
              <w:pStyle w:val="Compact"/>
            </w:pPr>
            <w:r>
              <w:t>Pilotage, full corridor transit</w:t>
            </w:r>
          </w:p>
        </w:tc>
        <w:tc>
          <w:tcPr>
            <w:tcW w:w="0" w:type="auto"/>
          </w:tcPr>
          <w:p w14:paraId="09869388" w14:textId="77777777" w:rsidR="00180E7C" w:rsidRDefault="00000000">
            <w:pPr>
              <w:pStyle w:val="Compact"/>
            </w:pPr>
            <w:r>
              <w:t>per vessel</w:t>
            </w:r>
          </w:p>
        </w:tc>
        <w:tc>
          <w:tcPr>
            <w:tcW w:w="0" w:type="auto"/>
          </w:tcPr>
          <w:p w14:paraId="0AD67413" w14:textId="77777777" w:rsidR="00180E7C" w:rsidRDefault="00000000">
            <w:pPr>
              <w:pStyle w:val="Compact"/>
            </w:pPr>
            <w:r>
              <w:t>8,500</w:t>
            </w:r>
          </w:p>
        </w:tc>
      </w:tr>
      <w:tr w:rsidR="00180E7C" w14:paraId="5E6F78B5" w14:textId="77777777">
        <w:tc>
          <w:tcPr>
            <w:tcW w:w="0" w:type="auto"/>
          </w:tcPr>
          <w:p w14:paraId="21230C38" w14:textId="77777777" w:rsidR="00180E7C" w:rsidRDefault="00000000">
            <w:pPr>
              <w:pStyle w:val="Compact"/>
            </w:pPr>
            <w:r>
              <w:t>Pilotage, partial</w:t>
            </w:r>
          </w:p>
        </w:tc>
        <w:tc>
          <w:tcPr>
            <w:tcW w:w="0" w:type="auto"/>
          </w:tcPr>
          <w:p w14:paraId="58988DE5" w14:textId="77777777" w:rsidR="00180E7C" w:rsidRDefault="00000000">
            <w:pPr>
              <w:pStyle w:val="Compact"/>
            </w:pPr>
            <w:r>
              <w:t>per hour</w:t>
            </w:r>
          </w:p>
        </w:tc>
        <w:tc>
          <w:tcPr>
            <w:tcW w:w="0" w:type="auto"/>
          </w:tcPr>
          <w:p w14:paraId="6F8863F4" w14:textId="77777777" w:rsidR="00180E7C" w:rsidRDefault="00000000">
            <w:pPr>
              <w:pStyle w:val="Compact"/>
            </w:pPr>
            <w:r>
              <w:t>950</w:t>
            </w:r>
          </w:p>
        </w:tc>
      </w:tr>
      <w:tr w:rsidR="00180E7C" w14:paraId="086C7DB6" w14:textId="77777777">
        <w:tc>
          <w:tcPr>
            <w:tcW w:w="0" w:type="auto"/>
          </w:tcPr>
          <w:p w14:paraId="75769556" w14:textId="77777777" w:rsidR="00180E7C" w:rsidRDefault="00000000">
            <w:pPr>
              <w:pStyle w:val="Compact"/>
            </w:pPr>
            <w:r>
              <w:t>Tug escort, turning basin</w:t>
            </w:r>
          </w:p>
        </w:tc>
        <w:tc>
          <w:tcPr>
            <w:tcW w:w="0" w:type="auto"/>
          </w:tcPr>
          <w:p w14:paraId="614BFF6C" w14:textId="77777777" w:rsidR="00180E7C" w:rsidRDefault="00000000">
            <w:pPr>
              <w:pStyle w:val="Compact"/>
            </w:pPr>
            <w:r>
              <w:t>per movement</w:t>
            </w:r>
          </w:p>
        </w:tc>
        <w:tc>
          <w:tcPr>
            <w:tcW w:w="0" w:type="auto"/>
          </w:tcPr>
          <w:p w14:paraId="3B92C3C0" w14:textId="77777777" w:rsidR="00180E7C" w:rsidRDefault="00000000">
            <w:pPr>
              <w:pStyle w:val="Compact"/>
            </w:pPr>
            <w:r>
              <w:t>14,000</w:t>
            </w:r>
          </w:p>
        </w:tc>
      </w:tr>
      <w:tr w:rsidR="00180E7C" w14:paraId="60A7CD07" w14:textId="77777777">
        <w:tc>
          <w:tcPr>
            <w:tcW w:w="0" w:type="auto"/>
          </w:tcPr>
          <w:p w14:paraId="451F643E" w14:textId="77777777" w:rsidR="00180E7C" w:rsidRDefault="00000000">
            <w:pPr>
              <w:pStyle w:val="Compact"/>
            </w:pPr>
            <w:r>
              <w:t>Enhanced routing data subscription</w:t>
            </w:r>
          </w:p>
        </w:tc>
        <w:tc>
          <w:tcPr>
            <w:tcW w:w="0" w:type="auto"/>
          </w:tcPr>
          <w:p w14:paraId="6055700B" w14:textId="77777777" w:rsidR="00180E7C" w:rsidRDefault="00000000">
            <w:pPr>
              <w:pStyle w:val="Compact"/>
            </w:pPr>
            <w:r>
              <w:t>per vessel per year</w:t>
            </w:r>
          </w:p>
        </w:tc>
        <w:tc>
          <w:tcPr>
            <w:tcW w:w="0" w:type="auto"/>
          </w:tcPr>
          <w:p w14:paraId="48B847D0" w14:textId="77777777" w:rsidR="00180E7C" w:rsidRDefault="00000000">
            <w:pPr>
              <w:pStyle w:val="Compact"/>
            </w:pPr>
            <w:r>
              <w:t>2,400</w:t>
            </w:r>
          </w:p>
        </w:tc>
      </w:tr>
      <w:tr w:rsidR="00180E7C" w14:paraId="4C49082F" w14:textId="77777777">
        <w:tc>
          <w:tcPr>
            <w:tcW w:w="0" w:type="auto"/>
          </w:tcPr>
          <w:p w14:paraId="207176E9" w14:textId="77777777" w:rsidR="00180E7C" w:rsidRDefault="00000000">
            <w:pPr>
              <w:pStyle w:val="Compact"/>
            </w:pPr>
            <w:r>
              <w:t>Waste reception, standard</w:t>
            </w:r>
          </w:p>
        </w:tc>
        <w:tc>
          <w:tcPr>
            <w:tcW w:w="0" w:type="auto"/>
          </w:tcPr>
          <w:p w14:paraId="3BEB9BAA" w14:textId="77777777" w:rsidR="00180E7C" w:rsidRDefault="00000000">
            <w:pPr>
              <w:pStyle w:val="Compact"/>
            </w:pPr>
            <w:r>
              <w:t>per cubic meter</w:t>
            </w:r>
          </w:p>
        </w:tc>
        <w:tc>
          <w:tcPr>
            <w:tcW w:w="0" w:type="auto"/>
          </w:tcPr>
          <w:p w14:paraId="58BFAC7C" w14:textId="77777777" w:rsidR="00180E7C" w:rsidRDefault="00000000">
            <w:pPr>
              <w:pStyle w:val="Compact"/>
            </w:pPr>
            <w:r>
              <w:t>210</w:t>
            </w:r>
          </w:p>
        </w:tc>
      </w:tr>
      <w:tr w:rsidR="00180E7C" w14:paraId="73E6584C" w14:textId="77777777">
        <w:tc>
          <w:tcPr>
            <w:tcW w:w="0" w:type="auto"/>
          </w:tcPr>
          <w:p w14:paraId="28CBC592" w14:textId="77777777" w:rsidR="00180E7C" w:rsidRDefault="00000000">
            <w:pPr>
              <w:pStyle w:val="Compact"/>
            </w:pPr>
            <w:r>
              <w:t>Bunkering coordination</w:t>
            </w:r>
          </w:p>
        </w:tc>
        <w:tc>
          <w:tcPr>
            <w:tcW w:w="0" w:type="auto"/>
          </w:tcPr>
          <w:p w14:paraId="2C674B5B" w14:textId="77777777" w:rsidR="00180E7C" w:rsidRDefault="00000000">
            <w:pPr>
              <w:pStyle w:val="Compact"/>
            </w:pPr>
            <w:r>
              <w:t>per call</w:t>
            </w:r>
          </w:p>
        </w:tc>
        <w:tc>
          <w:tcPr>
            <w:tcW w:w="0" w:type="auto"/>
          </w:tcPr>
          <w:p w14:paraId="11C2A952" w14:textId="77777777" w:rsidR="00180E7C" w:rsidRDefault="00000000">
            <w:pPr>
              <w:pStyle w:val="Compact"/>
            </w:pPr>
            <w:r>
              <w:t>1,150</w:t>
            </w:r>
          </w:p>
        </w:tc>
      </w:tr>
      <w:tr w:rsidR="00180E7C" w14:paraId="382A6A07" w14:textId="77777777">
        <w:tc>
          <w:tcPr>
            <w:tcW w:w="0" w:type="auto"/>
          </w:tcPr>
          <w:p w14:paraId="66D64D93" w14:textId="77777777" w:rsidR="00180E7C" w:rsidRDefault="00000000">
            <w:pPr>
              <w:pStyle w:val="Compact"/>
            </w:pPr>
            <w:r>
              <w:t>Survey and inspection (requested)</w:t>
            </w:r>
          </w:p>
        </w:tc>
        <w:tc>
          <w:tcPr>
            <w:tcW w:w="0" w:type="auto"/>
          </w:tcPr>
          <w:p w14:paraId="466AE4E2" w14:textId="77777777" w:rsidR="00180E7C" w:rsidRDefault="00000000">
            <w:pPr>
              <w:pStyle w:val="Compact"/>
            </w:pPr>
            <w:r>
              <w:t>per day</w:t>
            </w:r>
          </w:p>
        </w:tc>
        <w:tc>
          <w:tcPr>
            <w:tcW w:w="0" w:type="auto"/>
          </w:tcPr>
          <w:p w14:paraId="0DDB7BD6" w14:textId="77777777" w:rsidR="00180E7C" w:rsidRDefault="00000000">
            <w:pPr>
              <w:pStyle w:val="Compact"/>
            </w:pPr>
            <w:r>
              <w:t>3,800</w:t>
            </w:r>
          </w:p>
        </w:tc>
      </w:tr>
      <w:tr w:rsidR="00180E7C" w14:paraId="6D4D4E3B" w14:textId="77777777">
        <w:tc>
          <w:tcPr>
            <w:tcW w:w="0" w:type="auto"/>
          </w:tcPr>
          <w:p w14:paraId="4E326B9A" w14:textId="77777777" w:rsidR="00180E7C" w:rsidRDefault="00000000">
            <w:pPr>
              <w:pStyle w:val="Compact"/>
            </w:pPr>
            <w:r>
              <w:t>Non-distress assistance callout</w:t>
            </w:r>
          </w:p>
        </w:tc>
        <w:tc>
          <w:tcPr>
            <w:tcW w:w="0" w:type="auto"/>
          </w:tcPr>
          <w:p w14:paraId="7F56E3B5" w14:textId="77777777" w:rsidR="00180E7C" w:rsidRDefault="00000000">
            <w:pPr>
              <w:pStyle w:val="Compact"/>
            </w:pPr>
            <w:r>
              <w:t>per event</w:t>
            </w:r>
          </w:p>
        </w:tc>
        <w:tc>
          <w:tcPr>
            <w:tcW w:w="0" w:type="auto"/>
          </w:tcPr>
          <w:p w14:paraId="436AA51E" w14:textId="77777777" w:rsidR="00180E7C" w:rsidRDefault="00000000">
            <w:pPr>
              <w:pStyle w:val="Compact"/>
            </w:pPr>
            <w:r>
              <w:t>900</w:t>
            </w:r>
          </w:p>
        </w:tc>
      </w:tr>
    </w:tbl>
    <w:p w14:paraId="49BF2192" w14:textId="77777777" w:rsidR="00180E7C" w:rsidRDefault="00000000">
      <w:pPr>
        <w:pStyle w:val="BodyText"/>
      </w:pPr>
      <w:r>
        <w:t>B.9.2 Table B-10: Contribution Program indicative levels:</w:t>
      </w:r>
    </w:p>
    <w:tbl>
      <w:tblPr>
        <w:tblStyle w:val="Table"/>
        <w:tblW w:w="5000" w:type="pct"/>
        <w:tblLook w:val="0020" w:firstRow="1" w:lastRow="0" w:firstColumn="0" w:lastColumn="0" w:noHBand="0" w:noVBand="0"/>
      </w:tblPr>
      <w:tblGrid>
        <w:gridCol w:w="3754"/>
        <w:gridCol w:w="2288"/>
        <w:gridCol w:w="3534"/>
      </w:tblGrid>
      <w:tr w:rsidR="00180E7C" w14:paraId="6A1653C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4477CCDC" w14:textId="77777777" w:rsidR="00180E7C" w:rsidRDefault="00000000">
            <w:pPr>
              <w:pStyle w:val="Compact"/>
            </w:pPr>
            <w:r>
              <w:t>Contributor Class</w:t>
            </w:r>
          </w:p>
        </w:tc>
        <w:tc>
          <w:tcPr>
            <w:tcW w:w="0" w:type="auto"/>
          </w:tcPr>
          <w:p w14:paraId="42FAE033" w14:textId="77777777" w:rsidR="00180E7C" w:rsidRDefault="00000000">
            <w:pPr>
              <w:pStyle w:val="Compact"/>
            </w:pPr>
            <w:r>
              <w:t>Annual Contribution</w:t>
            </w:r>
          </w:p>
        </w:tc>
        <w:tc>
          <w:tcPr>
            <w:tcW w:w="0" w:type="auto"/>
          </w:tcPr>
          <w:p w14:paraId="2D77DAEC" w14:textId="77777777" w:rsidR="00180E7C" w:rsidRDefault="00000000">
            <w:pPr>
              <w:pStyle w:val="Compact"/>
            </w:pPr>
            <w:r>
              <w:t>Entitlements</w:t>
            </w:r>
          </w:p>
        </w:tc>
      </w:tr>
      <w:tr w:rsidR="00180E7C" w14:paraId="7C2B9425" w14:textId="77777777">
        <w:tc>
          <w:tcPr>
            <w:tcW w:w="0" w:type="auto"/>
          </w:tcPr>
          <w:p w14:paraId="759883B4" w14:textId="77777777" w:rsidR="00180E7C" w:rsidRDefault="00000000">
            <w:pPr>
              <w:pStyle w:val="Compact"/>
            </w:pPr>
            <w:r>
              <w:t>VLCC operator (per vessel)</w:t>
            </w:r>
          </w:p>
        </w:tc>
        <w:tc>
          <w:tcPr>
            <w:tcW w:w="0" w:type="auto"/>
          </w:tcPr>
          <w:p w14:paraId="77019A1B" w14:textId="77777777" w:rsidR="00180E7C" w:rsidRDefault="00000000">
            <w:pPr>
              <w:pStyle w:val="Compact"/>
            </w:pPr>
            <w:r>
              <w:t>18,000</w:t>
            </w:r>
          </w:p>
        </w:tc>
        <w:tc>
          <w:tcPr>
            <w:tcW w:w="0" w:type="auto"/>
          </w:tcPr>
          <w:p w14:paraId="1381F89E" w14:textId="77777777" w:rsidR="00180E7C" w:rsidRDefault="00000000">
            <w:pPr>
              <w:pStyle w:val="Compact"/>
            </w:pPr>
            <w:r>
              <w:t>Priority pilotage, certification</w:t>
            </w:r>
          </w:p>
        </w:tc>
      </w:tr>
      <w:tr w:rsidR="00180E7C" w14:paraId="52B32BAB" w14:textId="77777777">
        <w:tc>
          <w:tcPr>
            <w:tcW w:w="0" w:type="auto"/>
          </w:tcPr>
          <w:p w14:paraId="2EDF4BF9" w14:textId="77777777" w:rsidR="00180E7C" w:rsidRDefault="00000000">
            <w:pPr>
              <w:pStyle w:val="Compact"/>
            </w:pPr>
            <w:r>
              <w:lastRenderedPageBreak/>
              <w:t>Tanker operator, other (per vessel)</w:t>
            </w:r>
          </w:p>
        </w:tc>
        <w:tc>
          <w:tcPr>
            <w:tcW w:w="0" w:type="auto"/>
          </w:tcPr>
          <w:p w14:paraId="4772651A" w14:textId="77777777" w:rsidR="00180E7C" w:rsidRDefault="00000000">
            <w:pPr>
              <w:pStyle w:val="Compact"/>
            </w:pPr>
            <w:r>
              <w:t>9,000</w:t>
            </w:r>
          </w:p>
        </w:tc>
        <w:tc>
          <w:tcPr>
            <w:tcW w:w="0" w:type="auto"/>
          </w:tcPr>
          <w:p w14:paraId="0A9D6187" w14:textId="77777777" w:rsidR="00180E7C" w:rsidRDefault="00000000">
            <w:pPr>
              <w:pStyle w:val="Compact"/>
            </w:pPr>
            <w:r>
              <w:t>Priority scheduling, certification</w:t>
            </w:r>
          </w:p>
        </w:tc>
      </w:tr>
      <w:tr w:rsidR="00180E7C" w14:paraId="737F082A" w14:textId="77777777">
        <w:tc>
          <w:tcPr>
            <w:tcW w:w="0" w:type="auto"/>
          </w:tcPr>
          <w:p w14:paraId="3E9F1EBB" w14:textId="77777777" w:rsidR="00180E7C" w:rsidRDefault="00000000">
            <w:pPr>
              <w:pStyle w:val="Compact"/>
            </w:pPr>
            <w:r>
              <w:t>Bulk/container (per vessel)</w:t>
            </w:r>
          </w:p>
        </w:tc>
        <w:tc>
          <w:tcPr>
            <w:tcW w:w="0" w:type="auto"/>
          </w:tcPr>
          <w:p w14:paraId="796ABD14" w14:textId="77777777" w:rsidR="00180E7C" w:rsidRDefault="00000000">
            <w:pPr>
              <w:pStyle w:val="Compact"/>
            </w:pPr>
            <w:r>
              <w:t>4,500</w:t>
            </w:r>
          </w:p>
        </w:tc>
        <w:tc>
          <w:tcPr>
            <w:tcW w:w="0" w:type="auto"/>
          </w:tcPr>
          <w:p w14:paraId="0EE49D9B" w14:textId="77777777" w:rsidR="00180E7C" w:rsidRDefault="00000000">
            <w:pPr>
              <w:pStyle w:val="Compact"/>
            </w:pPr>
            <w:r>
              <w:t>Scheduling, certification</w:t>
            </w:r>
          </w:p>
        </w:tc>
      </w:tr>
      <w:tr w:rsidR="00180E7C" w14:paraId="7439890D" w14:textId="77777777">
        <w:tc>
          <w:tcPr>
            <w:tcW w:w="0" w:type="auto"/>
          </w:tcPr>
          <w:p w14:paraId="6B6930AF" w14:textId="77777777" w:rsidR="00180E7C" w:rsidRDefault="00000000">
            <w:pPr>
              <w:pStyle w:val="Compact"/>
            </w:pPr>
            <w:r>
              <w:t>Cargo owner program</w:t>
            </w:r>
          </w:p>
        </w:tc>
        <w:tc>
          <w:tcPr>
            <w:tcW w:w="0" w:type="auto"/>
          </w:tcPr>
          <w:p w14:paraId="3D7DAC79" w14:textId="77777777" w:rsidR="00180E7C" w:rsidRDefault="00000000">
            <w:pPr>
              <w:pStyle w:val="Compact"/>
            </w:pPr>
            <w:r>
              <w:t>0.02 per ton</w:t>
            </w:r>
          </w:p>
        </w:tc>
        <w:tc>
          <w:tcPr>
            <w:tcW w:w="0" w:type="auto"/>
          </w:tcPr>
          <w:p w14:paraId="194E8463" w14:textId="77777777" w:rsidR="00180E7C" w:rsidRDefault="00000000">
            <w:pPr>
              <w:pStyle w:val="Compact"/>
            </w:pPr>
            <w:r>
              <w:t>Documentation support</w:t>
            </w:r>
          </w:p>
        </w:tc>
      </w:tr>
      <w:tr w:rsidR="00180E7C" w14:paraId="1504FF0A" w14:textId="77777777">
        <w:tc>
          <w:tcPr>
            <w:tcW w:w="0" w:type="auto"/>
          </w:tcPr>
          <w:p w14:paraId="5E4BB5AD" w14:textId="77777777" w:rsidR="00180E7C" w:rsidRDefault="00000000">
            <w:pPr>
              <w:pStyle w:val="Compact"/>
            </w:pPr>
            <w:r>
              <w:t>Insurer program</w:t>
            </w:r>
          </w:p>
        </w:tc>
        <w:tc>
          <w:tcPr>
            <w:tcW w:w="0" w:type="auto"/>
          </w:tcPr>
          <w:p w14:paraId="198594BA" w14:textId="77777777" w:rsidR="00180E7C" w:rsidRDefault="00000000">
            <w:pPr>
              <w:pStyle w:val="Compact"/>
            </w:pPr>
            <w:r>
              <w:t>bespoke</w:t>
            </w:r>
          </w:p>
        </w:tc>
        <w:tc>
          <w:tcPr>
            <w:tcW w:w="0" w:type="auto"/>
          </w:tcPr>
          <w:p w14:paraId="34A7661C" w14:textId="77777777" w:rsidR="00180E7C" w:rsidRDefault="00000000">
            <w:pPr>
              <w:pStyle w:val="Compact"/>
            </w:pPr>
            <w:r>
              <w:t>Data access, certification support</w:t>
            </w:r>
          </w:p>
        </w:tc>
      </w:tr>
    </w:tbl>
    <w:p w14:paraId="7BB8E551" w14:textId="77777777" w:rsidR="00180E7C" w:rsidRDefault="00000000">
      <w:pPr>
        <w:pStyle w:val="BodyText"/>
      </w:pPr>
      <w:r>
        <w:t>B.9.3 Table B-11: Revenue allocation: operating budget first; Fund capitalization target 20 million dollars reserve; coastal state distribution of surplus, Iran 55 percent, Oman 45 percent.</w:t>
      </w:r>
    </w:p>
    <w:p w14:paraId="7F424796" w14:textId="77777777" w:rsidR="00180E7C" w:rsidRDefault="00000000">
      <w:pPr>
        <w:pStyle w:val="Heading2"/>
      </w:pPr>
      <w:bookmarkStart w:id="561" w:name="b.10-headquarters-agreements"/>
      <w:bookmarkEnd w:id="560"/>
      <w:r>
        <w:t>B.10 Headquarters Agreements</w:t>
      </w:r>
    </w:p>
    <w:p w14:paraId="2CC14CBD" w14:textId="77777777" w:rsidR="00180E7C" w:rsidRDefault="00000000">
      <w:pPr>
        <w:pStyle w:val="FirstParagraph"/>
      </w:pPr>
      <w:r>
        <w:t>B.10.1 Oman concludes the Headquarters Agreement for the Secretariat and MOC Mirror within ninety days of EIF; Iran concludes the Host Agreement for the MOC and Cell Bandar Abbas within the same period; the platform installation registers under the joint instrument of the coastal states.</w:t>
      </w:r>
    </w:p>
    <w:p w14:paraId="0EA9C342" w14:textId="77777777" w:rsidR="00180E7C" w:rsidRDefault="00000000">
      <w:pPr>
        <w:pStyle w:val="Heading2"/>
      </w:pPr>
      <w:bookmarkStart w:id="562" w:name="b.11-environmental-and-sar-annexes"/>
      <w:bookmarkEnd w:id="561"/>
      <w:r>
        <w:t>B.11 Environmental and SAR Annexes</w:t>
      </w:r>
    </w:p>
    <w:p w14:paraId="21B4713A" w14:textId="77777777" w:rsidR="00180E7C" w:rsidRDefault="00000000">
      <w:pPr>
        <w:pStyle w:val="FirstParagraph"/>
      </w:pPr>
      <w:r>
        <w:t>B.11.1 Joint Spill Response Plan: Tier 1 response within 4 hours (vessel-mounted dispersant and containment), Tier 2 within 12 hours (dedicated recovery vessels from Bandar Abbas and Muscat), Tier 3 within 48 hours (international assistance activation through the IMO framework). Pre-positioned stocks: 4,000 meters containment boom, 12 skimmers, 60 tons dispersant, distributed across the three stations.</w:t>
      </w:r>
    </w:p>
    <w:p w14:paraId="22688508" w14:textId="77777777" w:rsidR="00180E7C" w:rsidRDefault="00000000">
      <w:pPr>
        <w:pStyle w:val="BodyText"/>
      </w:pPr>
      <w:r>
        <w:t>B.11.2 SAR response-time table (Table B-15): helicopter on scene within 90 minutes anywhere in the Governance Area; rescue vessel within 3 hours; medical evacuation coordination through the MOC with designated hospitals in Bandar Abbas and Muscat.</w:t>
      </w:r>
    </w:p>
    <w:p w14:paraId="1EC437E9" w14:textId="77777777" w:rsidR="00180E7C" w:rsidRDefault="00000000">
      <w:pPr>
        <w:pStyle w:val="BodyText"/>
      </w:pPr>
      <w:r>
        <w:t>B.11.3 Table B-13: Enhanced tanker standards: double-hull compliance verified at manifest stage; inert gas system certification for crude carriers; ballast water management plan filing; age profile reporting for tankers above 20 years.</w:t>
      </w:r>
    </w:p>
    <w:p w14:paraId="68A19B5E" w14:textId="77777777" w:rsidR="00180E7C" w:rsidRDefault="00000000">
      <w:pPr>
        <w:pStyle w:val="BodyText"/>
      </w:pPr>
      <w:r>
        <w:t>B.11.4 Places of refuge: designated sheltered anchorages at Chabahar outer roadstead, Jask approaches, Musandam eastern anchorages, with the assessment protocol for admitting distressed vessels carrying hazardous cargo.</w:t>
      </w:r>
    </w:p>
    <w:p w14:paraId="1AD2480E" w14:textId="77777777" w:rsidR="00180E7C" w:rsidRDefault="00000000">
      <w:pPr>
        <w:pStyle w:val="Heading2"/>
      </w:pPr>
      <w:bookmarkStart w:id="563" w:name="b.12-publications"/>
      <w:bookmarkEnd w:id="562"/>
      <w:r>
        <w:t>B.12 Publications</w:t>
      </w:r>
    </w:p>
    <w:p w14:paraId="102311F0" w14:textId="77777777" w:rsidR="00180E7C" w:rsidRDefault="00000000">
      <w:pPr>
        <w:pStyle w:val="FirstParagraph"/>
      </w:pPr>
      <w:r>
        <w:t>B.12.1 The Authority publishes: the Notice to Mariners series (weekly and urgent editions); the Rules of Transit handbook in English, Persian, and Arabic; the daily navigational bulletin; the monthly traffic statistics; the annual report; and the transparency portal data feeds.</w:t>
      </w:r>
    </w:p>
    <w:p w14:paraId="2C73D74A" w14:textId="77777777" w:rsidR="00180E7C" w:rsidRDefault="00000000">
      <w:pPr>
        <w:pStyle w:val="Heading2"/>
      </w:pPr>
      <w:bookmarkStart w:id="564" w:name="b.13-satellite-contribution-agreements"/>
      <w:bookmarkEnd w:id="563"/>
      <w:r>
        <w:lastRenderedPageBreak/>
        <w:t>B.13 Satellite Contribution Agreements</w:t>
      </w:r>
    </w:p>
    <w:p w14:paraId="73170713" w14:textId="77777777" w:rsidR="00180E7C" w:rsidRDefault="00000000">
      <w:pPr>
        <w:pStyle w:val="FirstParagraph"/>
      </w:pPr>
      <w:r>
        <w:t>B.13.1 Commercial and governmental satellite imagery feeds enter the maritime domain awareness system under contribution agreements with the partners listed in the Registry, providing coverage at not less than four passes per day over the Governance Area with 24-hour data latency or better.</w:t>
      </w:r>
    </w:p>
    <w:p w14:paraId="557751E5" w14:textId="77777777" w:rsidR="00180E7C" w:rsidRDefault="00000000">
      <w:pPr>
        <w:pStyle w:val="Heading2"/>
      </w:pPr>
      <w:bookmarkStart w:id="565" w:name="b.14-accession-schedule"/>
      <w:bookmarkEnd w:id="564"/>
      <w:r>
        <w:t>B.14 Accession Schedule</w:t>
      </w:r>
    </w:p>
    <w:p w14:paraId="5D8DB0E8" w14:textId="77777777" w:rsidR="00180E7C" w:rsidRDefault="00000000">
      <w:pPr>
        <w:pStyle w:val="FirstParagraph"/>
      </w:pPr>
      <w:r>
        <w:t>B.14.1 An acceding state receives: participation in the relevant Council working groups; access to the data products; and contribution obligations scaled to its corridor usage, per the accession instrument template of the Registry.</w:t>
      </w:r>
    </w:p>
    <w:p w14:paraId="1FC891A5" w14:textId="77777777" w:rsidR="00180E7C" w:rsidRDefault="00000000">
      <w:pPr>
        <w:pStyle w:val="Heading2"/>
      </w:pPr>
      <w:bookmarkStart w:id="566" w:name="b.15-littoral-stand-down-band"/>
      <w:bookmarkEnd w:id="565"/>
      <w:r>
        <w:t>B.15 Littoral Stand-Down Band</w:t>
      </w:r>
    </w:p>
    <w:p w14:paraId="6C8826DA" w14:textId="77777777" w:rsidR="00180E7C" w:rsidRDefault="00000000">
      <w:pPr>
        <w:pStyle w:val="FirstParagraph"/>
      </w:pPr>
      <w:r>
        <w:t>B.15.1 The band extends 25 kilometers inland from the coastline between 25° 10.0’ N, 057° 20.0’ E (Gwatar Bay) and 27° 40.0’ N, 052° 40.0’ E (western terminus), excluding the declared naval bases at Bandar Abbas (27° 11.0’ N, 056° 16.0’ E) and Chabahar (25° 17.0’ N, 060° 38.0’ E), which operate under the declared peacetime posture filed in the Registry.</w:t>
      </w:r>
    </w:p>
    <w:p w14:paraId="3E477713" w14:textId="77777777" w:rsidR="00180E7C" w:rsidRDefault="00000000">
      <w:pPr>
        <w:pStyle w:val="Heading2"/>
      </w:pPr>
      <w:bookmarkStart w:id="567" w:name="X48aff310fecd0681648df27c3f7cad5daf7edbb"/>
      <w:bookmarkEnd w:id="566"/>
      <w:r>
        <w:t>B.16 Exercise Boxes and Table B-16 Service Ports</w:t>
      </w:r>
    </w:p>
    <w:p w14:paraId="56AFF3BC" w14:textId="77777777" w:rsidR="00180E7C" w:rsidRDefault="00000000">
      <w:pPr>
        <w:pStyle w:val="FirstParagraph"/>
      </w:pPr>
      <w:r>
        <w:t>B.16.1 Live missile firing boxes: Box Alpha (Gulf of Oman, 24° 30’ N to 25° 00’ N, 058° 30’ E to 059° 30’ E) and Box Bravo (North Arabian Sea, 22° 00’ N to 23° 00’ N, 060° 00’ E to 062° 00’ E), announced per Article 16.5.</w:t>
      </w:r>
    </w:p>
    <w:p w14:paraId="3726595A" w14:textId="77777777" w:rsidR="00180E7C" w:rsidRDefault="00000000">
      <w:pPr>
        <w:pStyle w:val="BodyText"/>
      </w:pPr>
      <w:r>
        <w:t>B.16.2 Table B-16 designated service ports: Shahid Rajaee, Chabahar, Jask (Iran); Duqm, Sohar, Muscat, Khasab (Oman). Services at these ports operate under the Catalog with port authority coordination.</w:t>
      </w:r>
    </w:p>
    <w:p w14:paraId="553E944E" w14:textId="77777777" w:rsidR="00180E7C" w:rsidRDefault="00000000">
      <w:pPr>
        <w:pStyle w:val="Heading2"/>
      </w:pPr>
      <w:bookmarkStart w:id="568" w:name="X4046ecb05f4ac3e1a4d3fe4f3f977a40c4b122d"/>
      <w:bookmarkEnd w:id="567"/>
      <w:r>
        <w:t>B.17 Detention Compensation Tariff (Table B-17)</w:t>
      </w:r>
    </w:p>
    <w:p w14:paraId="5CCC6088" w14:textId="77777777" w:rsidR="00180E7C" w:rsidRDefault="00000000">
      <w:pPr>
        <w:pStyle w:val="FirstParagraph"/>
      </w:pPr>
      <w:r>
        <w:t>B.17.1 Unlawful or unprotocolled detention compensates at: vessel hire equivalent per day at the published Baltic Exchange indices for the vessel class; plus crew costs; plus cargo delay damages as evidenced; plus a fixed administrative sum of 50,000 dollars per day; payable within 30 days of the panel finding, guaranteed by the detaining state’s Authority contribution account.</w:t>
      </w:r>
    </w:p>
    <w:p w14:paraId="27A02656" w14:textId="77777777" w:rsidR="00180E7C" w:rsidRDefault="00000000">
      <w:r>
        <w:br w:type="page"/>
      </w:r>
    </w:p>
    <w:p w14:paraId="45EB7E6B" w14:textId="77777777" w:rsidR="00180E7C" w:rsidRDefault="00000000">
      <w:pPr>
        <w:pStyle w:val="Heading1"/>
      </w:pPr>
      <w:bookmarkStart w:id="569" w:name="Xbec2c6ada389cfa6ae5daa66089bcd6aa0142d8"/>
      <w:bookmarkStart w:id="570" w:name="_Toc237843168"/>
      <w:bookmarkEnd w:id="541"/>
      <w:bookmarkEnd w:id="568"/>
      <w:r>
        <w:lastRenderedPageBreak/>
        <w:t>ANNEX C: THE COTHROM VERIFICATION METHOD (INTEGRATED PROTOCOL)</w:t>
      </w:r>
      <w:bookmarkEnd w:id="570"/>
    </w:p>
    <w:p w14:paraId="765DAC27" w14:textId="77777777" w:rsidR="00180E7C" w:rsidRDefault="00000000">
      <w:pPr>
        <w:pStyle w:val="Heading2"/>
      </w:pPr>
      <w:bookmarkStart w:id="571" w:name="c.1-the-cothrom-principle-restated"/>
      <w:r>
        <w:t>C.1 The Cothrom Principle Restated</w:t>
      </w:r>
    </w:p>
    <w:p w14:paraId="02A259D8" w14:textId="77777777" w:rsidR="00180E7C" w:rsidRDefault="00000000">
      <w:pPr>
        <w:pStyle w:val="FirstParagraph"/>
      </w:pPr>
      <w:r>
        <w:t>C.1.1 “Cothrom” (Irish): equal, balanced, level, fair. This Annex constitutes the operating protocol of the Cothrom Verification Engine of Article 67. It integrates the adversarial claim-verification architecture with the step-back and earn-back proportional compliance engine into a single method.</w:t>
      </w:r>
    </w:p>
    <w:p w14:paraId="295D68BF" w14:textId="77777777" w:rsidR="00180E7C" w:rsidRDefault="00000000">
      <w:pPr>
        <w:pStyle w:val="BodyText"/>
      </w:pPr>
      <w:r>
        <w:t>C.1.2 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7F88207B" w14:textId="77777777" w:rsidR="00180E7C" w:rsidRDefault="00000000">
      <w:pPr>
        <w:pStyle w:val="BodyText"/>
      </w:pPr>
      <w:r>
        <w:t>C.1.3 The Method achieves the following objectives: it incentivizes accurate claim submission by the Claimant Party; it enables rigorous but fair review by the Verifier Party; it prevents frivolous submissions through forfeit risk; it prevents frivolous objections through escalating penalty ladders; it protects both Parties from information asymmetry; it provides neutral third-party expert oversight; it generates objective, auditable verification scores; it ensures proportionate penalties for breaches; and it guarantees defined earn-back pathways for every penalty.</w:t>
      </w:r>
    </w:p>
    <w:p w14:paraId="24530F43" w14:textId="77777777" w:rsidR="00180E7C" w:rsidRDefault="00000000">
      <w:pPr>
        <w:pStyle w:val="Heading2"/>
      </w:pPr>
      <w:bookmarkStart w:id="572" w:name="c.2-data-infrastructure-and-standards"/>
      <w:bookmarkEnd w:id="571"/>
      <w:r>
        <w:t>C.2 Data Infrastructure and Standards</w:t>
      </w:r>
    </w:p>
    <w:p w14:paraId="217D4B7E" w14:textId="77777777" w:rsidR="00180E7C" w:rsidRDefault="00000000">
      <w:pPr>
        <w:pStyle w:val="Heading3"/>
      </w:pPr>
      <w:bookmarkStart w:id="573" w:name="c.2.1-system-activation"/>
      <w:r>
        <w:t>C.2.1 System Activation</w:t>
      </w:r>
    </w:p>
    <w:p w14:paraId="5EC5E58E" w14:textId="77777777" w:rsidR="00180E7C" w:rsidRDefault="00000000">
      <w:pPr>
        <w:pStyle w:val="FirstParagraph"/>
      </w:pPr>
      <w:r>
        <w:t>Upon signature, the following monitoring systems activate immediately and operate continuously:</w:t>
      </w:r>
    </w:p>
    <w:tbl>
      <w:tblPr>
        <w:tblStyle w:val="Table"/>
        <w:tblW w:w="5000" w:type="pct"/>
        <w:tblLook w:val="0020" w:firstRow="1" w:lastRow="0" w:firstColumn="0" w:lastColumn="0" w:noHBand="0" w:noVBand="0"/>
      </w:tblPr>
      <w:tblGrid>
        <w:gridCol w:w="2706"/>
        <w:gridCol w:w="5057"/>
        <w:gridCol w:w="1813"/>
      </w:tblGrid>
      <w:tr w:rsidR="00180E7C" w14:paraId="3B5EAD3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9046F0C" w14:textId="77777777" w:rsidR="00180E7C" w:rsidRDefault="00000000">
            <w:pPr>
              <w:pStyle w:val="Compact"/>
            </w:pPr>
            <w:r>
              <w:t>System</w:t>
            </w:r>
          </w:p>
        </w:tc>
        <w:tc>
          <w:tcPr>
            <w:tcW w:w="0" w:type="auto"/>
          </w:tcPr>
          <w:p w14:paraId="6A24FFDD" w14:textId="77777777" w:rsidR="00180E7C" w:rsidRDefault="00000000">
            <w:pPr>
              <w:pStyle w:val="Compact"/>
            </w:pPr>
            <w:r>
              <w:t>Activation</w:t>
            </w:r>
          </w:p>
        </w:tc>
        <w:tc>
          <w:tcPr>
            <w:tcW w:w="0" w:type="auto"/>
          </w:tcPr>
          <w:p w14:paraId="2878BFB1" w14:textId="77777777" w:rsidR="00180E7C" w:rsidRDefault="00000000">
            <w:pPr>
              <w:pStyle w:val="Compact"/>
            </w:pPr>
            <w:r>
              <w:t>Data Recipients</w:t>
            </w:r>
          </w:p>
        </w:tc>
      </w:tr>
      <w:tr w:rsidR="00180E7C" w14:paraId="799E9C0B" w14:textId="77777777">
        <w:tc>
          <w:tcPr>
            <w:tcW w:w="0" w:type="auto"/>
          </w:tcPr>
          <w:p w14:paraId="3A26D3A5" w14:textId="77777777" w:rsidR="00180E7C" w:rsidRDefault="00000000">
            <w:pPr>
              <w:pStyle w:val="Compact"/>
            </w:pPr>
            <w:r>
              <w:t>Primary telemetry feeds (satellite, radar, sensor networks)</w:t>
            </w:r>
          </w:p>
        </w:tc>
        <w:tc>
          <w:tcPr>
            <w:tcW w:w="0" w:type="auto"/>
          </w:tcPr>
          <w:p w14:paraId="7E92262C" w14:textId="77777777" w:rsidR="00180E7C" w:rsidRDefault="00000000">
            <w:pPr>
              <w:pStyle w:val="Compact"/>
            </w:pPr>
            <w:r>
              <w:t>Continuous collection from signature</w:t>
            </w:r>
          </w:p>
        </w:tc>
        <w:tc>
          <w:tcPr>
            <w:tcW w:w="0" w:type="auto"/>
          </w:tcPr>
          <w:p w14:paraId="47CF5FE4" w14:textId="77777777" w:rsidR="00180E7C" w:rsidRDefault="00000000">
            <w:pPr>
              <w:pStyle w:val="Compact"/>
            </w:pPr>
            <w:r>
              <w:t>JMC, both Parties, SDR</w:t>
            </w:r>
          </w:p>
        </w:tc>
      </w:tr>
      <w:tr w:rsidR="00180E7C" w14:paraId="6DA88673" w14:textId="77777777">
        <w:tc>
          <w:tcPr>
            <w:tcW w:w="0" w:type="auto"/>
          </w:tcPr>
          <w:p w14:paraId="54D5599E" w14:textId="77777777" w:rsidR="00180E7C" w:rsidRDefault="00000000">
            <w:pPr>
              <w:pStyle w:val="Compact"/>
            </w:pPr>
            <w:r>
              <w:t>Coastal and territorial sensor integration</w:t>
            </w:r>
          </w:p>
        </w:tc>
        <w:tc>
          <w:tcPr>
            <w:tcW w:w="0" w:type="auto"/>
          </w:tcPr>
          <w:p w14:paraId="17DBD38C" w14:textId="77777777" w:rsidR="00180E7C" w:rsidRDefault="00000000">
            <w:pPr>
              <w:pStyle w:val="Compact"/>
            </w:pPr>
            <w:r>
              <w:t>All designated stations transmit</w:t>
            </w:r>
          </w:p>
        </w:tc>
        <w:tc>
          <w:tcPr>
            <w:tcW w:w="0" w:type="auto"/>
          </w:tcPr>
          <w:p w14:paraId="674F70D5" w14:textId="77777777" w:rsidR="00180E7C" w:rsidRDefault="00000000">
            <w:pPr>
              <w:pStyle w:val="Compact"/>
            </w:pPr>
            <w:r>
              <w:t>JMC, both Parties, SDR</w:t>
            </w:r>
          </w:p>
        </w:tc>
      </w:tr>
      <w:tr w:rsidR="00180E7C" w14:paraId="6589E83B" w14:textId="77777777">
        <w:tc>
          <w:tcPr>
            <w:tcW w:w="0" w:type="auto"/>
          </w:tcPr>
          <w:p w14:paraId="753AD945" w14:textId="77777777" w:rsidR="00180E7C" w:rsidRDefault="00000000">
            <w:pPr>
              <w:pStyle w:val="Compact"/>
            </w:pPr>
            <w:r>
              <w:t>Joint Monitoring Cell</w:t>
            </w:r>
          </w:p>
        </w:tc>
        <w:tc>
          <w:tcPr>
            <w:tcW w:w="0" w:type="auto"/>
          </w:tcPr>
          <w:p w14:paraId="6DAE10B1" w14:textId="77777777" w:rsidR="00180E7C" w:rsidRDefault="00000000">
            <w:pPr>
              <w:pStyle w:val="Compact"/>
            </w:pPr>
            <w:r>
              <w:t>Pre-accredited personnel convene at host location within 72 hours of signature; 24/7 operations from EIF</w:t>
            </w:r>
          </w:p>
        </w:tc>
        <w:tc>
          <w:tcPr>
            <w:tcW w:w="0" w:type="auto"/>
          </w:tcPr>
          <w:p w14:paraId="49C35468" w14:textId="77777777" w:rsidR="00180E7C" w:rsidRDefault="00000000">
            <w:pPr>
              <w:pStyle w:val="Compact"/>
            </w:pPr>
            <w:r>
              <w:t>JMC, both Parties, HCC</w:t>
            </w:r>
          </w:p>
        </w:tc>
      </w:tr>
      <w:tr w:rsidR="00180E7C" w14:paraId="42DC2C4A" w14:textId="77777777">
        <w:tc>
          <w:tcPr>
            <w:tcW w:w="0" w:type="auto"/>
          </w:tcPr>
          <w:p w14:paraId="769F0017" w14:textId="77777777" w:rsidR="00180E7C" w:rsidRDefault="00000000">
            <w:pPr>
              <w:pStyle w:val="Compact"/>
            </w:pPr>
            <w:r>
              <w:t>Shared Digital Registry</w:t>
            </w:r>
          </w:p>
        </w:tc>
        <w:tc>
          <w:tcPr>
            <w:tcW w:w="0" w:type="auto"/>
          </w:tcPr>
          <w:p w14:paraId="4CD35855" w14:textId="77777777" w:rsidR="00180E7C" w:rsidRDefault="00000000">
            <w:pPr>
              <w:pStyle w:val="Compact"/>
            </w:pPr>
            <w:r>
              <w:t>Logging of all tracks, alerts, and verification packages from signature</w:t>
            </w:r>
          </w:p>
        </w:tc>
        <w:tc>
          <w:tcPr>
            <w:tcW w:w="0" w:type="auto"/>
          </w:tcPr>
          <w:p w14:paraId="62F096F5" w14:textId="77777777" w:rsidR="00180E7C" w:rsidRDefault="00000000">
            <w:pPr>
              <w:pStyle w:val="Compact"/>
            </w:pPr>
            <w:r>
              <w:t>All Parties, Guarantor Matrix</w:t>
            </w:r>
          </w:p>
        </w:tc>
      </w:tr>
      <w:tr w:rsidR="00180E7C" w14:paraId="73DFF50E" w14:textId="77777777">
        <w:tc>
          <w:tcPr>
            <w:tcW w:w="0" w:type="auto"/>
          </w:tcPr>
          <w:p w14:paraId="139BF352" w14:textId="77777777" w:rsidR="00180E7C" w:rsidRDefault="00000000">
            <w:pPr>
              <w:pStyle w:val="Compact"/>
            </w:pPr>
            <w:r>
              <w:t>Compliance Dashboard</w:t>
            </w:r>
          </w:p>
        </w:tc>
        <w:tc>
          <w:tcPr>
            <w:tcW w:w="0" w:type="auto"/>
          </w:tcPr>
          <w:p w14:paraId="60D23B7F" w14:textId="77777777" w:rsidR="00180E7C" w:rsidRDefault="00000000">
            <w:pPr>
              <w:pStyle w:val="Compact"/>
            </w:pPr>
            <w:r>
              <w:t xml:space="preserve">Publishes at EIF; public access to non-classified </w:t>
            </w:r>
            <w:r>
              <w:lastRenderedPageBreak/>
              <w:t>metrics</w:t>
            </w:r>
          </w:p>
        </w:tc>
        <w:tc>
          <w:tcPr>
            <w:tcW w:w="0" w:type="auto"/>
          </w:tcPr>
          <w:p w14:paraId="7C416581" w14:textId="77777777" w:rsidR="00180E7C" w:rsidRDefault="00000000">
            <w:pPr>
              <w:pStyle w:val="Compact"/>
            </w:pPr>
            <w:r>
              <w:lastRenderedPageBreak/>
              <w:t>Public</w:t>
            </w:r>
          </w:p>
        </w:tc>
      </w:tr>
      <w:tr w:rsidR="00180E7C" w14:paraId="4CF46A93" w14:textId="77777777">
        <w:tc>
          <w:tcPr>
            <w:tcW w:w="0" w:type="auto"/>
          </w:tcPr>
          <w:p w14:paraId="71C90934" w14:textId="77777777" w:rsidR="00180E7C" w:rsidRDefault="00000000">
            <w:pPr>
              <w:pStyle w:val="Compact"/>
            </w:pPr>
            <w:r>
              <w:t>Third-Party Telemetry Tie-Breaker</w:t>
            </w:r>
          </w:p>
        </w:tc>
        <w:tc>
          <w:tcPr>
            <w:tcW w:w="0" w:type="auto"/>
          </w:tcPr>
          <w:p w14:paraId="4872F81E" w14:textId="77777777" w:rsidR="00180E7C" w:rsidRDefault="00000000">
            <w:pPr>
              <w:pStyle w:val="Compact"/>
            </w:pPr>
            <w:r>
              <w:t>Independent commercial provider under contract to the Swiss Facilitator; activates automatically upon data conflict between primary feeds</w:t>
            </w:r>
          </w:p>
        </w:tc>
        <w:tc>
          <w:tcPr>
            <w:tcW w:w="0" w:type="auto"/>
          </w:tcPr>
          <w:p w14:paraId="7DA563D9" w14:textId="77777777" w:rsidR="00180E7C" w:rsidRDefault="00000000">
            <w:pPr>
              <w:pStyle w:val="Compact"/>
            </w:pPr>
            <w:r>
              <w:t>JMC, Swiss Facilitator, HCC</w:t>
            </w:r>
          </w:p>
        </w:tc>
      </w:tr>
    </w:tbl>
    <w:p w14:paraId="57A97539" w14:textId="77777777" w:rsidR="00180E7C" w:rsidRDefault="00000000">
      <w:pPr>
        <w:pStyle w:val="Heading3"/>
      </w:pPr>
      <w:bookmarkStart w:id="574" w:name="c.2.2-data-collection-standards"/>
      <w:bookmarkEnd w:id="573"/>
      <w:r>
        <w:t>C.2.2 Data Collection Standards</w:t>
      </w:r>
    </w:p>
    <w:p w14:paraId="1B02F429" w14:textId="77777777" w:rsidR="00180E7C" w:rsidRDefault="00000000">
      <w:pPr>
        <w:pStyle w:val="FirstParagraph"/>
      </w:pPr>
      <w:r>
        <w:t>All data collected under this Method conforms to the following standards:</w:t>
      </w:r>
    </w:p>
    <w:p w14:paraId="5B5D8450" w14:textId="77777777" w:rsidR="00180E7C" w:rsidRDefault="00000000">
      <w:pPr>
        <w:pStyle w:val="Compact"/>
        <w:numPr>
          <w:ilvl w:val="0"/>
          <w:numId w:val="4"/>
        </w:numPr>
      </w:pPr>
      <w:r>
        <w:rPr>
          <w:b/>
          <w:bCs/>
        </w:rPr>
        <w:t>Simultaneous:</w:t>
      </w:r>
      <w:r>
        <w:t xml:space="preserve"> the framework architecture transmits all data to both Parties with identical latency. Neither Party receives preferential access, earlier notification, or exclusive feeds.</w:t>
      </w:r>
    </w:p>
    <w:p w14:paraId="2DA9CC7A" w14:textId="77777777" w:rsidR="00180E7C" w:rsidRDefault="00000000">
      <w:pPr>
        <w:pStyle w:val="Compact"/>
        <w:numPr>
          <w:ilvl w:val="0"/>
          <w:numId w:val="4"/>
        </w:numPr>
      </w:pPr>
      <w:r>
        <w:rPr>
          <w:b/>
          <w:bCs/>
        </w:rPr>
        <w:t>Unalterable:</w:t>
      </w:r>
      <w:r>
        <w:t xml:space="preserve"> the SDR logs all data with cryptographic chain-of-custody. No Party modifies, deletes, or redacts logged data.</w:t>
      </w:r>
    </w:p>
    <w:p w14:paraId="66162EDF" w14:textId="77777777" w:rsidR="00180E7C" w:rsidRDefault="00000000">
      <w:pPr>
        <w:pStyle w:val="Compact"/>
        <w:numPr>
          <w:ilvl w:val="0"/>
          <w:numId w:val="4"/>
        </w:numPr>
      </w:pPr>
      <w:r>
        <w:rPr>
          <w:b/>
          <w:bCs/>
        </w:rPr>
        <w:t>Transparent:</w:t>
      </w:r>
      <w:r>
        <w:t xml:space="preserve"> all data is accessible to both Parties, the Guarantor Matrix, and the JMC through the secure portal.</w:t>
      </w:r>
    </w:p>
    <w:p w14:paraId="7C1116F2" w14:textId="77777777" w:rsidR="00180E7C" w:rsidRDefault="00000000">
      <w:pPr>
        <w:pStyle w:val="Compact"/>
        <w:numPr>
          <w:ilvl w:val="0"/>
          <w:numId w:val="4"/>
        </w:numPr>
      </w:pPr>
      <w:r>
        <w:rPr>
          <w:b/>
          <w:bCs/>
        </w:rPr>
        <w:t>Non-attributable for political purposes:</w:t>
      </w:r>
      <w:r>
        <w:t xml:space="preserve"> data collection and sharing serve technical verification only; they constitute recognition of no Party’s legal position.</w:t>
      </w:r>
    </w:p>
    <w:p w14:paraId="36AA3E5F" w14:textId="77777777" w:rsidR="00180E7C" w:rsidRDefault="00000000">
      <w:pPr>
        <w:pStyle w:val="Compact"/>
        <w:numPr>
          <w:ilvl w:val="0"/>
          <w:numId w:val="4"/>
        </w:numPr>
      </w:pPr>
      <w:r>
        <w:rPr>
          <w:b/>
          <w:bCs/>
        </w:rPr>
        <w:t>Non-imputability:</w:t>
      </w:r>
      <w:r>
        <w:t xml:space="preserve"> neither Party’s participation in data collection, transmission, or receipt constitutes endorsement of the political character, legal status, or governance implications of any monitoring system or data product.</w:t>
      </w:r>
    </w:p>
    <w:p w14:paraId="3C27911D" w14:textId="77777777" w:rsidR="00180E7C" w:rsidRDefault="00000000">
      <w:pPr>
        <w:pStyle w:val="Compact"/>
        <w:numPr>
          <w:ilvl w:val="0"/>
          <w:numId w:val="4"/>
        </w:numPr>
      </w:pPr>
      <w:r>
        <w:rPr>
          <w:b/>
          <w:bCs/>
        </w:rPr>
        <w:t>Retention and audit:</w:t>
      </w:r>
      <w:r>
        <w:t xml:space="preserve"> the SDR retains all logged data for a minimum of five years. Either Party requests an independent forensic audit of any data segment. The Swiss Facilitator selects the auditor from the Third-Party Expert Pool. The auditor completes the review within 30 days. The requesting Party bears the audit cost; if the audit reveals material manipulation, the manipulating Party bears all costs including the requesting Party’s costs.</w:t>
      </w:r>
    </w:p>
    <w:p w14:paraId="54F6CDC4" w14:textId="77777777" w:rsidR="00180E7C" w:rsidRDefault="00000000">
      <w:pPr>
        <w:pStyle w:val="Heading3"/>
      </w:pPr>
      <w:bookmarkStart w:id="575" w:name="X44d3b5015ff93bdc334219e4f23eaac2a622a48"/>
      <w:bookmarkEnd w:id="574"/>
      <w:r>
        <w:t>C.2.3 Data Quality and Anti-Dumping Standards</w:t>
      </w:r>
    </w:p>
    <w:p w14:paraId="1B40B5F1" w14:textId="77777777" w:rsidR="00180E7C" w:rsidRDefault="00000000">
      <w:pPr>
        <w:pStyle w:val="Compact"/>
        <w:numPr>
          <w:ilvl w:val="0"/>
          <w:numId w:val="5"/>
        </w:numPr>
      </w:pPr>
      <w:r>
        <w:t>Signal-to-noise ratio above the minimum thresholds of the technical schedules across all feeds; consistent transmission below threshold constitutes a technical failure.</w:t>
      </w:r>
    </w:p>
    <w:p w14:paraId="1C909AF2" w14:textId="77777777" w:rsidR="00180E7C" w:rsidRDefault="00000000">
      <w:pPr>
        <w:pStyle w:val="Compact"/>
        <w:numPr>
          <w:ilvl w:val="0"/>
          <w:numId w:val="5"/>
        </w:numPr>
      </w:pPr>
      <w:r>
        <w:t>Format compliance with the shared protocol; incorrect format triggers an automatic formatting alert.</w:t>
      </w:r>
    </w:p>
    <w:p w14:paraId="7294F8D3" w14:textId="77777777" w:rsidR="00180E7C" w:rsidRDefault="00000000">
      <w:pPr>
        <w:pStyle w:val="Compact"/>
        <w:numPr>
          <w:ilvl w:val="0"/>
          <w:numId w:val="5"/>
        </w:numPr>
      </w:pPr>
      <w:r>
        <w:t>Persistent data quality failure, defined as three or more consecutive formatting alerts or signal-to-noise violations within any seventy-two-hour period, registers as a breach of the Simultaneous and Transparent requirements and enters the anomaly system at Level 3.</w:t>
      </w:r>
    </w:p>
    <w:p w14:paraId="581A985C" w14:textId="77777777" w:rsidR="00180E7C" w:rsidRDefault="00000000">
      <w:pPr>
        <w:pStyle w:val="Heading2"/>
      </w:pPr>
      <w:bookmarkStart w:id="576" w:name="c.3-the-joint-monitoring-cell"/>
      <w:bookmarkEnd w:id="572"/>
      <w:bookmarkEnd w:id="575"/>
      <w:r>
        <w:lastRenderedPageBreak/>
        <w:t>C.3 The Joint Monitoring Cell</w:t>
      </w:r>
    </w:p>
    <w:p w14:paraId="0F53D5DF" w14:textId="77777777" w:rsidR="00180E7C" w:rsidRDefault="00000000">
      <w:pPr>
        <w:pStyle w:val="Heading3"/>
      </w:pPr>
      <w:bookmarkStart w:id="577" w:name="c.3.1-composition"/>
      <w:r>
        <w:t>C.3.1 Composition</w:t>
      </w:r>
    </w:p>
    <w:p w14:paraId="1E407453" w14:textId="77777777" w:rsidR="00180E7C" w:rsidRDefault="00000000">
      <w:pPr>
        <w:pStyle w:val="FirstParagraph"/>
      </w:pPr>
      <w:r>
        <w:t>The JMC comprises: a Director (Swiss-nominated neutral, four-year term); two Deputy Directors (one per Party); 48 professional staff (16 per Party, 16 neutrals from the Third-Party Expert Pool); and domain sub-cells for: ceasefire monitoring, nuclear interface, maritime interface, economic interface, cyber, and data integrity.</w:t>
      </w:r>
    </w:p>
    <w:p w14:paraId="29BB635A" w14:textId="77777777" w:rsidR="00180E7C" w:rsidRDefault="00000000">
      <w:pPr>
        <w:pStyle w:val="Heading3"/>
      </w:pPr>
      <w:bookmarkStart w:id="578" w:name="c.3.2-powers"/>
      <w:bookmarkEnd w:id="577"/>
      <w:r>
        <w:t>C.3.2 Powers</w:t>
      </w:r>
    </w:p>
    <w:p w14:paraId="14DF4D50" w14:textId="77777777" w:rsidR="00180E7C" w:rsidRDefault="00000000">
      <w:pPr>
        <w:pStyle w:val="FirstParagraph"/>
      </w:pPr>
      <w:r>
        <w:t>The JMC holds: unrestricted access to all treaty data systems; tasking authority over the sensor architecture; inspection rights under Article 28; certification authority over benchmarks; and reporting authority to the HCC, the Guarantor Matrix, and (through the Depositary) the Security Council.</w:t>
      </w:r>
    </w:p>
    <w:p w14:paraId="55A5B2D4" w14:textId="77777777" w:rsidR="00180E7C" w:rsidRDefault="00000000">
      <w:pPr>
        <w:pStyle w:val="Heading3"/>
      </w:pPr>
      <w:bookmarkStart w:id="579" w:name="c.3.3-independence"/>
      <w:bookmarkEnd w:id="578"/>
      <w:r>
        <w:t>C.3.3 Independence</w:t>
      </w:r>
    </w:p>
    <w:p w14:paraId="50CA54C4" w14:textId="77777777" w:rsidR="00180E7C" w:rsidRDefault="00000000">
      <w:pPr>
        <w:pStyle w:val="FirstParagraph"/>
      </w:pPr>
      <w:r>
        <w:t>JMC neutral staff serve under oath of office to the Treaty. No state instructs them. Party-nominated staff serve under the duty of professional objectivity, with the neutrality ombudsman of the Swiss Facilitator receiving any complaint of improper instruction.</w:t>
      </w:r>
    </w:p>
    <w:p w14:paraId="7D22D6AA" w14:textId="77777777" w:rsidR="00180E7C" w:rsidRDefault="00000000">
      <w:pPr>
        <w:pStyle w:val="Heading3"/>
      </w:pPr>
      <w:bookmarkStart w:id="580" w:name="c.3.4-watch-floors"/>
      <w:bookmarkEnd w:id="579"/>
      <w:r>
        <w:t>C.3.4 Watch Floors</w:t>
      </w:r>
    </w:p>
    <w:p w14:paraId="3C923470" w14:textId="77777777" w:rsidR="00180E7C" w:rsidRDefault="00000000">
      <w:pPr>
        <w:pStyle w:val="FirstParagraph"/>
      </w:pPr>
      <w:r>
        <w:t>The JMC operates watch floors at Muscat and Doha, co-located with the JOCs, staffed 24/7 with no fewer than six officers per shift, including at least one neutral and one officer of each Party.</w:t>
      </w:r>
    </w:p>
    <w:p w14:paraId="4FF2901E" w14:textId="77777777" w:rsidR="00180E7C" w:rsidRDefault="00000000">
      <w:pPr>
        <w:pStyle w:val="Heading2"/>
      </w:pPr>
      <w:bookmarkStart w:id="581" w:name="c.4-the-shared-digital-registry"/>
      <w:bookmarkEnd w:id="576"/>
      <w:bookmarkEnd w:id="580"/>
      <w:r>
        <w:t>C.4 The Shared Digital Registry</w:t>
      </w:r>
    </w:p>
    <w:p w14:paraId="278FAA2A" w14:textId="77777777" w:rsidR="00180E7C" w:rsidRDefault="00000000">
      <w:pPr>
        <w:pStyle w:val="FirstParagraph"/>
      </w:pPr>
      <w:r>
        <w:t>C.4.1 The SDR operates as a distributed ledger system with nodes held by each Party, the Swiss Facilitator, the JMC, and the Depositary. Every entry carries: timestamp, source, cryptographic hash, chain-of-custody record, and classification marking. Consensus validation across nodes prevents unilateral alteration.</w:t>
      </w:r>
    </w:p>
    <w:p w14:paraId="4D7FC9E0" w14:textId="77777777" w:rsidR="00180E7C" w:rsidRDefault="00000000">
      <w:pPr>
        <w:pStyle w:val="BodyText"/>
      </w:pPr>
      <w:r>
        <w:t>C.4.2 Registry contents: all telemetry and sensor data; all declarations and notifications; all anomaly alerts and response records; all inspection reports; all benchmark certifications; all claim files; all demerit assessments; all step-back and earn-back actions; all escrow transaction confirmations; and all versioned updates to technical annexes.</w:t>
      </w:r>
    </w:p>
    <w:p w14:paraId="3A706E31" w14:textId="77777777" w:rsidR="00180E7C" w:rsidRDefault="00000000">
      <w:pPr>
        <w:pStyle w:val="Heading2"/>
      </w:pPr>
      <w:bookmarkStart w:id="582" w:name="c.5-declarations-regime"/>
      <w:bookmarkEnd w:id="581"/>
      <w:r>
        <w:t>C.5 Declarations Regime</w:t>
      </w:r>
    </w:p>
    <w:p w14:paraId="06402326" w14:textId="77777777" w:rsidR="00180E7C" w:rsidRDefault="00000000">
      <w:pPr>
        <w:pStyle w:val="FirstParagraph"/>
      </w:pPr>
      <w:r>
        <w:t>C.5.1 Baseline declarations due within 14 days of EIF: order of battle (Art. 16.1.1); nuclear inventory (Annex F, Schedule F-1); sanctions measures register (Annex G, Schedule G-1); frozen asset register (Annex H, Schedule H-1); proxy domain declarations (Annex L, Section 4).</w:t>
      </w:r>
    </w:p>
    <w:p w14:paraId="65911802" w14:textId="77777777" w:rsidR="00180E7C" w:rsidRDefault="00000000">
      <w:pPr>
        <w:pStyle w:val="BodyText"/>
      </w:pPr>
      <w:r>
        <w:lastRenderedPageBreak/>
        <w:t>C.5.2 Recurring declarations: quarterly posture declarations (Art. 27.2); annual compliance declarations (Art. 11.2.1); semi-annual proxy domain declarations (Annex L); annual RDF reports (Annex I).</w:t>
      </w:r>
    </w:p>
    <w:p w14:paraId="0A52EF34" w14:textId="77777777" w:rsidR="00180E7C" w:rsidRDefault="00000000">
      <w:pPr>
        <w:pStyle w:val="BodyText"/>
      </w:pPr>
      <w:r>
        <w:t>C.5.3 A false declaration, verified as such through the Escalation Chain, registers as a Level 4 anomaly and accrues demerit points under Annex D, Category 9.</w:t>
      </w:r>
    </w:p>
    <w:p w14:paraId="2AAF55A4" w14:textId="77777777" w:rsidR="00180E7C" w:rsidRDefault="00000000">
      <w:pPr>
        <w:pStyle w:val="Heading2"/>
      </w:pPr>
      <w:bookmarkStart w:id="583" w:name="c.6-anomaly-detection-and-response"/>
      <w:bookmarkEnd w:id="582"/>
      <w:r>
        <w:t>C.6 Anomaly Detection and Response</w:t>
      </w:r>
    </w:p>
    <w:p w14:paraId="23752D73" w14:textId="77777777" w:rsidR="00180E7C" w:rsidRDefault="00000000">
      <w:pPr>
        <w:pStyle w:val="Heading3"/>
      </w:pPr>
      <w:bookmarkStart w:id="584" w:name="c.6.1-alert-severity-classification"/>
      <w:r>
        <w:t>C.6.1 Alert Severity Classification</w:t>
      </w:r>
    </w:p>
    <w:tbl>
      <w:tblPr>
        <w:tblStyle w:val="Table"/>
        <w:tblW w:w="5000" w:type="pct"/>
        <w:tblLook w:val="0020" w:firstRow="1" w:lastRow="0" w:firstColumn="0" w:lastColumn="0" w:noHBand="0" w:noVBand="0"/>
      </w:tblPr>
      <w:tblGrid>
        <w:gridCol w:w="766"/>
        <w:gridCol w:w="1736"/>
        <w:gridCol w:w="3367"/>
        <w:gridCol w:w="3707"/>
      </w:tblGrid>
      <w:tr w:rsidR="00180E7C" w14:paraId="5E83233A"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15D6972" w14:textId="77777777" w:rsidR="00180E7C" w:rsidRDefault="00000000">
            <w:pPr>
              <w:pStyle w:val="Compact"/>
            </w:pPr>
            <w:r>
              <w:t>Level</w:t>
            </w:r>
          </w:p>
        </w:tc>
        <w:tc>
          <w:tcPr>
            <w:tcW w:w="0" w:type="auto"/>
          </w:tcPr>
          <w:p w14:paraId="57A31DFE" w14:textId="77777777" w:rsidR="00180E7C" w:rsidRDefault="00000000">
            <w:pPr>
              <w:pStyle w:val="Compact"/>
            </w:pPr>
            <w:r>
              <w:t>Designation</w:t>
            </w:r>
          </w:p>
        </w:tc>
        <w:tc>
          <w:tcPr>
            <w:tcW w:w="0" w:type="auto"/>
          </w:tcPr>
          <w:p w14:paraId="27C28279" w14:textId="77777777" w:rsidR="00180E7C" w:rsidRDefault="00000000">
            <w:pPr>
              <w:pStyle w:val="Compact"/>
            </w:pPr>
            <w:r>
              <w:t>Examples</w:t>
            </w:r>
          </w:p>
        </w:tc>
        <w:tc>
          <w:tcPr>
            <w:tcW w:w="0" w:type="auto"/>
          </w:tcPr>
          <w:p w14:paraId="6C1436B1" w14:textId="77777777" w:rsidR="00180E7C" w:rsidRDefault="00000000">
            <w:pPr>
              <w:pStyle w:val="Compact"/>
            </w:pPr>
            <w:r>
              <w:t>Response</w:t>
            </w:r>
          </w:p>
        </w:tc>
      </w:tr>
      <w:tr w:rsidR="00180E7C" w14:paraId="7AB8B9C1" w14:textId="77777777">
        <w:tc>
          <w:tcPr>
            <w:tcW w:w="0" w:type="auto"/>
          </w:tcPr>
          <w:p w14:paraId="67EB5CE2" w14:textId="77777777" w:rsidR="00180E7C" w:rsidRDefault="00000000">
            <w:pPr>
              <w:pStyle w:val="Compact"/>
            </w:pPr>
            <w:r>
              <w:t>1</w:t>
            </w:r>
          </w:p>
        </w:tc>
        <w:tc>
          <w:tcPr>
            <w:tcW w:w="0" w:type="auto"/>
          </w:tcPr>
          <w:p w14:paraId="4B572AC2" w14:textId="77777777" w:rsidR="00180E7C" w:rsidRDefault="00000000">
            <w:pPr>
              <w:pStyle w:val="Compact"/>
            </w:pPr>
            <w:r>
              <w:t>Informational</w:t>
            </w:r>
          </w:p>
        </w:tc>
        <w:tc>
          <w:tcPr>
            <w:tcW w:w="0" w:type="auto"/>
          </w:tcPr>
          <w:p w14:paraId="6A103A74" w14:textId="77777777" w:rsidR="00180E7C" w:rsidRDefault="00000000">
            <w:pPr>
              <w:pStyle w:val="Compact"/>
            </w:pPr>
            <w:r>
              <w:t>Sensor maintenance, scheduled downtime, minor transmission interruption</w:t>
            </w:r>
          </w:p>
        </w:tc>
        <w:tc>
          <w:tcPr>
            <w:tcW w:w="0" w:type="auto"/>
          </w:tcPr>
          <w:p w14:paraId="0B9F5626" w14:textId="77777777" w:rsidR="00180E7C" w:rsidRDefault="00000000">
            <w:pPr>
              <w:pStyle w:val="Compact"/>
            </w:pPr>
            <w:r>
              <w:t>No action; logged</w:t>
            </w:r>
          </w:p>
        </w:tc>
      </w:tr>
      <w:tr w:rsidR="00180E7C" w14:paraId="3398C6BE" w14:textId="77777777">
        <w:tc>
          <w:tcPr>
            <w:tcW w:w="0" w:type="auto"/>
          </w:tcPr>
          <w:p w14:paraId="1BBB2C08" w14:textId="77777777" w:rsidR="00180E7C" w:rsidRDefault="00000000">
            <w:pPr>
              <w:pStyle w:val="Compact"/>
            </w:pPr>
            <w:r>
              <w:t>2</w:t>
            </w:r>
          </w:p>
        </w:tc>
        <w:tc>
          <w:tcPr>
            <w:tcW w:w="0" w:type="auto"/>
          </w:tcPr>
          <w:p w14:paraId="7694FFC0" w14:textId="77777777" w:rsidR="00180E7C" w:rsidRDefault="00000000">
            <w:pPr>
              <w:pStyle w:val="Compact"/>
            </w:pPr>
            <w:r>
              <w:t>Technical Review</w:t>
            </w:r>
          </w:p>
        </w:tc>
        <w:tc>
          <w:tcPr>
            <w:tcW w:w="0" w:type="auto"/>
          </w:tcPr>
          <w:p w14:paraId="4D246894" w14:textId="77777777" w:rsidR="00180E7C" w:rsidRDefault="00000000">
            <w:pPr>
              <w:pStyle w:val="Compact"/>
            </w:pPr>
            <w:r>
              <w:t>Unscheduled downtime under 4 hours; single anomalous reading without pattern</w:t>
            </w:r>
          </w:p>
        </w:tc>
        <w:tc>
          <w:tcPr>
            <w:tcW w:w="0" w:type="auto"/>
          </w:tcPr>
          <w:p w14:paraId="08CCCB1D" w14:textId="77777777" w:rsidR="00180E7C" w:rsidRDefault="00000000">
            <w:pPr>
              <w:pStyle w:val="Compact"/>
            </w:pPr>
            <w:r>
              <w:t>JMC technical review within 7 days; no penalty</w:t>
            </w:r>
          </w:p>
        </w:tc>
      </w:tr>
      <w:tr w:rsidR="00180E7C" w14:paraId="772B3543" w14:textId="77777777">
        <w:tc>
          <w:tcPr>
            <w:tcW w:w="0" w:type="auto"/>
          </w:tcPr>
          <w:p w14:paraId="070D2B23" w14:textId="77777777" w:rsidR="00180E7C" w:rsidRDefault="00000000">
            <w:pPr>
              <w:pStyle w:val="Compact"/>
            </w:pPr>
            <w:r>
              <w:t>3</w:t>
            </w:r>
          </w:p>
        </w:tc>
        <w:tc>
          <w:tcPr>
            <w:tcW w:w="0" w:type="auto"/>
          </w:tcPr>
          <w:p w14:paraId="1F3C9577" w14:textId="77777777" w:rsidR="00180E7C" w:rsidRDefault="00000000">
            <w:pPr>
              <w:pStyle w:val="Compact"/>
            </w:pPr>
            <w:r>
              <w:t>Compliance Review</w:t>
            </w:r>
          </w:p>
        </w:tc>
        <w:tc>
          <w:tcPr>
            <w:tcW w:w="0" w:type="auto"/>
          </w:tcPr>
          <w:p w14:paraId="723EAF19" w14:textId="77777777" w:rsidR="00180E7C" w:rsidRDefault="00000000">
            <w:pPr>
              <w:pStyle w:val="Compact"/>
            </w:pPr>
            <w:r>
              <w:t>Unscheduled downtime over 4 hours; pattern of anomalous readings; radar lock-on event</w:t>
            </w:r>
          </w:p>
        </w:tc>
        <w:tc>
          <w:tcPr>
            <w:tcW w:w="0" w:type="auto"/>
          </w:tcPr>
          <w:p w14:paraId="69D04D1D" w14:textId="77777777" w:rsidR="00180E7C" w:rsidRDefault="00000000">
            <w:pPr>
              <w:pStyle w:val="Compact"/>
            </w:pPr>
            <w:r>
              <w:t>Enhanced inspection within 72 hours; Tier 1 classification if unresolved within 14 days</w:t>
            </w:r>
          </w:p>
        </w:tc>
      </w:tr>
      <w:tr w:rsidR="00180E7C" w14:paraId="1AC0BCF0" w14:textId="77777777">
        <w:tc>
          <w:tcPr>
            <w:tcW w:w="0" w:type="auto"/>
          </w:tcPr>
          <w:p w14:paraId="4FA7427A" w14:textId="77777777" w:rsidR="00180E7C" w:rsidRDefault="00000000">
            <w:pPr>
              <w:pStyle w:val="Compact"/>
            </w:pPr>
            <w:r>
              <w:t>4</w:t>
            </w:r>
          </w:p>
        </w:tc>
        <w:tc>
          <w:tcPr>
            <w:tcW w:w="0" w:type="auto"/>
          </w:tcPr>
          <w:p w14:paraId="5EAE14F7" w14:textId="77777777" w:rsidR="00180E7C" w:rsidRDefault="00000000">
            <w:pPr>
              <w:pStyle w:val="Compact"/>
            </w:pPr>
            <w:r>
              <w:t>Breach Indicator</w:t>
            </w:r>
          </w:p>
        </w:tc>
        <w:tc>
          <w:tcPr>
            <w:tcW w:w="0" w:type="auto"/>
          </w:tcPr>
          <w:p w14:paraId="57672EFB" w14:textId="77777777" w:rsidR="00180E7C" w:rsidRDefault="00000000">
            <w:pPr>
              <w:pStyle w:val="Compact"/>
            </w:pPr>
            <w:r>
              <w:t>Evidence of tampering, deliberate disablement, material diversion, unauthorized use of force, unilateral interdiction</w:t>
            </w:r>
          </w:p>
        </w:tc>
        <w:tc>
          <w:tcPr>
            <w:tcW w:w="0" w:type="auto"/>
          </w:tcPr>
          <w:p w14:paraId="2C823890" w14:textId="77777777" w:rsidR="00180E7C" w:rsidRDefault="00000000">
            <w:pPr>
              <w:pStyle w:val="Compact"/>
            </w:pPr>
            <w:r>
              <w:t>JMC convenes within 24 hours; Tier 2 or Tier 3 step-back consideration; executive consultation mandatory before penalty activates</w:t>
            </w:r>
          </w:p>
        </w:tc>
      </w:tr>
    </w:tbl>
    <w:p w14:paraId="6F1D07BF" w14:textId="77777777" w:rsidR="00180E7C" w:rsidRDefault="00000000">
      <w:pPr>
        <w:pStyle w:val="Heading3"/>
      </w:pPr>
      <w:bookmarkStart w:id="585" w:name="c.6.2-anomaly-response-playbook"/>
      <w:bookmarkEnd w:id="584"/>
      <w:r>
        <w:t>C.6.2 Anomaly Response Playbook</w:t>
      </w:r>
    </w:p>
    <w:p w14:paraId="47BF0BF1" w14:textId="77777777" w:rsidR="00180E7C" w:rsidRDefault="00000000">
      <w:pPr>
        <w:pStyle w:val="FirstParagraph"/>
      </w:pPr>
      <w:r>
        <w:t>Upon automatic generation of a Level 3 or Level 4 alert:</w:t>
      </w:r>
    </w:p>
    <w:p w14:paraId="073A0993" w14:textId="77777777" w:rsidR="00180E7C" w:rsidRDefault="00000000">
      <w:pPr>
        <w:pStyle w:val="Compact"/>
        <w:numPr>
          <w:ilvl w:val="0"/>
          <w:numId w:val="6"/>
        </w:numPr>
      </w:pPr>
      <w:r>
        <w:t>The JMC Duty Officer transmits an automated communication to both Parties within five minutes, containing the anomaly classification, identifier, and deviation type.</w:t>
      </w:r>
    </w:p>
    <w:p w14:paraId="588E0AE4" w14:textId="77777777" w:rsidR="00180E7C" w:rsidRDefault="00000000">
      <w:pPr>
        <w:pStyle w:val="Compact"/>
        <w:numPr>
          <w:ilvl w:val="0"/>
          <w:numId w:val="6"/>
        </w:numPr>
      </w:pPr>
      <w:r>
        <w:t>Both Parties implement the pre-vetted operational stand-down order for any forces in the vicinity of the alert location; the stand-down remains active until the JMC Chief Technical Officer confirms resolution or upgrades the alert.</w:t>
      </w:r>
    </w:p>
    <w:p w14:paraId="5C44B966" w14:textId="77777777" w:rsidR="00180E7C" w:rsidRDefault="00000000">
      <w:pPr>
        <w:pStyle w:val="Compact"/>
        <w:numPr>
          <w:ilvl w:val="0"/>
          <w:numId w:val="6"/>
        </w:numPr>
      </w:pPr>
      <w:r>
        <w:t>The JMC convenes an emergency video-conference between both Parties’ designated technical representatives within thirty minutes. The SDR logs all communications and stand-down confirmations.</w:t>
      </w:r>
    </w:p>
    <w:p w14:paraId="53895F76" w14:textId="77777777" w:rsidR="00180E7C" w:rsidRDefault="00000000">
      <w:pPr>
        <w:pStyle w:val="FirstParagraph"/>
      </w:pPr>
      <w:r>
        <w:t>The Playbook binds both Parties from signature. Neither Party deviates from it without written mutual agreement.</w:t>
      </w:r>
    </w:p>
    <w:p w14:paraId="582010CD" w14:textId="77777777" w:rsidR="00180E7C" w:rsidRDefault="00000000">
      <w:pPr>
        <w:pStyle w:val="Heading3"/>
      </w:pPr>
      <w:bookmarkStart w:id="586" w:name="c.6.3-escalation-within-the-playbook"/>
      <w:bookmarkEnd w:id="585"/>
      <w:r>
        <w:t>C.6.3 Escalation Within the Playbook</w:t>
      </w:r>
    </w:p>
    <w:p w14:paraId="613167A1" w14:textId="77777777" w:rsidR="00180E7C" w:rsidRDefault="00000000">
      <w:pPr>
        <w:pStyle w:val="FirstParagraph"/>
      </w:pPr>
      <w:r>
        <w:t>If the emergency conference fails to resolve the anomaly within six hours, the JMC Director notifies the HCC deputies; at twelve hours, the HCC principals; at twenty-four hours, the matter sits before an Emergency Session under Article 29.</w:t>
      </w:r>
    </w:p>
    <w:p w14:paraId="3F617F8D" w14:textId="77777777" w:rsidR="00180E7C" w:rsidRDefault="00000000">
      <w:pPr>
        <w:pStyle w:val="Heading3"/>
      </w:pPr>
      <w:bookmarkStart w:id="587" w:name="c.6.4-alert-fatigue-control"/>
      <w:bookmarkEnd w:id="586"/>
      <w:r>
        <w:lastRenderedPageBreak/>
        <w:t>C.6.4 Alert Fatigue Control</w:t>
      </w:r>
    </w:p>
    <w:p w14:paraId="1A672BED" w14:textId="77777777" w:rsidR="00180E7C" w:rsidRDefault="00000000">
      <w:pPr>
        <w:pStyle w:val="FirstParagraph"/>
      </w:pPr>
      <w:r>
        <w:t>The JMC reviews alert thresholds quarterly against false-positive statistics and adjusts sensor thresholds through the technical update procedure of Article 72.2, preserving the sensitivity floor of the nuclear domain.</w:t>
      </w:r>
    </w:p>
    <w:p w14:paraId="030CE590" w14:textId="77777777" w:rsidR="00180E7C" w:rsidRDefault="00000000">
      <w:pPr>
        <w:pStyle w:val="Heading3"/>
      </w:pPr>
      <w:bookmarkStart w:id="588" w:name="c.6.5-the-sole-automatic-suspension"/>
      <w:bookmarkEnd w:id="587"/>
      <w:r>
        <w:t>C.6.5 The Sole Automatic Suspension</w:t>
      </w:r>
    </w:p>
    <w:p w14:paraId="20CF7D36" w14:textId="77777777" w:rsidR="00180E7C" w:rsidRDefault="00000000">
      <w:pPr>
        <w:pStyle w:val="FirstParagraph"/>
      </w:pPr>
      <w:r>
        <w:t>If telemetry from a verification-relevant nuclear facility fails for more than 72 continuous hours without force majeure certified by the JMC (natural disaster, conflict damage not attributable to the host Party), the affected benefit line pauses at Tier 1 automatically. Restoration of telemetry plus one clean verification cycle reverses the pause automatically. This purely technical trigger constitutes the sole exception to the human-in-the-loop requirement.</w:t>
      </w:r>
    </w:p>
    <w:p w14:paraId="5303476D" w14:textId="77777777" w:rsidR="00180E7C" w:rsidRDefault="00000000">
      <w:pPr>
        <w:pStyle w:val="Heading2"/>
      </w:pPr>
      <w:bookmarkStart w:id="589" w:name="c.7-technical-truth-escalation-chain"/>
      <w:bookmarkEnd w:id="583"/>
      <w:bookmarkEnd w:id="588"/>
      <w:r>
        <w:t>C.7 Technical Truth Escalation Chain</w:t>
      </w:r>
    </w:p>
    <w:p w14:paraId="3FD80407" w14:textId="77777777" w:rsidR="00180E7C" w:rsidRDefault="00000000">
      <w:pPr>
        <w:pStyle w:val="FirstParagraph"/>
      </w:pPr>
      <w:r>
        <w:t>C.7.1 The chain operates automatically upon registration of a data discrepancy:</w:t>
      </w:r>
    </w:p>
    <w:p w14:paraId="5D1F5BCE" w14:textId="77777777" w:rsidR="00180E7C" w:rsidRDefault="00000000">
      <w:pPr>
        <w:pStyle w:val="Compact"/>
        <w:numPr>
          <w:ilvl w:val="0"/>
          <w:numId w:val="7"/>
        </w:numPr>
      </w:pPr>
      <w:r>
        <w:rPr>
          <w:b/>
          <w:bCs/>
        </w:rPr>
        <w:t>Day 1:</w:t>
      </w:r>
      <w:r>
        <w:t xml:space="preserve"> the JMC Chief Technical Officer reviews raw feeds, source telemetry, and chain-of-custody records; preliminary technical finding issues within 24 hours of registration.</w:t>
      </w:r>
    </w:p>
    <w:p w14:paraId="1711D0D2" w14:textId="77777777" w:rsidR="00180E7C" w:rsidRDefault="00000000">
      <w:pPr>
        <w:pStyle w:val="Compact"/>
        <w:numPr>
          <w:ilvl w:val="0"/>
          <w:numId w:val="7"/>
        </w:numPr>
      </w:pPr>
      <w:r>
        <w:rPr>
          <w:b/>
          <w:bCs/>
        </w:rPr>
        <w:t>Day 3:</w:t>
      </w:r>
      <w:r>
        <w:t xml:space="preserve"> either Party escalates the unresolved dispute to the Technical Working Group, which convenes within 48 hours and issues a corroboration report.</w:t>
      </w:r>
    </w:p>
    <w:p w14:paraId="2184B9BE" w14:textId="77777777" w:rsidR="00180E7C" w:rsidRDefault="00000000">
      <w:pPr>
        <w:pStyle w:val="Compact"/>
        <w:numPr>
          <w:ilvl w:val="0"/>
          <w:numId w:val="7"/>
        </w:numPr>
      </w:pPr>
      <w:r>
        <w:rPr>
          <w:b/>
          <w:bCs/>
        </w:rPr>
        <w:t>Day 5:</w:t>
      </w:r>
      <w:r>
        <w:t xml:space="preserve"> either Party escalates to the pre-selected panel of three neutral technical experts maintained under standing accreditation by the Swiss Facilitator. The panel reviews all evidence and issues a binding determination on data fidelity. The determination is final; neither Party appeals it.</w:t>
      </w:r>
    </w:p>
    <w:p w14:paraId="7BD6835D" w14:textId="77777777" w:rsidR="00180E7C" w:rsidRDefault="00000000">
      <w:pPr>
        <w:pStyle w:val="FirstParagraph"/>
      </w:pPr>
      <w:r>
        <w:t>C.7.2 The SDR logs every escalation step automatically. Upon registration of a technical dispute, the framework freezes all operational responses to the disputed event for 24 hours (the Technical Dispute Hold), lifting automatically upon resolution.</w:t>
      </w:r>
    </w:p>
    <w:p w14:paraId="6F7A82B7" w14:textId="77777777" w:rsidR="00180E7C" w:rsidRDefault="00000000">
      <w:pPr>
        <w:pStyle w:val="Heading2"/>
      </w:pPr>
      <w:bookmarkStart w:id="590" w:name="c.8-the-claim-and-objection-procedure"/>
      <w:bookmarkEnd w:id="589"/>
      <w:r>
        <w:t>C.8 The Claim and Objection Procedure</w:t>
      </w:r>
    </w:p>
    <w:p w14:paraId="49F5911A" w14:textId="77777777" w:rsidR="00180E7C" w:rsidRDefault="00000000">
      <w:pPr>
        <w:pStyle w:val="Heading3"/>
      </w:pPr>
      <w:bookmarkStart w:id="591" w:name="c.8.1-claim-submission"/>
      <w:r>
        <w:t>C.8.1 Claim Submission</w:t>
      </w:r>
    </w:p>
    <w:p w14:paraId="6CCC7E90" w14:textId="77777777" w:rsidR="00180E7C" w:rsidRDefault="00000000">
      <w:pPr>
        <w:pStyle w:val="FirstParagraph"/>
      </w:pPr>
      <w:r>
        <w:t>A Claimant Party submits a structured claim: the obligation allegedly violated; the evidence package; the claimed tier; and the remedy sought within the schedules. Claims submit through the SDR with a filing attestation of good faith by the submitting mission.</w:t>
      </w:r>
    </w:p>
    <w:p w14:paraId="7C205EA2" w14:textId="77777777" w:rsidR="00180E7C" w:rsidRDefault="00000000">
      <w:pPr>
        <w:pStyle w:val="Heading3"/>
      </w:pPr>
      <w:bookmarkStart w:id="592" w:name="c.8.2-forfeit-risk"/>
      <w:bookmarkEnd w:id="591"/>
      <w:r>
        <w:t>C.8.2 Forfeit Risk</w:t>
      </w:r>
    </w:p>
    <w:p w14:paraId="00DB64AB" w14:textId="77777777" w:rsidR="00180E7C" w:rsidRDefault="00000000">
      <w:pPr>
        <w:pStyle w:val="FirstParagraph"/>
      </w:pPr>
      <w:r>
        <w:t>A claim determined frivolous (no prima facie evidentiary basis) or abandoned after objection accrues one demerit point against the Claimant Party under Annex D, Category 10, and the Claimant bears the review costs.</w:t>
      </w:r>
    </w:p>
    <w:p w14:paraId="7BB19250" w14:textId="77777777" w:rsidR="00180E7C" w:rsidRDefault="00000000">
      <w:pPr>
        <w:pStyle w:val="Heading3"/>
      </w:pPr>
      <w:bookmarkStart w:id="593" w:name="c.8.3-counter-evidence-window"/>
      <w:bookmarkEnd w:id="592"/>
      <w:r>
        <w:lastRenderedPageBreak/>
        <w:t>C.8.3 Counter-Evidence Window</w:t>
      </w:r>
    </w:p>
    <w:p w14:paraId="66470EFB" w14:textId="77777777" w:rsidR="00180E7C" w:rsidRDefault="00000000">
      <w:pPr>
        <w:pStyle w:val="FirstParagraph"/>
      </w:pPr>
      <w:r>
        <w:t>The Verifier Party receives fourteen days to submit counter-evidence. Silence constitutes neither admission nor obstruction; the neutral expert review proceeds on the record.</w:t>
      </w:r>
    </w:p>
    <w:p w14:paraId="4F16AB98" w14:textId="77777777" w:rsidR="00180E7C" w:rsidRDefault="00000000">
      <w:pPr>
        <w:pStyle w:val="Heading3"/>
      </w:pPr>
      <w:bookmarkStart w:id="594" w:name="c.8.4-objection-ladder"/>
      <w:bookmarkEnd w:id="593"/>
      <w:r>
        <w:t>C.8.4 Objection Ladder</w:t>
      </w:r>
    </w:p>
    <w:p w14:paraId="33C1BC16" w14:textId="77777777" w:rsidR="00180E7C" w:rsidRDefault="00000000">
      <w:pPr>
        <w:pStyle w:val="FirstParagraph"/>
      </w:pPr>
      <w:r>
        <w:t>A Verifier Party objection determined frivolous accrues escalating demerit: first frivolous objection, one point; second within 180 days, two points; third, three points, under Annex D, Category 10. The ladder deters obstruction of legitimate verification.</w:t>
      </w:r>
    </w:p>
    <w:p w14:paraId="2A5977FA" w14:textId="77777777" w:rsidR="00180E7C" w:rsidRDefault="00000000">
      <w:pPr>
        <w:pStyle w:val="Heading3"/>
      </w:pPr>
      <w:bookmarkStart w:id="595" w:name="c.8.5-neutral-expert-review"/>
      <w:bookmarkEnd w:id="594"/>
      <w:r>
        <w:t>C.8.5 Neutral Expert Review</w:t>
      </w:r>
    </w:p>
    <w:p w14:paraId="455C7F72" w14:textId="77777777" w:rsidR="00180E7C" w:rsidRDefault="00000000">
      <w:pPr>
        <w:pStyle w:val="FirstParagraph"/>
      </w:pPr>
      <w:r>
        <w:t>The Swiss Facilitator appoints a three-expert panel from the Third-Party Expert Pool within seven days of the counter-evidence window closing. The panel determines, on the convergent-evidence standard, whether the violation stands verified, and classifies the tier. The determination enters the SDR and executes through the Engine without further political action.</w:t>
      </w:r>
    </w:p>
    <w:p w14:paraId="08921926" w14:textId="77777777" w:rsidR="00180E7C" w:rsidRDefault="00000000">
      <w:pPr>
        <w:pStyle w:val="Heading3"/>
      </w:pPr>
      <w:bookmarkStart w:id="596" w:name="c.8.6-sources-and-methods-protection"/>
      <w:bookmarkEnd w:id="595"/>
      <w:r>
        <w:t>C.8.6 Sources and Methods Protection</w:t>
      </w:r>
    </w:p>
    <w:p w14:paraId="67DB8D63" w14:textId="77777777" w:rsidR="00180E7C" w:rsidRDefault="00000000">
      <w:pPr>
        <w:pStyle w:val="FirstParagraph"/>
      </w:pPr>
      <w:r>
        <w:t>Evidence containing sensitive sources and methods submits through the redacted-review protocol: the panel receives the full material under confidentiality undertakings; the Verifier Party receives a redacted version sufficient to understand the evidentiary basis; the panel’s determination states whether the full material supports the redacted showing.</w:t>
      </w:r>
    </w:p>
    <w:p w14:paraId="6CCBECD9" w14:textId="77777777" w:rsidR="00180E7C" w:rsidRDefault="00000000">
      <w:pPr>
        <w:pStyle w:val="Heading2"/>
      </w:pPr>
      <w:bookmarkStart w:id="597" w:name="c.9-attribution-standards"/>
      <w:bookmarkEnd w:id="590"/>
      <w:bookmarkEnd w:id="596"/>
      <w:r>
        <w:t>C.9 Attribution Standards</w:t>
      </w:r>
    </w:p>
    <w:p w14:paraId="664A3186" w14:textId="77777777" w:rsidR="00180E7C" w:rsidRDefault="00000000">
      <w:pPr>
        <w:pStyle w:val="FirstParagraph"/>
      </w:pPr>
      <w:r>
        <w:t>C.9.1 Attribution of a hostile act or violation to a Party requires convergent technical evidence from at least two independent collection disciplines (for example: signals intelligence plus satellite imagery; radar track plus recovered materiel; financial records plus communications metadata), logged in the SDR, reviewed by the JMC, and confirmed through the Escalation Chain where disputed.</w:t>
      </w:r>
    </w:p>
    <w:p w14:paraId="475AC2B6" w14:textId="77777777" w:rsidR="00180E7C" w:rsidRDefault="00000000">
      <w:pPr>
        <w:pStyle w:val="BodyText"/>
      </w:pPr>
      <w:r>
        <w:t>C.9.2 Proxy attribution follows Annex L, Section 5: effective direction or control of the specific operation, or material support knowingly provided for it. General alignment never suffices.</w:t>
      </w:r>
    </w:p>
    <w:p w14:paraId="7FECA292" w14:textId="77777777" w:rsidR="00180E7C" w:rsidRDefault="00000000">
      <w:pPr>
        <w:pStyle w:val="Heading2"/>
      </w:pPr>
      <w:bookmarkStart w:id="598" w:name="c.10-verification-flights-and-sensors"/>
      <w:bookmarkEnd w:id="597"/>
      <w:r>
        <w:t>C.10 Verification Flights and Sensors</w:t>
      </w:r>
    </w:p>
    <w:p w14:paraId="3425AECE" w14:textId="77777777" w:rsidR="00180E7C" w:rsidRDefault="00000000">
      <w:pPr>
        <w:pStyle w:val="FirstParagraph"/>
      </w:pPr>
      <w:r>
        <w:t>C.10.1 The verification flight program operates under filed flight plans coordinated with the Hormuz Authority and the Air Coordination Cell: unarmed fixed-wing and rotary platforms with electro-optical, infrared, and radar sensors, transiting the corridors and buffer geometry per the monthly flight schedule published to both Parties.</w:t>
      </w:r>
    </w:p>
    <w:p w14:paraId="24AFE0BE" w14:textId="77777777" w:rsidR="00180E7C" w:rsidRDefault="00000000">
      <w:pPr>
        <w:pStyle w:val="BodyText"/>
      </w:pPr>
      <w:r>
        <w:t>C.10.2 The sensor architecture comprises: the coastal radar chains; the corridor sensor layer; the seismic and hydroacoustic stations of the underwater domain; the unattended nuclear monitoring systems of Annex F; and the satellite contribution feeds. The architecture’s specifications sit in the classified technical schedules of the SDR.</w:t>
      </w:r>
    </w:p>
    <w:p w14:paraId="0A4D8C94" w14:textId="77777777" w:rsidR="00180E7C" w:rsidRDefault="00000000">
      <w:pPr>
        <w:pStyle w:val="Heading2"/>
      </w:pPr>
      <w:bookmarkStart w:id="599" w:name="c.11-joint-cyber-review-cell"/>
      <w:bookmarkEnd w:id="598"/>
      <w:r>
        <w:lastRenderedPageBreak/>
        <w:t>C.11 Joint Cyber Review Cell</w:t>
      </w:r>
    </w:p>
    <w:p w14:paraId="5C16BC0B" w14:textId="77777777" w:rsidR="00180E7C" w:rsidRDefault="00000000">
      <w:pPr>
        <w:pStyle w:val="FirstParagraph"/>
      </w:pPr>
      <w:r>
        <w:t>C.11.1 The Joint Cyber Review Cell staffs six experts per Party plus three Swiss-nominated neutrals, operating continuous monitoring of the treaty’s protected systems and receiving incident referrals under Article 22.</w:t>
      </w:r>
    </w:p>
    <w:p w14:paraId="6F38C743" w14:textId="77777777" w:rsidR="00180E7C" w:rsidRDefault="00000000">
      <w:pPr>
        <w:pStyle w:val="BodyText"/>
      </w:pPr>
      <w:r>
        <w:t>C.11.2 The Cell maintains the forensic evidence locker within the SDR, conducts joint forensic examinations, and issues attribution assessments under the convergent-evidence standard.</w:t>
      </w:r>
    </w:p>
    <w:p w14:paraId="70414A4D" w14:textId="77777777" w:rsidR="00180E7C" w:rsidRDefault="00000000">
      <w:pPr>
        <w:pStyle w:val="Heading2"/>
      </w:pPr>
      <w:bookmarkStart w:id="600" w:name="Xedb7ca821306b5431df96e85f2d891d7e2d9375"/>
      <w:bookmarkEnd w:id="599"/>
      <w:r>
        <w:t>C.12 Managed Access Protocol (Military Sites)</w:t>
      </w:r>
    </w:p>
    <w:p w14:paraId="13CC5AA5" w14:textId="77777777" w:rsidR="00180E7C" w:rsidRDefault="00000000">
      <w:pPr>
        <w:pStyle w:val="FirstParagraph"/>
      </w:pPr>
      <w:r>
        <w:t>C.12.1 Challenge inspections at active military facilities operate with: shrouding of sensitive equipment unrelated to the inspection objective; escorted access routes; limitation of photography to the agreed inspection record; and accommodation of operational security windows not exceeding four hours. The inspected Party protects legitimate secrets; the inspection verifies the treaty-relevant facts; refusal of the verification objective itself registers as Level 4.</w:t>
      </w:r>
    </w:p>
    <w:p w14:paraId="21BE2A5C" w14:textId="77777777" w:rsidR="00180E7C" w:rsidRDefault="00000000">
      <w:pPr>
        <w:pStyle w:val="Heading2"/>
      </w:pPr>
      <w:bookmarkStart w:id="601" w:name="X108c1bf3a6da53437bd79fdecab5e64ba00a6f2"/>
      <w:bookmarkEnd w:id="600"/>
      <w:r>
        <w:t>C.13 Third-Party Expert Pool and Inspector Roster</w:t>
      </w:r>
    </w:p>
    <w:p w14:paraId="176BCAAA" w14:textId="77777777" w:rsidR="00180E7C" w:rsidRDefault="00000000">
      <w:pPr>
        <w:pStyle w:val="FirstParagraph"/>
      </w:pPr>
      <w:r>
        <w:t>C.13.1 The Swiss Facilitator maintains the Third-Party Expert Pool: 120 pre-accredited experts across disciplines (nuclear, maritime, military, financial, legal, cyber, environmental), drawn from states agreed by both Parties, serving under standing confidentiality and neutrality undertakings, renewed biennially.</w:t>
      </w:r>
    </w:p>
    <w:p w14:paraId="1D4A9AED" w14:textId="77777777" w:rsidR="00180E7C" w:rsidRDefault="00000000">
      <w:pPr>
        <w:pStyle w:val="BodyText"/>
      </w:pPr>
      <w:r>
        <w:t>C.13.2 The inspector roster for Article 28 inspections draws from the Pool’s military and verification disciplines, with team composition balanced per mission and agreed through the JMC.</w:t>
      </w:r>
    </w:p>
    <w:p w14:paraId="52262E4B" w14:textId="77777777" w:rsidR="00180E7C" w:rsidRDefault="00000000">
      <w:pPr>
        <w:pStyle w:val="Heading2"/>
      </w:pPr>
      <w:bookmarkStart w:id="602" w:name="c.14-classification-and-handling"/>
      <w:bookmarkEnd w:id="601"/>
      <w:r>
        <w:t>C.14 Classification and Handling</w:t>
      </w:r>
    </w:p>
    <w:p w14:paraId="1DCAD5EE" w14:textId="77777777" w:rsidR="00180E7C" w:rsidRDefault="00000000">
      <w:pPr>
        <w:pStyle w:val="FirstParagraph"/>
      </w:pPr>
      <w:r>
        <w:t>C.14.1 Registry data carries three handling levels: Public (dashboard metrics); Treaty-Restricted (organ circulation); Treaty-Sensitive (compartmented, originator-controlled). The classification guide of the Registry governs marking, access, and declassification review after five years.</w:t>
      </w:r>
    </w:p>
    <w:p w14:paraId="097DC768" w14:textId="77777777" w:rsidR="00180E7C" w:rsidRDefault="00000000">
      <w:pPr>
        <w:pStyle w:val="Heading2"/>
      </w:pPr>
      <w:bookmarkStart w:id="603" w:name="c.15-annual-method-review"/>
      <w:bookmarkEnd w:id="602"/>
      <w:r>
        <w:t>C.15 Annual Method Review</w:t>
      </w:r>
    </w:p>
    <w:p w14:paraId="3957A03F" w14:textId="77777777" w:rsidR="00180E7C" w:rsidRDefault="00000000">
      <w:pPr>
        <w:pStyle w:val="FirstParagraph"/>
      </w:pPr>
      <w:r>
        <w:t>C.15.1 The JMC reviews the Method annually and proposes updates through the technical procedure of Article 72.2. The review considers: false positive rates, response times, dispute statistics, demerit patterns, and earn-back performance, and publishes a non-classified summary.</w:t>
      </w:r>
    </w:p>
    <w:p w14:paraId="71AB64F4" w14:textId="77777777" w:rsidR="00180E7C" w:rsidRDefault="00000000">
      <w:r>
        <w:br w:type="page"/>
      </w:r>
    </w:p>
    <w:p w14:paraId="574CDD33" w14:textId="77777777" w:rsidR="00180E7C" w:rsidRDefault="00000000">
      <w:pPr>
        <w:pStyle w:val="Heading1"/>
      </w:pPr>
      <w:bookmarkStart w:id="604" w:name="annex-d-the-demerit-point-matrix"/>
      <w:bookmarkStart w:id="605" w:name="_Toc237843169"/>
      <w:bookmarkEnd w:id="569"/>
      <w:bookmarkEnd w:id="603"/>
      <w:r>
        <w:lastRenderedPageBreak/>
        <w:t>ANNEX D: THE DEMERIT POINT MATRIX</w:t>
      </w:r>
      <w:bookmarkEnd w:id="605"/>
    </w:p>
    <w:p w14:paraId="3ACED168" w14:textId="77777777" w:rsidR="00180E7C" w:rsidRDefault="00000000">
      <w:pPr>
        <w:pStyle w:val="Heading2"/>
      </w:pPr>
      <w:bookmarkStart w:id="606" w:name="d.1-scope-and-authority"/>
      <w:r>
        <w:t>D.1 Scope and Authority</w:t>
      </w:r>
    </w:p>
    <w:p w14:paraId="2B44617E" w14:textId="77777777" w:rsidR="00180E7C" w:rsidRDefault="00000000">
      <w:pPr>
        <w:pStyle w:val="FirstParagraph"/>
      </w:pPr>
      <w:r>
        <w:t>D.1.1 This Annex constitutes the definitive, exhaustive schedule of demerit points assessed for verifiable violations of the Treaty’s operative provisions, established pursuant to Article 67.7. The Joint Monitoring Cell assesses points automatically upon verification of a violation through the Escalation Chain, subject to the dispute process of Section D.6.</w:t>
      </w:r>
    </w:p>
    <w:p w14:paraId="795CE906" w14:textId="77777777" w:rsidR="00180E7C" w:rsidRDefault="00000000">
      <w:pPr>
        <w:pStyle w:val="Heading2"/>
      </w:pPr>
      <w:bookmarkStart w:id="607" w:name="d.2-guiding-principles"/>
      <w:bookmarkEnd w:id="606"/>
      <w:r>
        <w:t>D.2 Guiding Principles</w:t>
      </w:r>
    </w:p>
    <w:p w14:paraId="7C648B9A" w14:textId="77777777" w:rsidR="00180E7C" w:rsidRDefault="00000000">
      <w:pPr>
        <w:pStyle w:val="FirstParagraph"/>
      </w:pPr>
      <w:r>
        <w:t xml:space="preserve">D.2.1 </w:t>
      </w:r>
      <w:r>
        <w:rPr>
          <w:b/>
          <w:bCs/>
        </w:rPr>
        <w:t>Proportionality:</w:t>
      </w:r>
      <w:r>
        <w:t xml:space="preserve"> point values reflect severity and strategic significance. Administrative delays receive minimal points; deliberate subversion of the verification architecture receives maximum points.</w:t>
      </w:r>
    </w:p>
    <w:p w14:paraId="384CA009" w14:textId="77777777" w:rsidR="00180E7C" w:rsidRDefault="00000000">
      <w:pPr>
        <w:pStyle w:val="BodyText"/>
      </w:pPr>
      <w:r>
        <w:t xml:space="preserve">D.2.2 </w:t>
      </w:r>
      <w:r>
        <w:rPr>
          <w:b/>
          <w:bCs/>
        </w:rPr>
        <w:t>Objectivity:</w:t>
      </w:r>
      <w:r>
        <w:t xml:space="preserve"> every assessment triggers on objective, verified technical data. No political discretion operates in point assignment.</w:t>
      </w:r>
    </w:p>
    <w:p w14:paraId="6EA4544E" w14:textId="77777777" w:rsidR="00180E7C" w:rsidRDefault="00000000">
      <w:pPr>
        <w:pStyle w:val="BodyText"/>
      </w:pPr>
      <w:r>
        <w:t xml:space="preserve">D.2.3 </w:t>
      </w:r>
      <w:r>
        <w:rPr>
          <w:b/>
          <w:bCs/>
        </w:rPr>
        <w:t>Clarity:</w:t>
      </w:r>
      <w:r>
        <w:t xml:space="preserve"> each violation carries a precise technical definition and threshold. No ambiguity exists regarding whether an action constitutes a violation of a category.</w:t>
      </w:r>
    </w:p>
    <w:p w14:paraId="314328C7" w14:textId="77777777" w:rsidR="00180E7C" w:rsidRDefault="00000000">
      <w:pPr>
        <w:pStyle w:val="BodyText"/>
      </w:pPr>
      <w:r>
        <w:t xml:space="preserve">D.2.4 </w:t>
      </w:r>
      <w:r>
        <w:rPr>
          <w:b/>
          <w:bCs/>
        </w:rPr>
        <w:t>Exhaustiveness:</w:t>
      </w:r>
      <w:r>
        <w:t xml:space="preserve"> the Matrix covers violations of the operative Articles and Annexes. The JMC assesses no points for actions not enumerated herein; novel conduct enters through the assimilation rule of Article 2.4 and a technical update of this Annex.</w:t>
      </w:r>
    </w:p>
    <w:p w14:paraId="78801841" w14:textId="77777777" w:rsidR="00180E7C" w:rsidRDefault="00000000">
      <w:pPr>
        <w:pStyle w:val="Heading2"/>
      </w:pPr>
      <w:bookmarkStart w:id="608" w:name="d.3-point-administration-rules"/>
      <w:bookmarkEnd w:id="607"/>
      <w:r>
        <w:t>D.3 Point Administration Rules</w:t>
      </w:r>
    </w:p>
    <w:tbl>
      <w:tblPr>
        <w:tblStyle w:val="Table"/>
        <w:tblW w:w="5000" w:type="pct"/>
        <w:tblLook w:val="0020" w:firstRow="1" w:lastRow="0" w:firstColumn="0" w:lastColumn="0" w:noHBand="0" w:noVBand="0"/>
      </w:tblPr>
      <w:tblGrid>
        <w:gridCol w:w="1748"/>
        <w:gridCol w:w="7828"/>
      </w:tblGrid>
      <w:tr w:rsidR="00180E7C" w14:paraId="1E90049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52F7E21" w14:textId="77777777" w:rsidR="00180E7C" w:rsidRDefault="00000000">
            <w:pPr>
              <w:pStyle w:val="Compact"/>
            </w:pPr>
            <w:r>
              <w:t>Rule</w:t>
            </w:r>
          </w:p>
        </w:tc>
        <w:tc>
          <w:tcPr>
            <w:tcW w:w="0" w:type="auto"/>
          </w:tcPr>
          <w:p w14:paraId="6A06B664" w14:textId="77777777" w:rsidR="00180E7C" w:rsidRDefault="00000000">
            <w:pPr>
              <w:pStyle w:val="Compact"/>
            </w:pPr>
            <w:r>
              <w:t>Description</w:t>
            </w:r>
          </w:p>
        </w:tc>
      </w:tr>
      <w:tr w:rsidR="00180E7C" w14:paraId="7B7834D8" w14:textId="77777777">
        <w:tc>
          <w:tcPr>
            <w:tcW w:w="0" w:type="auto"/>
          </w:tcPr>
          <w:p w14:paraId="160C6AF9" w14:textId="77777777" w:rsidR="00180E7C" w:rsidRDefault="00000000">
            <w:pPr>
              <w:pStyle w:val="Compact"/>
            </w:pPr>
            <w:r>
              <w:t>Expiration</w:t>
            </w:r>
          </w:p>
        </w:tc>
        <w:tc>
          <w:tcPr>
            <w:tcW w:w="0" w:type="auto"/>
          </w:tcPr>
          <w:p w14:paraId="757097B0" w14:textId="77777777" w:rsidR="00180E7C" w:rsidRDefault="00000000">
            <w:pPr>
              <w:pStyle w:val="Compact"/>
            </w:pPr>
            <w:r>
              <w:t>All points expire automatically 180 days after assessment, provided the assessed Party maintains verified compliance during that period.</w:t>
            </w:r>
          </w:p>
        </w:tc>
      </w:tr>
      <w:tr w:rsidR="00180E7C" w14:paraId="75A57C07" w14:textId="77777777">
        <w:tc>
          <w:tcPr>
            <w:tcW w:w="0" w:type="auto"/>
          </w:tcPr>
          <w:p w14:paraId="4D9030B0" w14:textId="77777777" w:rsidR="00180E7C" w:rsidRDefault="00000000">
            <w:pPr>
              <w:pStyle w:val="Compact"/>
            </w:pPr>
            <w:r>
              <w:t>Active Points</w:t>
            </w:r>
          </w:p>
        </w:tc>
        <w:tc>
          <w:tcPr>
            <w:tcW w:w="0" w:type="auto"/>
          </w:tcPr>
          <w:p w14:paraId="2FA8B145" w14:textId="77777777" w:rsidR="00180E7C" w:rsidRDefault="00000000">
            <w:pPr>
              <w:pStyle w:val="Compact"/>
            </w:pPr>
            <w:r>
              <w:t>Only points assessed within the preceding 180 days count toward escalation thresholds.</w:t>
            </w:r>
          </w:p>
        </w:tc>
      </w:tr>
      <w:tr w:rsidR="00180E7C" w14:paraId="408CFBEF" w14:textId="77777777">
        <w:tc>
          <w:tcPr>
            <w:tcW w:w="0" w:type="auto"/>
          </w:tcPr>
          <w:p w14:paraId="6894222F" w14:textId="77777777" w:rsidR="00180E7C" w:rsidRDefault="00000000">
            <w:pPr>
              <w:pStyle w:val="Compact"/>
            </w:pPr>
            <w:r>
              <w:t>No Double-Counting</w:t>
            </w:r>
          </w:p>
        </w:tc>
        <w:tc>
          <w:tcPr>
            <w:tcW w:w="0" w:type="auto"/>
          </w:tcPr>
          <w:p w14:paraId="15F058D7" w14:textId="77777777" w:rsidR="00180E7C" w:rsidRDefault="00000000">
            <w:pPr>
              <w:pStyle w:val="Compact"/>
            </w:pPr>
            <w:r>
              <w:t>A single violation accrues points under one category only, the most severe applicable.</w:t>
            </w:r>
          </w:p>
        </w:tc>
      </w:tr>
      <w:tr w:rsidR="00180E7C" w14:paraId="6A6AE78F" w14:textId="77777777">
        <w:tc>
          <w:tcPr>
            <w:tcW w:w="0" w:type="auto"/>
          </w:tcPr>
          <w:p w14:paraId="7BA9D2C4" w14:textId="77777777" w:rsidR="00180E7C" w:rsidRDefault="00000000">
            <w:pPr>
              <w:pStyle w:val="Compact"/>
            </w:pPr>
            <w:r>
              <w:t>Continuing Violations</w:t>
            </w:r>
          </w:p>
        </w:tc>
        <w:tc>
          <w:tcPr>
            <w:tcW w:w="0" w:type="auto"/>
          </w:tcPr>
          <w:p w14:paraId="3D07AC54" w14:textId="77777777" w:rsidR="00180E7C" w:rsidRDefault="00000000">
            <w:pPr>
              <w:pStyle w:val="Compact"/>
            </w:pPr>
            <w:r>
              <w:t>Points assess on the first day only; duration affects the step-back tier, not the point count.</w:t>
            </w:r>
          </w:p>
        </w:tc>
      </w:tr>
      <w:tr w:rsidR="00180E7C" w14:paraId="32D7E467" w14:textId="77777777">
        <w:tc>
          <w:tcPr>
            <w:tcW w:w="0" w:type="auto"/>
          </w:tcPr>
          <w:p w14:paraId="22423902" w14:textId="77777777" w:rsidR="00180E7C" w:rsidRDefault="00000000">
            <w:pPr>
              <w:pStyle w:val="Compact"/>
            </w:pPr>
            <w:r>
              <w:t>Challenge Period</w:t>
            </w:r>
          </w:p>
        </w:tc>
        <w:tc>
          <w:tcPr>
            <w:tcW w:w="0" w:type="auto"/>
          </w:tcPr>
          <w:p w14:paraId="6191D652" w14:textId="77777777" w:rsidR="00180E7C" w:rsidRDefault="00000000">
            <w:pPr>
              <w:pStyle w:val="Compact"/>
            </w:pPr>
            <w:r>
              <w:t>The assessed Party challenges any assessment within 14 days through the claim procedure; points remain active during challenge and void retroactively if the challenge succeeds.</w:t>
            </w:r>
          </w:p>
        </w:tc>
      </w:tr>
    </w:tbl>
    <w:p w14:paraId="1F620A61" w14:textId="77777777" w:rsidR="00180E7C" w:rsidRDefault="00000000">
      <w:pPr>
        <w:pStyle w:val="Heading2"/>
      </w:pPr>
      <w:bookmarkStart w:id="609" w:name="d.4-escalation-thresholds"/>
      <w:bookmarkEnd w:id="608"/>
      <w:r>
        <w:t>D.4 Escalation Thresholds</w:t>
      </w:r>
    </w:p>
    <w:tbl>
      <w:tblPr>
        <w:tblStyle w:val="Table"/>
        <w:tblW w:w="5000" w:type="pct"/>
        <w:tblLook w:val="0020" w:firstRow="1" w:lastRow="0" w:firstColumn="0" w:lastColumn="0" w:noHBand="0" w:noVBand="0"/>
      </w:tblPr>
      <w:tblGrid>
        <w:gridCol w:w="1131"/>
        <w:gridCol w:w="8445"/>
      </w:tblGrid>
      <w:tr w:rsidR="00180E7C" w14:paraId="103A6ACC"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F34DF3E" w14:textId="77777777" w:rsidR="00180E7C" w:rsidRDefault="00000000">
            <w:pPr>
              <w:pStyle w:val="Compact"/>
            </w:pPr>
            <w:r>
              <w:t>Active Points</w:t>
            </w:r>
          </w:p>
        </w:tc>
        <w:tc>
          <w:tcPr>
            <w:tcW w:w="0" w:type="auto"/>
          </w:tcPr>
          <w:p w14:paraId="7A65033E" w14:textId="77777777" w:rsidR="00180E7C" w:rsidRDefault="00000000">
            <w:pPr>
              <w:pStyle w:val="Compact"/>
            </w:pPr>
            <w:r>
              <w:t>Consequence</w:t>
            </w:r>
          </w:p>
        </w:tc>
      </w:tr>
      <w:tr w:rsidR="00180E7C" w14:paraId="170A5CC5" w14:textId="77777777">
        <w:tc>
          <w:tcPr>
            <w:tcW w:w="0" w:type="auto"/>
          </w:tcPr>
          <w:p w14:paraId="2C1FBE98" w14:textId="77777777" w:rsidR="00180E7C" w:rsidRDefault="00000000">
            <w:pPr>
              <w:pStyle w:val="Compact"/>
            </w:pPr>
            <w:r>
              <w:t>0-4</w:t>
            </w:r>
          </w:p>
        </w:tc>
        <w:tc>
          <w:tcPr>
            <w:tcW w:w="0" w:type="auto"/>
          </w:tcPr>
          <w:p w14:paraId="58DFA6AF" w14:textId="77777777" w:rsidR="00180E7C" w:rsidRDefault="00000000">
            <w:pPr>
              <w:pStyle w:val="Compact"/>
            </w:pPr>
            <w:r>
              <w:t>No additional consequence beyond base tier penalties; standard step-back and earn-back applies.</w:t>
            </w:r>
          </w:p>
        </w:tc>
      </w:tr>
      <w:tr w:rsidR="00180E7C" w14:paraId="5B5E8619" w14:textId="77777777">
        <w:tc>
          <w:tcPr>
            <w:tcW w:w="0" w:type="auto"/>
          </w:tcPr>
          <w:p w14:paraId="0395B934" w14:textId="77777777" w:rsidR="00180E7C" w:rsidRDefault="00000000">
            <w:pPr>
              <w:pStyle w:val="Compact"/>
            </w:pPr>
            <w:r>
              <w:t>5-7</w:t>
            </w:r>
          </w:p>
        </w:tc>
        <w:tc>
          <w:tcPr>
            <w:tcW w:w="0" w:type="auto"/>
          </w:tcPr>
          <w:p w14:paraId="21EEA5E2" w14:textId="77777777" w:rsidR="00180E7C" w:rsidRDefault="00000000">
            <w:pPr>
              <w:pStyle w:val="Compact"/>
            </w:pPr>
            <w:r>
              <w:t xml:space="preserve">Formal JMC warning published on the Compliance Dashboard; no additional </w:t>
            </w:r>
            <w:r>
              <w:lastRenderedPageBreak/>
              <w:t>benefit reduction.</w:t>
            </w:r>
          </w:p>
        </w:tc>
      </w:tr>
      <w:tr w:rsidR="00180E7C" w14:paraId="20082206" w14:textId="77777777">
        <w:tc>
          <w:tcPr>
            <w:tcW w:w="0" w:type="auto"/>
          </w:tcPr>
          <w:p w14:paraId="544B535C" w14:textId="77777777" w:rsidR="00180E7C" w:rsidRDefault="00000000">
            <w:pPr>
              <w:pStyle w:val="Compact"/>
            </w:pPr>
            <w:r>
              <w:lastRenderedPageBreak/>
              <w:t>8-11</w:t>
            </w:r>
          </w:p>
        </w:tc>
        <w:tc>
          <w:tcPr>
            <w:tcW w:w="0" w:type="auto"/>
          </w:tcPr>
          <w:p w14:paraId="68C9C7F0" w14:textId="77777777" w:rsidR="00180E7C" w:rsidRDefault="00000000">
            <w:pPr>
              <w:pStyle w:val="Compact"/>
            </w:pPr>
            <w:r>
              <w:t>Mandatory escalated step-back: all non-humanitarian benefit lines of the assessed Party reduce by an additional 10 percent on top of existing tier penalties, until active points drop below 8.</w:t>
            </w:r>
          </w:p>
        </w:tc>
      </w:tr>
      <w:tr w:rsidR="00180E7C" w14:paraId="41D95009" w14:textId="77777777">
        <w:tc>
          <w:tcPr>
            <w:tcW w:w="0" w:type="auto"/>
          </w:tcPr>
          <w:p w14:paraId="730DFFDE" w14:textId="77777777" w:rsidR="00180E7C" w:rsidRDefault="00000000">
            <w:pPr>
              <w:pStyle w:val="Compact"/>
            </w:pPr>
            <w:r>
              <w:t>12 or more</w:t>
            </w:r>
          </w:p>
        </w:tc>
        <w:tc>
          <w:tcPr>
            <w:tcW w:w="0" w:type="auto"/>
          </w:tcPr>
          <w:p w14:paraId="7B1DD09F" w14:textId="77777777" w:rsidR="00180E7C" w:rsidRDefault="00000000">
            <w:pPr>
              <w:pStyle w:val="Compact"/>
            </w:pPr>
            <w:r>
              <w:t>Either Party petitions the HCC for aggregate compliance review under Article 69.6.4.</w:t>
            </w:r>
          </w:p>
        </w:tc>
      </w:tr>
    </w:tbl>
    <w:p w14:paraId="48E02EE1" w14:textId="77777777" w:rsidR="00180E7C" w:rsidRDefault="00000000">
      <w:pPr>
        <w:pStyle w:val="Heading2"/>
      </w:pPr>
      <w:bookmarkStart w:id="610" w:name="d.5-the-violation-schedule"/>
      <w:bookmarkEnd w:id="609"/>
      <w:r>
        <w:t>D.5 The Violation Schedule</w:t>
      </w:r>
    </w:p>
    <w:p w14:paraId="5B733DC3" w14:textId="77777777" w:rsidR="00180E7C" w:rsidRDefault="00000000">
      <w:pPr>
        <w:pStyle w:val="Heading3"/>
      </w:pPr>
      <w:bookmarkStart w:id="611" w:name="Xc5c95f9dbf02f3945f627e3114359ae4200eb41"/>
      <w:r>
        <w:t>Category 1: Ceasefire and Use of Force (Articles 1-2)</w:t>
      </w:r>
    </w:p>
    <w:tbl>
      <w:tblPr>
        <w:tblStyle w:val="Table"/>
        <w:tblW w:w="5000" w:type="pct"/>
        <w:tblLook w:val="0020" w:firstRow="1" w:lastRow="0" w:firstColumn="0" w:lastColumn="0" w:noHBand="0" w:noVBand="0"/>
      </w:tblPr>
      <w:tblGrid>
        <w:gridCol w:w="729"/>
        <w:gridCol w:w="7982"/>
        <w:gridCol w:w="865"/>
      </w:tblGrid>
      <w:tr w:rsidR="00180E7C" w14:paraId="6375D4E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F153B60" w14:textId="77777777" w:rsidR="00180E7C" w:rsidRDefault="00000000">
            <w:pPr>
              <w:pStyle w:val="Compact"/>
            </w:pPr>
            <w:r>
              <w:t>Code</w:t>
            </w:r>
          </w:p>
        </w:tc>
        <w:tc>
          <w:tcPr>
            <w:tcW w:w="0" w:type="auto"/>
          </w:tcPr>
          <w:p w14:paraId="1C93D467" w14:textId="77777777" w:rsidR="00180E7C" w:rsidRDefault="00000000">
            <w:pPr>
              <w:pStyle w:val="Compact"/>
            </w:pPr>
            <w:r>
              <w:t>Violation</w:t>
            </w:r>
          </w:p>
        </w:tc>
        <w:tc>
          <w:tcPr>
            <w:tcW w:w="0" w:type="auto"/>
          </w:tcPr>
          <w:p w14:paraId="6E483713" w14:textId="77777777" w:rsidR="00180E7C" w:rsidRDefault="00000000">
            <w:pPr>
              <w:pStyle w:val="Compact"/>
            </w:pPr>
            <w:r>
              <w:t>Points</w:t>
            </w:r>
          </w:p>
        </w:tc>
      </w:tr>
      <w:tr w:rsidR="00180E7C" w14:paraId="243F3748" w14:textId="77777777">
        <w:tc>
          <w:tcPr>
            <w:tcW w:w="0" w:type="auto"/>
          </w:tcPr>
          <w:p w14:paraId="3A768035" w14:textId="77777777" w:rsidR="00180E7C" w:rsidRDefault="00000000">
            <w:pPr>
              <w:pStyle w:val="Compact"/>
            </w:pPr>
            <w:r>
              <w:t>1.1</w:t>
            </w:r>
          </w:p>
        </w:tc>
        <w:tc>
          <w:tcPr>
            <w:tcW w:w="0" w:type="auto"/>
          </w:tcPr>
          <w:p w14:paraId="6F21519C" w14:textId="77777777" w:rsidR="00180E7C" w:rsidRDefault="00000000">
            <w:pPr>
              <w:pStyle w:val="Compact"/>
            </w:pPr>
            <w:r>
              <w:t>Localized kinetic incident below casualty threshold, self-reported within 2 hours</w:t>
            </w:r>
          </w:p>
        </w:tc>
        <w:tc>
          <w:tcPr>
            <w:tcW w:w="0" w:type="auto"/>
          </w:tcPr>
          <w:p w14:paraId="6C44BE23" w14:textId="77777777" w:rsidR="00180E7C" w:rsidRDefault="00000000">
            <w:pPr>
              <w:pStyle w:val="Compact"/>
            </w:pPr>
            <w:r>
              <w:t>1</w:t>
            </w:r>
          </w:p>
        </w:tc>
      </w:tr>
      <w:tr w:rsidR="00180E7C" w14:paraId="1489529A" w14:textId="77777777">
        <w:tc>
          <w:tcPr>
            <w:tcW w:w="0" w:type="auto"/>
          </w:tcPr>
          <w:p w14:paraId="283894A8" w14:textId="77777777" w:rsidR="00180E7C" w:rsidRDefault="00000000">
            <w:pPr>
              <w:pStyle w:val="Compact"/>
            </w:pPr>
            <w:r>
              <w:t>1.2</w:t>
            </w:r>
          </w:p>
        </w:tc>
        <w:tc>
          <w:tcPr>
            <w:tcW w:w="0" w:type="auto"/>
          </w:tcPr>
          <w:p w14:paraId="1DABC028" w14:textId="77777777" w:rsidR="00180E7C" w:rsidRDefault="00000000">
            <w:pPr>
              <w:pStyle w:val="Compact"/>
            </w:pPr>
            <w:r>
              <w:t>Localized kinetic incident, not self-reported</w:t>
            </w:r>
          </w:p>
        </w:tc>
        <w:tc>
          <w:tcPr>
            <w:tcW w:w="0" w:type="auto"/>
          </w:tcPr>
          <w:p w14:paraId="60F7912D" w14:textId="77777777" w:rsidR="00180E7C" w:rsidRDefault="00000000">
            <w:pPr>
              <w:pStyle w:val="Compact"/>
            </w:pPr>
            <w:r>
              <w:t>3</w:t>
            </w:r>
          </w:p>
        </w:tc>
      </w:tr>
      <w:tr w:rsidR="00180E7C" w14:paraId="7FB2B202" w14:textId="77777777">
        <w:tc>
          <w:tcPr>
            <w:tcW w:w="0" w:type="auto"/>
          </w:tcPr>
          <w:p w14:paraId="73329CF5" w14:textId="77777777" w:rsidR="00180E7C" w:rsidRDefault="00000000">
            <w:pPr>
              <w:pStyle w:val="Compact"/>
            </w:pPr>
            <w:r>
              <w:t>1.3</w:t>
            </w:r>
          </w:p>
        </w:tc>
        <w:tc>
          <w:tcPr>
            <w:tcW w:w="0" w:type="auto"/>
          </w:tcPr>
          <w:p w14:paraId="77BC59FD" w14:textId="77777777" w:rsidR="00180E7C" w:rsidRDefault="00000000">
            <w:pPr>
              <w:pStyle w:val="Compact"/>
            </w:pPr>
            <w:r>
              <w:t>Authorized strike causing casualties or material damage</w:t>
            </w:r>
          </w:p>
        </w:tc>
        <w:tc>
          <w:tcPr>
            <w:tcW w:w="0" w:type="auto"/>
          </w:tcPr>
          <w:p w14:paraId="0FD529D6" w14:textId="77777777" w:rsidR="00180E7C" w:rsidRDefault="00000000">
            <w:pPr>
              <w:pStyle w:val="Compact"/>
            </w:pPr>
            <w:r>
              <w:t>6</w:t>
            </w:r>
          </w:p>
        </w:tc>
      </w:tr>
      <w:tr w:rsidR="00180E7C" w14:paraId="74922092" w14:textId="77777777">
        <w:tc>
          <w:tcPr>
            <w:tcW w:w="0" w:type="auto"/>
          </w:tcPr>
          <w:p w14:paraId="0563EA92" w14:textId="77777777" w:rsidR="00180E7C" w:rsidRDefault="00000000">
            <w:pPr>
              <w:pStyle w:val="Compact"/>
            </w:pPr>
            <w:r>
              <w:t>1.4</w:t>
            </w:r>
          </w:p>
        </w:tc>
        <w:tc>
          <w:tcPr>
            <w:tcW w:w="0" w:type="auto"/>
          </w:tcPr>
          <w:p w14:paraId="652A8F9F" w14:textId="77777777" w:rsidR="00180E7C" w:rsidRDefault="00000000">
            <w:pPr>
              <w:pStyle w:val="Compact"/>
            </w:pPr>
            <w:r>
              <w:t>Warning shots or simulated attack profile</w:t>
            </w:r>
          </w:p>
        </w:tc>
        <w:tc>
          <w:tcPr>
            <w:tcW w:w="0" w:type="auto"/>
          </w:tcPr>
          <w:p w14:paraId="2CD4A386" w14:textId="77777777" w:rsidR="00180E7C" w:rsidRDefault="00000000">
            <w:pPr>
              <w:pStyle w:val="Compact"/>
            </w:pPr>
            <w:r>
              <w:t>2</w:t>
            </w:r>
          </w:p>
        </w:tc>
      </w:tr>
      <w:tr w:rsidR="00180E7C" w14:paraId="4E65ED13" w14:textId="77777777">
        <w:tc>
          <w:tcPr>
            <w:tcW w:w="0" w:type="auto"/>
          </w:tcPr>
          <w:p w14:paraId="24F87987" w14:textId="77777777" w:rsidR="00180E7C" w:rsidRDefault="00000000">
            <w:pPr>
              <w:pStyle w:val="Compact"/>
            </w:pPr>
            <w:r>
              <w:t>1.5</w:t>
            </w:r>
          </w:p>
        </w:tc>
        <w:tc>
          <w:tcPr>
            <w:tcW w:w="0" w:type="auto"/>
          </w:tcPr>
          <w:p w14:paraId="6B5AE683" w14:textId="77777777" w:rsidR="00180E7C" w:rsidRDefault="00000000">
            <w:pPr>
              <w:pStyle w:val="Compact"/>
            </w:pPr>
            <w:r>
              <w:t>Naval harassment maneuver endangering a vessel</w:t>
            </w:r>
          </w:p>
        </w:tc>
        <w:tc>
          <w:tcPr>
            <w:tcW w:w="0" w:type="auto"/>
          </w:tcPr>
          <w:p w14:paraId="194A31D1" w14:textId="77777777" w:rsidR="00180E7C" w:rsidRDefault="00000000">
            <w:pPr>
              <w:pStyle w:val="Compact"/>
            </w:pPr>
            <w:r>
              <w:t>1</w:t>
            </w:r>
          </w:p>
        </w:tc>
      </w:tr>
    </w:tbl>
    <w:p w14:paraId="3744DD0D" w14:textId="77777777" w:rsidR="00180E7C" w:rsidRDefault="00000000">
      <w:pPr>
        <w:pStyle w:val="Heading3"/>
      </w:pPr>
      <w:bookmarkStart w:id="612" w:name="X059b498062e203101ef779959970d3a7410e9b5"/>
      <w:bookmarkEnd w:id="611"/>
      <w:r>
        <w:t>Category 2: Notification and Transparency (Articles 25, 16)</w:t>
      </w:r>
    </w:p>
    <w:tbl>
      <w:tblPr>
        <w:tblStyle w:val="Table"/>
        <w:tblW w:w="0" w:type="auto"/>
        <w:tblLook w:val="0020" w:firstRow="1" w:lastRow="0" w:firstColumn="0" w:lastColumn="0" w:noHBand="0" w:noVBand="0"/>
      </w:tblPr>
      <w:tblGrid>
        <w:gridCol w:w="729"/>
        <w:gridCol w:w="5497"/>
        <w:gridCol w:w="865"/>
      </w:tblGrid>
      <w:tr w:rsidR="00180E7C" w14:paraId="0F5A6D0E"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7E10BD2" w14:textId="77777777" w:rsidR="00180E7C" w:rsidRDefault="00000000">
            <w:pPr>
              <w:pStyle w:val="Compact"/>
            </w:pPr>
            <w:r>
              <w:t>Code</w:t>
            </w:r>
          </w:p>
        </w:tc>
        <w:tc>
          <w:tcPr>
            <w:tcW w:w="0" w:type="auto"/>
          </w:tcPr>
          <w:p w14:paraId="3F8F57CC" w14:textId="77777777" w:rsidR="00180E7C" w:rsidRDefault="00000000">
            <w:pPr>
              <w:pStyle w:val="Compact"/>
            </w:pPr>
            <w:r>
              <w:t>Violation</w:t>
            </w:r>
          </w:p>
        </w:tc>
        <w:tc>
          <w:tcPr>
            <w:tcW w:w="0" w:type="auto"/>
          </w:tcPr>
          <w:p w14:paraId="79280526" w14:textId="77777777" w:rsidR="00180E7C" w:rsidRDefault="00000000">
            <w:pPr>
              <w:pStyle w:val="Compact"/>
            </w:pPr>
            <w:r>
              <w:t>Points</w:t>
            </w:r>
          </w:p>
        </w:tc>
      </w:tr>
      <w:tr w:rsidR="00180E7C" w14:paraId="15B132A0" w14:textId="77777777">
        <w:tc>
          <w:tcPr>
            <w:tcW w:w="0" w:type="auto"/>
          </w:tcPr>
          <w:p w14:paraId="1B167B71" w14:textId="77777777" w:rsidR="00180E7C" w:rsidRDefault="00000000">
            <w:pPr>
              <w:pStyle w:val="Compact"/>
            </w:pPr>
            <w:r>
              <w:t>2.1</w:t>
            </w:r>
          </w:p>
        </w:tc>
        <w:tc>
          <w:tcPr>
            <w:tcW w:w="0" w:type="auto"/>
          </w:tcPr>
          <w:p w14:paraId="488A7139" w14:textId="77777777" w:rsidR="00180E7C" w:rsidRDefault="00000000">
            <w:pPr>
              <w:pStyle w:val="Compact"/>
            </w:pPr>
            <w:r>
              <w:t>Neglected routine notification</w:t>
            </w:r>
          </w:p>
        </w:tc>
        <w:tc>
          <w:tcPr>
            <w:tcW w:w="0" w:type="auto"/>
          </w:tcPr>
          <w:p w14:paraId="02266304" w14:textId="77777777" w:rsidR="00180E7C" w:rsidRDefault="00000000">
            <w:pPr>
              <w:pStyle w:val="Compact"/>
            </w:pPr>
            <w:r>
              <w:t>1</w:t>
            </w:r>
          </w:p>
        </w:tc>
      </w:tr>
      <w:tr w:rsidR="00180E7C" w14:paraId="30702C33" w14:textId="77777777">
        <w:tc>
          <w:tcPr>
            <w:tcW w:w="0" w:type="auto"/>
          </w:tcPr>
          <w:p w14:paraId="49EFD102" w14:textId="77777777" w:rsidR="00180E7C" w:rsidRDefault="00000000">
            <w:pPr>
              <w:pStyle w:val="Compact"/>
            </w:pPr>
            <w:r>
              <w:t>2.2</w:t>
            </w:r>
          </w:p>
        </w:tc>
        <w:tc>
          <w:tcPr>
            <w:tcW w:w="0" w:type="auto"/>
          </w:tcPr>
          <w:p w14:paraId="10322301" w14:textId="77777777" w:rsidR="00180E7C" w:rsidRDefault="00000000">
            <w:pPr>
              <w:pStyle w:val="Compact"/>
            </w:pPr>
            <w:r>
              <w:t>Pattern of neglected notifications (three in 30 days)</w:t>
            </w:r>
          </w:p>
        </w:tc>
        <w:tc>
          <w:tcPr>
            <w:tcW w:w="0" w:type="auto"/>
          </w:tcPr>
          <w:p w14:paraId="6E7598B4" w14:textId="77777777" w:rsidR="00180E7C" w:rsidRDefault="00000000">
            <w:pPr>
              <w:pStyle w:val="Compact"/>
            </w:pPr>
            <w:r>
              <w:t>2</w:t>
            </w:r>
          </w:p>
        </w:tc>
      </w:tr>
      <w:tr w:rsidR="00180E7C" w14:paraId="34F0B16D" w14:textId="77777777">
        <w:tc>
          <w:tcPr>
            <w:tcW w:w="0" w:type="auto"/>
          </w:tcPr>
          <w:p w14:paraId="5A5C6F47" w14:textId="77777777" w:rsidR="00180E7C" w:rsidRDefault="00000000">
            <w:pPr>
              <w:pStyle w:val="Compact"/>
            </w:pPr>
            <w:r>
              <w:t>2.3</w:t>
            </w:r>
          </w:p>
        </w:tc>
        <w:tc>
          <w:tcPr>
            <w:tcW w:w="0" w:type="auto"/>
          </w:tcPr>
          <w:p w14:paraId="2725CCF6" w14:textId="77777777" w:rsidR="00180E7C" w:rsidRDefault="00000000">
            <w:pPr>
              <w:pStyle w:val="Compact"/>
            </w:pPr>
            <w:r>
              <w:t>Deliberately false notification</w:t>
            </w:r>
          </w:p>
        </w:tc>
        <w:tc>
          <w:tcPr>
            <w:tcW w:w="0" w:type="auto"/>
          </w:tcPr>
          <w:p w14:paraId="7034CEDC" w14:textId="77777777" w:rsidR="00180E7C" w:rsidRDefault="00000000">
            <w:pPr>
              <w:pStyle w:val="Compact"/>
            </w:pPr>
            <w:r>
              <w:t>4</w:t>
            </w:r>
          </w:p>
        </w:tc>
      </w:tr>
      <w:tr w:rsidR="00180E7C" w14:paraId="25394080" w14:textId="77777777">
        <w:tc>
          <w:tcPr>
            <w:tcW w:w="0" w:type="auto"/>
          </w:tcPr>
          <w:p w14:paraId="10D384D5" w14:textId="77777777" w:rsidR="00180E7C" w:rsidRDefault="00000000">
            <w:pPr>
              <w:pStyle w:val="Compact"/>
            </w:pPr>
            <w:r>
              <w:t>2.4</w:t>
            </w:r>
          </w:p>
        </w:tc>
        <w:tc>
          <w:tcPr>
            <w:tcW w:w="0" w:type="auto"/>
          </w:tcPr>
          <w:p w14:paraId="1D9B97E1" w14:textId="77777777" w:rsidR="00180E7C" w:rsidRDefault="00000000">
            <w:pPr>
              <w:pStyle w:val="Compact"/>
            </w:pPr>
            <w:r>
              <w:t>Unnotified major exercise</w:t>
            </w:r>
          </w:p>
        </w:tc>
        <w:tc>
          <w:tcPr>
            <w:tcW w:w="0" w:type="auto"/>
          </w:tcPr>
          <w:p w14:paraId="751E4490" w14:textId="77777777" w:rsidR="00180E7C" w:rsidRDefault="00000000">
            <w:pPr>
              <w:pStyle w:val="Compact"/>
            </w:pPr>
            <w:r>
              <w:t>2</w:t>
            </w:r>
          </w:p>
        </w:tc>
      </w:tr>
      <w:tr w:rsidR="00180E7C" w14:paraId="7D8B9A0D" w14:textId="77777777">
        <w:tc>
          <w:tcPr>
            <w:tcW w:w="0" w:type="auto"/>
          </w:tcPr>
          <w:p w14:paraId="206C2F77" w14:textId="77777777" w:rsidR="00180E7C" w:rsidRDefault="00000000">
            <w:pPr>
              <w:pStyle w:val="Compact"/>
            </w:pPr>
            <w:r>
              <w:t>2.5</w:t>
            </w:r>
          </w:p>
        </w:tc>
        <w:tc>
          <w:tcPr>
            <w:tcW w:w="0" w:type="auto"/>
          </w:tcPr>
          <w:p w14:paraId="7165AE36" w14:textId="77777777" w:rsidR="00180E7C" w:rsidRDefault="00000000">
            <w:pPr>
              <w:pStyle w:val="Compact"/>
            </w:pPr>
            <w:r>
              <w:t>Unnotified naval Strait transit</w:t>
            </w:r>
          </w:p>
        </w:tc>
        <w:tc>
          <w:tcPr>
            <w:tcW w:w="0" w:type="auto"/>
          </w:tcPr>
          <w:p w14:paraId="64D9407B" w14:textId="77777777" w:rsidR="00180E7C" w:rsidRDefault="00000000">
            <w:pPr>
              <w:pStyle w:val="Compact"/>
            </w:pPr>
            <w:r>
              <w:t>1</w:t>
            </w:r>
          </w:p>
        </w:tc>
      </w:tr>
    </w:tbl>
    <w:p w14:paraId="6FA1F016" w14:textId="77777777" w:rsidR="00180E7C" w:rsidRDefault="00000000">
      <w:pPr>
        <w:pStyle w:val="Heading3"/>
      </w:pPr>
      <w:bookmarkStart w:id="613" w:name="Xb13a25a94bb6c3b64b057a853484c7d741298ec"/>
      <w:bookmarkEnd w:id="612"/>
      <w:r>
        <w:t>Category 3: Posture and Buffer (Articles 16-17, 27)</w:t>
      </w:r>
    </w:p>
    <w:tbl>
      <w:tblPr>
        <w:tblStyle w:val="Table"/>
        <w:tblW w:w="5000" w:type="pct"/>
        <w:tblLook w:val="0020" w:firstRow="1" w:lastRow="0" w:firstColumn="0" w:lastColumn="0" w:noHBand="0" w:noVBand="0"/>
      </w:tblPr>
      <w:tblGrid>
        <w:gridCol w:w="729"/>
        <w:gridCol w:w="7982"/>
        <w:gridCol w:w="865"/>
      </w:tblGrid>
      <w:tr w:rsidR="00180E7C" w14:paraId="7C9F530E"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2847680" w14:textId="77777777" w:rsidR="00180E7C" w:rsidRDefault="00000000">
            <w:pPr>
              <w:pStyle w:val="Compact"/>
            </w:pPr>
            <w:r>
              <w:t>Code</w:t>
            </w:r>
          </w:p>
        </w:tc>
        <w:tc>
          <w:tcPr>
            <w:tcW w:w="0" w:type="auto"/>
          </w:tcPr>
          <w:p w14:paraId="1EC2E5BE" w14:textId="77777777" w:rsidR="00180E7C" w:rsidRDefault="00000000">
            <w:pPr>
              <w:pStyle w:val="Compact"/>
            </w:pPr>
            <w:r>
              <w:t>Violation</w:t>
            </w:r>
          </w:p>
        </w:tc>
        <w:tc>
          <w:tcPr>
            <w:tcW w:w="0" w:type="auto"/>
          </w:tcPr>
          <w:p w14:paraId="35F46A50" w14:textId="77777777" w:rsidR="00180E7C" w:rsidRDefault="00000000">
            <w:pPr>
              <w:pStyle w:val="Compact"/>
            </w:pPr>
            <w:r>
              <w:t>Points</w:t>
            </w:r>
          </w:p>
        </w:tc>
      </w:tr>
      <w:tr w:rsidR="00180E7C" w14:paraId="2E8F3582" w14:textId="77777777">
        <w:tc>
          <w:tcPr>
            <w:tcW w:w="0" w:type="auto"/>
          </w:tcPr>
          <w:p w14:paraId="074231AE" w14:textId="77777777" w:rsidR="00180E7C" w:rsidRDefault="00000000">
            <w:pPr>
              <w:pStyle w:val="Compact"/>
            </w:pPr>
            <w:r>
              <w:t>3.1</w:t>
            </w:r>
          </w:p>
        </w:tc>
        <w:tc>
          <w:tcPr>
            <w:tcW w:w="0" w:type="auto"/>
          </w:tcPr>
          <w:p w14:paraId="1178A1C7" w14:textId="77777777" w:rsidR="00180E7C" w:rsidRDefault="00000000">
            <w:pPr>
              <w:pStyle w:val="Compact"/>
            </w:pPr>
            <w:r>
              <w:t>Presence of prohibited system in Littoral Stand-Down Band, corrected within 72 hours</w:t>
            </w:r>
          </w:p>
        </w:tc>
        <w:tc>
          <w:tcPr>
            <w:tcW w:w="0" w:type="auto"/>
          </w:tcPr>
          <w:p w14:paraId="5BE3004B" w14:textId="77777777" w:rsidR="00180E7C" w:rsidRDefault="00000000">
            <w:pPr>
              <w:pStyle w:val="Compact"/>
            </w:pPr>
            <w:r>
              <w:t>2</w:t>
            </w:r>
          </w:p>
        </w:tc>
      </w:tr>
      <w:tr w:rsidR="00180E7C" w14:paraId="36459179" w14:textId="77777777">
        <w:tc>
          <w:tcPr>
            <w:tcW w:w="0" w:type="auto"/>
          </w:tcPr>
          <w:p w14:paraId="47048428" w14:textId="77777777" w:rsidR="00180E7C" w:rsidRDefault="00000000">
            <w:pPr>
              <w:pStyle w:val="Compact"/>
            </w:pPr>
            <w:r>
              <w:t>3.2</w:t>
            </w:r>
          </w:p>
        </w:tc>
        <w:tc>
          <w:tcPr>
            <w:tcW w:w="0" w:type="auto"/>
          </w:tcPr>
          <w:p w14:paraId="134EDAC2" w14:textId="77777777" w:rsidR="00180E7C" w:rsidRDefault="00000000">
            <w:pPr>
              <w:pStyle w:val="Compact"/>
            </w:pPr>
            <w:r>
              <w:t>Same, uncorrected after 72 hours</w:t>
            </w:r>
          </w:p>
        </w:tc>
        <w:tc>
          <w:tcPr>
            <w:tcW w:w="0" w:type="auto"/>
          </w:tcPr>
          <w:p w14:paraId="532B115A" w14:textId="77777777" w:rsidR="00180E7C" w:rsidRDefault="00000000">
            <w:pPr>
              <w:pStyle w:val="Compact"/>
            </w:pPr>
            <w:r>
              <w:t>4</w:t>
            </w:r>
          </w:p>
        </w:tc>
      </w:tr>
      <w:tr w:rsidR="00180E7C" w14:paraId="457D4B2E" w14:textId="77777777">
        <w:tc>
          <w:tcPr>
            <w:tcW w:w="0" w:type="auto"/>
          </w:tcPr>
          <w:p w14:paraId="25EA9864" w14:textId="77777777" w:rsidR="00180E7C" w:rsidRDefault="00000000">
            <w:pPr>
              <w:pStyle w:val="Compact"/>
            </w:pPr>
            <w:r>
              <w:t>3.3</w:t>
            </w:r>
          </w:p>
        </w:tc>
        <w:tc>
          <w:tcPr>
            <w:tcW w:w="0" w:type="auto"/>
          </w:tcPr>
          <w:p w14:paraId="33E4E81B" w14:textId="77777777" w:rsidR="00180E7C" w:rsidRDefault="00000000">
            <w:pPr>
              <w:pStyle w:val="Compact"/>
            </w:pPr>
            <w:r>
              <w:t>Exceedance of theater ceiling, self-corrected within 14 days</w:t>
            </w:r>
          </w:p>
        </w:tc>
        <w:tc>
          <w:tcPr>
            <w:tcW w:w="0" w:type="auto"/>
          </w:tcPr>
          <w:p w14:paraId="6FA91AFD" w14:textId="77777777" w:rsidR="00180E7C" w:rsidRDefault="00000000">
            <w:pPr>
              <w:pStyle w:val="Compact"/>
            </w:pPr>
            <w:r>
              <w:t>2</w:t>
            </w:r>
          </w:p>
        </w:tc>
      </w:tr>
      <w:tr w:rsidR="00180E7C" w14:paraId="3F2A5C2F" w14:textId="77777777">
        <w:tc>
          <w:tcPr>
            <w:tcW w:w="0" w:type="auto"/>
          </w:tcPr>
          <w:p w14:paraId="72B9F382" w14:textId="77777777" w:rsidR="00180E7C" w:rsidRDefault="00000000">
            <w:pPr>
              <w:pStyle w:val="Compact"/>
            </w:pPr>
            <w:r>
              <w:t>3.4</w:t>
            </w:r>
          </w:p>
        </w:tc>
        <w:tc>
          <w:tcPr>
            <w:tcW w:w="0" w:type="auto"/>
          </w:tcPr>
          <w:p w14:paraId="62BFAD39" w14:textId="77777777" w:rsidR="00180E7C" w:rsidRDefault="00000000">
            <w:pPr>
              <w:pStyle w:val="Compact"/>
            </w:pPr>
            <w:r>
              <w:t>Exceedance of theater ceiling, uncorrected</w:t>
            </w:r>
          </w:p>
        </w:tc>
        <w:tc>
          <w:tcPr>
            <w:tcW w:w="0" w:type="auto"/>
          </w:tcPr>
          <w:p w14:paraId="6E654C3B" w14:textId="77777777" w:rsidR="00180E7C" w:rsidRDefault="00000000">
            <w:pPr>
              <w:pStyle w:val="Compact"/>
            </w:pPr>
            <w:r>
              <w:t>5</w:t>
            </w:r>
          </w:p>
        </w:tc>
      </w:tr>
      <w:tr w:rsidR="00180E7C" w14:paraId="405499AF" w14:textId="77777777">
        <w:tc>
          <w:tcPr>
            <w:tcW w:w="0" w:type="auto"/>
          </w:tcPr>
          <w:p w14:paraId="571F4E84" w14:textId="77777777" w:rsidR="00180E7C" w:rsidRDefault="00000000">
            <w:pPr>
              <w:pStyle w:val="Compact"/>
            </w:pPr>
            <w:r>
              <w:t>3.5</w:t>
            </w:r>
          </w:p>
        </w:tc>
        <w:tc>
          <w:tcPr>
            <w:tcW w:w="0" w:type="auto"/>
          </w:tcPr>
          <w:p w14:paraId="6713F6D1" w14:textId="77777777" w:rsidR="00180E7C" w:rsidRDefault="00000000">
            <w:pPr>
              <w:pStyle w:val="Compact"/>
            </w:pPr>
            <w:r>
              <w:t>New undeclared military construction in restricted geometry</w:t>
            </w:r>
          </w:p>
        </w:tc>
        <w:tc>
          <w:tcPr>
            <w:tcW w:w="0" w:type="auto"/>
          </w:tcPr>
          <w:p w14:paraId="03F09A1A" w14:textId="77777777" w:rsidR="00180E7C" w:rsidRDefault="00000000">
            <w:pPr>
              <w:pStyle w:val="Compact"/>
            </w:pPr>
            <w:r>
              <w:t>3</w:t>
            </w:r>
          </w:p>
        </w:tc>
      </w:tr>
    </w:tbl>
    <w:p w14:paraId="089897EF" w14:textId="77777777" w:rsidR="00180E7C" w:rsidRDefault="00000000">
      <w:pPr>
        <w:pStyle w:val="Heading3"/>
      </w:pPr>
      <w:bookmarkStart w:id="614" w:name="X71823794cc8b879fa11c4e93f10fe8a477af75e"/>
      <w:bookmarkEnd w:id="613"/>
      <w:r>
        <w:t>Category 4: Nuclear Domain (Articles 61-62, Annex F)</w:t>
      </w:r>
    </w:p>
    <w:tbl>
      <w:tblPr>
        <w:tblStyle w:val="Table"/>
        <w:tblW w:w="5000" w:type="pct"/>
        <w:tblLook w:val="0020" w:firstRow="1" w:lastRow="0" w:firstColumn="0" w:lastColumn="0" w:noHBand="0" w:noVBand="0"/>
      </w:tblPr>
      <w:tblGrid>
        <w:gridCol w:w="798"/>
        <w:gridCol w:w="7831"/>
        <w:gridCol w:w="947"/>
      </w:tblGrid>
      <w:tr w:rsidR="00180E7C" w14:paraId="10BF5E1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10958A1" w14:textId="77777777" w:rsidR="00180E7C" w:rsidRDefault="00000000">
            <w:pPr>
              <w:pStyle w:val="Compact"/>
            </w:pPr>
            <w:r>
              <w:t>Code</w:t>
            </w:r>
          </w:p>
        </w:tc>
        <w:tc>
          <w:tcPr>
            <w:tcW w:w="0" w:type="auto"/>
          </w:tcPr>
          <w:p w14:paraId="3E9A0A28" w14:textId="77777777" w:rsidR="00180E7C" w:rsidRDefault="00000000">
            <w:pPr>
              <w:pStyle w:val="Compact"/>
            </w:pPr>
            <w:r>
              <w:t>Violation</w:t>
            </w:r>
          </w:p>
        </w:tc>
        <w:tc>
          <w:tcPr>
            <w:tcW w:w="0" w:type="auto"/>
          </w:tcPr>
          <w:p w14:paraId="36846910" w14:textId="77777777" w:rsidR="00180E7C" w:rsidRDefault="00000000">
            <w:pPr>
              <w:pStyle w:val="Compact"/>
            </w:pPr>
            <w:r>
              <w:t>Points</w:t>
            </w:r>
          </w:p>
        </w:tc>
      </w:tr>
      <w:tr w:rsidR="00180E7C" w14:paraId="172AA392" w14:textId="77777777">
        <w:tc>
          <w:tcPr>
            <w:tcW w:w="0" w:type="auto"/>
          </w:tcPr>
          <w:p w14:paraId="188837B9" w14:textId="77777777" w:rsidR="00180E7C" w:rsidRDefault="00000000">
            <w:pPr>
              <w:pStyle w:val="Compact"/>
            </w:pPr>
            <w:r>
              <w:t>4.1</w:t>
            </w:r>
          </w:p>
        </w:tc>
        <w:tc>
          <w:tcPr>
            <w:tcW w:w="0" w:type="auto"/>
          </w:tcPr>
          <w:p w14:paraId="3CCE789E" w14:textId="77777777" w:rsidR="00180E7C" w:rsidRDefault="00000000">
            <w:pPr>
              <w:pStyle w:val="Compact"/>
            </w:pPr>
            <w:r>
              <w:t>Uranium Ledger update delay beyond 4 hours, administrative</w:t>
            </w:r>
          </w:p>
        </w:tc>
        <w:tc>
          <w:tcPr>
            <w:tcW w:w="0" w:type="auto"/>
          </w:tcPr>
          <w:p w14:paraId="57F61904" w14:textId="77777777" w:rsidR="00180E7C" w:rsidRDefault="00000000">
            <w:pPr>
              <w:pStyle w:val="Compact"/>
            </w:pPr>
            <w:r>
              <w:t>1</w:t>
            </w:r>
          </w:p>
        </w:tc>
      </w:tr>
      <w:tr w:rsidR="00180E7C" w14:paraId="4A75FB3E" w14:textId="77777777">
        <w:tc>
          <w:tcPr>
            <w:tcW w:w="0" w:type="auto"/>
          </w:tcPr>
          <w:p w14:paraId="59D1C7D8" w14:textId="77777777" w:rsidR="00180E7C" w:rsidRDefault="00000000">
            <w:pPr>
              <w:pStyle w:val="Compact"/>
            </w:pPr>
            <w:r>
              <w:lastRenderedPageBreak/>
              <w:t>4.2</w:t>
            </w:r>
          </w:p>
        </w:tc>
        <w:tc>
          <w:tcPr>
            <w:tcW w:w="0" w:type="auto"/>
          </w:tcPr>
          <w:p w14:paraId="5FEC7EF6" w14:textId="77777777" w:rsidR="00180E7C" w:rsidRDefault="00000000">
            <w:pPr>
              <w:pStyle w:val="Compact"/>
            </w:pPr>
            <w:r>
              <w:t>Inventory discrepancy within measurement uncertainty, corrected</w:t>
            </w:r>
          </w:p>
        </w:tc>
        <w:tc>
          <w:tcPr>
            <w:tcW w:w="0" w:type="auto"/>
          </w:tcPr>
          <w:p w14:paraId="0ECF86E0" w14:textId="77777777" w:rsidR="00180E7C" w:rsidRDefault="00000000">
            <w:pPr>
              <w:pStyle w:val="Compact"/>
            </w:pPr>
            <w:r>
              <w:t>1</w:t>
            </w:r>
          </w:p>
        </w:tc>
      </w:tr>
      <w:tr w:rsidR="00180E7C" w14:paraId="7DF38200" w14:textId="77777777">
        <w:tc>
          <w:tcPr>
            <w:tcW w:w="0" w:type="auto"/>
          </w:tcPr>
          <w:p w14:paraId="2B345862" w14:textId="77777777" w:rsidR="00180E7C" w:rsidRDefault="00000000">
            <w:pPr>
              <w:pStyle w:val="Compact"/>
            </w:pPr>
            <w:r>
              <w:t>4.3</w:t>
            </w:r>
          </w:p>
        </w:tc>
        <w:tc>
          <w:tcPr>
            <w:tcW w:w="0" w:type="auto"/>
          </w:tcPr>
          <w:p w14:paraId="122F7FCC" w14:textId="77777777" w:rsidR="00180E7C" w:rsidRDefault="00000000">
            <w:pPr>
              <w:pStyle w:val="Compact"/>
            </w:pPr>
            <w:r>
              <w:t>Inventory discrepancy beyond uncertainty, explained and corrected</w:t>
            </w:r>
          </w:p>
        </w:tc>
        <w:tc>
          <w:tcPr>
            <w:tcW w:w="0" w:type="auto"/>
          </w:tcPr>
          <w:p w14:paraId="43466091" w14:textId="77777777" w:rsidR="00180E7C" w:rsidRDefault="00000000">
            <w:pPr>
              <w:pStyle w:val="Compact"/>
            </w:pPr>
            <w:r>
              <w:t>3</w:t>
            </w:r>
          </w:p>
        </w:tc>
      </w:tr>
      <w:tr w:rsidR="00180E7C" w14:paraId="201BE3AA" w14:textId="77777777">
        <w:tc>
          <w:tcPr>
            <w:tcW w:w="0" w:type="auto"/>
          </w:tcPr>
          <w:p w14:paraId="01CF265A" w14:textId="77777777" w:rsidR="00180E7C" w:rsidRDefault="00000000">
            <w:pPr>
              <w:pStyle w:val="Compact"/>
            </w:pPr>
            <w:r>
              <w:t>4.4</w:t>
            </w:r>
          </w:p>
        </w:tc>
        <w:tc>
          <w:tcPr>
            <w:tcW w:w="0" w:type="auto"/>
          </w:tcPr>
          <w:p w14:paraId="02FEF0FD" w14:textId="77777777" w:rsidR="00180E7C" w:rsidRDefault="00000000">
            <w:pPr>
              <w:pStyle w:val="Compact"/>
            </w:pPr>
            <w:r>
              <w:t>Inventory discrepancy beyond uncertainty, unresolved</w:t>
            </w:r>
          </w:p>
        </w:tc>
        <w:tc>
          <w:tcPr>
            <w:tcW w:w="0" w:type="auto"/>
          </w:tcPr>
          <w:p w14:paraId="096FC66C" w14:textId="77777777" w:rsidR="00180E7C" w:rsidRDefault="00000000">
            <w:pPr>
              <w:pStyle w:val="Compact"/>
            </w:pPr>
            <w:r>
              <w:t>6</w:t>
            </w:r>
          </w:p>
        </w:tc>
      </w:tr>
      <w:tr w:rsidR="00180E7C" w14:paraId="32F0E2B8" w14:textId="77777777">
        <w:tc>
          <w:tcPr>
            <w:tcW w:w="0" w:type="auto"/>
          </w:tcPr>
          <w:p w14:paraId="68F9B915" w14:textId="77777777" w:rsidR="00180E7C" w:rsidRDefault="00000000">
            <w:pPr>
              <w:pStyle w:val="Compact"/>
            </w:pPr>
            <w:r>
              <w:t>4.5</w:t>
            </w:r>
          </w:p>
        </w:tc>
        <w:tc>
          <w:tcPr>
            <w:tcW w:w="0" w:type="auto"/>
          </w:tcPr>
          <w:p w14:paraId="4F3E3777" w14:textId="77777777" w:rsidR="00180E7C" w:rsidRDefault="00000000">
            <w:pPr>
              <w:pStyle w:val="Compact"/>
            </w:pPr>
            <w:r>
              <w:t>Access delay beyond Article 62.4 timeline, resolved within 7 days</w:t>
            </w:r>
          </w:p>
        </w:tc>
        <w:tc>
          <w:tcPr>
            <w:tcW w:w="0" w:type="auto"/>
          </w:tcPr>
          <w:p w14:paraId="20E2AC18" w14:textId="77777777" w:rsidR="00180E7C" w:rsidRDefault="00000000">
            <w:pPr>
              <w:pStyle w:val="Compact"/>
            </w:pPr>
            <w:r>
              <w:t>2</w:t>
            </w:r>
          </w:p>
        </w:tc>
      </w:tr>
      <w:tr w:rsidR="00180E7C" w14:paraId="111DAE4C" w14:textId="77777777">
        <w:tc>
          <w:tcPr>
            <w:tcW w:w="0" w:type="auto"/>
          </w:tcPr>
          <w:p w14:paraId="5E368A0E" w14:textId="77777777" w:rsidR="00180E7C" w:rsidRDefault="00000000">
            <w:pPr>
              <w:pStyle w:val="Compact"/>
            </w:pPr>
            <w:r>
              <w:t>4.6</w:t>
            </w:r>
          </w:p>
        </w:tc>
        <w:tc>
          <w:tcPr>
            <w:tcW w:w="0" w:type="auto"/>
          </w:tcPr>
          <w:p w14:paraId="6D5B136D" w14:textId="77777777" w:rsidR="00180E7C" w:rsidRDefault="00000000">
            <w:pPr>
              <w:pStyle w:val="Compact"/>
            </w:pPr>
            <w:r>
              <w:t>Access delay beyond timeline, unresolved</w:t>
            </w:r>
          </w:p>
        </w:tc>
        <w:tc>
          <w:tcPr>
            <w:tcW w:w="0" w:type="auto"/>
          </w:tcPr>
          <w:p w14:paraId="5A051C5B" w14:textId="77777777" w:rsidR="00180E7C" w:rsidRDefault="00000000">
            <w:pPr>
              <w:pStyle w:val="Compact"/>
            </w:pPr>
            <w:r>
              <w:t>5</w:t>
            </w:r>
          </w:p>
        </w:tc>
      </w:tr>
      <w:tr w:rsidR="00180E7C" w14:paraId="057C4F0B" w14:textId="77777777">
        <w:tc>
          <w:tcPr>
            <w:tcW w:w="0" w:type="auto"/>
          </w:tcPr>
          <w:p w14:paraId="3AB447EA" w14:textId="77777777" w:rsidR="00180E7C" w:rsidRDefault="00000000">
            <w:pPr>
              <w:pStyle w:val="Compact"/>
            </w:pPr>
            <w:r>
              <w:t>4.7</w:t>
            </w:r>
          </w:p>
        </w:tc>
        <w:tc>
          <w:tcPr>
            <w:tcW w:w="0" w:type="auto"/>
          </w:tcPr>
          <w:p w14:paraId="3137BF97" w14:textId="77777777" w:rsidR="00180E7C" w:rsidRDefault="00000000">
            <w:pPr>
              <w:pStyle w:val="Compact"/>
            </w:pPr>
            <w:r>
              <w:t>Enrichment above 3.67 percent, any quantity, verified</w:t>
            </w:r>
          </w:p>
        </w:tc>
        <w:tc>
          <w:tcPr>
            <w:tcW w:w="0" w:type="auto"/>
          </w:tcPr>
          <w:p w14:paraId="42BDC6B1" w14:textId="77777777" w:rsidR="00180E7C" w:rsidRDefault="00000000">
            <w:pPr>
              <w:pStyle w:val="Compact"/>
            </w:pPr>
            <w:r>
              <w:t>12</w:t>
            </w:r>
          </w:p>
        </w:tc>
      </w:tr>
      <w:tr w:rsidR="00180E7C" w14:paraId="244AAE85" w14:textId="77777777">
        <w:tc>
          <w:tcPr>
            <w:tcW w:w="0" w:type="auto"/>
          </w:tcPr>
          <w:p w14:paraId="0CF10B34" w14:textId="77777777" w:rsidR="00180E7C" w:rsidRDefault="00000000">
            <w:pPr>
              <w:pStyle w:val="Compact"/>
            </w:pPr>
            <w:r>
              <w:t>4.8</w:t>
            </w:r>
          </w:p>
        </w:tc>
        <w:tc>
          <w:tcPr>
            <w:tcW w:w="0" w:type="auto"/>
          </w:tcPr>
          <w:p w14:paraId="164771D5" w14:textId="77777777" w:rsidR="00180E7C" w:rsidRDefault="00000000">
            <w:pPr>
              <w:pStyle w:val="Compact"/>
            </w:pPr>
            <w:r>
              <w:t>Diversion of Covered Nuclear Material, verified</w:t>
            </w:r>
          </w:p>
        </w:tc>
        <w:tc>
          <w:tcPr>
            <w:tcW w:w="0" w:type="auto"/>
          </w:tcPr>
          <w:p w14:paraId="4DE6A4BC" w14:textId="77777777" w:rsidR="00180E7C" w:rsidRDefault="00000000">
            <w:pPr>
              <w:pStyle w:val="Compact"/>
            </w:pPr>
            <w:r>
              <w:t>12</w:t>
            </w:r>
          </w:p>
        </w:tc>
      </w:tr>
      <w:tr w:rsidR="00180E7C" w14:paraId="6E050EA3" w14:textId="77777777">
        <w:tc>
          <w:tcPr>
            <w:tcW w:w="0" w:type="auto"/>
          </w:tcPr>
          <w:p w14:paraId="6015DF35" w14:textId="77777777" w:rsidR="00180E7C" w:rsidRDefault="00000000">
            <w:pPr>
              <w:pStyle w:val="Compact"/>
            </w:pPr>
            <w:r>
              <w:t>4.9</w:t>
            </w:r>
          </w:p>
        </w:tc>
        <w:tc>
          <w:tcPr>
            <w:tcW w:w="0" w:type="auto"/>
          </w:tcPr>
          <w:p w14:paraId="4220EB9D" w14:textId="77777777" w:rsidR="00180E7C" w:rsidRDefault="00000000">
            <w:pPr>
              <w:pStyle w:val="Compact"/>
            </w:pPr>
            <w:r>
              <w:t>Interference with IAEA monitoring equipment</w:t>
            </w:r>
          </w:p>
        </w:tc>
        <w:tc>
          <w:tcPr>
            <w:tcW w:w="0" w:type="auto"/>
          </w:tcPr>
          <w:p w14:paraId="03FBCD71" w14:textId="77777777" w:rsidR="00180E7C" w:rsidRDefault="00000000">
            <w:pPr>
              <w:pStyle w:val="Compact"/>
            </w:pPr>
            <w:r>
              <w:t>4</w:t>
            </w:r>
          </w:p>
        </w:tc>
      </w:tr>
      <w:tr w:rsidR="00180E7C" w14:paraId="456F393A" w14:textId="77777777">
        <w:tc>
          <w:tcPr>
            <w:tcW w:w="0" w:type="auto"/>
          </w:tcPr>
          <w:p w14:paraId="530F71F5" w14:textId="77777777" w:rsidR="00180E7C" w:rsidRDefault="00000000">
            <w:pPr>
              <w:pStyle w:val="Compact"/>
            </w:pPr>
            <w:r>
              <w:t>4.10</w:t>
            </w:r>
          </w:p>
        </w:tc>
        <w:tc>
          <w:tcPr>
            <w:tcW w:w="0" w:type="auto"/>
          </w:tcPr>
          <w:p w14:paraId="1293AFD4" w14:textId="77777777" w:rsidR="00180E7C" w:rsidRDefault="00000000">
            <w:pPr>
              <w:pStyle w:val="Compact"/>
            </w:pPr>
            <w:r>
              <w:t>Operation of stored advanced centrifuges</w:t>
            </w:r>
          </w:p>
        </w:tc>
        <w:tc>
          <w:tcPr>
            <w:tcW w:w="0" w:type="auto"/>
          </w:tcPr>
          <w:p w14:paraId="46CD1A1A" w14:textId="77777777" w:rsidR="00180E7C" w:rsidRDefault="00000000">
            <w:pPr>
              <w:pStyle w:val="Compact"/>
            </w:pPr>
            <w:r>
              <w:t>8</w:t>
            </w:r>
          </w:p>
        </w:tc>
      </w:tr>
    </w:tbl>
    <w:p w14:paraId="56F3417B" w14:textId="77777777" w:rsidR="00180E7C" w:rsidRDefault="00000000">
      <w:pPr>
        <w:pStyle w:val="Heading3"/>
      </w:pPr>
      <w:bookmarkStart w:id="615" w:name="category-5-maritime-domain-title-iii"/>
      <w:bookmarkEnd w:id="614"/>
      <w:r>
        <w:t>Category 5: Maritime Domain (Title III)</w:t>
      </w:r>
    </w:p>
    <w:tbl>
      <w:tblPr>
        <w:tblStyle w:val="Table"/>
        <w:tblW w:w="0" w:type="auto"/>
        <w:tblLook w:val="0020" w:firstRow="1" w:lastRow="0" w:firstColumn="0" w:lastColumn="0" w:noHBand="0" w:noVBand="0"/>
      </w:tblPr>
      <w:tblGrid>
        <w:gridCol w:w="729"/>
        <w:gridCol w:w="5661"/>
        <w:gridCol w:w="865"/>
      </w:tblGrid>
      <w:tr w:rsidR="00180E7C" w14:paraId="5073E5BE"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4D23FC9A" w14:textId="77777777" w:rsidR="00180E7C" w:rsidRDefault="00000000">
            <w:pPr>
              <w:pStyle w:val="Compact"/>
            </w:pPr>
            <w:r>
              <w:t>Code</w:t>
            </w:r>
          </w:p>
        </w:tc>
        <w:tc>
          <w:tcPr>
            <w:tcW w:w="0" w:type="auto"/>
          </w:tcPr>
          <w:p w14:paraId="789E6F84" w14:textId="77777777" w:rsidR="00180E7C" w:rsidRDefault="00000000">
            <w:pPr>
              <w:pStyle w:val="Compact"/>
            </w:pPr>
            <w:r>
              <w:t>Violation</w:t>
            </w:r>
          </w:p>
        </w:tc>
        <w:tc>
          <w:tcPr>
            <w:tcW w:w="0" w:type="auto"/>
          </w:tcPr>
          <w:p w14:paraId="71291768" w14:textId="77777777" w:rsidR="00180E7C" w:rsidRDefault="00000000">
            <w:pPr>
              <w:pStyle w:val="Compact"/>
            </w:pPr>
            <w:r>
              <w:t>Points</w:t>
            </w:r>
          </w:p>
        </w:tc>
      </w:tr>
      <w:tr w:rsidR="00180E7C" w14:paraId="537F8F49" w14:textId="77777777">
        <w:tc>
          <w:tcPr>
            <w:tcW w:w="0" w:type="auto"/>
          </w:tcPr>
          <w:p w14:paraId="094198B2" w14:textId="77777777" w:rsidR="00180E7C" w:rsidRDefault="00000000">
            <w:pPr>
              <w:pStyle w:val="Compact"/>
            </w:pPr>
            <w:r>
              <w:t>5.1</w:t>
            </w:r>
          </w:p>
        </w:tc>
        <w:tc>
          <w:tcPr>
            <w:tcW w:w="0" w:type="auto"/>
          </w:tcPr>
          <w:p w14:paraId="348BA301" w14:textId="77777777" w:rsidR="00180E7C" w:rsidRDefault="00000000">
            <w:pPr>
              <w:pStyle w:val="Compact"/>
            </w:pPr>
            <w:r>
              <w:t>Unprotocolled boarding without detention, corrected</w:t>
            </w:r>
          </w:p>
        </w:tc>
        <w:tc>
          <w:tcPr>
            <w:tcW w:w="0" w:type="auto"/>
          </w:tcPr>
          <w:p w14:paraId="6BF93BFF" w14:textId="77777777" w:rsidR="00180E7C" w:rsidRDefault="00000000">
            <w:pPr>
              <w:pStyle w:val="Compact"/>
            </w:pPr>
            <w:r>
              <w:t>2</w:t>
            </w:r>
          </w:p>
        </w:tc>
      </w:tr>
      <w:tr w:rsidR="00180E7C" w14:paraId="311F9A90" w14:textId="77777777">
        <w:tc>
          <w:tcPr>
            <w:tcW w:w="0" w:type="auto"/>
          </w:tcPr>
          <w:p w14:paraId="5FA8C1DA" w14:textId="77777777" w:rsidR="00180E7C" w:rsidRDefault="00000000">
            <w:pPr>
              <w:pStyle w:val="Compact"/>
            </w:pPr>
            <w:r>
              <w:t>5.2</w:t>
            </w:r>
          </w:p>
        </w:tc>
        <w:tc>
          <w:tcPr>
            <w:tcW w:w="0" w:type="auto"/>
          </w:tcPr>
          <w:p w14:paraId="6821BC55" w14:textId="77777777" w:rsidR="00180E7C" w:rsidRDefault="00000000">
            <w:pPr>
              <w:pStyle w:val="Compact"/>
            </w:pPr>
            <w:r>
              <w:t>Unilateral interdiction with detention</w:t>
            </w:r>
          </w:p>
        </w:tc>
        <w:tc>
          <w:tcPr>
            <w:tcW w:w="0" w:type="auto"/>
          </w:tcPr>
          <w:p w14:paraId="7142F78C" w14:textId="77777777" w:rsidR="00180E7C" w:rsidRDefault="00000000">
            <w:pPr>
              <w:pStyle w:val="Compact"/>
            </w:pPr>
            <w:r>
              <w:t>5</w:t>
            </w:r>
          </w:p>
        </w:tc>
      </w:tr>
      <w:tr w:rsidR="00180E7C" w14:paraId="46E3A157" w14:textId="77777777">
        <w:tc>
          <w:tcPr>
            <w:tcW w:w="0" w:type="auto"/>
          </w:tcPr>
          <w:p w14:paraId="247964F3" w14:textId="77777777" w:rsidR="00180E7C" w:rsidRDefault="00000000">
            <w:pPr>
              <w:pStyle w:val="Compact"/>
            </w:pPr>
            <w:r>
              <w:t>5.3</w:t>
            </w:r>
          </w:p>
        </w:tc>
        <w:tc>
          <w:tcPr>
            <w:tcW w:w="0" w:type="auto"/>
          </w:tcPr>
          <w:p w14:paraId="60228190" w14:textId="77777777" w:rsidR="00180E7C" w:rsidRDefault="00000000">
            <w:pPr>
              <w:pStyle w:val="Compact"/>
            </w:pPr>
            <w:r>
              <w:t>Charge outside the Verified Services Catalog</w:t>
            </w:r>
          </w:p>
        </w:tc>
        <w:tc>
          <w:tcPr>
            <w:tcW w:w="0" w:type="auto"/>
          </w:tcPr>
          <w:p w14:paraId="26D14F80" w14:textId="77777777" w:rsidR="00180E7C" w:rsidRDefault="00000000">
            <w:pPr>
              <w:pStyle w:val="Compact"/>
            </w:pPr>
            <w:r>
              <w:t>2</w:t>
            </w:r>
          </w:p>
        </w:tc>
      </w:tr>
      <w:tr w:rsidR="00180E7C" w14:paraId="62FC54AF" w14:textId="77777777">
        <w:tc>
          <w:tcPr>
            <w:tcW w:w="0" w:type="auto"/>
          </w:tcPr>
          <w:p w14:paraId="25B15728" w14:textId="77777777" w:rsidR="00180E7C" w:rsidRDefault="00000000">
            <w:pPr>
              <w:pStyle w:val="Compact"/>
            </w:pPr>
            <w:r>
              <w:t>5.4</w:t>
            </w:r>
          </w:p>
        </w:tc>
        <w:tc>
          <w:tcPr>
            <w:tcW w:w="0" w:type="auto"/>
          </w:tcPr>
          <w:p w14:paraId="1F695720" w14:textId="77777777" w:rsidR="00180E7C" w:rsidRDefault="00000000">
            <w:pPr>
              <w:pStyle w:val="Compact"/>
            </w:pPr>
            <w:r>
              <w:t>Interference with corridor operations</w:t>
            </w:r>
          </w:p>
        </w:tc>
        <w:tc>
          <w:tcPr>
            <w:tcW w:w="0" w:type="auto"/>
          </w:tcPr>
          <w:p w14:paraId="274025F1" w14:textId="77777777" w:rsidR="00180E7C" w:rsidRDefault="00000000">
            <w:pPr>
              <w:pStyle w:val="Compact"/>
            </w:pPr>
            <w:r>
              <w:t>4</w:t>
            </w:r>
          </w:p>
        </w:tc>
      </w:tr>
      <w:tr w:rsidR="00180E7C" w14:paraId="4DA8825E" w14:textId="77777777">
        <w:tc>
          <w:tcPr>
            <w:tcW w:w="0" w:type="auto"/>
          </w:tcPr>
          <w:p w14:paraId="05499804" w14:textId="77777777" w:rsidR="00180E7C" w:rsidRDefault="00000000">
            <w:pPr>
              <w:pStyle w:val="Compact"/>
            </w:pPr>
            <w:r>
              <w:t>5.5</w:t>
            </w:r>
          </w:p>
        </w:tc>
        <w:tc>
          <w:tcPr>
            <w:tcW w:w="0" w:type="auto"/>
          </w:tcPr>
          <w:p w14:paraId="73598E24" w14:textId="77777777" w:rsidR="00180E7C" w:rsidRDefault="00000000">
            <w:pPr>
              <w:pStyle w:val="Compact"/>
            </w:pPr>
            <w:r>
              <w:t>Failure of data mirroring beyond 24 hours</w:t>
            </w:r>
          </w:p>
        </w:tc>
        <w:tc>
          <w:tcPr>
            <w:tcW w:w="0" w:type="auto"/>
          </w:tcPr>
          <w:p w14:paraId="4DAF003A" w14:textId="77777777" w:rsidR="00180E7C" w:rsidRDefault="00000000">
            <w:pPr>
              <w:pStyle w:val="Compact"/>
            </w:pPr>
            <w:r>
              <w:t>2</w:t>
            </w:r>
          </w:p>
        </w:tc>
      </w:tr>
      <w:tr w:rsidR="00180E7C" w14:paraId="0CD18DDC" w14:textId="77777777">
        <w:tc>
          <w:tcPr>
            <w:tcW w:w="0" w:type="auto"/>
          </w:tcPr>
          <w:p w14:paraId="549E2D0F" w14:textId="77777777" w:rsidR="00180E7C" w:rsidRDefault="00000000">
            <w:pPr>
              <w:pStyle w:val="Compact"/>
            </w:pPr>
            <w:r>
              <w:t>5.6</w:t>
            </w:r>
          </w:p>
        </w:tc>
        <w:tc>
          <w:tcPr>
            <w:tcW w:w="0" w:type="auto"/>
          </w:tcPr>
          <w:p w14:paraId="53337B47" w14:textId="77777777" w:rsidR="00180E7C" w:rsidRDefault="00000000">
            <w:pPr>
              <w:pStyle w:val="Compact"/>
            </w:pPr>
            <w:r>
              <w:t>Suspension of transit passage, any duration</w:t>
            </w:r>
          </w:p>
        </w:tc>
        <w:tc>
          <w:tcPr>
            <w:tcW w:w="0" w:type="auto"/>
          </w:tcPr>
          <w:p w14:paraId="790D4308" w14:textId="77777777" w:rsidR="00180E7C" w:rsidRDefault="00000000">
            <w:pPr>
              <w:pStyle w:val="Compact"/>
            </w:pPr>
            <w:r>
              <w:t>12</w:t>
            </w:r>
          </w:p>
        </w:tc>
      </w:tr>
    </w:tbl>
    <w:p w14:paraId="5E3BDF73" w14:textId="77777777" w:rsidR="00180E7C" w:rsidRDefault="00000000">
      <w:pPr>
        <w:pStyle w:val="Heading3"/>
      </w:pPr>
      <w:bookmarkStart w:id="616" w:name="category-6-economic-domain-title-iv"/>
      <w:bookmarkEnd w:id="615"/>
      <w:r>
        <w:t>Category 6: Economic Domain (Title IV)</w:t>
      </w:r>
    </w:p>
    <w:tbl>
      <w:tblPr>
        <w:tblStyle w:val="Table"/>
        <w:tblW w:w="5000" w:type="pct"/>
        <w:tblLook w:val="0020" w:firstRow="1" w:lastRow="0" w:firstColumn="0" w:lastColumn="0" w:noHBand="0" w:noVBand="0"/>
      </w:tblPr>
      <w:tblGrid>
        <w:gridCol w:w="729"/>
        <w:gridCol w:w="7982"/>
        <w:gridCol w:w="865"/>
      </w:tblGrid>
      <w:tr w:rsidR="00180E7C" w14:paraId="4267499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9F83743" w14:textId="77777777" w:rsidR="00180E7C" w:rsidRDefault="00000000">
            <w:pPr>
              <w:pStyle w:val="Compact"/>
            </w:pPr>
            <w:r>
              <w:t>Code</w:t>
            </w:r>
          </w:p>
        </w:tc>
        <w:tc>
          <w:tcPr>
            <w:tcW w:w="0" w:type="auto"/>
          </w:tcPr>
          <w:p w14:paraId="026CE22E" w14:textId="77777777" w:rsidR="00180E7C" w:rsidRDefault="00000000">
            <w:pPr>
              <w:pStyle w:val="Compact"/>
            </w:pPr>
            <w:r>
              <w:t>Violation</w:t>
            </w:r>
          </w:p>
        </w:tc>
        <w:tc>
          <w:tcPr>
            <w:tcW w:w="0" w:type="auto"/>
          </w:tcPr>
          <w:p w14:paraId="262DB436" w14:textId="77777777" w:rsidR="00180E7C" w:rsidRDefault="00000000">
            <w:pPr>
              <w:pStyle w:val="Compact"/>
            </w:pPr>
            <w:r>
              <w:t>Points</w:t>
            </w:r>
          </w:p>
        </w:tc>
      </w:tr>
      <w:tr w:rsidR="00180E7C" w14:paraId="2872682B" w14:textId="77777777">
        <w:tc>
          <w:tcPr>
            <w:tcW w:w="0" w:type="auto"/>
          </w:tcPr>
          <w:p w14:paraId="0F80269E" w14:textId="77777777" w:rsidR="00180E7C" w:rsidRDefault="00000000">
            <w:pPr>
              <w:pStyle w:val="Compact"/>
            </w:pPr>
            <w:r>
              <w:t>6.1</w:t>
            </w:r>
          </w:p>
        </w:tc>
        <w:tc>
          <w:tcPr>
            <w:tcW w:w="0" w:type="auto"/>
          </w:tcPr>
          <w:p w14:paraId="4256244F" w14:textId="77777777" w:rsidR="00180E7C" w:rsidRDefault="00000000">
            <w:pPr>
              <w:pStyle w:val="Compact"/>
            </w:pPr>
            <w:r>
              <w:t>Delay in scheduled sanctions termination step beyond 15 days, administrative</w:t>
            </w:r>
          </w:p>
        </w:tc>
        <w:tc>
          <w:tcPr>
            <w:tcW w:w="0" w:type="auto"/>
          </w:tcPr>
          <w:p w14:paraId="7DBBCB47" w14:textId="77777777" w:rsidR="00180E7C" w:rsidRDefault="00000000">
            <w:pPr>
              <w:pStyle w:val="Compact"/>
            </w:pPr>
            <w:r>
              <w:t>1</w:t>
            </w:r>
          </w:p>
        </w:tc>
      </w:tr>
      <w:tr w:rsidR="00180E7C" w14:paraId="3C45C658" w14:textId="77777777">
        <w:tc>
          <w:tcPr>
            <w:tcW w:w="0" w:type="auto"/>
          </w:tcPr>
          <w:p w14:paraId="4812F963" w14:textId="77777777" w:rsidR="00180E7C" w:rsidRDefault="00000000">
            <w:pPr>
              <w:pStyle w:val="Compact"/>
            </w:pPr>
            <w:r>
              <w:t>6.2</w:t>
            </w:r>
          </w:p>
        </w:tc>
        <w:tc>
          <w:tcPr>
            <w:tcW w:w="0" w:type="auto"/>
          </w:tcPr>
          <w:p w14:paraId="1AF6148C" w14:textId="77777777" w:rsidR="00180E7C" w:rsidRDefault="00000000">
            <w:pPr>
              <w:pStyle w:val="Compact"/>
            </w:pPr>
            <w:r>
              <w:t>Delay beyond 15 days, unjustified</w:t>
            </w:r>
          </w:p>
        </w:tc>
        <w:tc>
          <w:tcPr>
            <w:tcW w:w="0" w:type="auto"/>
          </w:tcPr>
          <w:p w14:paraId="6D7F0092" w14:textId="77777777" w:rsidR="00180E7C" w:rsidRDefault="00000000">
            <w:pPr>
              <w:pStyle w:val="Compact"/>
            </w:pPr>
            <w:r>
              <w:t>3</w:t>
            </w:r>
          </w:p>
        </w:tc>
      </w:tr>
      <w:tr w:rsidR="00180E7C" w14:paraId="3E331ED9" w14:textId="77777777">
        <w:tc>
          <w:tcPr>
            <w:tcW w:w="0" w:type="auto"/>
          </w:tcPr>
          <w:p w14:paraId="5BD6E79F" w14:textId="77777777" w:rsidR="00180E7C" w:rsidRDefault="00000000">
            <w:pPr>
              <w:pStyle w:val="Compact"/>
            </w:pPr>
            <w:r>
              <w:t>6.3</w:t>
            </w:r>
          </w:p>
        </w:tc>
        <w:tc>
          <w:tcPr>
            <w:tcW w:w="0" w:type="auto"/>
          </w:tcPr>
          <w:p w14:paraId="5E80ADCE" w14:textId="77777777" w:rsidR="00180E7C" w:rsidRDefault="00000000">
            <w:pPr>
              <w:pStyle w:val="Compact"/>
            </w:pPr>
            <w:r>
              <w:t>Imposition of new coercive measure outside Article 70</w:t>
            </w:r>
          </w:p>
        </w:tc>
        <w:tc>
          <w:tcPr>
            <w:tcW w:w="0" w:type="auto"/>
          </w:tcPr>
          <w:p w14:paraId="09989906" w14:textId="77777777" w:rsidR="00180E7C" w:rsidRDefault="00000000">
            <w:pPr>
              <w:pStyle w:val="Compact"/>
            </w:pPr>
            <w:r>
              <w:t>6</w:t>
            </w:r>
          </w:p>
        </w:tc>
      </w:tr>
      <w:tr w:rsidR="00180E7C" w14:paraId="72517AFE" w14:textId="77777777">
        <w:tc>
          <w:tcPr>
            <w:tcW w:w="0" w:type="auto"/>
          </w:tcPr>
          <w:p w14:paraId="4A332FFE" w14:textId="77777777" w:rsidR="00180E7C" w:rsidRDefault="00000000">
            <w:pPr>
              <w:pStyle w:val="Compact"/>
            </w:pPr>
            <w:r>
              <w:t>6.4</w:t>
            </w:r>
          </w:p>
        </w:tc>
        <w:tc>
          <w:tcPr>
            <w:tcW w:w="0" w:type="auto"/>
          </w:tcPr>
          <w:p w14:paraId="28C4EFDA" w14:textId="77777777" w:rsidR="00180E7C" w:rsidRDefault="00000000">
            <w:pPr>
              <w:pStyle w:val="Compact"/>
            </w:pPr>
            <w:r>
              <w:t>Interference with escrow operations</w:t>
            </w:r>
          </w:p>
        </w:tc>
        <w:tc>
          <w:tcPr>
            <w:tcW w:w="0" w:type="auto"/>
          </w:tcPr>
          <w:p w14:paraId="26324A19" w14:textId="77777777" w:rsidR="00180E7C" w:rsidRDefault="00000000">
            <w:pPr>
              <w:pStyle w:val="Compact"/>
            </w:pPr>
            <w:r>
              <w:t>5</w:t>
            </w:r>
          </w:p>
        </w:tc>
      </w:tr>
      <w:tr w:rsidR="00180E7C" w14:paraId="25B5DEC8" w14:textId="77777777">
        <w:tc>
          <w:tcPr>
            <w:tcW w:w="0" w:type="auto"/>
          </w:tcPr>
          <w:p w14:paraId="3AE86147" w14:textId="77777777" w:rsidR="00180E7C" w:rsidRDefault="00000000">
            <w:pPr>
              <w:pStyle w:val="Compact"/>
            </w:pPr>
            <w:r>
              <w:t>6.5</w:t>
            </w:r>
          </w:p>
        </w:tc>
        <w:tc>
          <w:tcPr>
            <w:tcW w:w="0" w:type="auto"/>
          </w:tcPr>
          <w:p w14:paraId="7FE8B622" w14:textId="77777777" w:rsidR="00180E7C" w:rsidRDefault="00000000">
            <w:pPr>
              <w:pStyle w:val="Compact"/>
            </w:pPr>
            <w:r>
              <w:t>Blocking of humanitarian financial channel, any duration</w:t>
            </w:r>
          </w:p>
        </w:tc>
        <w:tc>
          <w:tcPr>
            <w:tcW w:w="0" w:type="auto"/>
          </w:tcPr>
          <w:p w14:paraId="1DA03249" w14:textId="77777777" w:rsidR="00180E7C" w:rsidRDefault="00000000">
            <w:pPr>
              <w:pStyle w:val="Compact"/>
            </w:pPr>
            <w:r>
              <w:t>8</w:t>
            </w:r>
          </w:p>
        </w:tc>
      </w:tr>
    </w:tbl>
    <w:p w14:paraId="4D306457" w14:textId="77777777" w:rsidR="00180E7C" w:rsidRDefault="00000000">
      <w:pPr>
        <w:pStyle w:val="Heading3"/>
      </w:pPr>
      <w:bookmarkStart w:id="617" w:name="X1a43611d4de456add2c2d31d31ffc7a0588e736"/>
      <w:bookmarkEnd w:id="616"/>
      <w:r>
        <w:t>Category 7: Proxy Domain (Articles 7, 23; Annex L)</w:t>
      </w:r>
    </w:p>
    <w:tbl>
      <w:tblPr>
        <w:tblStyle w:val="Table"/>
        <w:tblW w:w="5000" w:type="pct"/>
        <w:tblLook w:val="0020" w:firstRow="1" w:lastRow="0" w:firstColumn="0" w:lastColumn="0" w:noHBand="0" w:noVBand="0"/>
      </w:tblPr>
      <w:tblGrid>
        <w:gridCol w:w="841"/>
        <w:gridCol w:w="7738"/>
        <w:gridCol w:w="997"/>
      </w:tblGrid>
      <w:tr w:rsidR="00180E7C" w14:paraId="65BF791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4863499" w14:textId="77777777" w:rsidR="00180E7C" w:rsidRDefault="00000000">
            <w:pPr>
              <w:pStyle w:val="Compact"/>
            </w:pPr>
            <w:r>
              <w:t>Code</w:t>
            </w:r>
          </w:p>
        </w:tc>
        <w:tc>
          <w:tcPr>
            <w:tcW w:w="0" w:type="auto"/>
          </w:tcPr>
          <w:p w14:paraId="3B9CA700" w14:textId="77777777" w:rsidR="00180E7C" w:rsidRDefault="00000000">
            <w:pPr>
              <w:pStyle w:val="Compact"/>
            </w:pPr>
            <w:r>
              <w:t>Violation</w:t>
            </w:r>
          </w:p>
        </w:tc>
        <w:tc>
          <w:tcPr>
            <w:tcW w:w="0" w:type="auto"/>
          </w:tcPr>
          <w:p w14:paraId="03BF878A" w14:textId="77777777" w:rsidR="00180E7C" w:rsidRDefault="00000000">
            <w:pPr>
              <w:pStyle w:val="Compact"/>
            </w:pPr>
            <w:r>
              <w:t>Points</w:t>
            </w:r>
          </w:p>
        </w:tc>
      </w:tr>
      <w:tr w:rsidR="00180E7C" w14:paraId="0ABB3CAF" w14:textId="77777777">
        <w:tc>
          <w:tcPr>
            <w:tcW w:w="0" w:type="auto"/>
          </w:tcPr>
          <w:p w14:paraId="7D9678BE" w14:textId="77777777" w:rsidR="00180E7C" w:rsidRDefault="00000000">
            <w:pPr>
              <w:pStyle w:val="Compact"/>
            </w:pPr>
            <w:r>
              <w:t>7.1</w:t>
            </w:r>
          </w:p>
        </w:tc>
        <w:tc>
          <w:tcPr>
            <w:tcW w:w="0" w:type="auto"/>
          </w:tcPr>
          <w:p w14:paraId="10A3131A" w14:textId="77777777" w:rsidR="00180E7C" w:rsidRDefault="00000000">
            <w:pPr>
              <w:pStyle w:val="Compact"/>
            </w:pPr>
            <w:r>
              <w:t>Declaration omission in proxy domain reporting, corrected</w:t>
            </w:r>
          </w:p>
        </w:tc>
        <w:tc>
          <w:tcPr>
            <w:tcW w:w="0" w:type="auto"/>
          </w:tcPr>
          <w:p w14:paraId="5B208C82" w14:textId="77777777" w:rsidR="00180E7C" w:rsidRDefault="00000000">
            <w:pPr>
              <w:pStyle w:val="Compact"/>
            </w:pPr>
            <w:r>
              <w:t>1</w:t>
            </w:r>
          </w:p>
        </w:tc>
      </w:tr>
      <w:tr w:rsidR="00180E7C" w14:paraId="79E79AC5" w14:textId="77777777">
        <w:tc>
          <w:tcPr>
            <w:tcW w:w="0" w:type="auto"/>
          </w:tcPr>
          <w:p w14:paraId="4C13B6CD" w14:textId="77777777" w:rsidR="00180E7C" w:rsidRDefault="00000000">
            <w:pPr>
              <w:pStyle w:val="Compact"/>
            </w:pPr>
            <w:r>
              <w:t>7.2</w:t>
            </w:r>
          </w:p>
        </w:tc>
        <w:tc>
          <w:tcPr>
            <w:tcW w:w="0" w:type="auto"/>
          </w:tcPr>
          <w:p w14:paraId="2B58BD47" w14:textId="77777777" w:rsidR="00180E7C" w:rsidRDefault="00000000">
            <w:pPr>
              <w:pStyle w:val="Compact"/>
            </w:pPr>
            <w:r>
              <w:t>Material support flow detected, interdicted and acknowledged</w:t>
            </w:r>
          </w:p>
        </w:tc>
        <w:tc>
          <w:tcPr>
            <w:tcW w:w="0" w:type="auto"/>
          </w:tcPr>
          <w:p w14:paraId="0662085D" w14:textId="77777777" w:rsidR="00180E7C" w:rsidRDefault="00000000">
            <w:pPr>
              <w:pStyle w:val="Compact"/>
            </w:pPr>
            <w:r>
              <w:t>4</w:t>
            </w:r>
          </w:p>
        </w:tc>
      </w:tr>
      <w:tr w:rsidR="00180E7C" w14:paraId="6B9984AB" w14:textId="77777777">
        <w:tc>
          <w:tcPr>
            <w:tcW w:w="0" w:type="auto"/>
          </w:tcPr>
          <w:p w14:paraId="4529603E" w14:textId="77777777" w:rsidR="00180E7C" w:rsidRDefault="00000000">
            <w:pPr>
              <w:pStyle w:val="Compact"/>
            </w:pPr>
            <w:r>
              <w:t>7.3</w:t>
            </w:r>
          </w:p>
        </w:tc>
        <w:tc>
          <w:tcPr>
            <w:tcW w:w="0" w:type="auto"/>
          </w:tcPr>
          <w:p w14:paraId="5F5DFAEB" w14:textId="77777777" w:rsidR="00180E7C" w:rsidRDefault="00000000">
            <w:pPr>
              <w:pStyle w:val="Compact"/>
            </w:pPr>
            <w:r>
              <w:t>Material support flow detected, denied and verified</w:t>
            </w:r>
          </w:p>
        </w:tc>
        <w:tc>
          <w:tcPr>
            <w:tcW w:w="0" w:type="auto"/>
          </w:tcPr>
          <w:p w14:paraId="337005C1" w14:textId="77777777" w:rsidR="00180E7C" w:rsidRDefault="00000000">
            <w:pPr>
              <w:pStyle w:val="Compact"/>
            </w:pPr>
            <w:r>
              <w:t>8</w:t>
            </w:r>
          </w:p>
        </w:tc>
      </w:tr>
      <w:tr w:rsidR="00180E7C" w14:paraId="08372599" w14:textId="77777777">
        <w:tc>
          <w:tcPr>
            <w:tcW w:w="0" w:type="auto"/>
          </w:tcPr>
          <w:p w14:paraId="7B837FDD" w14:textId="77777777" w:rsidR="00180E7C" w:rsidRDefault="00000000">
            <w:pPr>
              <w:pStyle w:val="Compact"/>
            </w:pPr>
            <w:r>
              <w:t>7.4</w:t>
            </w:r>
          </w:p>
        </w:tc>
        <w:tc>
          <w:tcPr>
            <w:tcW w:w="0" w:type="auto"/>
          </w:tcPr>
          <w:p w14:paraId="7ECD4947" w14:textId="77777777" w:rsidR="00180E7C" w:rsidRDefault="00000000">
            <w:pPr>
              <w:pStyle w:val="Compact"/>
            </w:pPr>
            <w:r>
              <w:t>Direction of cross-border attack by supported group, attributed</w:t>
            </w:r>
          </w:p>
        </w:tc>
        <w:tc>
          <w:tcPr>
            <w:tcW w:w="0" w:type="auto"/>
          </w:tcPr>
          <w:p w14:paraId="24811CB6" w14:textId="77777777" w:rsidR="00180E7C" w:rsidRDefault="00000000">
            <w:pPr>
              <w:pStyle w:val="Compact"/>
            </w:pPr>
            <w:r>
              <w:t>12</w:t>
            </w:r>
          </w:p>
        </w:tc>
      </w:tr>
    </w:tbl>
    <w:p w14:paraId="46AA09E4" w14:textId="77777777" w:rsidR="00180E7C" w:rsidRDefault="00000000">
      <w:pPr>
        <w:pStyle w:val="Heading3"/>
      </w:pPr>
      <w:bookmarkStart w:id="618" w:name="category-8-cyber-domain-article-22"/>
      <w:bookmarkEnd w:id="617"/>
      <w:r>
        <w:t>Category 8: Cyber Domain (Article 22)</w:t>
      </w:r>
    </w:p>
    <w:tbl>
      <w:tblPr>
        <w:tblStyle w:val="Table"/>
        <w:tblW w:w="5000" w:type="pct"/>
        <w:tblLook w:val="0020" w:firstRow="1" w:lastRow="0" w:firstColumn="0" w:lastColumn="0" w:noHBand="0" w:noVBand="0"/>
      </w:tblPr>
      <w:tblGrid>
        <w:gridCol w:w="865"/>
        <w:gridCol w:w="7685"/>
        <w:gridCol w:w="1026"/>
      </w:tblGrid>
      <w:tr w:rsidR="00180E7C" w14:paraId="1D5562BA"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44A4939" w14:textId="77777777" w:rsidR="00180E7C" w:rsidRDefault="00000000">
            <w:pPr>
              <w:pStyle w:val="Compact"/>
            </w:pPr>
            <w:r>
              <w:t>Code</w:t>
            </w:r>
          </w:p>
        </w:tc>
        <w:tc>
          <w:tcPr>
            <w:tcW w:w="0" w:type="auto"/>
          </w:tcPr>
          <w:p w14:paraId="30E7B792" w14:textId="77777777" w:rsidR="00180E7C" w:rsidRDefault="00000000">
            <w:pPr>
              <w:pStyle w:val="Compact"/>
            </w:pPr>
            <w:r>
              <w:t>Violation</w:t>
            </w:r>
          </w:p>
        </w:tc>
        <w:tc>
          <w:tcPr>
            <w:tcW w:w="0" w:type="auto"/>
          </w:tcPr>
          <w:p w14:paraId="447A27CB" w14:textId="77777777" w:rsidR="00180E7C" w:rsidRDefault="00000000">
            <w:pPr>
              <w:pStyle w:val="Compact"/>
            </w:pPr>
            <w:r>
              <w:t>Points</w:t>
            </w:r>
          </w:p>
        </w:tc>
      </w:tr>
      <w:tr w:rsidR="00180E7C" w14:paraId="16E5EFE6" w14:textId="77777777">
        <w:tc>
          <w:tcPr>
            <w:tcW w:w="0" w:type="auto"/>
          </w:tcPr>
          <w:p w14:paraId="6FB93416" w14:textId="77777777" w:rsidR="00180E7C" w:rsidRDefault="00000000">
            <w:pPr>
              <w:pStyle w:val="Compact"/>
            </w:pPr>
            <w:r>
              <w:t>8.1</w:t>
            </w:r>
          </w:p>
        </w:tc>
        <w:tc>
          <w:tcPr>
            <w:tcW w:w="0" w:type="auto"/>
          </w:tcPr>
          <w:p w14:paraId="2F102AE0" w14:textId="77777777" w:rsidR="00180E7C" w:rsidRDefault="00000000">
            <w:pPr>
              <w:pStyle w:val="Compact"/>
            </w:pPr>
            <w:r>
              <w:t>Intrusion into non-critical systems, attributed, acknowledged</w:t>
            </w:r>
          </w:p>
        </w:tc>
        <w:tc>
          <w:tcPr>
            <w:tcW w:w="0" w:type="auto"/>
          </w:tcPr>
          <w:p w14:paraId="1A49A905" w14:textId="77777777" w:rsidR="00180E7C" w:rsidRDefault="00000000">
            <w:pPr>
              <w:pStyle w:val="Compact"/>
            </w:pPr>
            <w:r>
              <w:t>2</w:t>
            </w:r>
          </w:p>
        </w:tc>
      </w:tr>
      <w:tr w:rsidR="00180E7C" w14:paraId="2AC9122A" w14:textId="77777777">
        <w:tc>
          <w:tcPr>
            <w:tcW w:w="0" w:type="auto"/>
          </w:tcPr>
          <w:p w14:paraId="0E30FE2F" w14:textId="77777777" w:rsidR="00180E7C" w:rsidRDefault="00000000">
            <w:pPr>
              <w:pStyle w:val="Compact"/>
            </w:pPr>
            <w:r>
              <w:lastRenderedPageBreak/>
              <w:t>8.2</w:t>
            </w:r>
          </w:p>
        </w:tc>
        <w:tc>
          <w:tcPr>
            <w:tcW w:w="0" w:type="auto"/>
          </w:tcPr>
          <w:p w14:paraId="08940A53" w14:textId="77777777" w:rsidR="00180E7C" w:rsidRDefault="00000000">
            <w:pPr>
              <w:pStyle w:val="Compact"/>
            </w:pPr>
            <w:r>
              <w:t>Operation against critical infrastructure, attributed</w:t>
            </w:r>
          </w:p>
        </w:tc>
        <w:tc>
          <w:tcPr>
            <w:tcW w:w="0" w:type="auto"/>
          </w:tcPr>
          <w:p w14:paraId="325CBCF0" w14:textId="77777777" w:rsidR="00180E7C" w:rsidRDefault="00000000">
            <w:pPr>
              <w:pStyle w:val="Compact"/>
            </w:pPr>
            <w:r>
              <w:t>8</w:t>
            </w:r>
          </w:p>
        </w:tc>
      </w:tr>
      <w:tr w:rsidR="00180E7C" w14:paraId="0478D5EA" w14:textId="77777777">
        <w:tc>
          <w:tcPr>
            <w:tcW w:w="0" w:type="auto"/>
          </w:tcPr>
          <w:p w14:paraId="7ECA99F7" w14:textId="77777777" w:rsidR="00180E7C" w:rsidRDefault="00000000">
            <w:pPr>
              <w:pStyle w:val="Compact"/>
            </w:pPr>
            <w:r>
              <w:t>8.3</w:t>
            </w:r>
          </w:p>
        </w:tc>
        <w:tc>
          <w:tcPr>
            <w:tcW w:w="0" w:type="auto"/>
          </w:tcPr>
          <w:p w14:paraId="3D818839" w14:textId="77777777" w:rsidR="00180E7C" w:rsidRDefault="00000000">
            <w:pPr>
              <w:pStyle w:val="Compact"/>
            </w:pPr>
            <w:r>
              <w:t>Interference with verification systems</w:t>
            </w:r>
          </w:p>
        </w:tc>
        <w:tc>
          <w:tcPr>
            <w:tcW w:w="0" w:type="auto"/>
          </w:tcPr>
          <w:p w14:paraId="2D53D756" w14:textId="77777777" w:rsidR="00180E7C" w:rsidRDefault="00000000">
            <w:pPr>
              <w:pStyle w:val="Compact"/>
            </w:pPr>
            <w:r>
              <w:t>10</w:t>
            </w:r>
          </w:p>
        </w:tc>
      </w:tr>
    </w:tbl>
    <w:p w14:paraId="2AB3130E" w14:textId="77777777" w:rsidR="00180E7C" w:rsidRDefault="00000000">
      <w:pPr>
        <w:pStyle w:val="Heading3"/>
      </w:pPr>
      <w:bookmarkStart w:id="619" w:name="X3263f17c3357cca4f0c493dbc0107e6b1cbcf42"/>
      <w:bookmarkEnd w:id="618"/>
      <w:r>
        <w:t>Category 9: Declarations Integrity (Annex C, Section 5)</w:t>
      </w:r>
    </w:p>
    <w:tbl>
      <w:tblPr>
        <w:tblStyle w:val="Table"/>
        <w:tblW w:w="0" w:type="auto"/>
        <w:tblLook w:val="0020" w:firstRow="1" w:lastRow="0" w:firstColumn="0" w:lastColumn="0" w:noHBand="0" w:noVBand="0"/>
      </w:tblPr>
      <w:tblGrid>
        <w:gridCol w:w="729"/>
        <w:gridCol w:w="5520"/>
        <w:gridCol w:w="865"/>
      </w:tblGrid>
      <w:tr w:rsidR="00180E7C" w14:paraId="3F9BD829"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2EEB789" w14:textId="77777777" w:rsidR="00180E7C" w:rsidRDefault="00000000">
            <w:pPr>
              <w:pStyle w:val="Compact"/>
            </w:pPr>
            <w:r>
              <w:t>Code</w:t>
            </w:r>
          </w:p>
        </w:tc>
        <w:tc>
          <w:tcPr>
            <w:tcW w:w="0" w:type="auto"/>
          </w:tcPr>
          <w:p w14:paraId="0B03C622" w14:textId="77777777" w:rsidR="00180E7C" w:rsidRDefault="00000000">
            <w:pPr>
              <w:pStyle w:val="Compact"/>
            </w:pPr>
            <w:r>
              <w:t>Violation</w:t>
            </w:r>
          </w:p>
        </w:tc>
        <w:tc>
          <w:tcPr>
            <w:tcW w:w="0" w:type="auto"/>
          </w:tcPr>
          <w:p w14:paraId="2AD4C525" w14:textId="77777777" w:rsidR="00180E7C" w:rsidRDefault="00000000">
            <w:pPr>
              <w:pStyle w:val="Compact"/>
            </w:pPr>
            <w:r>
              <w:t>Points</w:t>
            </w:r>
          </w:p>
        </w:tc>
      </w:tr>
      <w:tr w:rsidR="00180E7C" w14:paraId="132D2525" w14:textId="77777777">
        <w:tc>
          <w:tcPr>
            <w:tcW w:w="0" w:type="auto"/>
          </w:tcPr>
          <w:p w14:paraId="58C06DD1" w14:textId="77777777" w:rsidR="00180E7C" w:rsidRDefault="00000000">
            <w:pPr>
              <w:pStyle w:val="Compact"/>
            </w:pPr>
            <w:r>
              <w:t>9.1</w:t>
            </w:r>
          </w:p>
        </w:tc>
        <w:tc>
          <w:tcPr>
            <w:tcW w:w="0" w:type="auto"/>
          </w:tcPr>
          <w:p w14:paraId="6941CB5B" w14:textId="77777777" w:rsidR="00180E7C" w:rsidRDefault="00000000">
            <w:pPr>
              <w:pStyle w:val="Compact"/>
            </w:pPr>
            <w:r>
              <w:t>Material omission in baseline declaration, corrected</w:t>
            </w:r>
          </w:p>
        </w:tc>
        <w:tc>
          <w:tcPr>
            <w:tcW w:w="0" w:type="auto"/>
          </w:tcPr>
          <w:p w14:paraId="1C23597F" w14:textId="77777777" w:rsidR="00180E7C" w:rsidRDefault="00000000">
            <w:pPr>
              <w:pStyle w:val="Compact"/>
            </w:pPr>
            <w:r>
              <w:t>2</w:t>
            </w:r>
          </w:p>
        </w:tc>
      </w:tr>
      <w:tr w:rsidR="00180E7C" w14:paraId="1C148CFB" w14:textId="77777777">
        <w:tc>
          <w:tcPr>
            <w:tcW w:w="0" w:type="auto"/>
          </w:tcPr>
          <w:p w14:paraId="45F6C546" w14:textId="77777777" w:rsidR="00180E7C" w:rsidRDefault="00000000">
            <w:pPr>
              <w:pStyle w:val="Compact"/>
            </w:pPr>
            <w:r>
              <w:t>9.2</w:t>
            </w:r>
          </w:p>
        </w:tc>
        <w:tc>
          <w:tcPr>
            <w:tcW w:w="0" w:type="auto"/>
          </w:tcPr>
          <w:p w14:paraId="26FAD730" w14:textId="77777777" w:rsidR="00180E7C" w:rsidRDefault="00000000">
            <w:pPr>
              <w:pStyle w:val="Compact"/>
            </w:pPr>
            <w:r>
              <w:t>Materially false declaration, verified</w:t>
            </w:r>
          </w:p>
        </w:tc>
        <w:tc>
          <w:tcPr>
            <w:tcW w:w="0" w:type="auto"/>
          </w:tcPr>
          <w:p w14:paraId="001E0E3B" w14:textId="77777777" w:rsidR="00180E7C" w:rsidRDefault="00000000">
            <w:pPr>
              <w:pStyle w:val="Compact"/>
            </w:pPr>
            <w:r>
              <w:t>6</w:t>
            </w:r>
          </w:p>
        </w:tc>
      </w:tr>
    </w:tbl>
    <w:p w14:paraId="5B713EB8" w14:textId="77777777" w:rsidR="00180E7C" w:rsidRDefault="00000000">
      <w:pPr>
        <w:pStyle w:val="Heading3"/>
      </w:pPr>
      <w:bookmarkStart w:id="620" w:name="Xdd3272bfeb63203a0dd21aa44154ae39b9fcd8b"/>
      <w:bookmarkEnd w:id="619"/>
      <w:r>
        <w:t>Category 10: Process Violations (Annex C, Section 8)</w:t>
      </w:r>
    </w:p>
    <w:tbl>
      <w:tblPr>
        <w:tblStyle w:val="Table"/>
        <w:tblW w:w="0" w:type="auto"/>
        <w:tblLook w:val="0020" w:firstRow="1" w:lastRow="0" w:firstColumn="0" w:lastColumn="0" w:noHBand="0" w:noVBand="0"/>
      </w:tblPr>
      <w:tblGrid>
        <w:gridCol w:w="729"/>
        <w:gridCol w:w="4474"/>
        <w:gridCol w:w="865"/>
      </w:tblGrid>
      <w:tr w:rsidR="00180E7C" w14:paraId="48F8AA88"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27FF04A" w14:textId="77777777" w:rsidR="00180E7C" w:rsidRDefault="00000000">
            <w:pPr>
              <w:pStyle w:val="Compact"/>
            </w:pPr>
            <w:r>
              <w:t>Code</w:t>
            </w:r>
          </w:p>
        </w:tc>
        <w:tc>
          <w:tcPr>
            <w:tcW w:w="0" w:type="auto"/>
          </w:tcPr>
          <w:p w14:paraId="2131F963" w14:textId="77777777" w:rsidR="00180E7C" w:rsidRDefault="00000000">
            <w:pPr>
              <w:pStyle w:val="Compact"/>
            </w:pPr>
            <w:r>
              <w:t>Violation</w:t>
            </w:r>
          </w:p>
        </w:tc>
        <w:tc>
          <w:tcPr>
            <w:tcW w:w="0" w:type="auto"/>
          </w:tcPr>
          <w:p w14:paraId="15390EC7" w14:textId="77777777" w:rsidR="00180E7C" w:rsidRDefault="00000000">
            <w:pPr>
              <w:pStyle w:val="Compact"/>
            </w:pPr>
            <w:r>
              <w:t>Points</w:t>
            </w:r>
          </w:p>
        </w:tc>
      </w:tr>
      <w:tr w:rsidR="00180E7C" w14:paraId="26DD7939" w14:textId="77777777">
        <w:tc>
          <w:tcPr>
            <w:tcW w:w="0" w:type="auto"/>
          </w:tcPr>
          <w:p w14:paraId="06B2ECC4" w14:textId="77777777" w:rsidR="00180E7C" w:rsidRDefault="00000000">
            <w:pPr>
              <w:pStyle w:val="Compact"/>
            </w:pPr>
            <w:r>
              <w:t>10.1</w:t>
            </w:r>
          </w:p>
        </w:tc>
        <w:tc>
          <w:tcPr>
            <w:tcW w:w="0" w:type="auto"/>
          </w:tcPr>
          <w:p w14:paraId="1931C803" w14:textId="77777777" w:rsidR="00180E7C" w:rsidRDefault="00000000">
            <w:pPr>
              <w:pStyle w:val="Compact"/>
            </w:pPr>
            <w:r>
              <w:t>Frivolous claim</w:t>
            </w:r>
          </w:p>
        </w:tc>
        <w:tc>
          <w:tcPr>
            <w:tcW w:w="0" w:type="auto"/>
          </w:tcPr>
          <w:p w14:paraId="25D2E665" w14:textId="77777777" w:rsidR="00180E7C" w:rsidRDefault="00000000">
            <w:pPr>
              <w:pStyle w:val="Compact"/>
            </w:pPr>
            <w:r>
              <w:t>1</w:t>
            </w:r>
          </w:p>
        </w:tc>
      </w:tr>
      <w:tr w:rsidR="00180E7C" w14:paraId="57CCC991" w14:textId="77777777">
        <w:tc>
          <w:tcPr>
            <w:tcW w:w="0" w:type="auto"/>
          </w:tcPr>
          <w:p w14:paraId="198052F4" w14:textId="77777777" w:rsidR="00180E7C" w:rsidRDefault="00000000">
            <w:pPr>
              <w:pStyle w:val="Compact"/>
            </w:pPr>
            <w:r>
              <w:t>10.2</w:t>
            </w:r>
          </w:p>
        </w:tc>
        <w:tc>
          <w:tcPr>
            <w:tcW w:w="0" w:type="auto"/>
          </w:tcPr>
          <w:p w14:paraId="6AFB2CE9" w14:textId="77777777" w:rsidR="00180E7C" w:rsidRDefault="00000000">
            <w:pPr>
              <w:pStyle w:val="Compact"/>
            </w:pPr>
            <w:r>
              <w:t>Frivolous objection (escalating: 1 / 2 / 3)</w:t>
            </w:r>
          </w:p>
        </w:tc>
        <w:tc>
          <w:tcPr>
            <w:tcW w:w="0" w:type="auto"/>
          </w:tcPr>
          <w:p w14:paraId="40F6D16B" w14:textId="77777777" w:rsidR="00180E7C" w:rsidRDefault="00000000">
            <w:pPr>
              <w:pStyle w:val="Compact"/>
            </w:pPr>
            <w:r>
              <w:t>1-3</w:t>
            </w:r>
          </w:p>
        </w:tc>
      </w:tr>
      <w:tr w:rsidR="00180E7C" w14:paraId="78572006" w14:textId="77777777">
        <w:tc>
          <w:tcPr>
            <w:tcW w:w="0" w:type="auto"/>
          </w:tcPr>
          <w:p w14:paraId="665D9564" w14:textId="77777777" w:rsidR="00180E7C" w:rsidRDefault="00000000">
            <w:pPr>
              <w:pStyle w:val="Compact"/>
            </w:pPr>
            <w:r>
              <w:t>10.3</w:t>
            </w:r>
          </w:p>
        </w:tc>
        <w:tc>
          <w:tcPr>
            <w:tcW w:w="0" w:type="auto"/>
          </w:tcPr>
          <w:p w14:paraId="2F3915BD" w14:textId="77777777" w:rsidR="00180E7C" w:rsidRDefault="00000000">
            <w:pPr>
              <w:pStyle w:val="Compact"/>
            </w:pPr>
            <w:r>
              <w:t>Obstruction of neutral expert review</w:t>
            </w:r>
          </w:p>
        </w:tc>
        <w:tc>
          <w:tcPr>
            <w:tcW w:w="0" w:type="auto"/>
          </w:tcPr>
          <w:p w14:paraId="3C03C987" w14:textId="77777777" w:rsidR="00180E7C" w:rsidRDefault="00000000">
            <w:pPr>
              <w:pStyle w:val="Compact"/>
            </w:pPr>
            <w:r>
              <w:t>3</w:t>
            </w:r>
          </w:p>
        </w:tc>
      </w:tr>
      <w:tr w:rsidR="00180E7C" w14:paraId="679F5A76" w14:textId="77777777">
        <w:tc>
          <w:tcPr>
            <w:tcW w:w="0" w:type="auto"/>
          </w:tcPr>
          <w:p w14:paraId="41747A2B" w14:textId="77777777" w:rsidR="00180E7C" w:rsidRDefault="00000000">
            <w:pPr>
              <w:pStyle w:val="Compact"/>
            </w:pPr>
            <w:r>
              <w:t>10.4</w:t>
            </w:r>
          </w:p>
        </w:tc>
        <w:tc>
          <w:tcPr>
            <w:tcW w:w="0" w:type="auto"/>
          </w:tcPr>
          <w:p w14:paraId="2C7FA45B" w14:textId="77777777" w:rsidR="00180E7C" w:rsidRDefault="00000000">
            <w:pPr>
              <w:pStyle w:val="Compact"/>
            </w:pPr>
            <w:r>
              <w:t>Breach of redacted-review confidentiality</w:t>
            </w:r>
          </w:p>
        </w:tc>
        <w:tc>
          <w:tcPr>
            <w:tcW w:w="0" w:type="auto"/>
          </w:tcPr>
          <w:p w14:paraId="37D0FDA4" w14:textId="77777777" w:rsidR="00180E7C" w:rsidRDefault="00000000">
            <w:pPr>
              <w:pStyle w:val="Compact"/>
            </w:pPr>
            <w:r>
              <w:t>4</w:t>
            </w:r>
          </w:p>
        </w:tc>
      </w:tr>
    </w:tbl>
    <w:p w14:paraId="675E518F" w14:textId="77777777" w:rsidR="00180E7C" w:rsidRDefault="00000000">
      <w:pPr>
        <w:pStyle w:val="Heading2"/>
      </w:pPr>
      <w:bookmarkStart w:id="621" w:name="d.6-assessment-and-publication"/>
      <w:bookmarkEnd w:id="610"/>
      <w:bookmarkEnd w:id="620"/>
      <w:r>
        <w:t>D.6 Assessment and Publication</w:t>
      </w:r>
    </w:p>
    <w:p w14:paraId="286BBBFC" w14:textId="77777777" w:rsidR="00180E7C" w:rsidRDefault="00000000">
      <w:pPr>
        <w:pStyle w:val="FirstParagraph"/>
      </w:pPr>
      <w:r>
        <w:t>D.6.1 Point assessments publish on the Compliance Dashboard (non-sensitive categories) and in the Treaty-Restricted record (sensitive categories). The quarterly demerit report summarizes: assessments, expirations, challenges, and standing active points per Party.</w:t>
      </w:r>
    </w:p>
    <w:p w14:paraId="48176EA4" w14:textId="77777777" w:rsidR="00180E7C" w:rsidRDefault="00000000">
      <w:pPr>
        <w:pStyle w:val="BodyText"/>
      </w:pPr>
      <w:r>
        <w:t>D.6.2 Symmetry: the Matrix applies identically to both Parties. The schedule contains no category applicable to one Party only in structure; domain categories bind whichever Party holds obligations in that domain.</w:t>
      </w:r>
    </w:p>
    <w:p w14:paraId="45FC56FB" w14:textId="77777777" w:rsidR="00180E7C" w:rsidRDefault="00000000">
      <w:r>
        <w:br w:type="page"/>
      </w:r>
    </w:p>
    <w:p w14:paraId="7CA1A702" w14:textId="77777777" w:rsidR="00180E7C" w:rsidRDefault="00000000">
      <w:pPr>
        <w:pStyle w:val="Heading1"/>
      </w:pPr>
      <w:bookmarkStart w:id="622" w:name="X397c19e4301c9bbcfa3e7e6239d307e8fcb250e"/>
      <w:bookmarkStart w:id="623" w:name="_Toc237843170"/>
      <w:bookmarkEnd w:id="604"/>
      <w:bookmarkEnd w:id="621"/>
      <w:r>
        <w:lastRenderedPageBreak/>
        <w:t>ANNEX E: STEP-BACK AND EARN-BACK SCHEDULES</w:t>
      </w:r>
      <w:bookmarkEnd w:id="623"/>
    </w:p>
    <w:p w14:paraId="6090F109" w14:textId="77777777" w:rsidR="00180E7C" w:rsidRDefault="00000000">
      <w:pPr>
        <w:pStyle w:val="Heading2"/>
      </w:pPr>
      <w:bookmarkStart w:id="624" w:name="e.1-architecture"/>
      <w:r>
        <w:t>E.1 Architecture</w:t>
      </w:r>
    </w:p>
    <w:p w14:paraId="337BC31B" w14:textId="77777777" w:rsidR="00180E7C" w:rsidRDefault="00000000">
      <w:pPr>
        <w:pStyle w:val="FirstParagraph"/>
      </w:pPr>
      <w:r>
        <w:t>E.1.1 This Annex operationalizes Article 70. Step-back means the proportionate, reversible pause of defined benefit lines. Earn-back means the automatic restoration of paused benefits upon verified remediation plus one clean verification cycle. The schedules execute mechanically through the Cothrom Engine.</w:t>
      </w:r>
    </w:p>
    <w:p w14:paraId="2DF8BEAC" w14:textId="77777777" w:rsidR="00180E7C" w:rsidRDefault="00000000">
      <w:pPr>
        <w:pStyle w:val="BodyText"/>
      </w:pPr>
      <w:r>
        <w:t xml:space="preserve">E.1.2 </w:t>
      </w:r>
      <w:r>
        <w:rPr>
          <w:b/>
          <w:bCs/>
        </w:rPr>
        <w:t>Benefit lines.</w:t>
      </w:r>
      <w:r>
        <w:t xml:space="preserve"> The Treaty organizes benefits into discrete lines so that proportionality operates on defined quantities rather than on the Treaty as a whole:</w:t>
      </w:r>
    </w:p>
    <w:tbl>
      <w:tblPr>
        <w:tblStyle w:val="Table"/>
        <w:tblW w:w="5000" w:type="pct"/>
        <w:tblLook w:val="0020" w:firstRow="1" w:lastRow="0" w:firstColumn="0" w:lastColumn="0" w:noHBand="0" w:noVBand="0"/>
      </w:tblPr>
      <w:tblGrid>
        <w:gridCol w:w="778"/>
        <w:gridCol w:w="5563"/>
        <w:gridCol w:w="3235"/>
      </w:tblGrid>
      <w:tr w:rsidR="00180E7C" w14:paraId="6703D32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AB79A7C" w14:textId="77777777" w:rsidR="00180E7C" w:rsidRDefault="00000000">
            <w:pPr>
              <w:pStyle w:val="Compact"/>
            </w:pPr>
            <w:r>
              <w:t>Line</w:t>
            </w:r>
          </w:p>
        </w:tc>
        <w:tc>
          <w:tcPr>
            <w:tcW w:w="0" w:type="auto"/>
          </w:tcPr>
          <w:p w14:paraId="30AE6442" w14:textId="77777777" w:rsidR="00180E7C" w:rsidRDefault="00000000">
            <w:pPr>
              <w:pStyle w:val="Compact"/>
            </w:pPr>
            <w:r>
              <w:t>Description</w:t>
            </w:r>
          </w:p>
        </w:tc>
        <w:tc>
          <w:tcPr>
            <w:tcW w:w="0" w:type="auto"/>
          </w:tcPr>
          <w:p w14:paraId="2D491052" w14:textId="77777777" w:rsidR="00180E7C" w:rsidRDefault="00000000">
            <w:pPr>
              <w:pStyle w:val="Compact"/>
            </w:pPr>
            <w:r>
              <w:t>Beneficiary</w:t>
            </w:r>
          </w:p>
        </w:tc>
      </w:tr>
      <w:tr w:rsidR="00180E7C" w14:paraId="7827B55C" w14:textId="77777777">
        <w:tc>
          <w:tcPr>
            <w:tcW w:w="0" w:type="auto"/>
          </w:tcPr>
          <w:p w14:paraId="18C99129" w14:textId="77777777" w:rsidR="00180E7C" w:rsidRDefault="00000000">
            <w:pPr>
              <w:pStyle w:val="Compact"/>
            </w:pPr>
            <w:r>
              <w:t>BL-1</w:t>
            </w:r>
          </w:p>
        </w:tc>
        <w:tc>
          <w:tcPr>
            <w:tcW w:w="0" w:type="auto"/>
          </w:tcPr>
          <w:p w14:paraId="07D298A1" w14:textId="77777777" w:rsidR="00180E7C" w:rsidRDefault="00000000">
            <w:pPr>
              <w:pStyle w:val="Compact"/>
            </w:pPr>
            <w:r>
              <w:t>Oil export facilitation and payment channels</w:t>
            </w:r>
          </w:p>
        </w:tc>
        <w:tc>
          <w:tcPr>
            <w:tcW w:w="0" w:type="auto"/>
          </w:tcPr>
          <w:p w14:paraId="35361DF3" w14:textId="77777777" w:rsidR="00180E7C" w:rsidRDefault="00000000">
            <w:pPr>
              <w:pStyle w:val="Compact"/>
            </w:pPr>
            <w:r>
              <w:t>Iran</w:t>
            </w:r>
          </w:p>
        </w:tc>
      </w:tr>
      <w:tr w:rsidR="00180E7C" w14:paraId="7835901B" w14:textId="77777777">
        <w:tc>
          <w:tcPr>
            <w:tcW w:w="0" w:type="auto"/>
          </w:tcPr>
          <w:p w14:paraId="26659292" w14:textId="77777777" w:rsidR="00180E7C" w:rsidRDefault="00000000">
            <w:pPr>
              <w:pStyle w:val="Compact"/>
            </w:pPr>
            <w:r>
              <w:t>BL-2</w:t>
            </w:r>
          </w:p>
        </w:tc>
        <w:tc>
          <w:tcPr>
            <w:tcW w:w="0" w:type="auto"/>
          </w:tcPr>
          <w:p w14:paraId="21B4A02A" w14:textId="77777777" w:rsidR="00180E7C" w:rsidRDefault="00000000">
            <w:pPr>
              <w:pStyle w:val="Compact"/>
            </w:pPr>
            <w:r>
              <w:t>Financial sector access (SWIFT, correspondent banking)</w:t>
            </w:r>
          </w:p>
        </w:tc>
        <w:tc>
          <w:tcPr>
            <w:tcW w:w="0" w:type="auto"/>
          </w:tcPr>
          <w:p w14:paraId="29713CC8" w14:textId="77777777" w:rsidR="00180E7C" w:rsidRDefault="00000000">
            <w:pPr>
              <w:pStyle w:val="Compact"/>
            </w:pPr>
            <w:r>
              <w:t>Iran</w:t>
            </w:r>
          </w:p>
        </w:tc>
      </w:tr>
      <w:tr w:rsidR="00180E7C" w14:paraId="322B1A51" w14:textId="77777777">
        <w:tc>
          <w:tcPr>
            <w:tcW w:w="0" w:type="auto"/>
          </w:tcPr>
          <w:p w14:paraId="39E658A4" w14:textId="77777777" w:rsidR="00180E7C" w:rsidRDefault="00000000">
            <w:pPr>
              <w:pStyle w:val="Compact"/>
            </w:pPr>
            <w:r>
              <w:t>BL-3</w:t>
            </w:r>
          </w:p>
        </w:tc>
        <w:tc>
          <w:tcPr>
            <w:tcW w:w="0" w:type="auto"/>
          </w:tcPr>
          <w:p w14:paraId="54E356BB" w14:textId="77777777" w:rsidR="00180E7C" w:rsidRDefault="00000000">
            <w:pPr>
              <w:pStyle w:val="Compact"/>
            </w:pPr>
            <w:r>
              <w:t>Frozen asset release schedule</w:t>
            </w:r>
          </w:p>
        </w:tc>
        <w:tc>
          <w:tcPr>
            <w:tcW w:w="0" w:type="auto"/>
          </w:tcPr>
          <w:p w14:paraId="308324E4" w14:textId="77777777" w:rsidR="00180E7C" w:rsidRDefault="00000000">
            <w:pPr>
              <w:pStyle w:val="Compact"/>
            </w:pPr>
            <w:r>
              <w:t>Iran</w:t>
            </w:r>
          </w:p>
        </w:tc>
      </w:tr>
      <w:tr w:rsidR="00180E7C" w14:paraId="7122C16B" w14:textId="77777777">
        <w:tc>
          <w:tcPr>
            <w:tcW w:w="0" w:type="auto"/>
          </w:tcPr>
          <w:p w14:paraId="3A9D66F3" w14:textId="77777777" w:rsidR="00180E7C" w:rsidRDefault="00000000">
            <w:pPr>
              <w:pStyle w:val="Compact"/>
            </w:pPr>
            <w:r>
              <w:t>BL-4</w:t>
            </w:r>
          </w:p>
        </w:tc>
        <w:tc>
          <w:tcPr>
            <w:tcW w:w="0" w:type="auto"/>
          </w:tcPr>
          <w:p w14:paraId="438343BB" w14:textId="77777777" w:rsidR="00180E7C" w:rsidRDefault="00000000">
            <w:pPr>
              <w:pStyle w:val="Compact"/>
            </w:pPr>
            <w:r>
              <w:t>Investment and trade normalization measures</w:t>
            </w:r>
          </w:p>
        </w:tc>
        <w:tc>
          <w:tcPr>
            <w:tcW w:w="0" w:type="auto"/>
          </w:tcPr>
          <w:p w14:paraId="1DCA3367" w14:textId="77777777" w:rsidR="00180E7C" w:rsidRDefault="00000000">
            <w:pPr>
              <w:pStyle w:val="Compact"/>
            </w:pPr>
            <w:r>
              <w:t>Iran</w:t>
            </w:r>
          </w:p>
        </w:tc>
      </w:tr>
      <w:tr w:rsidR="00180E7C" w14:paraId="38644F85" w14:textId="77777777">
        <w:tc>
          <w:tcPr>
            <w:tcW w:w="0" w:type="auto"/>
          </w:tcPr>
          <w:p w14:paraId="5D631F41" w14:textId="77777777" w:rsidR="00180E7C" w:rsidRDefault="00000000">
            <w:pPr>
              <w:pStyle w:val="Compact"/>
            </w:pPr>
            <w:r>
              <w:t>BL-5</w:t>
            </w:r>
          </w:p>
        </w:tc>
        <w:tc>
          <w:tcPr>
            <w:tcW w:w="0" w:type="auto"/>
          </w:tcPr>
          <w:p w14:paraId="3EB2E458" w14:textId="77777777" w:rsidR="00180E7C" w:rsidRDefault="00000000">
            <w:pPr>
              <w:pStyle w:val="Compact"/>
            </w:pPr>
            <w:r>
              <w:t>Verification cooperation and access performance</w:t>
            </w:r>
          </w:p>
        </w:tc>
        <w:tc>
          <w:tcPr>
            <w:tcW w:w="0" w:type="auto"/>
          </w:tcPr>
          <w:p w14:paraId="6FEED4BD" w14:textId="77777777" w:rsidR="00180E7C" w:rsidRDefault="00000000">
            <w:pPr>
              <w:pStyle w:val="Compact"/>
            </w:pPr>
            <w:r>
              <w:t>United States benefit: assurance</w:t>
            </w:r>
          </w:p>
        </w:tc>
      </w:tr>
      <w:tr w:rsidR="00180E7C" w14:paraId="050C022B" w14:textId="77777777">
        <w:tc>
          <w:tcPr>
            <w:tcW w:w="0" w:type="auto"/>
          </w:tcPr>
          <w:p w14:paraId="7B4B7AB4" w14:textId="77777777" w:rsidR="00180E7C" w:rsidRDefault="00000000">
            <w:pPr>
              <w:pStyle w:val="Compact"/>
            </w:pPr>
            <w:r>
              <w:t>BL-6</w:t>
            </w:r>
          </w:p>
        </w:tc>
        <w:tc>
          <w:tcPr>
            <w:tcW w:w="0" w:type="auto"/>
          </w:tcPr>
          <w:p w14:paraId="19AF3FFB" w14:textId="77777777" w:rsidR="00180E7C" w:rsidRDefault="00000000">
            <w:pPr>
              <w:pStyle w:val="Compact"/>
            </w:pPr>
            <w:r>
              <w:t>Posture stand-down and corridor cooperation</w:t>
            </w:r>
          </w:p>
        </w:tc>
        <w:tc>
          <w:tcPr>
            <w:tcW w:w="0" w:type="auto"/>
          </w:tcPr>
          <w:p w14:paraId="73364BEF" w14:textId="77777777" w:rsidR="00180E7C" w:rsidRDefault="00000000">
            <w:pPr>
              <w:pStyle w:val="Compact"/>
            </w:pPr>
            <w:r>
              <w:t>United States benefit: security</w:t>
            </w:r>
          </w:p>
        </w:tc>
      </w:tr>
      <w:tr w:rsidR="00180E7C" w14:paraId="025D328F" w14:textId="77777777">
        <w:tc>
          <w:tcPr>
            <w:tcW w:w="0" w:type="auto"/>
          </w:tcPr>
          <w:p w14:paraId="38BBE64A" w14:textId="77777777" w:rsidR="00180E7C" w:rsidRDefault="00000000">
            <w:pPr>
              <w:pStyle w:val="Compact"/>
            </w:pPr>
            <w:r>
              <w:t>BL-7</w:t>
            </w:r>
          </w:p>
        </w:tc>
        <w:tc>
          <w:tcPr>
            <w:tcW w:w="0" w:type="auto"/>
          </w:tcPr>
          <w:p w14:paraId="1B7E8757" w14:textId="77777777" w:rsidR="00180E7C" w:rsidRDefault="00000000">
            <w:pPr>
              <w:pStyle w:val="Compact"/>
            </w:pPr>
            <w:r>
              <w:t>Proxy domain termination performance</w:t>
            </w:r>
          </w:p>
        </w:tc>
        <w:tc>
          <w:tcPr>
            <w:tcW w:w="0" w:type="auto"/>
          </w:tcPr>
          <w:p w14:paraId="601AE201" w14:textId="77777777" w:rsidR="00180E7C" w:rsidRDefault="00000000">
            <w:pPr>
              <w:pStyle w:val="Compact"/>
            </w:pPr>
            <w:r>
              <w:t>United States benefit: regional security</w:t>
            </w:r>
          </w:p>
        </w:tc>
      </w:tr>
      <w:tr w:rsidR="00180E7C" w14:paraId="3205825F" w14:textId="77777777">
        <w:tc>
          <w:tcPr>
            <w:tcW w:w="0" w:type="auto"/>
          </w:tcPr>
          <w:p w14:paraId="4C694488" w14:textId="77777777" w:rsidR="00180E7C" w:rsidRDefault="00000000">
            <w:pPr>
              <w:pStyle w:val="Compact"/>
            </w:pPr>
            <w:r>
              <w:t>BL-8</w:t>
            </w:r>
          </w:p>
        </w:tc>
        <w:tc>
          <w:tcPr>
            <w:tcW w:w="0" w:type="auto"/>
          </w:tcPr>
          <w:p w14:paraId="7D76F22B" w14:textId="77777777" w:rsidR="00180E7C" w:rsidRDefault="00000000">
            <w:pPr>
              <w:pStyle w:val="Compact"/>
            </w:pPr>
            <w:r>
              <w:t>United States facilitation performance (licenses, guidance, engagement)</w:t>
            </w:r>
          </w:p>
        </w:tc>
        <w:tc>
          <w:tcPr>
            <w:tcW w:w="0" w:type="auto"/>
          </w:tcPr>
          <w:p w14:paraId="57354784" w14:textId="77777777" w:rsidR="00180E7C" w:rsidRDefault="00000000">
            <w:pPr>
              <w:pStyle w:val="Compact"/>
            </w:pPr>
            <w:r>
              <w:t>Iran benefit: assurance</w:t>
            </w:r>
          </w:p>
        </w:tc>
      </w:tr>
      <w:tr w:rsidR="00180E7C" w14:paraId="215A17B4" w14:textId="77777777">
        <w:tc>
          <w:tcPr>
            <w:tcW w:w="0" w:type="auto"/>
          </w:tcPr>
          <w:p w14:paraId="1867542D" w14:textId="77777777" w:rsidR="00180E7C" w:rsidRDefault="00000000">
            <w:pPr>
              <w:pStyle w:val="Compact"/>
            </w:pPr>
            <w:r>
              <w:t>BL-9</w:t>
            </w:r>
          </w:p>
        </w:tc>
        <w:tc>
          <w:tcPr>
            <w:tcW w:w="0" w:type="auto"/>
          </w:tcPr>
          <w:p w14:paraId="4F14F7C5" w14:textId="77777777" w:rsidR="00180E7C" w:rsidRDefault="00000000">
            <w:pPr>
              <w:pStyle w:val="Compact"/>
            </w:pPr>
            <w:r>
              <w:t>RDF disbursement schedule</w:t>
            </w:r>
          </w:p>
        </w:tc>
        <w:tc>
          <w:tcPr>
            <w:tcW w:w="0" w:type="auto"/>
          </w:tcPr>
          <w:p w14:paraId="72722DF5" w14:textId="77777777" w:rsidR="00180E7C" w:rsidRDefault="00000000">
            <w:pPr>
              <w:pStyle w:val="Compact"/>
            </w:pPr>
            <w:r>
              <w:t>Iran and regional states</w:t>
            </w:r>
          </w:p>
        </w:tc>
      </w:tr>
      <w:tr w:rsidR="00180E7C" w14:paraId="4AA14E12" w14:textId="77777777">
        <w:tc>
          <w:tcPr>
            <w:tcW w:w="0" w:type="auto"/>
          </w:tcPr>
          <w:p w14:paraId="184C0612" w14:textId="77777777" w:rsidR="00180E7C" w:rsidRDefault="00000000">
            <w:pPr>
              <w:pStyle w:val="Compact"/>
            </w:pPr>
            <w:r>
              <w:t>BL-10</w:t>
            </w:r>
          </w:p>
        </w:tc>
        <w:tc>
          <w:tcPr>
            <w:tcW w:w="0" w:type="auto"/>
          </w:tcPr>
          <w:p w14:paraId="3791A46D" w14:textId="77777777" w:rsidR="00180E7C" w:rsidRDefault="00000000">
            <w:pPr>
              <w:pStyle w:val="Compact"/>
            </w:pPr>
            <w:r>
              <w:t>Security guarantee engagement (consultation, exercises restraint)</w:t>
            </w:r>
          </w:p>
        </w:tc>
        <w:tc>
          <w:tcPr>
            <w:tcW w:w="0" w:type="auto"/>
          </w:tcPr>
          <w:p w14:paraId="695DB2CD" w14:textId="77777777" w:rsidR="00180E7C" w:rsidRDefault="00000000">
            <w:pPr>
              <w:pStyle w:val="Compact"/>
            </w:pPr>
            <w:r>
              <w:t>Both</w:t>
            </w:r>
          </w:p>
        </w:tc>
      </w:tr>
    </w:tbl>
    <w:p w14:paraId="293CDC16" w14:textId="77777777" w:rsidR="00180E7C" w:rsidRDefault="00000000">
      <w:pPr>
        <w:pStyle w:val="Heading2"/>
      </w:pPr>
      <w:bookmarkStart w:id="625" w:name="X8a0905edc5f619f9f23ef9b600223f8bfd464dd"/>
      <w:bookmarkEnd w:id="624"/>
      <w:r>
        <w:t>E.2 Tier Definitions and Proportionality Ceilings</w:t>
      </w:r>
    </w:p>
    <w:tbl>
      <w:tblPr>
        <w:tblStyle w:val="Table"/>
        <w:tblW w:w="5000" w:type="pct"/>
        <w:tblLook w:val="0020" w:firstRow="1" w:lastRow="0" w:firstColumn="0" w:lastColumn="0" w:noHBand="0" w:noVBand="0"/>
      </w:tblPr>
      <w:tblGrid>
        <w:gridCol w:w="794"/>
        <w:gridCol w:w="2151"/>
        <w:gridCol w:w="5360"/>
        <w:gridCol w:w="1271"/>
      </w:tblGrid>
      <w:tr w:rsidR="00180E7C" w14:paraId="7E58D0A9"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1ED3FFC7" w14:textId="77777777" w:rsidR="00180E7C" w:rsidRDefault="00000000">
            <w:pPr>
              <w:pStyle w:val="Compact"/>
            </w:pPr>
            <w:r>
              <w:t>Tier</w:t>
            </w:r>
          </w:p>
        </w:tc>
        <w:tc>
          <w:tcPr>
            <w:tcW w:w="0" w:type="auto"/>
          </w:tcPr>
          <w:p w14:paraId="46082938" w14:textId="77777777" w:rsidR="00180E7C" w:rsidRDefault="00000000">
            <w:pPr>
              <w:pStyle w:val="Compact"/>
            </w:pPr>
            <w:r>
              <w:t>Classification</w:t>
            </w:r>
          </w:p>
        </w:tc>
        <w:tc>
          <w:tcPr>
            <w:tcW w:w="0" w:type="auto"/>
          </w:tcPr>
          <w:p w14:paraId="42221E76" w14:textId="77777777" w:rsidR="00180E7C" w:rsidRDefault="00000000">
            <w:pPr>
              <w:pStyle w:val="Compact"/>
            </w:pPr>
            <w:r>
              <w:t>Ceiling</w:t>
            </w:r>
          </w:p>
        </w:tc>
        <w:tc>
          <w:tcPr>
            <w:tcW w:w="0" w:type="auto"/>
          </w:tcPr>
          <w:p w14:paraId="31F77BE5" w14:textId="77777777" w:rsidR="00180E7C" w:rsidRDefault="00000000">
            <w:pPr>
              <w:pStyle w:val="Compact"/>
            </w:pPr>
            <w:r>
              <w:t>Clean Cycle</w:t>
            </w:r>
          </w:p>
        </w:tc>
      </w:tr>
      <w:tr w:rsidR="00180E7C" w14:paraId="7889534E" w14:textId="77777777">
        <w:tc>
          <w:tcPr>
            <w:tcW w:w="0" w:type="auto"/>
          </w:tcPr>
          <w:p w14:paraId="3049E6BF" w14:textId="77777777" w:rsidR="00180E7C" w:rsidRDefault="00000000">
            <w:pPr>
              <w:pStyle w:val="Compact"/>
            </w:pPr>
            <w:r>
              <w:t>Tier 1</w:t>
            </w:r>
          </w:p>
        </w:tc>
        <w:tc>
          <w:tcPr>
            <w:tcW w:w="0" w:type="auto"/>
          </w:tcPr>
          <w:p w14:paraId="1E25F0E6" w14:textId="77777777" w:rsidR="00180E7C" w:rsidRDefault="00000000">
            <w:pPr>
              <w:pStyle w:val="Compact"/>
            </w:pPr>
            <w:r>
              <w:t>Minor Violation</w:t>
            </w:r>
          </w:p>
        </w:tc>
        <w:tc>
          <w:tcPr>
            <w:tcW w:w="0" w:type="auto"/>
          </w:tcPr>
          <w:p w14:paraId="30977448" w14:textId="77777777" w:rsidR="00180E7C" w:rsidRDefault="00000000">
            <w:pPr>
              <w:pStyle w:val="Compact"/>
            </w:pPr>
            <w:r>
              <w:t>Pause up to 5 percent of the affected line</w:t>
            </w:r>
          </w:p>
        </w:tc>
        <w:tc>
          <w:tcPr>
            <w:tcW w:w="0" w:type="auto"/>
          </w:tcPr>
          <w:p w14:paraId="3D54C7FF" w14:textId="77777777" w:rsidR="00180E7C" w:rsidRDefault="00000000">
            <w:pPr>
              <w:pStyle w:val="Compact"/>
            </w:pPr>
            <w:r>
              <w:t>30 days</w:t>
            </w:r>
          </w:p>
        </w:tc>
      </w:tr>
      <w:tr w:rsidR="00180E7C" w14:paraId="2A61105A" w14:textId="77777777">
        <w:tc>
          <w:tcPr>
            <w:tcW w:w="0" w:type="auto"/>
          </w:tcPr>
          <w:p w14:paraId="474DD717" w14:textId="77777777" w:rsidR="00180E7C" w:rsidRDefault="00000000">
            <w:pPr>
              <w:pStyle w:val="Compact"/>
            </w:pPr>
            <w:r>
              <w:t>Tier 2</w:t>
            </w:r>
          </w:p>
        </w:tc>
        <w:tc>
          <w:tcPr>
            <w:tcW w:w="0" w:type="auto"/>
          </w:tcPr>
          <w:p w14:paraId="10415BA9" w14:textId="77777777" w:rsidR="00180E7C" w:rsidRDefault="00000000">
            <w:pPr>
              <w:pStyle w:val="Compact"/>
            </w:pPr>
            <w:r>
              <w:t>Significant Violation</w:t>
            </w:r>
          </w:p>
        </w:tc>
        <w:tc>
          <w:tcPr>
            <w:tcW w:w="0" w:type="auto"/>
          </w:tcPr>
          <w:p w14:paraId="36660EC1" w14:textId="77777777" w:rsidR="00180E7C" w:rsidRDefault="00000000">
            <w:pPr>
              <w:pStyle w:val="Compact"/>
            </w:pPr>
            <w:r>
              <w:t>Pause up to 20 percent of the affected line</w:t>
            </w:r>
          </w:p>
        </w:tc>
        <w:tc>
          <w:tcPr>
            <w:tcW w:w="0" w:type="auto"/>
          </w:tcPr>
          <w:p w14:paraId="0450C9F9" w14:textId="77777777" w:rsidR="00180E7C" w:rsidRDefault="00000000">
            <w:pPr>
              <w:pStyle w:val="Compact"/>
            </w:pPr>
            <w:r>
              <w:t>60 days</w:t>
            </w:r>
          </w:p>
        </w:tc>
      </w:tr>
      <w:tr w:rsidR="00180E7C" w14:paraId="1CBE9E02" w14:textId="77777777">
        <w:tc>
          <w:tcPr>
            <w:tcW w:w="0" w:type="auto"/>
          </w:tcPr>
          <w:p w14:paraId="68BD1DB1" w14:textId="77777777" w:rsidR="00180E7C" w:rsidRDefault="00000000">
            <w:pPr>
              <w:pStyle w:val="Compact"/>
            </w:pPr>
            <w:r>
              <w:t>Tier 3</w:t>
            </w:r>
          </w:p>
        </w:tc>
        <w:tc>
          <w:tcPr>
            <w:tcW w:w="0" w:type="auto"/>
          </w:tcPr>
          <w:p w14:paraId="3A28F6B4" w14:textId="77777777" w:rsidR="00180E7C" w:rsidRDefault="00000000">
            <w:pPr>
              <w:pStyle w:val="Compact"/>
            </w:pPr>
            <w:r>
              <w:t>Grave Violation</w:t>
            </w:r>
          </w:p>
        </w:tc>
        <w:tc>
          <w:tcPr>
            <w:tcW w:w="0" w:type="auto"/>
          </w:tcPr>
          <w:p w14:paraId="508D2457" w14:textId="77777777" w:rsidR="00180E7C" w:rsidRDefault="00000000">
            <w:pPr>
              <w:pStyle w:val="Compact"/>
            </w:pPr>
            <w:r>
              <w:t>Pause up to 100 percent of the affected line, never beyond it</w:t>
            </w:r>
          </w:p>
        </w:tc>
        <w:tc>
          <w:tcPr>
            <w:tcW w:w="0" w:type="auto"/>
          </w:tcPr>
          <w:p w14:paraId="51B80C59" w14:textId="77777777" w:rsidR="00180E7C" w:rsidRDefault="00000000">
            <w:pPr>
              <w:pStyle w:val="Compact"/>
            </w:pPr>
            <w:r>
              <w:t>90 days</w:t>
            </w:r>
          </w:p>
        </w:tc>
      </w:tr>
    </w:tbl>
    <w:p w14:paraId="57C066E0" w14:textId="77777777" w:rsidR="00180E7C" w:rsidRDefault="00000000">
      <w:pPr>
        <w:pStyle w:val="BodyText"/>
      </w:pPr>
      <w:r>
        <w:t>E.2.1 The ceilings bind absolutely. No accumulation across lines converts a Tier 3 event into a whole-of-treaty collapse; accumulation enters the demerit system of Annex D instead.</w:t>
      </w:r>
    </w:p>
    <w:p w14:paraId="0B378967" w14:textId="77777777" w:rsidR="00180E7C" w:rsidRDefault="00000000">
      <w:pPr>
        <w:pStyle w:val="Heading2"/>
      </w:pPr>
      <w:bookmarkStart w:id="626" w:name="Xacdb9f7ee519ef0f6c64332941b3241026b6c55"/>
      <w:bookmarkEnd w:id="625"/>
      <w:r>
        <w:lastRenderedPageBreak/>
        <w:t>E.3 The Obligation-Tier Classification Table (Selected Anchors)</w:t>
      </w:r>
    </w:p>
    <w:p w14:paraId="6C9EE8B7" w14:textId="77777777" w:rsidR="00180E7C" w:rsidRDefault="00000000">
      <w:pPr>
        <w:pStyle w:val="FirstParagraph"/>
      </w:pPr>
      <w:r>
        <w:t>E.3.1 The full classification table in the Registry assigns every operative obligation its default tier. Anchor assignments:</w:t>
      </w:r>
    </w:p>
    <w:tbl>
      <w:tblPr>
        <w:tblStyle w:val="Table"/>
        <w:tblW w:w="5000" w:type="pct"/>
        <w:tblLook w:val="0020" w:firstRow="1" w:lastRow="0" w:firstColumn="0" w:lastColumn="0" w:noHBand="0" w:noVBand="0"/>
      </w:tblPr>
      <w:tblGrid>
        <w:gridCol w:w="4333"/>
        <w:gridCol w:w="5243"/>
      </w:tblGrid>
      <w:tr w:rsidR="00180E7C" w14:paraId="1C7BFD2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752AC71" w14:textId="77777777" w:rsidR="00180E7C" w:rsidRDefault="00000000">
            <w:pPr>
              <w:pStyle w:val="Compact"/>
            </w:pPr>
            <w:r>
              <w:t>Obligation</w:t>
            </w:r>
          </w:p>
        </w:tc>
        <w:tc>
          <w:tcPr>
            <w:tcW w:w="0" w:type="auto"/>
          </w:tcPr>
          <w:p w14:paraId="29AE3D8C" w14:textId="77777777" w:rsidR="00180E7C" w:rsidRDefault="00000000">
            <w:pPr>
              <w:pStyle w:val="Compact"/>
            </w:pPr>
            <w:r>
              <w:t>Default Tier</w:t>
            </w:r>
          </w:p>
        </w:tc>
      </w:tr>
      <w:tr w:rsidR="00180E7C" w14:paraId="2A3FD6AE" w14:textId="77777777">
        <w:tc>
          <w:tcPr>
            <w:tcW w:w="0" w:type="auto"/>
          </w:tcPr>
          <w:p w14:paraId="5BAC6E9A" w14:textId="77777777" w:rsidR="00180E7C" w:rsidRDefault="00000000">
            <w:pPr>
              <w:pStyle w:val="Compact"/>
            </w:pPr>
            <w:r>
              <w:t>Notification deadlines (Art. 25)</w:t>
            </w:r>
          </w:p>
        </w:tc>
        <w:tc>
          <w:tcPr>
            <w:tcW w:w="0" w:type="auto"/>
          </w:tcPr>
          <w:p w14:paraId="011C0030" w14:textId="77777777" w:rsidR="00180E7C" w:rsidRDefault="00000000">
            <w:pPr>
              <w:pStyle w:val="Compact"/>
            </w:pPr>
            <w:r>
              <w:t>Tier 1</w:t>
            </w:r>
          </w:p>
        </w:tc>
      </w:tr>
      <w:tr w:rsidR="00180E7C" w14:paraId="483739E8" w14:textId="77777777">
        <w:tc>
          <w:tcPr>
            <w:tcW w:w="0" w:type="auto"/>
          </w:tcPr>
          <w:p w14:paraId="6E1B8F40" w14:textId="77777777" w:rsidR="00180E7C" w:rsidRDefault="00000000">
            <w:pPr>
              <w:pStyle w:val="Compact"/>
            </w:pPr>
            <w:r>
              <w:t>Corridor data mirroring (Art. 41)</w:t>
            </w:r>
          </w:p>
        </w:tc>
        <w:tc>
          <w:tcPr>
            <w:tcW w:w="0" w:type="auto"/>
          </w:tcPr>
          <w:p w14:paraId="32537EE1" w14:textId="77777777" w:rsidR="00180E7C" w:rsidRDefault="00000000">
            <w:pPr>
              <w:pStyle w:val="Compact"/>
            </w:pPr>
            <w:r>
              <w:t>Tier 1</w:t>
            </w:r>
          </w:p>
        </w:tc>
      </w:tr>
      <w:tr w:rsidR="00180E7C" w14:paraId="009D8133" w14:textId="77777777">
        <w:tc>
          <w:tcPr>
            <w:tcW w:w="0" w:type="auto"/>
          </w:tcPr>
          <w:p w14:paraId="09B54DA7" w14:textId="77777777" w:rsidR="00180E7C" w:rsidRDefault="00000000">
            <w:pPr>
              <w:pStyle w:val="Compact"/>
            </w:pPr>
            <w:r>
              <w:t>Posture tranche milestones (Art. 16)</w:t>
            </w:r>
          </w:p>
        </w:tc>
        <w:tc>
          <w:tcPr>
            <w:tcW w:w="0" w:type="auto"/>
          </w:tcPr>
          <w:p w14:paraId="0B70C761" w14:textId="77777777" w:rsidR="00180E7C" w:rsidRDefault="00000000">
            <w:pPr>
              <w:pStyle w:val="Compact"/>
            </w:pPr>
            <w:r>
              <w:t>Tier 2</w:t>
            </w:r>
          </w:p>
        </w:tc>
      </w:tr>
      <w:tr w:rsidR="00180E7C" w14:paraId="3C2DA400" w14:textId="77777777">
        <w:tc>
          <w:tcPr>
            <w:tcW w:w="0" w:type="auto"/>
          </w:tcPr>
          <w:p w14:paraId="35723468" w14:textId="77777777" w:rsidR="00180E7C" w:rsidRDefault="00000000">
            <w:pPr>
              <w:pStyle w:val="Compact"/>
            </w:pPr>
            <w:r>
              <w:t>Catalog integrity (Art. 37)</w:t>
            </w:r>
          </w:p>
        </w:tc>
        <w:tc>
          <w:tcPr>
            <w:tcW w:w="0" w:type="auto"/>
          </w:tcPr>
          <w:p w14:paraId="79513A11" w14:textId="77777777" w:rsidR="00180E7C" w:rsidRDefault="00000000">
            <w:pPr>
              <w:pStyle w:val="Compact"/>
            </w:pPr>
            <w:r>
              <w:t>Tier 2</w:t>
            </w:r>
          </w:p>
        </w:tc>
      </w:tr>
      <w:tr w:rsidR="00180E7C" w14:paraId="10A86E7D" w14:textId="77777777">
        <w:tc>
          <w:tcPr>
            <w:tcW w:w="0" w:type="auto"/>
          </w:tcPr>
          <w:p w14:paraId="3DF9575C" w14:textId="77777777" w:rsidR="00180E7C" w:rsidRDefault="00000000">
            <w:pPr>
              <w:pStyle w:val="Compact"/>
            </w:pPr>
            <w:r>
              <w:t>Sanctions termination steps (Art. 46)</w:t>
            </w:r>
          </w:p>
        </w:tc>
        <w:tc>
          <w:tcPr>
            <w:tcW w:w="0" w:type="auto"/>
          </w:tcPr>
          <w:p w14:paraId="21994994" w14:textId="77777777" w:rsidR="00180E7C" w:rsidRDefault="00000000">
            <w:pPr>
              <w:pStyle w:val="Compact"/>
            </w:pPr>
            <w:r>
              <w:t>Tier 2</w:t>
            </w:r>
          </w:p>
        </w:tc>
      </w:tr>
      <w:tr w:rsidR="00180E7C" w14:paraId="513C211D" w14:textId="77777777">
        <w:tc>
          <w:tcPr>
            <w:tcW w:w="0" w:type="auto"/>
          </w:tcPr>
          <w:p w14:paraId="28A35BF9" w14:textId="77777777" w:rsidR="00180E7C" w:rsidRDefault="00000000">
            <w:pPr>
              <w:pStyle w:val="Compact"/>
            </w:pPr>
            <w:r>
              <w:t>Escrow release steps (Art. 47)</w:t>
            </w:r>
          </w:p>
        </w:tc>
        <w:tc>
          <w:tcPr>
            <w:tcW w:w="0" w:type="auto"/>
          </w:tcPr>
          <w:p w14:paraId="1E0C1987" w14:textId="77777777" w:rsidR="00180E7C" w:rsidRDefault="00000000">
            <w:pPr>
              <w:pStyle w:val="Compact"/>
            </w:pPr>
            <w:r>
              <w:t>Tier 2</w:t>
            </w:r>
          </w:p>
        </w:tc>
      </w:tr>
      <w:tr w:rsidR="00180E7C" w14:paraId="0877F54B" w14:textId="77777777">
        <w:tc>
          <w:tcPr>
            <w:tcW w:w="0" w:type="auto"/>
          </w:tcPr>
          <w:p w14:paraId="0ACF43E8" w14:textId="77777777" w:rsidR="00180E7C" w:rsidRDefault="00000000">
            <w:pPr>
              <w:pStyle w:val="Compact"/>
            </w:pPr>
            <w:r>
              <w:t>Down-blending cadence (Art. 61.2)</w:t>
            </w:r>
          </w:p>
        </w:tc>
        <w:tc>
          <w:tcPr>
            <w:tcW w:w="0" w:type="auto"/>
          </w:tcPr>
          <w:p w14:paraId="4C6CE41C" w14:textId="77777777" w:rsidR="00180E7C" w:rsidRDefault="00000000">
            <w:pPr>
              <w:pStyle w:val="Compact"/>
            </w:pPr>
            <w:r>
              <w:t>Tier 2 (Tier 3 if unexplained beyond 30 days)</w:t>
            </w:r>
          </w:p>
        </w:tc>
      </w:tr>
      <w:tr w:rsidR="00180E7C" w14:paraId="16A8ED52" w14:textId="77777777">
        <w:tc>
          <w:tcPr>
            <w:tcW w:w="0" w:type="auto"/>
          </w:tcPr>
          <w:p w14:paraId="7D0A0008" w14:textId="77777777" w:rsidR="00180E7C" w:rsidRDefault="00000000">
            <w:pPr>
              <w:pStyle w:val="Compact"/>
            </w:pPr>
            <w:r>
              <w:t>Access timelines (Art. 62.4)</w:t>
            </w:r>
          </w:p>
        </w:tc>
        <w:tc>
          <w:tcPr>
            <w:tcW w:w="0" w:type="auto"/>
          </w:tcPr>
          <w:p w14:paraId="03B01F2F" w14:textId="77777777" w:rsidR="00180E7C" w:rsidRDefault="00000000">
            <w:pPr>
              <w:pStyle w:val="Compact"/>
            </w:pPr>
            <w:r>
              <w:t>Tier 3</w:t>
            </w:r>
          </w:p>
        </w:tc>
      </w:tr>
      <w:tr w:rsidR="00180E7C" w14:paraId="396AD49C" w14:textId="77777777">
        <w:tc>
          <w:tcPr>
            <w:tcW w:w="0" w:type="auto"/>
          </w:tcPr>
          <w:p w14:paraId="69A532CF" w14:textId="77777777" w:rsidR="00180E7C" w:rsidRDefault="00000000">
            <w:pPr>
              <w:pStyle w:val="Compact"/>
            </w:pPr>
            <w:r>
              <w:t>Unilateral interdiction (Art. 36.4.3)</w:t>
            </w:r>
          </w:p>
        </w:tc>
        <w:tc>
          <w:tcPr>
            <w:tcW w:w="0" w:type="auto"/>
          </w:tcPr>
          <w:p w14:paraId="019B2F1B" w14:textId="77777777" w:rsidR="00180E7C" w:rsidRDefault="00000000">
            <w:pPr>
              <w:pStyle w:val="Compact"/>
            </w:pPr>
            <w:r>
              <w:t>Tier 3</w:t>
            </w:r>
          </w:p>
        </w:tc>
      </w:tr>
      <w:tr w:rsidR="00180E7C" w14:paraId="0FACE187" w14:textId="77777777">
        <w:tc>
          <w:tcPr>
            <w:tcW w:w="0" w:type="auto"/>
          </w:tcPr>
          <w:p w14:paraId="526B282F" w14:textId="77777777" w:rsidR="00180E7C" w:rsidRDefault="00000000">
            <w:pPr>
              <w:pStyle w:val="Compact"/>
            </w:pPr>
            <w:r>
              <w:t>New coercive measures (Art. 46.5)</w:t>
            </w:r>
          </w:p>
        </w:tc>
        <w:tc>
          <w:tcPr>
            <w:tcW w:w="0" w:type="auto"/>
          </w:tcPr>
          <w:p w14:paraId="73F16B43" w14:textId="77777777" w:rsidR="00180E7C" w:rsidRDefault="00000000">
            <w:pPr>
              <w:pStyle w:val="Compact"/>
            </w:pPr>
            <w:r>
              <w:t>Tier 3</w:t>
            </w:r>
          </w:p>
        </w:tc>
      </w:tr>
      <w:tr w:rsidR="00180E7C" w14:paraId="5BADDDC4" w14:textId="77777777">
        <w:tc>
          <w:tcPr>
            <w:tcW w:w="0" w:type="auto"/>
          </w:tcPr>
          <w:p w14:paraId="7654B901" w14:textId="77777777" w:rsidR="00180E7C" w:rsidRDefault="00000000">
            <w:pPr>
              <w:pStyle w:val="Compact"/>
            </w:pPr>
            <w:r>
              <w:t>Proxy domain flows (Art. 7)</w:t>
            </w:r>
          </w:p>
        </w:tc>
        <w:tc>
          <w:tcPr>
            <w:tcW w:w="0" w:type="auto"/>
          </w:tcPr>
          <w:p w14:paraId="2B4A47B6" w14:textId="77777777" w:rsidR="00180E7C" w:rsidRDefault="00000000">
            <w:pPr>
              <w:pStyle w:val="Compact"/>
            </w:pPr>
            <w:r>
              <w:t>Tier 3</w:t>
            </w:r>
          </w:p>
        </w:tc>
      </w:tr>
    </w:tbl>
    <w:p w14:paraId="3821A170" w14:textId="77777777" w:rsidR="00180E7C" w:rsidRDefault="00000000">
      <w:pPr>
        <w:pStyle w:val="Heading2"/>
      </w:pPr>
      <w:bookmarkStart w:id="627" w:name="e.4-step-back-execution-protocol"/>
      <w:bookmarkEnd w:id="626"/>
      <w:r>
        <w:t>E.4 Step-Back Execution Protocol</w:t>
      </w:r>
    </w:p>
    <w:p w14:paraId="7D3B1B7A" w14:textId="77777777" w:rsidR="00180E7C" w:rsidRDefault="00000000">
      <w:pPr>
        <w:pStyle w:val="FirstParagraph"/>
      </w:pPr>
      <w:r>
        <w:t>E.4.1 Upon verified classification: (a) the JMC issues the step-back order citing the line, the percentage, the basis, and the earn-back conditions; (b) the order enters the SDR and takes effect 72 hours after issuance, allowing the affected Party to present remediation before effect; (c) execution proceeds through the affected line’s administrator (escrow agent, licensing authority, corridor authority, RDF secretariat) without further political action.</w:t>
      </w:r>
    </w:p>
    <w:p w14:paraId="5F9A16B2" w14:textId="77777777" w:rsidR="00180E7C" w:rsidRDefault="00000000">
      <w:pPr>
        <w:pStyle w:val="BodyText"/>
      </w:pPr>
      <w:r>
        <w:t>E.4.2 The pause computes against the line’s flow, not its stock: for BL-3, a 20 percent Tier 2 pause defers 20 percent of the next scheduled release tranche; for BL-1, a 5 percent Tier 1 pause defers facilitation processing for 5 percent of transaction volume on a rotating basis.</w:t>
      </w:r>
    </w:p>
    <w:p w14:paraId="3565A2C6" w14:textId="77777777" w:rsidR="00180E7C" w:rsidRDefault="00000000">
      <w:pPr>
        <w:pStyle w:val="Heading2"/>
      </w:pPr>
      <w:bookmarkStart w:id="628" w:name="e.5-earn-back-execution-protocol"/>
      <w:bookmarkEnd w:id="627"/>
      <w:r>
        <w:t>E.5 Earn-Back Execution Protocol</w:t>
      </w:r>
    </w:p>
    <w:p w14:paraId="1722664A" w14:textId="77777777" w:rsidR="00180E7C" w:rsidRDefault="00000000">
      <w:pPr>
        <w:pStyle w:val="FirstParagraph"/>
      </w:pPr>
      <w:r>
        <w:t>E.5.1 Upon verified remediation: (a) the JMC certifies remediation on objective data; (b) the clean cycle runs (30/60/90 days of verified compliance in the affected domain); (c) restoration executes automatically, including, where the line permits, retroactive completion of deferred flows (deferred releases release; deferred facilitation processes).</w:t>
      </w:r>
    </w:p>
    <w:p w14:paraId="1DBAEEFD" w14:textId="77777777" w:rsidR="00180E7C" w:rsidRDefault="00000000">
      <w:pPr>
        <w:pStyle w:val="BodyText"/>
      </w:pPr>
      <w:r>
        <w:t>E.5.2 No political body holds discretion to delay certification of objectively verified remediation. A dispute over remediation facts enters the Escalation Chain with the Technical Dispute Hold applying.</w:t>
      </w:r>
    </w:p>
    <w:p w14:paraId="276F2C0A" w14:textId="77777777" w:rsidR="00180E7C" w:rsidRDefault="00000000">
      <w:pPr>
        <w:pStyle w:val="Heading2"/>
      </w:pPr>
      <w:bookmarkStart w:id="629" w:name="e.6-symmetry-mechanics"/>
      <w:bookmarkEnd w:id="628"/>
      <w:r>
        <w:t>E.6 Symmetry Mechanics</w:t>
      </w:r>
    </w:p>
    <w:p w14:paraId="6EF94416" w14:textId="77777777" w:rsidR="00180E7C" w:rsidRDefault="00000000">
      <w:pPr>
        <w:pStyle w:val="FirstParagraph"/>
      </w:pPr>
      <w:r>
        <w:t xml:space="preserve">E.6.1 United States step-back events (delay or reversal of a scheduled termination step, new measure outside Article 70) produce: pause of the corresponding Iranian schedule </w:t>
      </w:r>
      <w:r>
        <w:lastRenderedPageBreak/>
        <w:t>step at the same percentage (compensatory symmetry), plus acceleration of the affected termination upon remediation as compensation for the delay period.</w:t>
      </w:r>
    </w:p>
    <w:p w14:paraId="6BB5F2A1" w14:textId="77777777" w:rsidR="00180E7C" w:rsidRDefault="00000000">
      <w:pPr>
        <w:pStyle w:val="BodyText"/>
      </w:pPr>
      <w:r>
        <w:t>E.6.2 Iranian step-back events produce: pause of the corresponding United States benefit lines (assurance and security performance) at the same percentage, with restoration upon earn-back.</w:t>
      </w:r>
    </w:p>
    <w:p w14:paraId="3E2A0765" w14:textId="77777777" w:rsidR="00180E7C" w:rsidRDefault="00000000">
      <w:pPr>
        <w:pStyle w:val="BodyText"/>
      </w:pPr>
      <w:r>
        <w:t>E.6.3 The symmetry ledger maintains balance over time: the JMC computes the accumulated asymmetry of pauses annually and recommends compensating adjustments to the HCC.</w:t>
      </w:r>
    </w:p>
    <w:p w14:paraId="6D6A7FBC" w14:textId="77777777" w:rsidR="00180E7C" w:rsidRDefault="00000000">
      <w:pPr>
        <w:pStyle w:val="Heading2"/>
      </w:pPr>
      <w:bookmarkStart w:id="630" w:name="X825efd3705b73327128cd111821b4b60ce55ba6"/>
      <w:bookmarkEnd w:id="629"/>
      <w:r>
        <w:t>E.7 Humanitarian and Permanent Exclusions</w:t>
      </w:r>
    </w:p>
    <w:p w14:paraId="29B34B88" w14:textId="77777777" w:rsidR="00180E7C" w:rsidRDefault="00000000">
      <w:pPr>
        <w:pStyle w:val="FirstParagraph"/>
      </w:pPr>
      <w:r>
        <w:t>E.7.1 The following never pause: humanitarian corridors and channels (Art. 9, 57); the missing persons and detainee architecture (Art. 64); SAR obligations (Art. 40); the permanent provisions of Article 75.2; and the verification infrastructure itself (the Engine never pauses its own eyes).</w:t>
      </w:r>
    </w:p>
    <w:p w14:paraId="5E655A2D" w14:textId="77777777" w:rsidR="00180E7C" w:rsidRDefault="00000000">
      <w:r>
        <w:br w:type="page"/>
      </w:r>
    </w:p>
    <w:p w14:paraId="71414BE8" w14:textId="77777777" w:rsidR="00180E7C" w:rsidRDefault="00000000">
      <w:pPr>
        <w:pStyle w:val="Heading1"/>
      </w:pPr>
      <w:bookmarkStart w:id="631" w:name="Xedaa0337ad36d3e0f7d6a1496df5324ead657a7"/>
      <w:bookmarkStart w:id="632" w:name="_Toc237843171"/>
      <w:bookmarkEnd w:id="622"/>
      <w:bookmarkEnd w:id="630"/>
      <w:r>
        <w:lastRenderedPageBreak/>
        <w:t>ANNEX F: NUCLEAR DISPOSITION PROTOCOL: IN-IRAN DOWN-BLENDING ARCHITECTURE</w:t>
      </w:r>
      <w:bookmarkEnd w:id="632"/>
    </w:p>
    <w:p w14:paraId="710A0222" w14:textId="77777777" w:rsidR="00180E7C" w:rsidRDefault="00000000">
      <w:pPr>
        <w:pStyle w:val="Heading2"/>
      </w:pPr>
      <w:bookmarkStart w:id="633" w:name="f.1-purpose-and-scope"/>
      <w:r>
        <w:t>F.1 Purpose and Scope</w:t>
      </w:r>
    </w:p>
    <w:p w14:paraId="2800C020" w14:textId="77777777" w:rsidR="00180E7C" w:rsidRDefault="00000000">
      <w:pPr>
        <w:pStyle w:val="FirstParagraph"/>
      </w:pPr>
      <w:r>
        <w:t>F.1.1 This Annex constitutes the complete technical protocol for the final disposition of Iran’s enriched uranium stockpile and the permanent nuclear limits of Article 61. It resolves the nuclear file once and for all through in-Iran down-blending: no Covered Nuclear Material leaves Iranian soil; every gram loses its weapons utility through physics; the IAEA verifies continuously; and the architecture holds permanently.</w:t>
      </w:r>
    </w:p>
    <w:p w14:paraId="3FD74326" w14:textId="77777777" w:rsidR="00180E7C" w:rsidRDefault="00000000">
      <w:pPr>
        <w:pStyle w:val="Heading2"/>
      </w:pPr>
      <w:bookmarkStart w:id="634" w:name="f.2-schedule-f-1-the-baseline-inventory"/>
      <w:bookmarkEnd w:id="633"/>
      <w:r>
        <w:t>F.2 Schedule F-1: The Baseline Inventory</w:t>
      </w:r>
    </w:p>
    <w:p w14:paraId="4037D322" w14:textId="77777777" w:rsidR="00180E7C" w:rsidRDefault="00000000">
      <w:pPr>
        <w:pStyle w:val="FirstParagraph"/>
      </w:pPr>
      <w:r>
        <w:t>F.2.1 Within 14 days of EIF, Iran declares to the IAEA and the JMC the complete inventory of Covered Nuclear Material, including, as of the declaration baseline:</w:t>
      </w:r>
    </w:p>
    <w:tbl>
      <w:tblPr>
        <w:tblStyle w:val="Table"/>
        <w:tblW w:w="5000" w:type="pct"/>
        <w:tblLook w:val="0020" w:firstRow="1" w:lastRow="0" w:firstColumn="0" w:lastColumn="0" w:noHBand="0" w:noVBand="0"/>
      </w:tblPr>
      <w:tblGrid>
        <w:gridCol w:w="1303"/>
        <w:gridCol w:w="1269"/>
        <w:gridCol w:w="2539"/>
        <w:gridCol w:w="1914"/>
        <w:gridCol w:w="2551"/>
      </w:tblGrid>
      <w:tr w:rsidR="00180E7C" w14:paraId="0F5FDA6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8ABA062" w14:textId="77777777" w:rsidR="00180E7C" w:rsidRDefault="00000000">
            <w:pPr>
              <w:pStyle w:val="Compact"/>
            </w:pPr>
            <w:r>
              <w:t>Category</w:t>
            </w:r>
          </w:p>
        </w:tc>
        <w:tc>
          <w:tcPr>
            <w:tcW w:w="0" w:type="auto"/>
          </w:tcPr>
          <w:p w14:paraId="2B34B20F" w14:textId="77777777" w:rsidR="00180E7C" w:rsidRDefault="00000000">
            <w:pPr>
              <w:pStyle w:val="Compact"/>
            </w:pPr>
            <w:r>
              <w:t>Assay</w:t>
            </w:r>
          </w:p>
        </w:tc>
        <w:tc>
          <w:tcPr>
            <w:tcW w:w="0" w:type="auto"/>
          </w:tcPr>
          <w:p w14:paraId="1F9FB6DA" w14:textId="77777777" w:rsidR="00180E7C" w:rsidRDefault="00000000">
            <w:pPr>
              <w:pStyle w:val="Compact"/>
            </w:pPr>
            <w:r>
              <w:t>Approximate Quantity</w:t>
            </w:r>
          </w:p>
        </w:tc>
        <w:tc>
          <w:tcPr>
            <w:tcW w:w="0" w:type="auto"/>
          </w:tcPr>
          <w:p w14:paraId="4D369506" w14:textId="77777777" w:rsidR="00180E7C" w:rsidRDefault="00000000">
            <w:pPr>
              <w:pStyle w:val="Compact"/>
            </w:pPr>
            <w:r>
              <w:t>Form</w:t>
            </w:r>
          </w:p>
        </w:tc>
        <w:tc>
          <w:tcPr>
            <w:tcW w:w="0" w:type="auto"/>
          </w:tcPr>
          <w:p w14:paraId="41FFDA20" w14:textId="77777777" w:rsidR="00180E7C" w:rsidRDefault="00000000">
            <w:pPr>
              <w:pStyle w:val="Compact"/>
            </w:pPr>
            <w:r>
              <w:t>Declared Locations</w:t>
            </w:r>
          </w:p>
        </w:tc>
      </w:tr>
      <w:tr w:rsidR="00180E7C" w14:paraId="103C08E5" w14:textId="77777777">
        <w:tc>
          <w:tcPr>
            <w:tcW w:w="0" w:type="auto"/>
          </w:tcPr>
          <w:p w14:paraId="6B49DCDB" w14:textId="77777777" w:rsidR="00180E7C" w:rsidRDefault="00000000">
            <w:pPr>
              <w:pStyle w:val="Compact"/>
            </w:pPr>
            <w:r>
              <w:t>HEU</w:t>
            </w:r>
          </w:p>
        </w:tc>
        <w:tc>
          <w:tcPr>
            <w:tcW w:w="0" w:type="auto"/>
          </w:tcPr>
          <w:p w14:paraId="0BAAB60C" w14:textId="77777777" w:rsidR="00180E7C" w:rsidRDefault="00000000">
            <w:pPr>
              <w:pStyle w:val="Compact"/>
            </w:pPr>
            <w:r>
              <w:t>60% U-235</w:t>
            </w:r>
          </w:p>
        </w:tc>
        <w:tc>
          <w:tcPr>
            <w:tcW w:w="0" w:type="auto"/>
          </w:tcPr>
          <w:p w14:paraId="2F16A0D5" w14:textId="77777777" w:rsidR="00180E7C" w:rsidRDefault="00000000">
            <w:pPr>
              <w:pStyle w:val="Compact"/>
            </w:pPr>
            <w:r>
              <w:t>440 kg (U mass)</w:t>
            </w:r>
          </w:p>
        </w:tc>
        <w:tc>
          <w:tcPr>
            <w:tcW w:w="0" w:type="auto"/>
          </w:tcPr>
          <w:p w14:paraId="1224E73E" w14:textId="77777777" w:rsidR="00180E7C" w:rsidRDefault="00000000">
            <w:pPr>
              <w:pStyle w:val="Compact"/>
            </w:pPr>
            <w:r>
              <w:t>UF6, oxide</w:t>
            </w:r>
          </w:p>
        </w:tc>
        <w:tc>
          <w:tcPr>
            <w:tcW w:w="0" w:type="auto"/>
          </w:tcPr>
          <w:p w14:paraId="2CC80386" w14:textId="77777777" w:rsidR="00180E7C" w:rsidRDefault="00000000">
            <w:pPr>
              <w:pStyle w:val="Compact"/>
            </w:pPr>
            <w:r>
              <w:t>Isfahan tunnel complex; Natanz</w:t>
            </w:r>
          </w:p>
        </w:tc>
      </w:tr>
      <w:tr w:rsidR="00180E7C" w14:paraId="7130D313" w14:textId="77777777">
        <w:tc>
          <w:tcPr>
            <w:tcW w:w="0" w:type="auto"/>
          </w:tcPr>
          <w:p w14:paraId="6A2DEB2B" w14:textId="77777777" w:rsidR="00180E7C" w:rsidRDefault="00000000">
            <w:pPr>
              <w:pStyle w:val="Compact"/>
            </w:pPr>
            <w:r>
              <w:t>Enriched</w:t>
            </w:r>
          </w:p>
        </w:tc>
        <w:tc>
          <w:tcPr>
            <w:tcW w:w="0" w:type="auto"/>
          </w:tcPr>
          <w:p w14:paraId="7EA3B060" w14:textId="77777777" w:rsidR="00180E7C" w:rsidRDefault="00000000">
            <w:pPr>
              <w:pStyle w:val="Compact"/>
            </w:pPr>
            <w:r>
              <w:t>20% U-235</w:t>
            </w:r>
          </w:p>
        </w:tc>
        <w:tc>
          <w:tcPr>
            <w:tcW w:w="0" w:type="auto"/>
          </w:tcPr>
          <w:p w14:paraId="68B25852" w14:textId="77777777" w:rsidR="00180E7C" w:rsidRDefault="00000000">
            <w:pPr>
              <w:pStyle w:val="Compact"/>
            </w:pPr>
            <w:r>
              <w:t>approx. 850 kg</w:t>
            </w:r>
          </w:p>
        </w:tc>
        <w:tc>
          <w:tcPr>
            <w:tcW w:w="0" w:type="auto"/>
          </w:tcPr>
          <w:p w14:paraId="1CF32EF6" w14:textId="77777777" w:rsidR="00180E7C" w:rsidRDefault="00000000">
            <w:pPr>
              <w:pStyle w:val="Compact"/>
            </w:pPr>
            <w:r>
              <w:t>UF6, fuel plates, oxide</w:t>
            </w:r>
          </w:p>
        </w:tc>
        <w:tc>
          <w:tcPr>
            <w:tcW w:w="0" w:type="auto"/>
          </w:tcPr>
          <w:p w14:paraId="385D5FCB" w14:textId="77777777" w:rsidR="00180E7C" w:rsidRDefault="00000000">
            <w:pPr>
              <w:pStyle w:val="Compact"/>
            </w:pPr>
            <w:r>
              <w:t>Isfahan, Natanz, TRR</w:t>
            </w:r>
          </w:p>
        </w:tc>
      </w:tr>
      <w:tr w:rsidR="00180E7C" w14:paraId="7A659375" w14:textId="77777777">
        <w:tc>
          <w:tcPr>
            <w:tcW w:w="0" w:type="auto"/>
          </w:tcPr>
          <w:p w14:paraId="791E620E" w14:textId="77777777" w:rsidR="00180E7C" w:rsidRDefault="00000000">
            <w:pPr>
              <w:pStyle w:val="Compact"/>
            </w:pPr>
            <w:r>
              <w:t>Enriched</w:t>
            </w:r>
          </w:p>
        </w:tc>
        <w:tc>
          <w:tcPr>
            <w:tcW w:w="0" w:type="auto"/>
          </w:tcPr>
          <w:p w14:paraId="1DA4B17E" w14:textId="77777777" w:rsidR="00180E7C" w:rsidRDefault="00000000">
            <w:pPr>
              <w:pStyle w:val="Compact"/>
            </w:pPr>
            <w:r>
              <w:t>5% U-235</w:t>
            </w:r>
          </w:p>
        </w:tc>
        <w:tc>
          <w:tcPr>
            <w:tcW w:w="0" w:type="auto"/>
          </w:tcPr>
          <w:p w14:paraId="5239F2BC" w14:textId="77777777" w:rsidR="00180E7C" w:rsidRDefault="00000000">
            <w:pPr>
              <w:pStyle w:val="Compact"/>
            </w:pPr>
            <w:r>
              <w:t>approx. 2,100 kg</w:t>
            </w:r>
          </w:p>
        </w:tc>
        <w:tc>
          <w:tcPr>
            <w:tcW w:w="0" w:type="auto"/>
          </w:tcPr>
          <w:p w14:paraId="1421E679" w14:textId="77777777" w:rsidR="00180E7C" w:rsidRDefault="00000000">
            <w:pPr>
              <w:pStyle w:val="Compact"/>
            </w:pPr>
            <w:r>
              <w:t>UF6</w:t>
            </w:r>
          </w:p>
        </w:tc>
        <w:tc>
          <w:tcPr>
            <w:tcW w:w="0" w:type="auto"/>
          </w:tcPr>
          <w:p w14:paraId="73937111" w14:textId="77777777" w:rsidR="00180E7C" w:rsidRDefault="00000000">
            <w:pPr>
              <w:pStyle w:val="Compact"/>
            </w:pPr>
            <w:r>
              <w:t>Natanz, Isfahan</w:t>
            </w:r>
          </w:p>
        </w:tc>
      </w:tr>
      <w:tr w:rsidR="00180E7C" w14:paraId="32FC5DE3" w14:textId="77777777">
        <w:tc>
          <w:tcPr>
            <w:tcW w:w="0" w:type="auto"/>
          </w:tcPr>
          <w:p w14:paraId="25D6DA21" w14:textId="77777777" w:rsidR="00180E7C" w:rsidRDefault="00000000">
            <w:pPr>
              <w:pStyle w:val="Compact"/>
            </w:pPr>
            <w:r>
              <w:t>LEU</w:t>
            </w:r>
          </w:p>
        </w:tc>
        <w:tc>
          <w:tcPr>
            <w:tcW w:w="0" w:type="auto"/>
          </w:tcPr>
          <w:p w14:paraId="3E7AE9BF" w14:textId="77777777" w:rsidR="00180E7C" w:rsidRDefault="00000000">
            <w:pPr>
              <w:pStyle w:val="Compact"/>
            </w:pPr>
            <w:r>
              <w:t>up to 3.67%</w:t>
            </w:r>
          </w:p>
        </w:tc>
        <w:tc>
          <w:tcPr>
            <w:tcW w:w="0" w:type="auto"/>
          </w:tcPr>
          <w:p w14:paraId="0C66225A" w14:textId="77777777" w:rsidR="00180E7C" w:rsidRDefault="00000000">
            <w:pPr>
              <w:pStyle w:val="Compact"/>
            </w:pPr>
            <w:r>
              <w:t>approx. 5,700 kg</w:t>
            </w:r>
          </w:p>
        </w:tc>
        <w:tc>
          <w:tcPr>
            <w:tcW w:w="0" w:type="auto"/>
          </w:tcPr>
          <w:p w14:paraId="454081A1" w14:textId="77777777" w:rsidR="00180E7C" w:rsidRDefault="00000000">
            <w:pPr>
              <w:pStyle w:val="Compact"/>
            </w:pPr>
            <w:r>
              <w:t>UF6, powder, fuel</w:t>
            </w:r>
          </w:p>
        </w:tc>
        <w:tc>
          <w:tcPr>
            <w:tcW w:w="0" w:type="auto"/>
          </w:tcPr>
          <w:p w14:paraId="56B9DA66" w14:textId="77777777" w:rsidR="00180E7C" w:rsidRDefault="00000000">
            <w:pPr>
              <w:pStyle w:val="Compact"/>
            </w:pPr>
            <w:r>
              <w:t>Natanz, Isfahan, fuel facilities</w:t>
            </w:r>
          </w:p>
        </w:tc>
      </w:tr>
      <w:tr w:rsidR="00180E7C" w14:paraId="74247524" w14:textId="77777777">
        <w:tc>
          <w:tcPr>
            <w:tcW w:w="0" w:type="auto"/>
          </w:tcPr>
          <w:p w14:paraId="16AA9759" w14:textId="77777777" w:rsidR="00180E7C" w:rsidRDefault="00000000">
            <w:pPr>
              <w:pStyle w:val="Compact"/>
            </w:pPr>
            <w:r>
              <w:t>Recovered</w:t>
            </w:r>
          </w:p>
        </w:tc>
        <w:tc>
          <w:tcPr>
            <w:tcW w:w="0" w:type="auto"/>
          </w:tcPr>
          <w:p w14:paraId="297CE88E" w14:textId="77777777" w:rsidR="00180E7C" w:rsidRDefault="00000000">
            <w:pPr>
              <w:pStyle w:val="Compact"/>
            </w:pPr>
            <w:r>
              <w:t>various</w:t>
            </w:r>
          </w:p>
        </w:tc>
        <w:tc>
          <w:tcPr>
            <w:tcW w:w="0" w:type="auto"/>
          </w:tcPr>
          <w:p w14:paraId="37F26468" w14:textId="77777777" w:rsidR="00180E7C" w:rsidRDefault="00000000">
            <w:pPr>
              <w:pStyle w:val="Compact"/>
            </w:pPr>
            <w:r>
              <w:t>to be determined in recovery</w:t>
            </w:r>
          </w:p>
        </w:tc>
        <w:tc>
          <w:tcPr>
            <w:tcW w:w="0" w:type="auto"/>
          </w:tcPr>
          <w:p w14:paraId="6902B4EF" w14:textId="77777777" w:rsidR="00180E7C" w:rsidRDefault="00000000">
            <w:pPr>
              <w:pStyle w:val="Compact"/>
            </w:pPr>
            <w:r>
              <w:t>debris-admixed</w:t>
            </w:r>
          </w:p>
        </w:tc>
        <w:tc>
          <w:tcPr>
            <w:tcW w:w="0" w:type="auto"/>
          </w:tcPr>
          <w:p w14:paraId="27E415C9" w14:textId="77777777" w:rsidR="00180E7C" w:rsidRDefault="00000000">
            <w:pPr>
              <w:pStyle w:val="Compact"/>
            </w:pPr>
            <w:r>
              <w:t>damaged sites per F.5</w:t>
            </w:r>
          </w:p>
        </w:tc>
      </w:tr>
    </w:tbl>
    <w:p w14:paraId="35AEDDF7" w14:textId="77777777" w:rsidR="00180E7C" w:rsidRDefault="00000000">
      <w:pPr>
        <w:pStyle w:val="BodyText"/>
      </w:pPr>
      <w:r>
        <w:t>F.2.2 The IAEA verifies the baseline through the initial verification campaign of F.3.4 within 60 days. The verified baseline enters the Uranium Ledger as the genesis record.</w:t>
      </w:r>
    </w:p>
    <w:p w14:paraId="10861830" w14:textId="77777777" w:rsidR="00180E7C" w:rsidRDefault="00000000">
      <w:pPr>
        <w:pStyle w:val="Heading2"/>
      </w:pPr>
      <w:bookmarkStart w:id="635" w:name="f.3-the-uranium-ledger"/>
      <w:bookmarkEnd w:id="634"/>
      <w:r>
        <w:t>F.3 The Uranium Ledger</w:t>
      </w:r>
    </w:p>
    <w:p w14:paraId="035A998C" w14:textId="77777777" w:rsidR="00180E7C" w:rsidRDefault="00000000">
      <w:pPr>
        <w:pStyle w:val="FirstParagraph"/>
      </w:pPr>
      <w:r>
        <w:t>F.3.1 Every gram of Covered Nuclear Material receives: precise mass measurement; isotopic fingerprint (U-235 assay, trace element composition, impurity profile, physical form); and a unique cryptographic identifier. The Ledger operates as a distributed ledger with nodes at the IAEA, the Atomic Energy Organization of Iran, the JMC, and the Swiss Facilitator.</w:t>
      </w:r>
    </w:p>
    <w:p w14:paraId="45C13480" w14:textId="77777777" w:rsidR="00180E7C" w:rsidRDefault="00000000">
      <w:pPr>
        <w:pStyle w:val="BodyText"/>
      </w:pPr>
      <w:r>
        <w:t>F.3.2 Update discipline: any movement, processing, blending, conversion, or reconfiguration updates the Ledger within 4 hours. A missed update registers per Annex D, Category 4.1.</w:t>
      </w:r>
    </w:p>
    <w:p w14:paraId="2007E586" w14:textId="77777777" w:rsidR="00180E7C" w:rsidRDefault="00000000">
      <w:pPr>
        <w:pStyle w:val="BodyText"/>
      </w:pPr>
      <w:r>
        <w:t>F.3.3 Reconciliation: monthly physical inventory verification at each facility reconciles the Ledger against physical reality; discrepancies process per Annex D, Categories 4.2 through 4.4.</w:t>
      </w:r>
    </w:p>
    <w:p w14:paraId="69FD030B" w14:textId="77777777" w:rsidR="00180E7C" w:rsidRDefault="00000000">
      <w:pPr>
        <w:pStyle w:val="BodyText"/>
      </w:pPr>
      <w:r>
        <w:lastRenderedPageBreak/>
        <w:t>F.3.4 The initial verification campaign: IAEA teams with Iranian counterparts perform the complete physical inventory, fingerprinting, and Ledger genesis entry for all declared material, including recovered material as recovery proceeds.</w:t>
      </w:r>
    </w:p>
    <w:p w14:paraId="2A6AB422" w14:textId="77777777" w:rsidR="00180E7C" w:rsidRDefault="00000000">
      <w:pPr>
        <w:pStyle w:val="Heading2"/>
      </w:pPr>
      <w:bookmarkStart w:id="636" w:name="f.4-the-isfahan-down-blending-facility"/>
      <w:bookmarkEnd w:id="635"/>
      <w:r>
        <w:t>F.4 The Isfahan Down-Blending Facility</w:t>
      </w:r>
    </w:p>
    <w:p w14:paraId="5A8D4ED9" w14:textId="77777777" w:rsidR="00180E7C" w:rsidRDefault="00000000">
      <w:pPr>
        <w:pStyle w:val="FirstParagraph"/>
      </w:pPr>
      <w:r>
        <w:t>F.4.1 Iran establishes the Down-Blending Facility at the Isfahan complex within 90 days of EIF, using the existing conversion infrastructure augmented per the engineering package: blending stations with mass flow control; diluent feed systems (natural uranium UF6 and depleted uranium diluent stock declared in the baseline); product storage under seal; and the continuous monitoring suite (online enrichment meters, cameras, seals, mass flow telemetry) transmitting to the IAEA and the SDR in real time.</w:t>
      </w:r>
    </w:p>
    <w:p w14:paraId="7A16B425" w14:textId="77777777" w:rsidR="00180E7C" w:rsidRDefault="00000000">
      <w:pPr>
        <w:pStyle w:val="BodyText"/>
      </w:pPr>
      <w:r>
        <w:t>F.4.2 The international technical partnership: the IAEA provides process verification design; the United States and partner states provide, at their election, equipment, funding, or technical assistance through the Joint Disposition Fund of F.9.4, without acquiring any title to material or any control over operations.</w:t>
      </w:r>
    </w:p>
    <w:p w14:paraId="5409DD10" w14:textId="77777777" w:rsidR="00180E7C" w:rsidRDefault="00000000">
      <w:pPr>
        <w:pStyle w:val="BodyText"/>
      </w:pPr>
      <w:r>
        <w:t>F.4.3 Diluent supply: the blending campaign requires approximately 27 tonnes of natural-equivalent diluent per tonne of 60 percent material for full dilution to 0.711 percent; Iran sources diluent from declared domestic stock, with import supplementation licensed under Article 50.3 as needed.</w:t>
      </w:r>
    </w:p>
    <w:p w14:paraId="19727EC3" w14:textId="77777777" w:rsidR="00180E7C" w:rsidRDefault="00000000">
      <w:pPr>
        <w:pStyle w:val="Heading2"/>
      </w:pPr>
      <w:bookmarkStart w:id="637" w:name="f.5-damaged-site-recovery-protocol"/>
      <w:bookmarkEnd w:id="636"/>
      <w:r>
        <w:t>F.5 Damaged-Site Recovery Protocol</w:t>
      </w:r>
    </w:p>
    <w:p w14:paraId="5875D169" w14:textId="77777777" w:rsidR="00180E7C" w:rsidRDefault="00000000">
      <w:pPr>
        <w:pStyle w:val="FirstParagraph"/>
      </w:pPr>
      <w:r>
        <w:t>F.5.1 Sites affected by the 2025 strikes (the Isfahan tunnel complex sectors, the Natanz surface damage areas, and the Fordow portal areas) enter the recovery protocol: (a) IAEA-Iran joint safety assessment within 14 days of EIF; (b) radiological monitoring and worksite safety per IAEA standards; (c) stepwise recovery of material, with every recovered container weighed, fingerprinted, and Ledger-entered at the point of recovery; (d) debris characterization to account for material in admixed form, with computational accounting validated by sampling; (e) United States technical data packages on strike effects provided within 30 days to support safe recovery; (f) full accounting closure report within 240 days.</w:t>
      </w:r>
    </w:p>
    <w:p w14:paraId="3AEF896E" w14:textId="77777777" w:rsidR="00180E7C" w:rsidRDefault="00000000">
      <w:pPr>
        <w:pStyle w:val="BodyText"/>
      </w:pPr>
      <w:r>
        <w:t>F.5.2 Dignity provision: recovery operations proceed as technical operations under Iranian management with IAEA verification; the protocol excludes any ceremonial, media, or symbolic dimension, respecting the registered sensitivities of both Parties.</w:t>
      </w:r>
    </w:p>
    <w:p w14:paraId="1278041A" w14:textId="77777777" w:rsidR="00180E7C" w:rsidRDefault="00000000">
      <w:pPr>
        <w:pStyle w:val="Heading2"/>
      </w:pPr>
      <w:bookmarkStart w:id="638" w:name="f.6-schedule-f-2-the-60-percent-campaign"/>
      <w:bookmarkEnd w:id="637"/>
      <w:r>
        <w:t>F.6 Schedule F-2: The 60 Percent Campaign</w:t>
      </w:r>
    </w:p>
    <w:p w14:paraId="21420355" w14:textId="77777777" w:rsidR="00180E7C" w:rsidRDefault="00000000">
      <w:pPr>
        <w:pStyle w:val="FirstParagraph"/>
      </w:pPr>
      <w:r>
        <w:t>F.6.1 The approximately 440 kilograms of 60 percent material down-blends in eight batches:</w:t>
      </w:r>
    </w:p>
    <w:tbl>
      <w:tblPr>
        <w:tblStyle w:val="Table"/>
        <w:tblW w:w="0" w:type="auto"/>
        <w:tblLook w:val="0020" w:firstRow="1" w:lastRow="0" w:firstColumn="0" w:lastColumn="0" w:noHBand="0" w:noVBand="0"/>
      </w:tblPr>
      <w:tblGrid>
        <w:gridCol w:w="800"/>
        <w:gridCol w:w="2119"/>
        <w:gridCol w:w="1539"/>
        <w:gridCol w:w="1646"/>
        <w:gridCol w:w="2436"/>
      </w:tblGrid>
      <w:tr w:rsidR="00180E7C" w14:paraId="554E47B9"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C869BF5" w14:textId="77777777" w:rsidR="00180E7C" w:rsidRDefault="00000000">
            <w:pPr>
              <w:pStyle w:val="Compact"/>
            </w:pPr>
            <w:r>
              <w:t>Batch</w:t>
            </w:r>
          </w:p>
        </w:tc>
        <w:tc>
          <w:tcPr>
            <w:tcW w:w="0" w:type="auto"/>
          </w:tcPr>
          <w:p w14:paraId="5319FC2A" w14:textId="77777777" w:rsidR="00180E7C" w:rsidRDefault="00000000">
            <w:pPr>
              <w:pStyle w:val="Compact"/>
            </w:pPr>
            <w:r>
              <w:t>Quantity (approx.)</w:t>
            </w:r>
          </w:p>
        </w:tc>
        <w:tc>
          <w:tcPr>
            <w:tcW w:w="0" w:type="auto"/>
          </w:tcPr>
          <w:p w14:paraId="26EBC255" w14:textId="77777777" w:rsidR="00180E7C" w:rsidRDefault="00000000">
            <w:pPr>
              <w:pStyle w:val="Compact"/>
            </w:pPr>
            <w:r>
              <w:t>Target Assay</w:t>
            </w:r>
          </w:p>
        </w:tc>
        <w:tc>
          <w:tcPr>
            <w:tcW w:w="0" w:type="auto"/>
          </w:tcPr>
          <w:p w14:paraId="3D8B0002" w14:textId="77777777" w:rsidR="00180E7C" w:rsidRDefault="00000000">
            <w:pPr>
              <w:pStyle w:val="Compact"/>
            </w:pPr>
            <w:r>
              <w:t>Window</w:t>
            </w:r>
          </w:p>
        </w:tc>
        <w:tc>
          <w:tcPr>
            <w:tcW w:w="0" w:type="auto"/>
          </w:tcPr>
          <w:p w14:paraId="188C315C" w14:textId="77777777" w:rsidR="00180E7C" w:rsidRDefault="00000000">
            <w:pPr>
              <w:pStyle w:val="Compact"/>
            </w:pPr>
            <w:r>
              <w:t>Certification</w:t>
            </w:r>
          </w:p>
        </w:tc>
      </w:tr>
      <w:tr w:rsidR="00180E7C" w14:paraId="57AD1AF8" w14:textId="77777777">
        <w:tc>
          <w:tcPr>
            <w:tcW w:w="0" w:type="auto"/>
          </w:tcPr>
          <w:p w14:paraId="372271FA" w14:textId="77777777" w:rsidR="00180E7C" w:rsidRDefault="00000000">
            <w:pPr>
              <w:pStyle w:val="Compact"/>
            </w:pPr>
            <w:r>
              <w:t>1</w:t>
            </w:r>
          </w:p>
        </w:tc>
        <w:tc>
          <w:tcPr>
            <w:tcW w:w="0" w:type="auto"/>
          </w:tcPr>
          <w:p w14:paraId="3F7B61A2" w14:textId="77777777" w:rsidR="00180E7C" w:rsidRDefault="00000000">
            <w:pPr>
              <w:pStyle w:val="Compact"/>
            </w:pPr>
            <w:r>
              <w:t>55 kg</w:t>
            </w:r>
          </w:p>
        </w:tc>
        <w:tc>
          <w:tcPr>
            <w:tcW w:w="0" w:type="auto"/>
          </w:tcPr>
          <w:p w14:paraId="7B5D4735" w14:textId="77777777" w:rsidR="00180E7C" w:rsidRDefault="00000000">
            <w:pPr>
              <w:pStyle w:val="Compact"/>
            </w:pPr>
            <w:r>
              <w:t>0.711%</w:t>
            </w:r>
          </w:p>
        </w:tc>
        <w:tc>
          <w:tcPr>
            <w:tcW w:w="0" w:type="auto"/>
          </w:tcPr>
          <w:p w14:paraId="4481C7C5" w14:textId="77777777" w:rsidR="00180E7C" w:rsidRDefault="00000000">
            <w:pPr>
              <w:pStyle w:val="Compact"/>
            </w:pPr>
            <w:r>
              <w:t>Days 91-111</w:t>
            </w:r>
          </w:p>
        </w:tc>
        <w:tc>
          <w:tcPr>
            <w:tcW w:w="0" w:type="auto"/>
          </w:tcPr>
          <w:p w14:paraId="41D9B2CC" w14:textId="77777777" w:rsidR="00180E7C" w:rsidRDefault="00000000">
            <w:pPr>
              <w:pStyle w:val="Compact"/>
            </w:pPr>
            <w:r>
              <w:t>IAEA batch certificate</w:t>
            </w:r>
          </w:p>
        </w:tc>
      </w:tr>
      <w:tr w:rsidR="00180E7C" w14:paraId="0D835138" w14:textId="77777777">
        <w:tc>
          <w:tcPr>
            <w:tcW w:w="0" w:type="auto"/>
          </w:tcPr>
          <w:p w14:paraId="26F07449" w14:textId="77777777" w:rsidR="00180E7C" w:rsidRDefault="00000000">
            <w:pPr>
              <w:pStyle w:val="Compact"/>
            </w:pPr>
            <w:r>
              <w:t>2</w:t>
            </w:r>
          </w:p>
        </w:tc>
        <w:tc>
          <w:tcPr>
            <w:tcW w:w="0" w:type="auto"/>
          </w:tcPr>
          <w:p w14:paraId="71A9E657" w14:textId="77777777" w:rsidR="00180E7C" w:rsidRDefault="00000000">
            <w:pPr>
              <w:pStyle w:val="Compact"/>
            </w:pPr>
            <w:r>
              <w:t>55 kg</w:t>
            </w:r>
          </w:p>
        </w:tc>
        <w:tc>
          <w:tcPr>
            <w:tcW w:w="0" w:type="auto"/>
          </w:tcPr>
          <w:p w14:paraId="1DF67EEF" w14:textId="77777777" w:rsidR="00180E7C" w:rsidRDefault="00000000">
            <w:pPr>
              <w:pStyle w:val="Compact"/>
            </w:pPr>
            <w:r>
              <w:t>0.711%</w:t>
            </w:r>
          </w:p>
        </w:tc>
        <w:tc>
          <w:tcPr>
            <w:tcW w:w="0" w:type="auto"/>
          </w:tcPr>
          <w:p w14:paraId="14705CE3" w14:textId="77777777" w:rsidR="00180E7C" w:rsidRDefault="00000000">
            <w:pPr>
              <w:pStyle w:val="Compact"/>
            </w:pPr>
            <w:r>
              <w:t>Days 112-132</w:t>
            </w:r>
          </w:p>
        </w:tc>
        <w:tc>
          <w:tcPr>
            <w:tcW w:w="0" w:type="auto"/>
          </w:tcPr>
          <w:p w14:paraId="35A81D93" w14:textId="77777777" w:rsidR="00180E7C" w:rsidRDefault="00000000">
            <w:pPr>
              <w:pStyle w:val="Compact"/>
            </w:pPr>
            <w:r>
              <w:t>IAEA batch certificate</w:t>
            </w:r>
          </w:p>
        </w:tc>
      </w:tr>
      <w:tr w:rsidR="00180E7C" w14:paraId="078F1126" w14:textId="77777777">
        <w:tc>
          <w:tcPr>
            <w:tcW w:w="0" w:type="auto"/>
          </w:tcPr>
          <w:p w14:paraId="01CF8965" w14:textId="77777777" w:rsidR="00180E7C" w:rsidRDefault="00000000">
            <w:pPr>
              <w:pStyle w:val="Compact"/>
            </w:pPr>
            <w:r>
              <w:lastRenderedPageBreak/>
              <w:t>3</w:t>
            </w:r>
          </w:p>
        </w:tc>
        <w:tc>
          <w:tcPr>
            <w:tcW w:w="0" w:type="auto"/>
          </w:tcPr>
          <w:p w14:paraId="11D69613" w14:textId="77777777" w:rsidR="00180E7C" w:rsidRDefault="00000000">
            <w:pPr>
              <w:pStyle w:val="Compact"/>
            </w:pPr>
            <w:r>
              <w:t>55 kg</w:t>
            </w:r>
          </w:p>
        </w:tc>
        <w:tc>
          <w:tcPr>
            <w:tcW w:w="0" w:type="auto"/>
          </w:tcPr>
          <w:p w14:paraId="70481B16" w14:textId="77777777" w:rsidR="00180E7C" w:rsidRDefault="00000000">
            <w:pPr>
              <w:pStyle w:val="Compact"/>
            </w:pPr>
            <w:r>
              <w:t>0.711%</w:t>
            </w:r>
          </w:p>
        </w:tc>
        <w:tc>
          <w:tcPr>
            <w:tcW w:w="0" w:type="auto"/>
          </w:tcPr>
          <w:p w14:paraId="19441713" w14:textId="77777777" w:rsidR="00180E7C" w:rsidRDefault="00000000">
            <w:pPr>
              <w:pStyle w:val="Compact"/>
            </w:pPr>
            <w:r>
              <w:t>Days 133-153</w:t>
            </w:r>
          </w:p>
        </w:tc>
        <w:tc>
          <w:tcPr>
            <w:tcW w:w="0" w:type="auto"/>
          </w:tcPr>
          <w:p w14:paraId="643605F2" w14:textId="77777777" w:rsidR="00180E7C" w:rsidRDefault="00000000">
            <w:pPr>
              <w:pStyle w:val="Compact"/>
            </w:pPr>
            <w:r>
              <w:t>IAEA batch certificate</w:t>
            </w:r>
          </w:p>
        </w:tc>
      </w:tr>
      <w:tr w:rsidR="00180E7C" w14:paraId="0F3EAFFE" w14:textId="77777777">
        <w:tc>
          <w:tcPr>
            <w:tcW w:w="0" w:type="auto"/>
          </w:tcPr>
          <w:p w14:paraId="1691986D" w14:textId="77777777" w:rsidR="00180E7C" w:rsidRDefault="00000000">
            <w:pPr>
              <w:pStyle w:val="Compact"/>
            </w:pPr>
            <w:r>
              <w:t>4</w:t>
            </w:r>
          </w:p>
        </w:tc>
        <w:tc>
          <w:tcPr>
            <w:tcW w:w="0" w:type="auto"/>
          </w:tcPr>
          <w:p w14:paraId="6A915B39" w14:textId="77777777" w:rsidR="00180E7C" w:rsidRDefault="00000000">
            <w:pPr>
              <w:pStyle w:val="Compact"/>
            </w:pPr>
            <w:r>
              <w:t>55 kg</w:t>
            </w:r>
          </w:p>
        </w:tc>
        <w:tc>
          <w:tcPr>
            <w:tcW w:w="0" w:type="auto"/>
          </w:tcPr>
          <w:p w14:paraId="65657A70" w14:textId="77777777" w:rsidR="00180E7C" w:rsidRDefault="00000000">
            <w:pPr>
              <w:pStyle w:val="Compact"/>
            </w:pPr>
            <w:r>
              <w:t>0.711%</w:t>
            </w:r>
          </w:p>
        </w:tc>
        <w:tc>
          <w:tcPr>
            <w:tcW w:w="0" w:type="auto"/>
          </w:tcPr>
          <w:p w14:paraId="011707A3" w14:textId="77777777" w:rsidR="00180E7C" w:rsidRDefault="00000000">
            <w:pPr>
              <w:pStyle w:val="Compact"/>
            </w:pPr>
            <w:r>
              <w:t>Days 154-174</w:t>
            </w:r>
          </w:p>
        </w:tc>
        <w:tc>
          <w:tcPr>
            <w:tcW w:w="0" w:type="auto"/>
          </w:tcPr>
          <w:p w14:paraId="6B8CAFBC" w14:textId="77777777" w:rsidR="00180E7C" w:rsidRDefault="00000000">
            <w:pPr>
              <w:pStyle w:val="Compact"/>
            </w:pPr>
            <w:r>
              <w:t>IAEA batch certificate</w:t>
            </w:r>
          </w:p>
        </w:tc>
      </w:tr>
      <w:tr w:rsidR="00180E7C" w14:paraId="29C89B5E" w14:textId="77777777">
        <w:tc>
          <w:tcPr>
            <w:tcW w:w="0" w:type="auto"/>
          </w:tcPr>
          <w:p w14:paraId="72F2697A" w14:textId="77777777" w:rsidR="00180E7C" w:rsidRDefault="00000000">
            <w:pPr>
              <w:pStyle w:val="Compact"/>
            </w:pPr>
            <w:r>
              <w:t>5</w:t>
            </w:r>
          </w:p>
        </w:tc>
        <w:tc>
          <w:tcPr>
            <w:tcW w:w="0" w:type="auto"/>
          </w:tcPr>
          <w:p w14:paraId="58C57517" w14:textId="77777777" w:rsidR="00180E7C" w:rsidRDefault="00000000">
            <w:pPr>
              <w:pStyle w:val="Compact"/>
            </w:pPr>
            <w:r>
              <w:t>55 kg</w:t>
            </w:r>
          </w:p>
        </w:tc>
        <w:tc>
          <w:tcPr>
            <w:tcW w:w="0" w:type="auto"/>
          </w:tcPr>
          <w:p w14:paraId="2A29D24B" w14:textId="77777777" w:rsidR="00180E7C" w:rsidRDefault="00000000">
            <w:pPr>
              <w:pStyle w:val="Compact"/>
            </w:pPr>
            <w:r>
              <w:t>0.711%</w:t>
            </w:r>
          </w:p>
        </w:tc>
        <w:tc>
          <w:tcPr>
            <w:tcW w:w="0" w:type="auto"/>
          </w:tcPr>
          <w:p w14:paraId="2175400B" w14:textId="77777777" w:rsidR="00180E7C" w:rsidRDefault="00000000">
            <w:pPr>
              <w:pStyle w:val="Compact"/>
            </w:pPr>
            <w:r>
              <w:t>Days 175-195</w:t>
            </w:r>
          </w:p>
        </w:tc>
        <w:tc>
          <w:tcPr>
            <w:tcW w:w="0" w:type="auto"/>
          </w:tcPr>
          <w:p w14:paraId="2A26B3B3" w14:textId="77777777" w:rsidR="00180E7C" w:rsidRDefault="00000000">
            <w:pPr>
              <w:pStyle w:val="Compact"/>
            </w:pPr>
            <w:r>
              <w:t>IAEA batch certificate</w:t>
            </w:r>
          </w:p>
        </w:tc>
      </w:tr>
      <w:tr w:rsidR="00180E7C" w14:paraId="63ABF04E" w14:textId="77777777">
        <w:tc>
          <w:tcPr>
            <w:tcW w:w="0" w:type="auto"/>
          </w:tcPr>
          <w:p w14:paraId="0FFD279D" w14:textId="77777777" w:rsidR="00180E7C" w:rsidRDefault="00000000">
            <w:pPr>
              <w:pStyle w:val="Compact"/>
            </w:pPr>
            <w:r>
              <w:t>6</w:t>
            </w:r>
          </w:p>
        </w:tc>
        <w:tc>
          <w:tcPr>
            <w:tcW w:w="0" w:type="auto"/>
          </w:tcPr>
          <w:p w14:paraId="7DE569EE" w14:textId="77777777" w:rsidR="00180E7C" w:rsidRDefault="00000000">
            <w:pPr>
              <w:pStyle w:val="Compact"/>
            </w:pPr>
            <w:r>
              <w:t>55 kg</w:t>
            </w:r>
          </w:p>
        </w:tc>
        <w:tc>
          <w:tcPr>
            <w:tcW w:w="0" w:type="auto"/>
          </w:tcPr>
          <w:p w14:paraId="651DBCA1" w14:textId="77777777" w:rsidR="00180E7C" w:rsidRDefault="00000000">
            <w:pPr>
              <w:pStyle w:val="Compact"/>
            </w:pPr>
            <w:r>
              <w:t>0.711%</w:t>
            </w:r>
          </w:p>
        </w:tc>
        <w:tc>
          <w:tcPr>
            <w:tcW w:w="0" w:type="auto"/>
          </w:tcPr>
          <w:p w14:paraId="40DA5F5B" w14:textId="77777777" w:rsidR="00180E7C" w:rsidRDefault="00000000">
            <w:pPr>
              <w:pStyle w:val="Compact"/>
            </w:pPr>
            <w:r>
              <w:t>Days 196-216</w:t>
            </w:r>
          </w:p>
        </w:tc>
        <w:tc>
          <w:tcPr>
            <w:tcW w:w="0" w:type="auto"/>
          </w:tcPr>
          <w:p w14:paraId="1488EAFF" w14:textId="77777777" w:rsidR="00180E7C" w:rsidRDefault="00000000">
            <w:pPr>
              <w:pStyle w:val="Compact"/>
            </w:pPr>
            <w:r>
              <w:t>IAEA batch certificate</w:t>
            </w:r>
          </w:p>
        </w:tc>
      </w:tr>
      <w:tr w:rsidR="00180E7C" w14:paraId="4B0FAFBA" w14:textId="77777777">
        <w:tc>
          <w:tcPr>
            <w:tcW w:w="0" w:type="auto"/>
          </w:tcPr>
          <w:p w14:paraId="562EDEF7" w14:textId="77777777" w:rsidR="00180E7C" w:rsidRDefault="00000000">
            <w:pPr>
              <w:pStyle w:val="Compact"/>
            </w:pPr>
            <w:r>
              <w:t>7</w:t>
            </w:r>
          </w:p>
        </w:tc>
        <w:tc>
          <w:tcPr>
            <w:tcW w:w="0" w:type="auto"/>
          </w:tcPr>
          <w:p w14:paraId="5F2C8285" w14:textId="77777777" w:rsidR="00180E7C" w:rsidRDefault="00000000">
            <w:pPr>
              <w:pStyle w:val="Compact"/>
            </w:pPr>
            <w:r>
              <w:t>55 kg</w:t>
            </w:r>
          </w:p>
        </w:tc>
        <w:tc>
          <w:tcPr>
            <w:tcW w:w="0" w:type="auto"/>
          </w:tcPr>
          <w:p w14:paraId="49980B85" w14:textId="77777777" w:rsidR="00180E7C" w:rsidRDefault="00000000">
            <w:pPr>
              <w:pStyle w:val="Compact"/>
            </w:pPr>
            <w:r>
              <w:t>0.711%</w:t>
            </w:r>
          </w:p>
        </w:tc>
        <w:tc>
          <w:tcPr>
            <w:tcW w:w="0" w:type="auto"/>
          </w:tcPr>
          <w:p w14:paraId="68FEDA09" w14:textId="77777777" w:rsidR="00180E7C" w:rsidRDefault="00000000">
            <w:pPr>
              <w:pStyle w:val="Compact"/>
            </w:pPr>
            <w:r>
              <w:t>Days 217-237</w:t>
            </w:r>
          </w:p>
        </w:tc>
        <w:tc>
          <w:tcPr>
            <w:tcW w:w="0" w:type="auto"/>
          </w:tcPr>
          <w:p w14:paraId="13FF7A9E" w14:textId="77777777" w:rsidR="00180E7C" w:rsidRDefault="00000000">
            <w:pPr>
              <w:pStyle w:val="Compact"/>
            </w:pPr>
            <w:r>
              <w:t>IAEA batch certificate</w:t>
            </w:r>
          </w:p>
        </w:tc>
      </w:tr>
      <w:tr w:rsidR="00180E7C" w14:paraId="7EACD993" w14:textId="77777777">
        <w:tc>
          <w:tcPr>
            <w:tcW w:w="0" w:type="auto"/>
          </w:tcPr>
          <w:p w14:paraId="33D5527B" w14:textId="77777777" w:rsidR="00180E7C" w:rsidRDefault="00000000">
            <w:pPr>
              <w:pStyle w:val="Compact"/>
            </w:pPr>
            <w:r>
              <w:t>8</w:t>
            </w:r>
          </w:p>
        </w:tc>
        <w:tc>
          <w:tcPr>
            <w:tcW w:w="0" w:type="auto"/>
          </w:tcPr>
          <w:p w14:paraId="19C9FF58" w14:textId="77777777" w:rsidR="00180E7C" w:rsidRDefault="00000000">
            <w:pPr>
              <w:pStyle w:val="Compact"/>
            </w:pPr>
            <w:r>
              <w:t>55 kg</w:t>
            </w:r>
          </w:p>
        </w:tc>
        <w:tc>
          <w:tcPr>
            <w:tcW w:w="0" w:type="auto"/>
          </w:tcPr>
          <w:p w14:paraId="75559175" w14:textId="77777777" w:rsidR="00180E7C" w:rsidRDefault="00000000">
            <w:pPr>
              <w:pStyle w:val="Compact"/>
            </w:pPr>
            <w:r>
              <w:t>0.711%</w:t>
            </w:r>
          </w:p>
        </w:tc>
        <w:tc>
          <w:tcPr>
            <w:tcW w:w="0" w:type="auto"/>
          </w:tcPr>
          <w:p w14:paraId="6EBA2213" w14:textId="77777777" w:rsidR="00180E7C" w:rsidRDefault="00000000">
            <w:pPr>
              <w:pStyle w:val="Compact"/>
            </w:pPr>
            <w:r>
              <w:t>Days 238-258</w:t>
            </w:r>
          </w:p>
        </w:tc>
        <w:tc>
          <w:tcPr>
            <w:tcW w:w="0" w:type="auto"/>
          </w:tcPr>
          <w:p w14:paraId="75BA1462" w14:textId="77777777" w:rsidR="00180E7C" w:rsidRDefault="00000000">
            <w:pPr>
              <w:pStyle w:val="Compact"/>
            </w:pPr>
            <w:r>
              <w:t>IAEA batch certificate</w:t>
            </w:r>
          </w:p>
        </w:tc>
      </w:tr>
    </w:tbl>
    <w:p w14:paraId="4823E4D9" w14:textId="77777777" w:rsidR="00180E7C" w:rsidRDefault="00000000">
      <w:pPr>
        <w:pStyle w:val="BodyText"/>
      </w:pPr>
      <w:r>
        <w:t>F.6.2 Each batch: blends under continuous IAEA presence; product assays at or below 0.711 percent U-235 (natural-equivalent); product transfers to sealed storage at the Isfahan product halls; the IAEA issues the batch certificate within 72 hours of batch completion; certificates enter the SDR and drive the synchronization engine (Annex G phase steps key to batch certificates per the concordance of Annex P).</w:t>
      </w:r>
    </w:p>
    <w:p w14:paraId="240F29D5" w14:textId="77777777" w:rsidR="00180E7C" w:rsidRDefault="00000000">
      <w:pPr>
        <w:pStyle w:val="BodyText"/>
      </w:pPr>
      <w:r>
        <w:t>F.6.3 Cadence protection: an unexplained cadence slip beyond 30 days registers per Annex E, Section E.3.1 (Tier 3).</w:t>
      </w:r>
    </w:p>
    <w:p w14:paraId="74C4916A" w14:textId="77777777" w:rsidR="00180E7C" w:rsidRDefault="00000000">
      <w:pPr>
        <w:pStyle w:val="Heading2"/>
      </w:pPr>
      <w:bookmarkStart w:id="639" w:name="f.7-intermediate-and-leu-pathways"/>
      <w:bookmarkEnd w:id="638"/>
      <w:r>
        <w:t>F.7 Intermediate and LEU Pathways</w:t>
      </w:r>
    </w:p>
    <w:p w14:paraId="340B82D3" w14:textId="77777777" w:rsidR="00180E7C" w:rsidRDefault="00000000">
      <w:pPr>
        <w:pStyle w:val="FirstParagraph"/>
      </w:pPr>
      <w:r>
        <w:t>F.7.1 Schedule F-3: intermediate assay material (above 3.67 percent, below 60 percent) down-blends to natural-equivalent or to 3.67 percent product within the Permitted Inventory cap, completing within 18 months of EIF on the campaign plan filed with the IAEA within 60 days.</w:t>
      </w:r>
    </w:p>
    <w:p w14:paraId="38A6A11C" w14:textId="77777777" w:rsidR="00180E7C" w:rsidRDefault="00000000">
      <w:pPr>
        <w:pStyle w:val="BodyText"/>
      </w:pPr>
      <w:r>
        <w:t>F.7.2 LEU above the Permitted Inventory processes through, at Iran’s election per batch: (a) down-blending to natural-equivalent; (b) conversion and fabrication into TRR fuel assemblies and Bushehr-cycle fuel forms under the fuel fabrication line at Isfahan; (c) the industrial pathway: conversion to uranyl compounds with isotopic dilution below natural assay, dispersing material into non-recoverable industrial chemical form for fertilizer and industrial applications under continuous monitoring.</w:t>
      </w:r>
    </w:p>
    <w:p w14:paraId="6B7F7B72" w14:textId="77777777" w:rsidR="00180E7C" w:rsidRDefault="00000000">
      <w:pPr>
        <w:pStyle w:val="Heading2"/>
      </w:pPr>
      <w:bookmarkStart w:id="640" w:name="f.8-dual-key-monitored-storage"/>
      <w:bookmarkEnd w:id="639"/>
      <w:r>
        <w:t>F.8 Dual-Key Monitored Storage</w:t>
      </w:r>
    </w:p>
    <w:p w14:paraId="14AFC12C" w14:textId="77777777" w:rsidR="00180E7C" w:rsidRDefault="00000000">
      <w:pPr>
        <w:pStyle w:val="FirstParagraph"/>
      </w:pPr>
      <w:r>
        <w:t>F.8.1 The Isfahan storage halls hold: advanced centrifuges (IR-2m, IR-4, IR-6, IR-8) and components, dismantled cascade equipment, and sealed product. Custody operates dual-key: IAEA seals and surveillance plus Iranian custodial control. Access requires concurrent IAEA and Iranian authorization, logged in the Ledger.</w:t>
      </w:r>
    </w:p>
    <w:p w14:paraId="35927918" w14:textId="77777777" w:rsidR="00180E7C" w:rsidRDefault="00000000">
      <w:pPr>
        <w:pStyle w:val="BodyText"/>
      </w:pPr>
      <w:r>
        <w:t>F.8.2 Storage verification: continuous surveillance, monthly seal verification, annual physical inventory of stored machines and components.</w:t>
      </w:r>
    </w:p>
    <w:p w14:paraId="4F3C6BD4" w14:textId="77777777" w:rsidR="00180E7C" w:rsidRDefault="00000000">
      <w:pPr>
        <w:pStyle w:val="Heading2"/>
      </w:pPr>
      <w:bookmarkStart w:id="641" w:name="X42db4cde72d05c9bd18309a33ba2732833f328e"/>
      <w:bookmarkEnd w:id="640"/>
      <w:r>
        <w:t>F.9 Irreversibility Certification and the Joint Disposition Fund</w:t>
      </w:r>
    </w:p>
    <w:p w14:paraId="5C018340" w14:textId="77777777" w:rsidR="00180E7C" w:rsidRDefault="00000000">
      <w:pPr>
        <w:pStyle w:val="FirstParagraph"/>
      </w:pPr>
      <w:r>
        <w:t xml:space="preserve">F.9.1 The IAEA certifies each disposition pathway’s irreversibility class: Class I (isotopic dilution to natural-equivalent; re-enrichment cost equivalent to natural uranium feed); Class II (fabricated fuel form under seal; recovery requiring declared industrial process); </w:t>
      </w:r>
      <w:r>
        <w:lastRenderedPageBreak/>
        <w:t>Class III (industrial dispersal; recovery technically impractical). The certification enters the Ledger per batch.</w:t>
      </w:r>
    </w:p>
    <w:p w14:paraId="411502EB" w14:textId="77777777" w:rsidR="00180E7C" w:rsidRDefault="00000000">
      <w:pPr>
        <w:pStyle w:val="BodyText"/>
      </w:pPr>
      <w:r>
        <w:t>F.9.2 Class I constitutes the target for the 60 percent campaign and the default for intermediate material, answering the United States requirement that material not be rapidly recoverable for weapons use.</w:t>
      </w:r>
    </w:p>
    <w:p w14:paraId="5E1DD4F3" w14:textId="77777777" w:rsidR="00180E7C" w:rsidRDefault="00000000">
      <w:pPr>
        <w:pStyle w:val="BodyText"/>
      </w:pPr>
      <w:r>
        <w:t>F.9.3 Title retention: all material, in all pathways, remains the property of Iran. The irreversibility derives from physics and verification, not from transfer of ownership, answering the Iranian red line.</w:t>
      </w:r>
    </w:p>
    <w:p w14:paraId="397F577A" w14:textId="77777777" w:rsidR="00180E7C" w:rsidRDefault="00000000">
      <w:pPr>
        <w:pStyle w:val="BodyText"/>
      </w:pPr>
      <w:r>
        <w:t>F.9.4 The Joint Disposition Fund (one billion United States dollars initial capitalization, funded by the United States, partner states, and the RDF) finances: facility augmentation, diluent supply, monitoring systems, and the verification campaign, administered by the IAEA with annual public accounting.</w:t>
      </w:r>
    </w:p>
    <w:p w14:paraId="654BBE0E" w14:textId="77777777" w:rsidR="00180E7C" w:rsidRDefault="00000000">
      <w:pPr>
        <w:pStyle w:val="Heading2"/>
      </w:pPr>
      <w:bookmarkStart w:id="642" w:name="f.10-research-and-development-protocol"/>
      <w:bookmarkEnd w:id="641"/>
      <w:r>
        <w:t>F.10 Research and Development Protocol</w:t>
      </w:r>
    </w:p>
    <w:p w14:paraId="25C71E04" w14:textId="77777777" w:rsidR="00180E7C" w:rsidRDefault="00000000">
      <w:pPr>
        <w:pStyle w:val="FirstParagraph"/>
      </w:pPr>
      <w:r>
        <w:t>F.10.1 Enrichment R&amp;D continues at declared locations within: single machines and test cascades up to 20 machines; no accumulation of product above 3.67 percent assay and 5 kg per campaign; full IAEA visibility including design information; and annual review of the protocol’s parameters by the technical organs.</w:t>
      </w:r>
    </w:p>
    <w:p w14:paraId="62D74DC0" w14:textId="77777777" w:rsidR="00180E7C" w:rsidRDefault="00000000">
      <w:pPr>
        <w:pStyle w:val="Heading2"/>
      </w:pPr>
      <w:bookmarkStart w:id="643" w:name="f.11-breakout-methodology"/>
      <w:bookmarkEnd w:id="642"/>
      <w:r>
        <w:t>F.11 Breakout Methodology</w:t>
      </w:r>
    </w:p>
    <w:p w14:paraId="78CEB7D5" w14:textId="77777777" w:rsidR="00180E7C" w:rsidRDefault="00000000">
      <w:pPr>
        <w:pStyle w:val="FirstParagraph"/>
      </w:pPr>
      <w:r>
        <w:t>F.11.1 The IAEA computes the breakout estimate quarterly using: verified inventory; verified operating capacity; stored machine reconstitution timelines (including dual-key access delays, reinstallation, and cascade commissioning estimates); conversion timelines; and the significant quantity standard of 25 kg of weapons-grade uranium.</w:t>
      </w:r>
    </w:p>
    <w:p w14:paraId="2D6F549A" w14:textId="77777777" w:rsidR="00180E7C" w:rsidRDefault="00000000">
      <w:pPr>
        <w:pStyle w:val="BodyText"/>
      </w:pPr>
      <w:r>
        <w:t>F.11.2 The computation publishes with sensitivity analysis. The twelve-month floor holds through the combined effect of: zero stockpile above 3.67 percent (the dominant variable), the 300 kg cap, the 5,060 IR-1 ceiling, and dual-key storage of advanced machines.</w:t>
      </w:r>
    </w:p>
    <w:p w14:paraId="230D52EA" w14:textId="77777777" w:rsidR="00180E7C" w:rsidRDefault="00000000">
      <w:pPr>
        <w:pStyle w:val="BodyText"/>
      </w:pPr>
      <w:r>
        <w:t>F.11.3 Drift management: computed drift below 15 months triggers JMC review; below 12 months registers Level 3; at 9 months, Level 4.</w:t>
      </w:r>
    </w:p>
    <w:p w14:paraId="5132B2F9" w14:textId="77777777" w:rsidR="00180E7C" w:rsidRDefault="00000000">
      <w:pPr>
        <w:pStyle w:val="Heading2"/>
      </w:pPr>
      <w:bookmarkStart w:id="644" w:name="f.12-pmd-closure-and-board-interface"/>
      <w:bookmarkEnd w:id="643"/>
      <w:r>
        <w:t>F.12 PMD Closure and Board Interface</w:t>
      </w:r>
    </w:p>
    <w:p w14:paraId="2108DDBD" w14:textId="77777777" w:rsidR="00180E7C" w:rsidRDefault="00000000">
      <w:pPr>
        <w:pStyle w:val="FirstParagraph"/>
      </w:pPr>
      <w:r>
        <w:t>F.12.1 Iran completes the PMD closure file per Article 61.7: written answers to the outstanding questions within 120 days; managed access to the listed locations within 180 days; the IAEA Director General’s closure assessment to the Board of Governors within 12 months. Upon the closure assessment and the verified disposition milestones, the Board closes the prior censure resolutions per Article 46.1.2.</w:t>
      </w:r>
    </w:p>
    <w:p w14:paraId="6C2F68FC" w14:textId="77777777" w:rsidR="00180E7C" w:rsidRDefault="00000000">
      <w:pPr>
        <w:pStyle w:val="Heading2"/>
      </w:pPr>
      <w:bookmarkStart w:id="645" w:name="f.13-fordow-conversion-plan"/>
      <w:bookmarkEnd w:id="644"/>
      <w:r>
        <w:t>F.13 Fordow Conversion Plan</w:t>
      </w:r>
    </w:p>
    <w:p w14:paraId="71DB76C4" w14:textId="77777777" w:rsidR="00180E7C" w:rsidRDefault="00000000">
      <w:pPr>
        <w:pStyle w:val="FirstParagraph"/>
      </w:pPr>
      <w:r>
        <w:t xml:space="preserve">F.13.1 The Fordow International Center for Stable Isotope Science: governance board (Iran chair, IAEA liaison, international scientific partners); centrifuge removal to Isfahan storage </w:t>
      </w:r>
      <w:r>
        <w:lastRenderedPageBreak/>
        <w:t>within 12 months; conversion engineering within 24 months; isotope production (medical Mo-99 pathway research, industrial isotopes) under full safeguards; the site perimeter and halls under continuous IAEA presence as a condition of the Center’s operation.</w:t>
      </w:r>
    </w:p>
    <w:p w14:paraId="0B683AB6" w14:textId="77777777" w:rsidR="00180E7C" w:rsidRDefault="00000000">
      <w:pPr>
        <w:pStyle w:val="Heading2"/>
      </w:pPr>
      <w:bookmarkStart w:id="646" w:name="f.14-arak-configuration"/>
      <w:bookmarkEnd w:id="645"/>
      <w:r>
        <w:t>F.14 Arak Configuration</w:t>
      </w:r>
    </w:p>
    <w:p w14:paraId="38A1152F" w14:textId="77777777" w:rsidR="00180E7C" w:rsidRDefault="00000000">
      <w:pPr>
        <w:pStyle w:val="FirstParagraph"/>
      </w:pPr>
      <w:r>
        <w:t>F.14.1 The Arak reactor operates with the redesigned core: plutonium production below 1 kg per year in spent fuel, verified annually through design verification and operating records; original core components remain rendered unusable; no reprocessing facility or capability exists in Iran; spent fuel management per the declared plan with IAEA verification.</w:t>
      </w:r>
    </w:p>
    <w:p w14:paraId="16B68757" w14:textId="77777777" w:rsidR="00180E7C" w:rsidRDefault="00000000">
      <w:pPr>
        <w:pStyle w:val="Heading2"/>
      </w:pPr>
      <w:bookmarkStart w:id="647" w:name="f.15-enhanced-verification-protocol"/>
      <w:bookmarkEnd w:id="646"/>
      <w:r>
        <w:t>F.15 Enhanced Verification Protocol</w:t>
      </w:r>
    </w:p>
    <w:p w14:paraId="7372D138" w14:textId="77777777" w:rsidR="00180E7C" w:rsidRDefault="00000000">
      <w:pPr>
        <w:pStyle w:val="FirstParagraph"/>
      </w:pPr>
      <w:r>
        <w:t>F.15.1 The protocol layers: Comprehensive Safeguards Agreement (base); Additional Protocol (provisionally applied from EIF, ratified within 12 months); continuous presence at the four site complexes (resident teams, Table F-4 rotation: 12 inspectors resident at any time, rotating on 8-week cycles); unattended monitoring real-time transmission; the Uranium Ledger; the anytime access protocol of Article 62.4; and the quarterly breakout computation.</w:t>
      </w:r>
    </w:p>
    <w:p w14:paraId="16D14F87" w14:textId="77777777" w:rsidR="00180E7C" w:rsidRDefault="00000000">
      <w:pPr>
        <w:pStyle w:val="Heading2"/>
      </w:pPr>
      <w:bookmarkStart w:id="648" w:name="f.16-managed-access-techniques"/>
      <w:bookmarkEnd w:id="647"/>
      <w:r>
        <w:t>F.16 Managed Access Techniques</w:t>
      </w:r>
    </w:p>
    <w:p w14:paraId="76E49D05" w14:textId="77777777" w:rsidR="00180E7C" w:rsidRDefault="00000000">
      <w:pPr>
        <w:pStyle w:val="FirstParagraph"/>
      </w:pPr>
      <w:r>
        <w:t>F.16.1 The techniques menu: shrouding of unrelated sensitive equipment; selective environmental sampling; managed visual access; escorted walkdowns; radiation detection surveys; agreement of the inspection record on site. The IAEA certifies whether the verification objective stands met; techniques serve sensitivity, never obstruction.</w:t>
      </w:r>
    </w:p>
    <w:p w14:paraId="3B68C4C0" w14:textId="77777777" w:rsidR="00180E7C" w:rsidRDefault="00000000">
      <w:pPr>
        <w:pStyle w:val="Heading2"/>
      </w:pPr>
      <w:bookmarkStart w:id="649" w:name="X07966acc359e9e211652fa88fe1ed80691fc86c"/>
      <w:bookmarkEnd w:id="648"/>
      <w:r>
        <w:t>F.17 Schedule F-4: Verification Milestones Concordance</w:t>
      </w:r>
    </w:p>
    <w:tbl>
      <w:tblPr>
        <w:tblStyle w:val="Table"/>
        <w:tblW w:w="0" w:type="auto"/>
        <w:tblLook w:val="0020" w:firstRow="1" w:lastRow="0" w:firstColumn="0" w:lastColumn="0" w:noHBand="0" w:noVBand="0"/>
      </w:tblPr>
      <w:tblGrid>
        <w:gridCol w:w="3603"/>
        <w:gridCol w:w="1342"/>
        <w:gridCol w:w="2761"/>
      </w:tblGrid>
      <w:tr w:rsidR="00180E7C" w14:paraId="71AA1B26"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D50BE03" w14:textId="77777777" w:rsidR="00180E7C" w:rsidRDefault="00000000">
            <w:pPr>
              <w:pStyle w:val="Compact"/>
            </w:pPr>
            <w:r>
              <w:t>Milestone</w:t>
            </w:r>
          </w:p>
        </w:tc>
        <w:tc>
          <w:tcPr>
            <w:tcW w:w="0" w:type="auto"/>
          </w:tcPr>
          <w:p w14:paraId="5D963EC6" w14:textId="77777777" w:rsidR="00180E7C" w:rsidRDefault="00000000">
            <w:pPr>
              <w:pStyle w:val="Compact"/>
            </w:pPr>
            <w:r>
              <w:t>Target Day</w:t>
            </w:r>
          </w:p>
        </w:tc>
        <w:tc>
          <w:tcPr>
            <w:tcW w:w="0" w:type="auto"/>
          </w:tcPr>
          <w:p w14:paraId="67F308EB" w14:textId="77777777" w:rsidR="00180E7C" w:rsidRDefault="00000000">
            <w:pPr>
              <w:pStyle w:val="Compact"/>
            </w:pPr>
            <w:r>
              <w:t>Drives</w:t>
            </w:r>
          </w:p>
        </w:tc>
      </w:tr>
      <w:tr w:rsidR="00180E7C" w14:paraId="4A0101D4" w14:textId="77777777">
        <w:tc>
          <w:tcPr>
            <w:tcW w:w="0" w:type="auto"/>
          </w:tcPr>
          <w:p w14:paraId="25E083B5" w14:textId="77777777" w:rsidR="00180E7C" w:rsidRDefault="00000000">
            <w:pPr>
              <w:pStyle w:val="Compact"/>
            </w:pPr>
            <w:r>
              <w:t>Baseline declaration</w:t>
            </w:r>
          </w:p>
        </w:tc>
        <w:tc>
          <w:tcPr>
            <w:tcW w:w="0" w:type="auto"/>
          </w:tcPr>
          <w:p w14:paraId="312976D2" w14:textId="77777777" w:rsidR="00180E7C" w:rsidRDefault="00000000">
            <w:pPr>
              <w:pStyle w:val="Compact"/>
            </w:pPr>
            <w:r>
              <w:t>Day 14</w:t>
            </w:r>
          </w:p>
        </w:tc>
        <w:tc>
          <w:tcPr>
            <w:tcW w:w="0" w:type="auto"/>
          </w:tcPr>
          <w:p w14:paraId="1EC01562" w14:textId="77777777" w:rsidR="00180E7C" w:rsidRDefault="00000000">
            <w:pPr>
              <w:pStyle w:val="Compact"/>
            </w:pPr>
            <w:r>
              <w:t>JMC certification start</w:t>
            </w:r>
          </w:p>
        </w:tc>
      </w:tr>
      <w:tr w:rsidR="00180E7C" w14:paraId="197371F5" w14:textId="77777777">
        <w:tc>
          <w:tcPr>
            <w:tcW w:w="0" w:type="auto"/>
          </w:tcPr>
          <w:p w14:paraId="23B008D2" w14:textId="77777777" w:rsidR="00180E7C" w:rsidRDefault="00000000">
            <w:pPr>
              <w:pStyle w:val="Compact"/>
            </w:pPr>
            <w:r>
              <w:t>Damaged-site access complete</w:t>
            </w:r>
          </w:p>
        </w:tc>
        <w:tc>
          <w:tcPr>
            <w:tcW w:w="0" w:type="auto"/>
          </w:tcPr>
          <w:p w14:paraId="334F1BDC" w14:textId="77777777" w:rsidR="00180E7C" w:rsidRDefault="00000000">
            <w:pPr>
              <w:pStyle w:val="Compact"/>
            </w:pPr>
            <w:r>
              <w:t>Day 30</w:t>
            </w:r>
          </w:p>
        </w:tc>
        <w:tc>
          <w:tcPr>
            <w:tcW w:w="0" w:type="auto"/>
          </w:tcPr>
          <w:p w14:paraId="7CEC89E8" w14:textId="77777777" w:rsidR="00180E7C" w:rsidRDefault="00000000">
            <w:pPr>
              <w:pStyle w:val="Compact"/>
            </w:pPr>
            <w:r>
              <w:t>Phase I closeout</w:t>
            </w:r>
          </w:p>
        </w:tc>
      </w:tr>
      <w:tr w:rsidR="00180E7C" w14:paraId="537C9745" w14:textId="77777777">
        <w:tc>
          <w:tcPr>
            <w:tcW w:w="0" w:type="auto"/>
          </w:tcPr>
          <w:p w14:paraId="7CE79466" w14:textId="77777777" w:rsidR="00180E7C" w:rsidRDefault="00000000">
            <w:pPr>
              <w:pStyle w:val="Compact"/>
            </w:pPr>
            <w:r>
              <w:t>Facility commissioning</w:t>
            </w:r>
          </w:p>
        </w:tc>
        <w:tc>
          <w:tcPr>
            <w:tcW w:w="0" w:type="auto"/>
          </w:tcPr>
          <w:p w14:paraId="5B35096F" w14:textId="77777777" w:rsidR="00180E7C" w:rsidRDefault="00000000">
            <w:pPr>
              <w:pStyle w:val="Compact"/>
            </w:pPr>
            <w:r>
              <w:t>Day 90</w:t>
            </w:r>
          </w:p>
        </w:tc>
        <w:tc>
          <w:tcPr>
            <w:tcW w:w="0" w:type="auto"/>
          </w:tcPr>
          <w:p w14:paraId="1CB7D53F" w14:textId="77777777" w:rsidR="00180E7C" w:rsidRDefault="00000000">
            <w:pPr>
              <w:pStyle w:val="Compact"/>
            </w:pPr>
            <w:r>
              <w:t>Campaign start</w:t>
            </w:r>
          </w:p>
        </w:tc>
      </w:tr>
      <w:tr w:rsidR="00180E7C" w14:paraId="24EEABD1" w14:textId="77777777">
        <w:tc>
          <w:tcPr>
            <w:tcW w:w="0" w:type="auto"/>
          </w:tcPr>
          <w:p w14:paraId="6DC4138C" w14:textId="77777777" w:rsidR="00180E7C" w:rsidRDefault="00000000">
            <w:pPr>
              <w:pStyle w:val="Compact"/>
            </w:pPr>
            <w:r>
              <w:t>Batch 1 certificate</w:t>
            </w:r>
          </w:p>
        </w:tc>
        <w:tc>
          <w:tcPr>
            <w:tcW w:w="0" w:type="auto"/>
          </w:tcPr>
          <w:p w14:paraId="162EC7C4" w14:textId="77777777" w:rsidR="00180E7C" w:rsidRDefault="00000000">
            <w:pPr>
              <w:pStyle w:val="Compact"/>
            </w:pPr>
            <w:r>
              <w:t>Day 111</w:t>
            </w:r>
          </w:p>
        </w:tc>
        <w:tc>
          <w:tcPr>
            <w:tcW w:w="0" w:type="auto"/>
          </w:tcPr>
          <w:p w14:paraId="1BB25EE1" w14:textId="77777777" w:rsidR="00180E7C" w:rsidRDefault="00000000">
            <w:pPr>
              <w:pStyle w:val="Compact"/>
            </w:pPr>
            <w:r>
              <w:t>Annex G Phase II step 1</w:t>
            </w:r>
          </w:p>
        </w:tc>
      </w:tr>
      <w:tr w:rsidR="00180E7C" w14:paraId="5EF0A598" w14:textId="77777777">
        <w:tc>
          <w:tcPr>
            <w:tcW w:w="0" w:type="auto"/>
          </w:tcPr>
          <w:p w14:paraId="73422EBD" w14:textId="77777777" w:rsidR="00180E7C" w:rsidRDefault="00000000">
            <w:pPr>
              <w:pStyle w:val="Compact"/>
            </w:pPr>
            <w:r>
              <w:t>Batch 4 certificate</w:t>
            </w:r>
          </w:p>
        </w:tc>
        <w:tc>
          <w:tcPr>
            <w:tcW w:w="0" w:type="auto"/>
          </w:tcPr>
          <w:p w14:paraId="4D08033E" w14:textId="77777777" w:rsidR="00180E7C" w:rsidRDefault="00000000">
            <w:pPr>
              <w:pStyle w:val="Compact"/>
            </w:pPr>
            <w:r>
              <w:t>Day 174</w:t>
            </w:r>
          </w:p>
        </w:tc>
        <w:tc>
          <w:tcPr>
            <w:tcW w:w="0" w:type="auto"/>
          </w:tcPr>
          <w:p w14:paraId="477141A8" w14:textId="77777777" w:rsidR="00180E7C" w:rsidRDefault="00000000">
            <w:pPr>
              <w:pStyle w:val="Compact"/>
            </w:pPr>
            <w:r>
              <w:t>Annex G Phase II step 2</w:t>
            </w:r>
          </w:p>
        </w:tc>
      </w:tr>
      <w:tr w:rsidR="00180E7C" w14:paraId="608C2A3E" w14:textId="77777777">
        <w:tc>
          <w:tcPr>
            <w:tcW w:w="0" w:type="auto"/>
          </w:tcPr>
          <w:p w14:paraId="510D90B5" w14:textId="77777777" w:rsidR="00180E7C" w:rsidRDefault="00000000">
            <w:pPr>
              <w:pStyle w:val="Compact"/>
            </w:pPr>
            <w:r>
              <w:t>Batch 8 certificate</w:t>
            </w:r>
          </w:p>
        </w:tc>
        <w:tc>
          <w:tcPr>
            <w:tcW w:w="0" w:type="auto"/>
          </w:tcPr>
          <w:p w14:paraId="10755D74" w14:textId="77777777" w:rsidR="00180E7C" w:rsidRDefault="00000000">
            <w:pPr>
              <w:pStyle w:val="Compact"/>
            </w:pPr>
            <w:r>
              <w:t>Day 258</w:t>
            </w:r>
          </w:p>
        </w:tc>
        <w:tc>
          <w:tcPr>
            <w:tcW w:w="0" w:type="auto"/>
          </w:tcPr>
          <w:p w14:paraId="018EDBA0" w14:textId="77777777" w:rsidR="00180E7C" w:rsidRDefault="00000000">
            <w:pPr>
              <w:pStyle w:val="Compact"/>
            </w:pPr>
            <w:r>
              <w:t>Annex G Phase III step 1</w:t>
            </w:r>
          </w:p>
        </w:tc>
      </w:tr>
      <w:tr w:rsidR="00180E7C" w14:paraId="3F9DCA2A" w14:textId="77777777">
        <w:tc>
          <w:tcPr>
            <w:tcW w:w="0" w:type="auto"/>
          </w:tcPr>
          <w:p w14:paraId="7C3D714D" w14:textId="77777777" w:rsidR="00180E7C" w:rsidRDefault="00000000">
            <w:pPr>
              <w:pStyle w:val="Compact"/>
            </w:pPr>
            <w:r>
              <w:t>Intermediate campaign complete</w:t>
            </w:r>
          </w:p>
        </w:tc>
        <w:tc>
          <w:tcPr>
            <w:tcW w:w="0" w:type="auto"/>
          </w:tcPr>
          <w:p w14:paraId="5C30880A" w14:textId="77777777" w:rsidR="00180E7C" w:rsidRDefault="00000000">
            <w:pPr>
              <w:pStyle w:val="Compact"/>
            </w:pPr>
            <w:r>
              <w:t>Day 540</w:t>
            </w:r>
          </w:p>
        </w:tc>
        <w:tc>
          <w:tcPr>
            <w:tcW w:w="0" w:type="auto"/>
          </w:tcPr>
          <w:p w14:paraId="4CDFC538" w14:textId="77777777" w:rsidR="00180E7C" w:rsidRDefault="00000000">
            <w:pPr>
              <w:pStyle w:val="Compact"/>
            </w:pPr>
            <w:r>
              <w:t>Annex G Phase III step 2</w:t>
            </w:r>
          </w:p>
        </w:tc>
      </w:tr>
      <w:tr w:rsidR="00180E7C" w14:paraId="37CDFF6C" w14:textId="77777777">
        <w:tc>
          <w:tcPr>
            <w:tcW w:w="0" w:type="auto"/>
          </w:tcPr>
          <w:p w14:paraId="2361786A" w14:textId="77777777" w:rsidR="00180E7C" w:rsidRDefault="00000000">
            <w:pPr>
              <w:pStyle w:val="Compact"/>
            </w:pPr>
            <w:r>
              <w:t>PMD closure assessment</w:t>
            </w:r>
          </w:p>
        </w:tc>
        <w:tc>
          <w:tcPr>
            <w:tcW w:w="0" w:type="auto"/>
          </w:tcPr>
          <w:p w14:paraId="6D553519" w14:textId="77777777" w:rsidR="00180E7C" w:rsidRDefault="00000000">
            <w:pPr>
              <w:pStyle w:val="Compact"/>
            </w:pPr>
            <w:r>
              <w:t>Day 365</w:t>
            </w:r>
          </w:p>
        </w:tc>
        <w:tc>
          <w:tcPr>
            <w:tcW w:w="0" w:type="auto"/>
          </w:tcPr>
          <w:p w14:paraId="78E301EE" w14:textId="77777777" w:rsidR="00180E7C" w:rsidRDefault="00000000">
            <w:pPr>
              <w:pStyle w:val="Compact"/>
            </w:pPr>
            <w:r>
              <w:t>Board action</w:t>
            </w:r>
          </w:p>
        </w:tc>
      </w:tr>
      <w:tr w:rsidR="00180E7C" w14:paraId="790DBC19" w14:textId="77777777">
        <w:tc>
          <w:tcPr>
            <w:tcW w:w="0" w:type="auto"/>
          </w:tcPr>
          <w:p w14:paraId="74CCA4BA" w14:textId="77777777" w:rsidR="00180E7C" w:rsidRDefault="00000000">
            <w:pPr>
              <w:pStyle w:val="Compact"/>
            </w:pPr>
            <w:r>
              <w:t>Fordow conversion complete</w:t>
            </w:r>
          </w:p>
        </w:tc>
        <w:tc>
          <w:tcPr>
            <w:tcW w:w="0" w:type="auto"/>
          </w:tcPr>
          <w:p w14:paraId="69D8733F" w14:textId="77777777" w:rsidR="00180E7C" w:rsidRDefault="00000000">
            <w:pPr>
              <w:pStyle w:val="Compact"/>
            </w:pPr>
            <w:r>
              <w:t>Day 720</w:t>
            </w:r>
          </w:p>
        </w:tc>
        <w:tc>
          <w:tcPr>
            <w:tcW w:w="0" w:type="auto"/>
          </w:tcPr>
          <w:p w14:paraId="2FCA2582" w14:textId="77777777" w:rsidR="00180E7C" w:rsidRDefault="00000000">
            <w:pPr>
              <w:pStyle w:val="Compact"/>
            </w:pPr>
            <w:r>
              <w:t>Annex G Phase IV review</w:t>
            </w:r>
          </w:p>
        </w:tc>
      </w:tr>
    </w:tbl>
    <w:p w14:paraId="1EF5FD0D" w14:textId="77777777" w:rsidR="00180E7C" w:rsidRDefault="00000000">
      <w:r>
        <w:br w:type="page"/>
      </w:r>
    </w:p>
    <w:p w14:paraId="5DF999D6" w14:textId="77777777" w:rsidR="00180E7C" w:rsidRDefault="00000000">
      <w:pPr>
        <w:pStyle w:val="Heading1"/>
      </w:pPr>
      <w:bookmarkStart w:id="650" w:name="X9e24a83e93aeb8f6677fc5b075ead01ebea9af1"/>
      <w:bookmarkStart w:id="651" w:name="_Toc237843172"/>
      <w:bookmarkEnd w:id="631"/>
      <w:bookmarkEnd w:id="649"/>
      <w:r>
        <w:lastRenderedPageBreak/>
        <w:t>ANNEX G: SANCTIONS RELIEF AND COMPLIANCE SCHEDULE</w:t>
      </w:r>
      <w:bookmarkEnd w:id="651"/>
    </w:p>
    <w:p w14:paraId="4B8F96D6" w14:textId="77777777" w:rsidR="00180E7C" w:rsidRDefault="00000000">
      <w:pPr>
        <w:pStyle w:val="Heading2"/>
      </w:pPr>
      <w:bookmarkStart w:id="652" w:name="g.1-structure"/>
      <w:r>
        <w:t>G.1 Structure</w:t>
      </w:r>
    </w:p>
    <w:p w14:paraId="5E9A5F64" w14:textId="77777777" w:rsidR="00180E7C" w:rsidRDefault="00000000">
      <w:pPr>
        <w:pStyle w:val="FirstParagraph"/>
      </w:pPr>
      <w:r>
        <w:t>G.1.1 This Annex contains the complete schedule for the termination of the Sanctions Architecture under Article 46. Schedule G-1 lists the United States measures. Schedule G-2 lists the international measures. The Tables assign every measure its phase, its verification key, and its termination instrument.</w:t>
      </w:r>
    </w:p>
    <w:p w14:paraId="634A5C63" w14:textId="77777777" w:rsidR="00180E7C" w:rsidRDefault="00000000">
      <w:pPr>
        <w:pStyle w:val="Heading2"/>
      </w:pPr>
      <w:bookmarkStart w:id="653" w:name="X8be4af51db8ae1c1d707c930d37a107a16c3cbf"/>
      <w:bookmarkEnd w:id="652"/>
      <w:r>
        <w:t>G.2 Schedule G-1: United States Measures Register</w:t>
      </w:r>
    </w:p>
    <w:p w14:paraId="36C732BC" w14:textId="77777777" w:rsidR="00180E7C" w:rsidRDefault="00000000">
      <w:pPr>
        <w:pStyle w:val="FirstParagraph"/>
      </w:pPr>
      <w:r>
        <w:t>G.2.1 Categories of measures subject to termination: (a) the comprehensive trade and investment embargo instruments; (b) the Iranian transactions and financial restrictions; (c) the secondary sanctions architecture affecting third-country actors transacting with Iran; (d) the energy sector measures; (e) the shipping, insurance, and port measures; (f) the aviation restrictions; (g) the designations of entities and individuals listed in the Tables; (h) the wartime measures of 2025-2026 in their entirety.</w:t>
      </w:r>
    </w:p>
    <w:p w14:paraId="12F217F0" w14:textId="77777777" w:rsidR="00180E7C" w:rsidRDefault="00000000">
      <w:pPr>
        <w:pStyle w:val="Heading2"/>
      </w:pPr>
      <w:bookmarkStart w:id="654" w:name="X6d2e916930d930987fb927ed14c40a5617ac294"/>
      <w:bookmarkEnd w:id="653"/>
      <w:r>
        <w:t>G.3 Table G-1: Phase I Terminations (Day 0-30)</w:t>
      </w:r>
    </w:p>
    <w:tbl>
      <w:tblPr>
        <w:tblStyle w:val="Table"/>
        <w:tblW w:w="5000" w:type="pct"/>
        <w:tblLook w:val="0020" w:firstRow="1" w:lastRow="0" w:firstColumn="0" w:lastColumn="0" w:noHBand="0" w:noVBand="0"/>
      </w:tblPr>
      <w:tblGrid>
        <w:gridCol w:w="4775"/>
        <w:gridCol w:w="3132"/>
        <w:gridCol w:w="1669"/>
      </w:tblGrid>
      <w:tr w:rsidR="00180E7C" w14:paraId="0A61B3E8"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C8D0A28" w14:textId="77777777" w:rsidR="00180E7C" w:rsidRDefault="00000000">
            <w:pPr>
              <w:pStyle w:val="Compact"/>
            </w:pPr>
            <w:r>
              <w:t>Measure Cluster</w:t>
            </w:r>
          </w:p>
        </w:tc>
        <w:tc>
          <w:tcPr>
            <w:tcW w:w="0" w:type="auto"/>
          </w:tcPr>
          <w:p w14:paraId="79CB94AB" w14:textId="77777777" w:rsidR="00180E7C" w:rsidRDefault="00000000">
            <w:pPr>
              <w:pStyle w:val="Compact"/>
            </w:pPr>
            <w:r>
              <w:t>Termination Instrument</w:t>
            </w:r>
          </w:p>
        </w:tc>
        <w:tc>
          <w:tcPr>
            <w:tcW w:w="0" w:type="auto"/>
          </w:tcPr>
          <w:p w14:paraId="121352F1" w14:textId="77777777" w:rsidR="00180E7C" w:rsidRDefault="00000000">
            <w:pPr>
              <w:pStyle w:val="Compact"/>
            </w:pPr>
            <w:r>
              <w:t>Verification Key</w:t>
            </w:r>
          </w:p>
        </w:tc>
      </w:tr>
      <w:tr w:rsidR="00180E7C" w14:paraId="045AFEEC" w14:textId="77777777">
        <w:tc>
          <w:tcPr>
            <w:tcW w:w="0" w:type="auto"/>
          </w:tcPr>
          <w:p w14:paraId="613F8247" w14:textId="77777777" w:rsidR="00180E7C" w:rsidRDefault="00000000">
            <w:pPr>
              <w:pStyle w:val="Compact"/>
            </w:pPr>
            <w:r>
              <w:t>2026 wartime designations (all)</w:t>
            </w:r>
          </w:p>
        </w:tc>
        <w:tc>
          <w:tcPr>
            <w:tcW w:w="0" w:type="auto"/>
          </w:tcPr>
          <w:p w14:paraId="5C75C412" w14:textId="77777777" w:rsidR="00180E7C" w:rsidRDefault="00000000">
            <w:pPr>
              <w:pStyle w:val="Compact"/>
            </w:pPr>
            <w:r>
              <w:t>Executive order revocations</w:t>
            </w:r>
          </w:p>
        </w:tc>
        <w:tc>
          <w:tcPr>
            <w:tcW w:w="0" w:type="auto"/>
          </w:tcPr>
          <w:p w14:paraId="2CEFBE0F" w14:textId="77777777" w:rsidR="00180E7C" w:rsidRDefault="00000000">
            <w:pPr>
              <w:pStyle w:val="Compact"/>
            </w:pPr>
            <w:r>
              <w:t>EIF certificate</w:t>
            </w:r>
          </w:p>
        </w:tc>
      </w:tr>
      <w:tr w:rsidR="00180E7C" w14:paraId="272430B5" w14:textId="77777777">
        <w:tc>
          <w:tcPr>
            <w:tcW w:w="0" w:type="auto"/>
          </w:tcPr>
          <w:p w14:paraId="31F2636D" w14:textId="77777777" w:rsidR="00180E7C" w:rsidRDefault="00000000">
            <w:pPr>
              <w:pStyle w:val="Compact"/>
            </w:pPr>
            <w:r>
              <w:t>Maritime interdiction and insurance restrictions on Iranian shipping</w:t>
            </w:r>
          </w:p>
        </w:tc>
        <w:tc>
          <w:tcPr>
            <w:tcW w:w="0" w:type="auto"/>
          </w:tcPr>
          <w:p w14:paraId="3ADD0F36" w14:textId="77777777" w:rsidR="00180E7C" w:rsidRDefault="00000000">
            <w:pPr>
              <w:pStyle w:val="Compact"/>
            </w:pPr>
            <w:r>
              <w:t>General license GL-A (permanent)</w:t>
            </w:r>
          </w:p>
        </w:tc>
        <w:tc>
          <w:tcPr>
            <w:tcW w:w="0" w:type="auto"/>
          </w:tcPr>
          <w:p w14:paraId="4D9D5073" w14:textId="77777777" w:rsidR="00180E7C" w:rsidRDefault="00000000">
            <w:pPr>
              <w:pStyle w:val="Compact"/>
            </w:pPr>
            <w:r>
              <w:t>EIF certificate</w:t>
            </w:r>
          </w:p>
        </w:tc>
      </w:tr>
      <w:tr w:rsidR="00180E7C" w14:paraId="47B6194D" w14:textId="77777777">
        <w:tc>
          <w:tcPr>
            <w:tcW w:w="0" w:type="auto"/>
          </w:tcPr>
          <w:p w14:paraId="326D5CEE" w14:textId="77777777" w:rsidR="00180E7C" w:rsidRDefault="00000000">
            <w:pPr>
              <w:pStyle w:val="Compact"/>
            </w:pPr>
            <w:r>
              <w:t>Civil aviation restrictions</w:t>
            </w:r>
          </w:p>
        </w:tc>
        <w:tc>
          <w:tcPr>
            <w:tcW w:w="0" w:type="auto"/>
          </w:tcPr>
          <w:p w14:paraId="2892F3C0" w14:textId="77777777" w:rsidR="00180E7C" w:rsidRDefault="00000000">
            <w:pPr>
              <w:pStyle w:val="Compact"/>
            </w:pPr>
            <w:r>
              <w:t>General license GL-B (permanent)</w:t>
            </w:r>
          </w:p>
        </w:tc>
        <w:tc>
          <w:tcPr>
            <w:tcW w:w="0" w:type="auto"/>
          </w:tcPr>
          <w:p w14:paraId="289DC5B2" w14:textId="77777777" w:rsidR="00180E7C" w:rsidRDefault="00000000">
            <w:pPr>
              <w:pStyle w:val="Compact"/>
            </w:pPr>
            <w:r>
              <w:t>EIF certificate</w:t>
            </w:r>
          </w:p>
        </w:tc>
      </w:tr>
      <w:tr w:rsidR="00180E7C" w14:paraId="572696DE" w14:textId="77777777">
        <w:tc>
          <w:tcPr>
            <w:tcW w:w="0" w:type="auto"/>
          </w:tcPr>
          <w:p w14:paraId="2FF57E6F" w14:textId="77777777" w:rsidR="00180E7C" w:rsidRDefault="00000000">
            <w:pPr>
              <w:pStyle w:val="Compact"/>
            </w:pPr>
            <w:r>
              <w:t>Oil export waiver architecture</w:t>
            </w:r>
          </w:p>
        </w:tc>
        <w:tc>
          <w:tcPr>
            <w:tcW w:w="0" w:type="auto"/>
          </w:tcPr>
          <w:p w14:paraId="78002B88" w14:textId="77777777" w:rsidR="00180E7C" w:rsidRDefault="00000000">
            <w:pPr>
              <w:pStyle w:val="Compact"/>
            </w:pPr>
            <w:r>
              <w:t>Conversion to permanent authorization</w:t>
            </w:r>
          </w:p>
        </w:tc>
        <w:tc>
          <w:tcPr>
            <w:tcW w:w="0" w:type="auto"/>
          </w:tcPr>
          <w:p w14:paraId="3992FDFD" w14:textId="77777777" w:rsidR="00180E7C" w:rsidRDefault="00000000">
            <w:pPr>
              <w:pStyle w:val="Compact"/>
            </w:pPr>
            <w:r>
              <w:t>EIF certificate</w:t>
            </w:r>
          </w:p>
        </w:tc>
      </w:tr>
    </w:tbl>
    <w:p w14:paraId="7E76B92E" w14:textId="77777777" w:rsidR="00180E7C" w:rsidRDefault="00000000">
      <w:pPr>
        <w:pStyle w:val="Heading2"/>
      </w:pPr>
      <w:bookmarkStart w:id="655" w:name="X1bf2cb3cbfb4e279bb4f7c564dd455a717a64cd"/>
      <w:bookmarkEnd w:id="654"/>
      <w:r>
        <w:t>G.4 Table G-2: Phase II Terminations (Day 31-180)</w:t>
      </w:r>
    </w:p>
    <w:tbl>
      <w:tblPr>
        <w:tblStyle w:val="Table"/>
        <w:tblW w:w="5000" w:type="pct"/>
        <w:tblLook w:val="0020" w:firstRow="1" w:lastRow="0" w:firstColumn="0" w:lastColumn="0" w:noHBand="0" w:noVBand="0"/>
      </w:tblPr>
      <w:tblGrid>
        <w:gridCol w:w="4176"/>
        <w:gridCol w:w="2946"/>
        <w:gridCol w:w="2454"/>
      </w:tblGrid>
      <w:tr w:rsidR="00180E7C" w14:paraId="7728FBF6"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BAB278D" w14:textId="77777777" w:rsidR="00180E7C" w:rsidRDefault="00000000">
            <w:pPr>
              <w:pStyle w:val="Compact"/>
            </w:pPr>
            <w:r>
              <w:t>Measure Cluster</w:t>
            </w:r>
          </w:p>
        </w:tc>
        <w:tc>
          <w:tcPr>
            <w:tcW w:w="0" w:type="auto"/>
          </w:tcPr>
          <w:p w14:paraId="60192037" w14:textId="77777777" w:rsidR="00180E7C" w:rsidRDefault="00000000">
            <w:pPr>
              <w:pStyle w:val="Compact"/>
            </w:pPr>
            <w:r>
              <w:t>Termination Instrument</w:t>
            </w:r>
          </w:p>
        </w:tc>
        <w:tc>
          <w:tcPr>
            <w:tcW w:w="0" w:type="auto"/>
          </w:tcPr>
          <w:p w14:paraId="3EF5CF92" w14:textId="77777777" w:rsidR="00180E7C" w:rsidRDefault="00000000">
            <w:pPr>
              <w:pStyle w:val="Compact"/>
            </w:pPr>
            <w:r>
              <w:t>Verification Key</w:t>
            </w:r>
          </w:p>
        </w:tc>
      </w:tr>
      <w:tr w:rsidR="00180E7C" w14:paraId="5FC1E77C" w14:textId="77777777">
        <w:tc>
          <w:tcPr>
            <w:tcW w:w="0" w:type="auto"/>
          </w:tcPr>
          <w:p w14:paraId="7A570A18" w14:textId="77777777" w:rsidR="00180E7C" w:rsidRDefault="00000000">
            <w:pPr>
              <w:pStyle w:val="Compact"/>
            </w:pPr>
            <w:r>
              <w:t>Central Bank of Iran financial measures</w:t>
            </w:r>
          </w:p>
        </w:tc>
        <w:tc>
          <w:tcPr>
            <w:tcW w:w="0" w:type="auto"/>
          </w:tcPr>
          <w:p w14:paraId="782B3320" w14:textId="77777777" w:rsidR="00180E7C" w:rsidRDefault="00000000">
            <w:pPr>
              <w:pStyle w:val="Compact"/>
            </w:pPr>
            <w:r>
              <w:t>Statutory termination per implementing legislation, Title I</w:t>
            </w:r>
          </w:p>
        </w:tc>
        <w:tc>
          <w:tcPr>
            <w:tcW w:w="0" w:type="auto"/>
          </w:tcPr>
          <w:p w14:paraId="2C554EEF" w14:textId="77777777" w:rsidR="00180E7C" w:rsidRDefault="00000000">
            <w:pPr>
              <w:pStyle w:val="Compact"/>
            </w:pPr>
            <w:r>
              <w:t>Batch 1 certificate + Tranche 1 security certificate</w:t>
            </w:r>
          </w:p>
        </w:tc>
      </w:tr>
      <w:tr w:rsidR="00180E7C" w14:paraId="03209382" w14:textId="77777777">
        <w:tc>
          <w:tcPr>
            <w:tcW w:w="0" w:type="auto"/>
          </w:tcPr>
          <w:p w14:paraId="2CDA76E2" w14:textId="77777777" w:rsidR="00180E7C" w:rsidRDefault="00000000">
            <w:pPr>
              <w:pStyle w:val="Compact"/>
            </w:pPr>
            <w:r>
              <w:t>Listed commercial banks delisting</w:t>
            </w:r>
          </w:p>
        </w:tc>
        <w:tc>
          <w:tcPr>
            <w:tcW w:w="0" w:type="auto"/>
          </w:tcPr>
          <w:p w14:paraId="540F9916" w14:textId="77777777" w:rsidR="00180E7C" w:rsidRDefault="00000000">
            <w:pPr>
              <w:pStyle w:val="Compact"/>
            </w:pPr>
            <w:r>
              <w:t>OFAC delisting rule</w:t>
            </w:r>
          </w:p>
        </w:tc>
        <w:tc>
          <w:tcPr>
            <w:tcW w:w="0" w:type="auto"/>
          </w:tcPr>
          <w:p w14:paraId="7570CACA" w14:textId="77777777" w:rsidR="00180E7C" w:rsidRDefault="00000000">
            <w:pPr>
              <w:pStyle w:val="Compact"/>
            </w:pPr>
            <w:r>
              <w:t>Same</w:t>
            </w:r>
          </w:p>
        </w:tc>
      </w:tr>
      <w:tr w:rsidR="00180E7C" w14:paraId="3587CBC5" w14:textId="77777777">
        <w:tc>
          <w:tcPr>
            <w:tcW w:w="0" w:type="auto"/>
          </w:tcPr>
          <w:p w14:paraId="13C799E7" w14:textId="77777777" w:rsidR="00180E7C" w:rsidRDefault="00000000">
            <w:pPr>
              <w:pStyle w:val="Compact"/>
            </w:pPr>
            <w:r>
              <w:t>SWIFT-related restrictions</w:t>
            </w:r>
          </w:p>
        </w:tc>
        <w:tc>
          <w:tcPr>
            <w:tcW w:w="0" w:type="auto"/>
          </w:tcPr>
          <w:p w14:paraId="6B67E4D2" w14:textId="77777777" w:rsidR="00180E7C" w:rsidRDefault="00000000">
            <w:pPr>
              <w:pStyle w:val="Compact"/>
            </w:pPr>
            <w:r>
              <w:t>General license GL-C + cooperative documentation</w:t>
            </w:r>
          </w:p>
        </w:tc>
        <w:tc>
          <w:tcPr>
            <w:tcW w:w="0" w:type="auto"/>
          </w:tcPr>
          <w:p w14:paraId="0BC23C16" w14:textId="77777777" w:rsidR="00180E7C" w:rsidRDefault="00000000">
            <w:pPr>
              <w:pStyle w:val="Compact"/>
            </w:pPr>
            <w:r>
              <w:t>Same</w:t>
            </w:r>
          </w:p>
        </w:tc>
      </w:tr>
      <w:tr w:rsidR="00180E7C" w14:paraId="7C921124" w14:textId="77777777">
        <w:tc>
          <w:tcPr>
            <w:tcW w:w="0" w:type="auto"/>
          </w:tcPr>
          <w:p w14:paraId="35A10BC0" w14:textId="77777777" w:rsidR="00180E7C" w:rsidRDefault="00000000">
            <w:pPr>
              <w:pStyle w:val="Compact"/>
            </w:pPr>
            <w:r>
              <w:t>Energy sector measures</w:t>
            </w:r>
          </w:p>
        </w:tc>
        <w:tc>
          <w:tcPr>
            <w:tcW w:w="0" w:type="auto"/>
          </w:tcPr>
          <w:p w14:paraId="7E4C8DA7" w14:textId="77777777" w:rsidR="00180E7C" w:rsidRDefault="00000000">
            <w:pPr>
              <w:pStyle w:val="Compact"/>
            </w:pPr>
            <w:r>
              <w:t>Statutory termination, implementing legislation Title II</w:t>
            </w:r>
          </w:p>
        </w:tc>
        <w:tc>
          <w:tcPr>
            <w:tcW w:w="0" w:type="auto"/>
          </w:tcPr>
          <w:p w14:paraId="59E335C1" w14:textId="77777777" w:rsidR="00180E7C" w:rsidRDefault="00000000">
            <w:pPr>
              <w:pStyle w:val="Compact"/>
            </w:pPr>
            <w:r>
              <w:t>Batch 4 certificate</w:t>
            </w:r>
          </w:p>
        </w:tc>
      </w:tr>
      <w:tr w:rsidR="00180E7C" w14:paraId="2ED76604" w14:textId="77777777">
        <w:tc>
          <w:tcPr>
            <w:tcW w:w="0" w:type="auto"/>
          </w:tcPr>
          <w:p w14:paraId="0AA87EBA" w14:textId="77777777" w:rsidR="00180E7C" w:rsidRDefault="00000000">
            <w:pPr>
              <w:pStyle w:val="Compact"/>
            </w:pPr>
            <w:r>
              <w:t xml:space="preserve">Investment restrictions (Table G-2 sectors: energy, infrastructure, </w:t>
            </w:r>
            <w:r>
              <w:lastRenderedPageBreak/>
              <w:t>manufacturing, agriculture, telecom)</w:t>
            </w:r>
          </w:p>
        </w:tc>
        <w:tc>
          <w:tcPr>
            <w:tcW w:w="0" w:type="auto"/>
          </w:tcPr>
          <w:p w14:paraId="7D1267BB" w14:textId="77777777" w:rsidR="00180E7C" w:rsidRDefault="00000000">
            <w:pPr>
              <w:pStyle w:val="Compact"/>
            </w:pPr>
            <w:r>
              <w:lastRenderedPageBreak/>
              <w:t>Statutory termination, Title III</w:t>
            </w:r>
          </w:p>
        </w:tc>
        <w:tc>
          <w:tcPr>
            <w:tcW w:w="0" w:type="auto"/>
          </w:tcPr>
          <w:p w14:paraId="462259AF" w14:textId="77777777" w:rsidR="00180E7C" w:rsidRDefault="00000000">
            <w:pPr>
              <w:pStyle w:val="Compact"/>
            </w:pPr>
            <w:r>
              <w:t>Tranche 2 security certificate</w:t>
            </w:r>
          </w:p>
        </w:tc>
      </w:tr>
    </w:tbl>
    <w:p w14:paraId="18718052" w14:textId="77777777" w:rsidR="00180E7C" w:rsidRDefault="00000000">
      <w:pPr>
        <w:pStyle w:val="Heading2"/>
      </w:pPr>
      <w:bookmarkStart w:id="656" w:name="X63b328606d9b366b5457cf958007c8b3a8b5aee"/>
      <w:bookmarkEnd w:id="655"/>
      <w:r>
        <w:t>G.5 Table G-3: Phase III Terminations (Day 181-540)</w:t>
      </w:r>
    </w:p>
    <w:tbl>
      <w:tblPr>
        <w:tblStyle w:val="Table"/>
        <w:tblW w:w="5000" w:type="pct"/>
        <w:tblLook w:val="0020" w:firstRow="1" w:lastRow="0" w:firstColumn="0" w:lastColumn="0" w:noHBand="0" w:noVBand="0"/>
      </w:tblPr>
      <w:tblGrid>
        <w:gridCol w:w="4283"/>
        <w:gridCol w:w="2238"/>
        <w:gridCol w:w="3055"/>
      </w:tblGrid>
      <w:tr w:rsidR="00180E7C" w14:paraId="40B91A22"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5548D99" w14:textId="77777777" w:rsidR="00180E7C" w:rsidRDefault="00000000">
            <w:pPr>
              <w:pStyle w:val="Compact"/>
            </w:pPr>
            <w:r>
              <w:t>Measure Cluster</w:t>
            </w:r>
          </w:p>
        </w:tc>
        <w:tc>
          <w:tcPr>
            <w:tcW w:w="0" w:type="auto"/>
          </w:tcPr>
          <w:p w14:paraId="27C90F2F" w14:textId="77777777" w:rsidR="00180E7C" w:rsidRDefault="00000000">
            <w:pPr>
              <w:pStyle w:val="Compact"/>
            </w:pPr>
            <w:r>
              <w:t>Termination Instrument</w:t>
            </w:r>
          </w:p>
        </w:tc>
        <w:tc>
          <w:tcPr>
            <w:tcW w:w="0" w:type="auto"/>
          </w:tcPr>
          <w:p w14:paraId="6758476D" w14:textId="77777777" w:rsidR="00180E7C" w:rsidRDefault="00000000">
            <w:pPr>
              <w:pStyle w:val="Compact"/>
            </w:pPr>
            <w:r>
              <w:t>Verification Key</w:t>
            </w:r>
          </w:p>
        </w:tc>
      </w:tr>
      <w:tr w:rsidR="00180E7C" w14:paraId="5DDFB14B" w14:textId="77777777">
        <w:tc>
          <w:tcPr>
            <w:tcW w:w="0" w:type="auto"/>
          </w:tcPr>
          <w:p w14:paraId="182C55A8" w14:textId="77777777" w:rsidR="00180E7C" w:rsidRDefault="00000000">
            <w:pPr>
              <w:pStyle w:val="Compact"/>
            </w:pPr>
            <w:r>
              <w:t>Remaining primary sanctions statutes (as enumerated in the legislation annex)</w:t>
            </w:r>
          </w:p>
        </w:tc>
        <w:tc>
          <w:tcPr>
            <w:tcW w:w="0" w:type="auto"/>
          </w:tcPr>
          <w:p w14:paraId="77DED68F" w14:textId="77777777" w:rsidR="00180E7C" w:rsidRDefault="00000000">
            <w:pPr>
              <w:pStyle w:val="Compact"/>
            </w:pPr>
            <w:r>
              <w:t>Statutory termination, Title IV</w:t>
            </w:r>
          </w:p>
        </w:tc>
        <w:tc>
          <w:tcPr>
            <w:tcW w:w="0" w:type="auto"/>
          </w:tcPr>
          <w:p w14:paraId="3ADA258F" w14:textId="77777777" w:rsidR="00180E7C" w:rsidRDefault="00000000">
            <w:pPr>
              <w:pStyle w:val="Compact"/>
            </w:pPr>
            <w:r>
              <w:t>Batch 8 certificate</w:t>
            </w:r>
          </w:p>
        </w:tc>
      </w:tr>
      <w:tr w:rsidR="00180E7C" w14:paraId="1EBF50B7" w14:textId="77777777">
        <w:tc>
          <w:tcPr>
            <w:tcW w:w="0" w:type="auto"/>
          </w:tcPr>
          <w:p w14:paraId="69A17BFC" w14:textId="77777777" w:rsidR="00180E7C" w:rsidRDefault="00000000">
            <w:pPr>
              <w:pStyle w:val="Compact"/>
            </w:pPr>
            <w:r>
              <w:t>Secondary sanctions (all remaining)</w:t>
            </w:r>
          </w:p>
        </w:tc>
        <w:tc>
          <w:tcPr>
            <w:tcW w:w="0" w:type="auto"/>
          </w:tcPr>
          <w:p w14:paraId="731E6868" w14:textId="77777777" w:rsidR="00180E7C" w:rsidRDefault="00000000">
            <w:pPr>
              <w:pStyle w:val="Compact"/>
            </w:pPr>
            <w:r>
              <w:t>Statutory termination, Title V</w:t>
            </w:r>
          </w:p>
        </w:tc>
        <w:tc>
          <w:tcPr>
            <w:tcW w:w="0" w:type="auto"/>
          </w:tcPr>
          <w:p w14:paraId="70985344" w14:textId="77777777" w:rsidR="00180E7C" w:rsidRDefault="00000000">
            <w:pPr>
              <w:pStyle w:val="Compact"/>
            </w:pPr>
            <w:r>
              <w:t>Batch 8 certificate</w:t>
            </w:r>
          </w:p>
        </w:tc>
      </w:tr>
      <w:tr w:rsidR="00180E7C" w14:paraId="6EE4F7E2" w14:textId="77777777">
        <w:tc>
          <w:tcPr>
            <w:tcW w:w="0" w:type="auto"/>
          </w:tcPr>
          <w:p w14:paraId="2C883D72" w14:textId="77777777" w:rsidR="00180E7C" w:rsidRDefault="00000000">
            <w:pPr>
              <w:pStyle w:val="Compact"/>
            </w:pPr>
            <w:r>
              <w:t>Leadership and official designations</w:t>
            </w:r>
          </w:p>
        </w:tc>
        <w:tc>
          <w:tcPr>
            <w:tcW w:w="0" w:type="auto"/>
          </w:tcPr>
          <w:p w14:paraId="01AA0467" w14:textId="77777777" w:rsidR="00180E7C" w:rsidRDefault="00000000">
            <w:pPr>
              <w:pStyle w:val="Compact"/>
            </w:pPr>
            <w:r>
              <w:t>Delisting rules</w:t>
            </w:r>
          </w:p>
        </w:tc>
        <w:tc>
          <w:tcPr>
            <w:tcW w:w="0" w:type="auto"/>
          </w:tcPr>
          <w:p w14:paraId="7277898E" w14:textId="77777777" w:rsidR="00180E7C" w:rsidRDefault="00000000">
            <w:pPr>
              <w:pStyle w:val="Compact"/>
            </w:pPr>
            <w:r>
              <w:t>EIF + 180 days clean record</w:t>
            </w:r>
          </w:p>
        </w:tc>
      </w:tr>
      <w:tr w:rsidR="00180E7C" w14:paraId="709CF6C7" w14:textId="77777777">
        <w:tc>
          <w:tcPr>
            <w:tcW w:w="0" w:type="auto"/>
          </w:tcPr>
          <w:p w14:paraId="610682AD" w14:textId="77777777" w:rsidR="00180E7C" w:rsidRDefault="00000000">
            <w:pPr>
              <w:pStyle w:val="Compact"/>
            </w:pPr>
            <w:r>
              <w:t>IRGC FTO resolution</w:t>
            </w:r>
          </w:p>
        </w:tc>
        <w:tc>
          <w:tcPr>
            <w:tcW w:w="0" w:type="auto"/>
          </w:tcPr>
          <w:p w14:paraId="51CFFE23" w14:textId="77777777" w:rsidR="00180E7C" w:rsidRDefault="00000000">
            <w:pPr>
              <w:pStyle w:val="Compact"/>
            </w:pPr>
            <w:r>
              <w:t>Two-stage per Section G.6</w:t>
            </w:r>
          </w:p>
        </w:tc>
        <w:tc>
          <w:tcPr>
            <w:tcW w:w="0" w:type="auto"/>
          </w:tcPr>
          <w:p w14:paraId="33557602" w14:textId="77777777" w:rsidR="00180E7C" w:rsidRDefault="00000000">
            <w:pPr>
              <w:pStyle w:val="Compact"/>
            </w:pPr>
            <w:r>
              <w:t>IRGC posture + interdiction integration certificates</w:t>
            </w:r>
          </w:p>
        </w:tc>
      </w:tr>
    </w:tbl>
    <w:p w14:paraId="50B41825" w14:textId="77777777" w:rsidR="00180E7C" w:rsidRDefault="00000000">
      <w:pPr>
        <w:pStyle w:val="Heading2"/>
      </w:pPr>
      <w:bookmarkStart w:id="657" w:name="X4eb2deb21ad93ca4639f8a95cc2ef46c31044b3"/>
      <w:bookmarkEnd w:id="656"/>
      <w:r>
        <w:t>G.6 Section 6: The IRGC Two-Stage Resolution</w:t>
      </w:r>
    </w:p>
    <w:p w14:paraId="280F13FE" w14:textId="77777777" w:rsidR="00180E7C" w:rsidRDefault="00000000">
      <w:pPr>
        <w:pStyle w:val="FirstParagraph"/>
      </w:pPr>
      <w:r>
        <w:t>G.6.1 Stage One (Day 180): upon JMC certification of the IRGC Navy posture changes (Art. 16.3.1) and the interdiction protocol integration (Art. 36.4), the Secretary of State initiates the statutory review process for revocation of the FTO designation, on the record of certified conduct change.</w:t>
      </w:r>
    </w:p>
    <w:p w14:paraId="657EB4DD" w14:textId="77777777" w:rsidR="00180E7C" w:rsidRDefault="00000000">
      <w:pPr>
        <w:pStyle w:val="BodyText"/>
      </w:pPr>
      <w:r>
        <w:t>G.6.2 Stage Two (within the statutory period following initiation): revocation completes, conditioned on the continued certified record; the revocation instrument includes the conduct-basis finding, replacing designation-by-identity with accountability-for-conduct, consistent with both Parties’ registered positions: the United States position that conduct drives designation, and the Iranian position that the designation of a state institution constitutes an affront resolvable only through removal.</w:t>
      </w:r>
    </w:p>
    <w:p w14:paraId="48ED67F6" w14:textId="77777777" w:rsidR="00180E7C" w:rsidRDefault="00000000">
      <w:pPr>
        <w:pStyle w:val="BodyText"/>
      </w:pPr>
      <w:r>
        <w:t>G.6.3 IRGC commercial entities enter the monitored compliance program: transparent registry, audited annually, operating under the same rules as other enterprises.</w:t>
      </w:r>
    </w:p>
    <w:p w14:paraId="56BA34DD" w14:textId="77777777" w:rsidR="00180E7C" w:rsidRDefault="00000000">
      <w:pPr>
        <w:pStyle w:val="Heading2"/>
      </w:pPr>
      <w:bookmarkStart w:id="658" w:name="X2f7ac94981c0642ca2c3e7e381b14f615134994"/>
      <w:bookmarkEnd w:id="657"/>
      <w:r>
        <w:t>G.7 Section 7: Residual Designations Review</w:t>
      </w:r>
    </w:p>
    <w:p w14:paraId="408ADCB9" w14:textId="77777777" w:rsidR="00180E7C" w:rsidRDefault="00000000">
      <w:pPr>
        <w:pStyle w:val="FirstParagraph"/>
      </w:pPr>
      <w:r>
        <w:t>G.7.1 Designations grounded in conduct outside this Treaty’s scope undergo individual review under due process standards: evidentiary basis stated, response opportunity given, review completed within 180 days, outcomes reported to the HCC.</w:t>
      </w:r>
    </w:p>
    <w:p w14:paraId="2A428844" w14:textId="77777777" w:rsidR="00180E7C" w:rsidRDefault="00000000">
      <w:pPr>
        <w:pStyle w:val="Heading2"/>
      </w:pPr>
      <w:bookmarkStart w:id="659" w:name="g.8-section-8-caesar-act-interface"/>
      <w:bookmarkEnd w:id="658"/>
      <w:r>
        <w:t>G.8 Section 8: Caesar Act Interface</w:t>
      </w:r>
    </w:p>
    <w:p w14:paraId="55725120" w14:textId="77777777" w:rsidR="00180E7C" w:rsidRDefault="00000000">
      <w:pPr>
        <w:pStyle w:val="FirstParagraph"/>
      </w:pPr>
      <w:r>
        <w:t>G.8.1 The Syria-protocol milestones of Annex L, Table L-5, unlock corresponding relief from Iran-relevant effects of the Caesar Act measures per the schedule of the implementing legislation, Title VI.</w:t>
      </w:r>
    </w:p>
    <w:p w14:paraId="1D9F09DA" w14:textId="77777777" w:rsidR="00180E7C" w:rsidRDefault="00000000">
      <w:pPr>
        <w:pStyle w:val="Heading2"/>
      </w:pPr>
      <w:bookmarkStart w:id="660" w:name="Xcb2b5d2de97936729b9a5806adbce8bdadc6ab7"/>
      <w:bookmarkEnd w:id="659"/>
      <w:r>
        <w:lastRenderedPageBreak/>
        <w:t>G.9 Section 9: Oil Market Stabilization Understanding</w:t>
      </w:r>
    </w:p>
    <w:p w14:paraId="79499FC6" w14:textId="77777777" w:rsidR="00180E7C" w:rsidRDefault="00000000">
      <w:pPr>
        <w:pStyle w:val="FirstParagraph"/>
      </w:pPr>
      <w:r>
        <w:t>G.9.1 The energy dialogue monitors the export volume indicator; residual over-compliance cases process through the clarification desk with a 60-day resolution target; the EMB reports volumes quarterly.</w:t>
      </w:r>
    </w:p>
    <w:p w14:paraId="188355E2" w14:textId="77777777" w:rsidR="00180E7C" w:rsidRDefault="00000000">
      <w:pPr>
        <w:pStyle w:val="Heading2"/>
      </w:pPr>
      <w:bookmarkStart w:id="661" w:name="g.10-section-10-swift-technical-team"/>
      <w:bookmarkEnd w:id="660"/>
      <w:r>
        <w:t>G.10 Section 10: SWIFT Technical Team</w:t>
      </w:r>
    </w:p>
    <w:p w14:paraId="018288C3" w14:textId="77777777" w:rsidR="00180E7C" w:rsidRDefault="00000000">
      <w:pPr>
        <w:pStyle w:val="FirstParagraph"/>
      </w:pPr>
      <w:r>
        <w:t>G.10.1 The joint technical team (Central Bank of Iran, United States Treasury liaison, SWIFT compliance officers, Swiss Facilitator observer) completes reconnection documentation within Phase II, including messaging standards, compliance data fields, and testing protocols.</w:t>
      </w:r>
    </w:p>
    <w:p w14:paraId="07C54329" w14:textId="77777777" w:rsidR="00180E7C" w:rsidRDefault="00000000">
      <w:pPr>
        <w:pStyle w:val="Heading2"/>
      </w:pPr>
      <w:bookmarkStart w:id="662" w:name="g.11-section-11-banking-comfort-package"/>
      <w:bookmarkEnd w:id="661"/>
      <w:r>
        <w:t>G.11 Section 11: Banking Comfort Package</w:t>
      </w:r>
    </w:p>
    <w:p w14:paraId="35AE36B7" w14:textId="77777777" w:rsidR="00180E7C" w:rsidRDefault="00000000">
      <w:pPr>
        <w:pStyle w:val="FirstParagraph"/>
      </w:pPr>
      <w:r>
        <w:t>G.11.1 The comfort package: the general licenses; the Treasury guidance document “Doing Business with Iran After the Savāhel-e Āghāz Treaty”; the frequently-asked-questions series updated quarterly; the clarification desk with 14-day response standard; and the annual compliance conference for international banks.</w:t>
      </w:r>
    </w:p>
    <w:p w14:paraId="7775E002" w14:textId="77777777" w:rsidR="00180E7C" w:rsidRDefault="00000000">
      <w:pPr>
        <w:pStyle w:val="Heading2"/>
      </w:pPr>
      <w:bookmarkStart w:id="663" w:name="Xad7dabeb785166cdabc23d994d0aa8dcd676467"/>
      <w:bookmarkEnd w:id="662"/>
      <w:r>
        <w:t>G.12 Section 12: Alternative Payment Rails</w:t>
      </w:r>
    </w:p>
    <w:p w14:paraId="001FA6DD" w14:textId="77777777" w:rsidR="00180E7C" w:rsidRDefault="00000000">
      <w:pPr>
        <w:pStyle w:val="FirstParagraph"/>
      </w:pPr>
      <w:r>
        <w:t>G.12.1 The Treaty confirms Iran’s freedom to maintain and expand euro, yen, yuan, and regional currency channels; the INSTC and regional payment system participations proceed as diversification consistent with this Treaty.</w:t>
      </w:r>
    </w:p>
    <w:p w14:paraId="595122C2" w14:textId="77777777" w:rsidR="00180E7C" w:rsidRDefault="00000000">
      <w:pPr>
        <w:pStyle w:val="Heading2"/>
      </w:pPr>
      <w:bookmarkStart w:id="664" w:name="g.13-section-13-export-control-interface"/>
      <w:bookmarkEnd w:id="663"/>
      <w:r>
        <w:t>G.13 Section 13: Export Control Interface</w:t>
      </w:r>
    </w:p>
    <w:p w14:paraId="18AF4858" w14:textId="77777777" w:rsidR="00180E7C" w:rsidRDefault="00000000">
      <w:pPr>
        <w:pStyle w:val="FirstParagraph"/>
      </w:pPr>
      <w:r>
        <w:t>G.13.1 Published control lists; 60-day standard processing; the Joint Technical Review Panel for classification disputes (three members per side plus Swiss chair); the civil technology general authorizations of Table G-7 (aviation safety equipment, medical devices, pharmaceutical production equipment, renewable energy systems, water technology, agricultural machinery).</w:t>
      </w:r>
    </w:p>
    <w:p w14:paraId="17770DFF" w14:textId="77777777" w:rsidR="00180E7C" w:rsidRDefault="00000000">
      <w:pPr>
        <w:pStyle w:val="Heading2"/>
      </w:pPr>
      <w:bookmarkStart w:id="665" w:name="X51eaf411d1c6ec83608cc62fdefa9c3a05def92"/>
      <w:bookmarkEnd w:id="664"/>
      <w:r>
        <w:t>G.14 Section 14: FATF Technical Assistance</w:t>
      </w:r>
    </w:p>
    <w:p w14:paraId="4D60A1B0" w14:textId="77777777" w:rsidR="00180E7C" w:rsidRDefault="00000000">
      <w:pPr>
        <w:pStyle w:val="FirstParagraph"/>
      </w:pPr>
      <w:r>
        <w:t>G.14.1 The technical assistance program supports Iran’s FATF action plan completion within 36 months: legislative drafting support, financial intelligence unit capacity, supervisory training, funded through the RDF technical envelope.</w:t>
      </w:r>
    </w:p>
    <w:p w14:paraId="0F27C3AB" w14:textId="77777777" w:rsidR="00180E7C" w:rsidRDefault="00000000">
      <w:pPr>
        <w:pStyle w:val="Heading2"/>
      </w:pPr>
      <w:bookmarkStart w:id="666" w:name="X3f4f5ad9b489fbb959dfdceea8dead503750db2"/>
      <w:bookmarkEnd w:id="665"/>
      <w:r>
        <w:t>G.15 Section 15: Intellectual Property Upgrades</w:t>
      </w:r>
    </w:p>
    <w:p w14:paraId="038A2BBA" w14:textId="77777777" w:rsidR="00180E7C" w:rsidRDefault="00000000">
      <w:pPr>
        <w:pStyle w:val="FirstParagraph"/>
      </w:pPr>
      <w:r>
        <w:t>G.15.1 The upgrades: patent term and enforcement alignment; trademark opposition modernization; copyright enforcement capacity; trade secret protection; WIPO technical assistance engagement; pharmaceutical IP transition arrangements protecting access to medicines.</w:t>
      </w:r>
    </w:p>
    <w:p w14:paraId="66BC1F50" w14:textId="77777777" w:rsidR="00180E7C" w:rsidRDefault="00000000">
      <w:pPr>
        <w:pStyle w:val="Heading2"/>
      </w:pPr>
      <w:bookmarkStart w:id="667" w:name="g.16-tables-g-7-g-8-g-9"/>
      <w:bookmarkEnd w:id="666"/>
      <w:r>
        <w:lastRenderedPageBreak/>
        <w:t>G.16 Tables G-7, G-8, G-9</w:t>
      </w:r>
    </w:p>
    <w:p w14:paraId="5A0A285D" w14:textId="77777777" w:rsidR="00180E7C" w:rsidRDefault="00000000">
      <w:pPr>
        <w:pStyle w:val="FirstParagraph"/>
      </w:pPr>
      <w:r>
        <w:t>G.16.1 Table G-7: civil technology general authorization sectors as listed in G.13.1. Table G-8: preferential tariff negotiation sectors (petrochemicals, agriculture, automotive parts, pharmaceuticals, machinery, textiles, carpets and handicrafts, dried fruits and pistachios). Table G-9: the aviation fleet renewal program (aircraft sales and leases, engines, parts, maintenance, safety services, air traffic management modernization), under standing general authorization from Phase I.</w:t>
      </w:r>
    </w:p>
    <w:p w14:paraId="52BB4BA1" w14:textId="77777777" w:rsidR="00180E7C" w:rsidRDefault="00000000">
      <w:r>
        <w:br w:type="page"/>
      </w:r>
    </w:p>
    <w:p w14:paraId="76514324" w14:textId="77777777" w:rsidR="00180E7C" w:rsidRDefault="00000000">
      <w:pPr>
        <w:pStyle w:val="Heading1"/>
      </w:pPr>
      <w:bookmarkStart w:id="668" w:name="Xbc55194c86691e7a8d1a5ddc6ab2254e2cbdb1f"/>
      <w:bookmarkStart w:id="669" w:name="_Toc237843173"/>
      <w:bookmarkEnd w:id="650"/>
      <w:bookmarkEnd w:id="667"/>
      <w:r>
        <w:lastRenderedPageBreak/>
        <w:t>ANNEX H: FROZEN ASSET RELEASE AND TWO-POOL ESCROW MECHANICS</w:t>
      </w:r>
      <w:bookmarkEnd w:id="669"/>
    </w:p>
    <w:p w14:paraId="2689AC3F" w14:textId="77777777" w:rsidR="00180E7C" w:rsidRDefault="00000000">
      <w:pPr>
        <w:pStyle w:val="Heading2"/>
      </w:pPr>
      <w:bookmarkStart w:id="670" w:name="h.1-purpose"/>
      <w:r>
        <w:t>H.1 Purpose</w:t>
      </w:r>
    </w:p>
    <w:p w14:paraId="0AA1C395" w14:textId="77777777" w:rsidR="00180E7C" w:rsidRDefault="00000000">
      <w:pPr>
        <w:pStyle w:val="FirstParagraph"/>
      </w:pPr>
      <w:r>
        <w:t>H.1.1 This Annex constitutes the operating protocol of Article 47: the Two-Pool Synchronized Disbursement Mechanism for the Frozen Assets, administered by the Swiss Facilitator as Escrow Agent.</w:t>
      </w:r>
    </w:p>
    <w:p w14:paraId="7AD8E4AC" w14:textId="77777777" w:rsidR="00180E7C" w:rsidRDefault="00000000">
      <w:pPr>
        <w:pStyle w:val="Heading2"/>
      </w:pPr>
      <w:bookmarkStart w:id="671" w:name="h.2-the-escrow-architecture"/>
      <w:bookmarkEnd w:id="670"/>
      <w:r>
        <w:t>H.2 The Escrow Architecture</w:t>
      </w:r>
    </w:p>
    <w:p w14:paraId="6DC98781" w14:textId="77777777" w:rsidR="00180E7C" w:rsidRDefault="00000000">
      <w:pPr>
        <w:pStyle w:val="FirstParagraph"/>
      </w:pPr>
      <w:r>
        <w:t>H.2.1 The Escrow Agent: the Swiss National Bank acting as fiscal agent under mandate from the Swiss Federal Council, supported by the designated commercial settlement banks of the Registry. Accounts: the Master Escrow Account (Bern), Pool A Sub-Account, Pool B Sub-Account, and the Claims Facility Account of Section H.11.</w:t>
      </w:r>
    </w:p>
    <w:p w14:paraId="676044CA" w14:textId="77777777" w:rsidR="00180E7C" w:rsidRDefault="00000000">
      <w:pPr>
        <w:pStyle w:val="BodyText"/>
      </w:pPr>
      <w:r>
        <w:t>H.2.2 Schedule H-1: the Frozen Assets register: approximately 24 billion United States dollars equivalent, held in the jurisdictions and institutions enumerated in the Registry’s confidential schedule, including funds in East Asian, European, and regional financial centers, plus accrued interest computed per Section H.7.</w:t>
      </w:r>
    </w:p>
    <w:p w14:paraId="733BECFF" w14:textId="77777777" w:rsidR="00180E7C" w:rsidRDefault="00000000">
      <w:pPr>
        <w:pStyle w:val="Heading2"/>
      </w:pPr>
      <w:bookmarkStart w:id="672" w:name="h.3-release-mechanics"/>
      <w:bookmarkEnd w:id="671"/>
      <w:r>
        <w:t>H.3 Release Mechanics</w:t>
      </w:r>
    </w:p>
    <w:p w14:paraId="5CFFD6E4" w14:textId="77777777" w:rsidR="00180E7C" w:rsidRDefault="00000000">
      <w:pPr>
        <w:pStyle w:val="FirstParagraph"/>
      </w:pPr>
      <w:r>
        <w:t>H.3.1 Release events execute against JMC certificates per Article 47.2: (a) EIF release: 12 billion dollars to Pool A within 10 business days of EIF; (b) Phase II release: 6 billion dollars, split equally, within 10 business days of the Phase II certificates; (c) Phase III release: 6 billion dollars to Pool B within 10 business days of the Phase III certificates.</w:t>
      </w:r>
    </w:p>
    <w:p w14:paraId="5DE3C42A" w14:textId="77777777" w:rsidR="00180E7C" w:rsidRDefault="00000000">
      <w:pPr>
        <w:pStyle w:val="BodyText"/>
      </w:pPr>
      <w:r>
        <w:t>H.3.2 Execution mechanics per release event: the JMC certificate enters the SDR; the Escrow Agent receives the certificate automatically; the holding institutions receive joint release instructions from the Parties plus the Escrow Agent’s payment order; funds settle to the Master Escrow Account and allocate to the Pools per the certificate; confirmations post to the SDR within 24 hours of settlement.</w:t>
      </w:r>
    </w:p>
    <w:p w14:paraId="05E96936" w14:textId="77777777" w:rsidR="00180E7C" w:rsidRDefault="00000000">
      <w:pPr>
        <w:pStyle w:val="BodyText"/>
      </w:pPr>
      <w:r>
        <w:t>H.3.3 No discretionary hold: the Escrow Agent executes upon certificate receipt. A disputed certificate enters the Escalation Chain; the Technical Dispute Hold applies to the disputed amount only, never to undisputed flows.</w:t>
      </w:r>
    </w:p>
    <w:p w14:paraId="6675E9F2" w14:textId="77777777" w:rsidR="00180E7C" w:rsidRDefault="00000000">
      <w:pPr>
        <w:pStyle w:val="Heading2"/>
      </w:pPr>
      <w:bookmarkStart w:id="673" w:name="h.4-pool-purposes-and-disbursement"/>
      <w:bookmarkEnd w:id="672"/>
      <w:r>
        <w:t>H.4 Pool Purposes and Disbursement</w:t>
      </w:r>
    </w:p>
    <w:p w14:paraId="549CE4FF" w14:textId="77777777" w:rsidR="00180E7C" w:rsidRDefault="00000000">
      <w:pPr>
        <w:pStyle w:val="FirstParagraph"/>
      </w:pPr>
      <w:r>
        <w:t xml:space="preserve">H.4.1 </w:t>
      </w:r>
      <w:r>
        <w:rPr>
          <w:b/>
          <w:bCs/>
        </w:rPr>
        <w:t>Pool A (Immediate Stabilization):</w:t>
      </w:r>
      <w:r>
        <w:t xml:space="preserve"> humanitarian procurement (food, medicine, medical equipment); currency stabilization operations of the Central Bank of Iran; urgent budget support for health, water, and electricity sectors; detainee and missing persons program costs. Disbursement: on instruction of the Central Bank of Iran, with category reporting to the Economic Monitoring Board within 30 days of each disbursement cycle.</w:t>
      </w:r>
    </w:p>
    <w:p w14:paraId="2209DCAF" w14:textId="77777777" w:rsidR="00180E7C" w:rsidRDefault="00000000">
      <w:pPr>
        <w:pStyle w:val="BodyText"/>
      </w:pPr>
      <w:r>
        <w:lastRenderedPageBreak/>
        <w:t xml:space="preserve">H.4.2 </w:t>
      </w:r>
      <w:r>
        <w:rPr>
          <w:b/>
          <w:bCs/>
        </w:rPr>
        <w:t>Pool B (Reconstruction and Development):</w:t>
      </w:r>
      <w:r>
        <w:t xml:space="preserve"> transfers to the RDF per project approvals under the Annex I governance. Disbursement: on joint instruction of the RDF Board per approved project tranches, with project-level reporting per Annex I.</w:t>
      </w:r>
    </w:p>
    <w:p w14:paraId="6F63FB71" w14:textId="77777777" w:rsidR="00180E7C" w:rsidRDefault="00000000">
      <w:pPr>
        <w:pStyle w:val="Heading2"/>
      </w:pPr>
      <w:bookmarkStart w:id="674" w:name="h.5-third-jurisdiction-coordination"/>
      <w:bookmarkEnd w:id="673"/>
      <w:r>
        <w:t>H.5 Third-Jurisdiction Coordination</w:t>
      </w:r>
    </w:p>
    <w:p w14:paraId="69B1FE08" w14:textId="77777777" w:rsidR="00180E7C" w:rsidRDefault="00000000">
      <w:pPr>
        <w:pStyle w:val="FirstParagraph"/>
      </w:pPr>
      <w:r>
        <w:t>H.5.1 The Parties jointly notify holding jurisdictions at signature, requesting cooperation with the release schedule. The Swiss Facilitator engages each holding institution with the escrow documentation package. Where a holding jurisdiction requires domestic legal process, the Parties support the process jointly, and the schedule adjusts per release event without affecting other events.</w:t>
      </w:r>
    </w:p>
    <w:p w14:paraId="6C6B6CF8" w14:textId="77777777" w:rsidR="00180E7C" w:rsidRDefault="00000000">
      <w:pPr>
        <w:pStyle w:val="Heading2"/>
      </w:pPr>
      <w:bookmarkStart w:id="675" w:name="h.6-monitoring-without-veto"/>
      <w:bookmarkEnd w:id="674"/>
      <w:r>
        <w:t>H.6 Monitoring Without Veto</w:t>
      </w:r>
    </w:p>
    <w:p w14:paraId="70404DCB" w14:textId="77777777" w:rsidR="00180E7C" w:rsidRDefault="00000000">
      <w:pPr>
        <w:pStyle w:val="FirstParagraph"/>
      </w:pPr>
      <w:r>
        <w:t>H.6.1 The monitoring regime verifies and reports; it holds no approval power over conforming disbursements. Non-conforming disbursement instructions (outside pool purposes) trigger: Escrow Agent query to the instructing authority; resolution within 5 business days; unresolved cases to the EMB and, if material, the claim procedure.</w:t>
      </w:r>
    </w:p>
    <w:p w14:paraId="6DF54D91" w14:textId="77777777" w:rsidR="00180E7C" w:rsidRDefault="00000000">
      <w:pPr>
        <w:pStyle w:val="Heading2"/>
      </w:pPr>
      <w:bookmarkStart w:id="676" w:name="h.7-interest-and-investment-policy"/>
      <w:bookmarkEnd w:id="675"/>
      <w:r>
        <w:t>H.7 Interest and Investment Policy</w:t>
      </w:r>
    </w:p>
    <w:p w14:paraId="76ADB85F" w14:textId="77777777" w:rsidR="00180E7C" w:rsidRDefault="00000000">
      <w:pPr>
        <w:pStyle w:val="FirstParagraph"/>
      </w:pPr>
      <w:r>
        <w:t>H.7.1 Accrued interest transfers with principal at each release. Funds awaiting release invest per the conservative policy: short-duration sovereign instruments of the holding jurisdiction or money market instruments, with yield accruing to Iran.</w:t>
      </w:r>
    </w:p>
    <w:p w14:paraId="018708BB" w14:textId="77777777" w:rsidR="00180E7C" w:rsidRDefault="00000000">
      <w:pPr>
        <w:pStyle w:val="Heading2"/>
      </w:pPr>
      <w:bookmarkStart w:id="677" w:name="h.8-oil-receivables-protection"/>
      <w:bookmarkEnd w:id="676"/>
      <w:r>
        <w:t>H.8 Oil Receivables Protection</w:t>
      </w:r>
    </w:p>
    <w:p w14:paraId="346696EC" w14:textId="77777777" w:rsidR="00180E7C" w:rsidRDefault="00000000">
      <w:pPr>
        <w:pStyle w:val="FirstParagraph"/>
      </w:pPr>
      <w:r>
        <w:t>H.8.1 Payment channels for oil exports settle through the restored banking system; receivables enjoy immunity from attachment under terminated measures; the channel rules prohibit diversion of legitimate energy payments to any third-party claim except through the Joint Claims Commission awards process of Section H.11, which operates on the Claims Facility Account, never on trade flows.</w:t>
      </w:r>
    </w:p>
    <w:p w14:paraId="5EB89CEC" w14:textId="77777777" w:rsidR="00180E7C" w:rsidRDefault="00000000">
      <w:pPr>
        <w:pStyle w:val="Heading2"/>
      </w:pPr>
      <w:bookmarkStart w:id="678" w:name="h.9-the-humanitarian-financial-channel"/>
      <w:bookmarkEnd w:id="677"/>
      <w:r>
        <w:t>H.9 The Humanitarian Financial Channel</w:t>
      </w:r>
    </w:p>
    <w:p w14:paraId="6B68F01F" w14:textId="77777777" w:rsidR="00180E7C" w:rsidRDefault="00000000">
      <w:pPr>
        <w:pStyle w:val="FirstParagraph"/>
      </w:pPr>
      <w:r>
        <w:t>H.9.1 The channel operates from EIF: pre-cleared banks in Switzerland and partner jurisdictions; automatic license architecture for humanitarian trade (food, medicine, medical equipment, agricultural inputs); the standing attestation system for humanitarian actors; monthly transparency reporting; absolute protection from step-back per Article 57.</w:t>
      </w:r>
    </w:p>
    <w:p w14:paraId="33D0CA73" w14:textId="77777777" w:rsidR="00180E7C" w:rsidRDefault="00000000">
      <w:pPr>
        <w:pStyle w:val="Heading2"/>
      </w:pPr>
      <w:bookmarkStart w:id="679" w:name="h.10-currency-stabilization-package"/>
      <w:bookmarkEnd w:id="678"/>
      <w:r>
        <w:t>H.10 Currency Stabilization Package</w:t>
      </w:r>
    </w:p>
    <w:p w14:paraId="6BF37AE9" w14:textId="77777777" w:rsidR="00180E7C" w:rsidRDefault="00000000">
      <w:pPr>
        <w:pStyle w:val="FirstParagraph"/>
      </w:pPr>
      <w:r>
        <w:t>H.10.1 Components: Pool A stabilization allocation (initial 4 billion dollars earmark); swap lines activated at EIF (Swiss National Bank channel 5 billion dollars equivalent; regional facilities per the partner arrangements of the Registry, total 10 billion dollars equivalent); technical assistance for monetary framework (IMF Article IV resumption, central bank modernization program).</w:t>
      </w:r>
    </w:p>
    <w:p w14:paraId="76BF3460" w14:textId="77777777" w:rsidR="00180E7C" w:rsidRDefault="00000000">
      <w:pPr>
        <w:pStyle w:val="BodyText"/>
      </w:pPr>
      <w:r>
        <w:lastRenderedPageBreak/>
        <w:t>H.10.2 Table H-3: disorderly movement bands: daily move exceeding 7 percent or cumulative 20 percent in 30 days triggers the stabilization consultation of Article 56.2.</w:t>
      </w:r>
    </w:p>
    <w:p w14:paraId="20495145" w14:textId="77777777" w:rsidR="00180E7C" w:rsidRDefault="00000000">
      <w:pPr>
        <w:pStyle w:val="Heading2"/>
      </w:pPr>
      <w:bookmarkStart w:id="680" w:name="h.11-the-claims-facility"/>
      <w:bookmarkEnd w:id="679"/>
      <w:r>
        <w:t>H.11 The Claims Facility</w:t>
      </w:r>
    </w:p>
    <w:p w14:paraId="37BF8A6D" w14:textId="77777777" w:rsidR="00180E7C" w:rsidRDefault="00000000">
      <w:pPr>
        <w:pStyle w:val="FirstParagraph"/>
      </w:pPr>
      <w:r>
        <w:t>H.11.1 The Joint Claims Commission awards pay through the Claims Facility Account, capitalized at 2 billion dollars (funded 1 billion from Pool B over four annual installments, 1 billion from the United States appropriation per the implementing legislation, Title VII), with awards against either Party’s measures payable per the Commission’s rules. The Facility replenishes per Annex O, Section 8.6.</w:t>
      </w:r>
    </w:p>
    <w:p w14:paraId="4A2E4094" w14:textId="77777777" w:rsidR="00180E7C" w:rsidRDefault="00000000">
      <w:pPr>
        <w:pStyle w:val="Heading2"/>
      </w:pPr>
      <w:bookmarkStart w:id="681" w:name="h.12-audit"/>
      <w:bookmarkEnd w:id="680"/>
      <w:r>
        <w:t>H.12 Audit</w:t>
      </w:r>
    </w:p>
    <w:p w14:paraId="6B704475" w14:textId="77777777" w:rsidR="00180E7C" w:rsidRDefault="00000000">
      <w:pPr>
        <w:pStyle w:val="FirstParagraph"/>
      </w:pPr>
      <w:r>
        <w:t>H.12.1 The escrow operations undergo quarterly internal audit and annual external audit by the firm selected per Annex B, Section 8.2, with reports to the Parties, the EMB, and (in summary) the public dashboard.</w:t>
      </w:r>
    </w:p>
    <w:p w14:paraId="4CFF1C69" w14:textId="77777777" w:rsidR="00180E7C" w:rsidRDefault="00000000">
      <w:r>
        <w:br w:type="page"/>
      </w:r>
    </w:p>
    <w:p w14:paraId="71F1D52A" w14:textId="77777777" w:rsidR="00180E7C" w:rsidRDefault="00000000">
      <w:pPr>
        <w:pStyle w:val="Heading1"/>
      </w:pPr>
      <w:bookmarkStart w:id="682" w:name="X9ed45933aacff192918bff2fc746c91b07866d0"/>
      <w:bookmarkStart w:id="683" w:name="_Toc237843174"/>
      <w:bookmarkEnd w:id="668"/>
      <w:bookmarkEnd w:id="681"/>
      <w:r>
        <w:lastRenderedPageBreak/>
        <w:t>ANNEX I: RECONSTRUCTION AND DEVELOPMENT FUND GOVERNANCE CHARTER</w:t>
      </w:r>
      <w:bookmarkEnd w:id="683"/>
    </w:p>
    <w:p w14:paraId="658B911C" w14:textId="77777777" w:rsidR="00180E7C" w:rsidRDefault="00000000">
      <w:pPr>
        <w:pStyle w:val="Heading2"/>
      </w:pPr>
      <w:bookmarkStart w:id="684" w:name="i.1-establishment-and-legal-form"/>
      <w:r>
        <w:t>I.1 Establishment and Legal Form</w:t>
      </w:r>
    </w:p>
    <w:p w14:paraId="364ACBE5" w14:textId="77777777" w:rsidR="00180E7C" w:rsidRDefault="00000000">
      <w:pPr>
        <w:pStyle w:val="FirstParagraph"/>
      </w:pPr>
      <w:r>
        <w:t>I.1.1 The Reconstruction and Development Fund (RDF) constitutes an international fund with legal personality, headquartered in Tehran with a liaison office in Muscat, established under Article 52 and this Charter. The RDF operates for an initial term of ten years, renewable by its Board with HCC concurrence.</w:t>
      </w:r>
    </w:p>
    <w:p w14:paraId="6E7CD92B" w14:textId="77777777" w:rsidR="00180E7C" w:rsidRDefault="00000000">
      <w:pPr>
        <w:pStyle w:val="Heading2"/>
      </w:pPr>
      <w:bookmarkStart w:id="685" w:name="i.2-objects"/>
      <w:bookmarkEnd w:id="684"/>
      <w:r>
        <w:t>I.2 Objects</w:t>
      </w:r>
    </w:p>
    <w:p w14:paraId="46A443AD" w14:textId="77777777" w:rsidR="00180E7C" w:rsidRDefault="00000000">
      <w:pPr>
        <w:pStyle w:val="FirstParagraph"/>
      </w:pPr>
      <w:r>
        <w:t>I.2.1 The RDF finances: (a) reconstruction of war-damaged infrastructure in Iran; (b) development programs in the sectors of Table I-1; (c) the Lebanon, Yemen, and regional envelopes of Title VI; (d) the Regional Demobilization Support Facility of Article 23; (e) the Environmental Cooperation Fund of Article 83.2; (f) the technical assistance programs of this Treaty; (g) the verification cost-sharing of Section I.8.</w:t>
      </w:r>
    </w:p>
    <w:p w14:paraId="26C523D5" w14:textId="77777777" w:rsidR="00180E7C" w:rsidRDefault="00000000">
      <w:pPr>
        <w:pStyle w:val="Heading2"/>
      </w:pPr>
      <w:bookmarkStart w:id="686" w:name="i.3-capitalization-and-sources"/>
      <w:bookmarkEnd w:id="685"/>
      <w:r>
        <w:t>I.3 Capitalization and Sources</w:t>
      </w:r>
    </w:p>
    <w:p w14:paraId="73FC7000" w14:textId="77777777" w:rsidR="00180E7C" w:rsidRDefault="00000000">
      <w:pPr>
        <w:pStyle w:val="FirstParagraph"/>
      </w:pPr>
      <w:r>
        <w:t>I.3.1 Target mobilization: 300 billion United States dollars over ten years, from:</w:t>
      </w:r>
    </w:p>
    <w:tbl>
      <w:tblPr>
        <w:tblStyle w:val="Table"/>
        <w:tblW w:w="5000" w:type="pct"/>
        <w:tblLook w:val="0020" w:firstRow="1" w:lastRow="0" w:firstColumn="0" w:lastColumn="0" w:noHBand="0" w:noVBand="0"/>
      </w:tblPr>
      <w:tblGrid>
        <w:gridCol w:w="4508"/>
        <w:gridCol w:w="1519"/>
        <w:gridCol w:w="3549"/>
      </w:tblGrid>
      <w:tr w:rsidR="00180E7C" w14:paraId="004D892A"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661B719" w14:textId="77777777" w:rsidR="00180E7C" w:rsidRDefault="00000000">
            <w:pPr>
              <w:pStyle w:val="Compact"/>
            </w:pPr>
            <w:r>
              <w:t>Source</w:t>
            </w:r>
          </w:p>
        </w:tc>
        <w:tc>
          <w:tcPr>
            <w:tcW w:w="0" w:type="auto"/>
          </w:tcPr>
          <w:p w14:paraId="5DBA00BD" w14:textId="77777777" w:rsidR="00180E7C" w:rsidRDefault="00000000">
            <w:pPr>
              <w:pStyle w:val="Compact"/>
            </w:pPr>
            <w:r>
              <w:t>Indicative Share</w:t>
            </w:r>
          </w:p>
        </w:tc>
        <w:tc>
          <w:tcPr>
            <w:tcW w:w="0" w:type="auto"/>
          </w:tcPr>
          <w:p w14:paraId="43BB3784" w14:textId="77777777" w:rsidR="00180E7C" w:rsidRDefault="00000000">
            <w:pPr>
              <w:pStyle w:val="Compact"/>
            </w:pPr>
            <w:r>
              <w:t>Mechanism</w:t>
            </w:r>
          </w:p>
        </w:tc>
      </w:tr>
      <w:tr w:rsidR="00180E7C" w14:paraId="5A327A12" w14:textId="77777777">
        <w:tc>
          <w:tcPr>
            <w:tcW w:w="0" w:type="auto"/>
          </w:tcPr>
          <w:p w14:paraId="3993CB4D" w14:textId="77777777" w:rsidR="00180E7C" w:rsidRDefault="00000000">
            <w:pPr>
              <w:pStyle w:val="Compact"/>
            </w:pPr>
            <w:r>
              <w:t>Iranian reconstruction allocation (Pool B flows and earmarked oil revenues)</w:t>
            </w:r>
          </w:p>
        </w:tc>
        <w:tc>
          <w:tcPr>
            <w:tcW w:w="0" w:type="auto"/>
          </w:tcPr>
          <w:p w14:paraId="75EB27E8" w14:textId="77777777" w:rsidR="00180E7C" w:rsidRDefault="00000000">
            <w:pPr>
              <w:pStyle w:val="Compact"/>
            </w:pPr>
            <w:r>
              <w:t>35 percent</w:t>
            </w:r>
          </w:p>
        </w:tc>
        <w:tc>
          <w:tcPr>
            <w:tcW w:w="0" w:type="auto"/>
          </w:tcPr>
          <w:p w14:paraId="5966DCD3" w14:textId="77777777" w:rsidR="00180E7C" w:rsidRDefault="00000000">
            <w:pPr>
              <w:pStyle w:val="Compact"/>
            </w:pPr>
            <w:r>
              <w:t>Annex H mechanics; annual earmark legislation</w:t>
            </w:r>
          </w:p>
        </w:tc>
      </w:tr>
      <w:tr w:rsidR="00180E7C" w14:paraId="1D9955D7" w14:textId="77777777">
        <w:tc>
          <w:tcPr>
            <w:tcW w:w="0" w:type="auto"/>
          </w:tcPr>
          <w:p w14:paraId="5D81E233" w14:textId="77777777" w:rsidR="00180E7C" w:rsidRDefault="00000000">
            <w:pPr>
              <w:pStyle w:val="Compact"/>
            </w:pPr>
            <w:r>
              <w:t>Regional partner contributions</w:t>
            </w:r>
          </w:p>
        </w:tc>
        <w:tc>
          <w:tcPr>
            <w:tcW w:w="0" w:type="auto"/>
          </w:tcPr>
          <w:p w14:paraId="5ACF9A50" w14:textId="77777777" w:rsidR="00180E7C" w:rsidRDefault="00000000">
            <w:pPr>
              <w:pStyle w:val="Compact"/>
            </w:pPr>
            <w:r>
              <w:t>25 percent</w:t>
            </w:r>
          </w:p>
        </w:tc>
        <w:tc>
          <w:tcPr>
            <w:tcW w:w="0" w:type="auto"/>
          </w:tcPr>
          <w:p w14:paraId="695FDC75" w14:textId="77777777" w:rsidR="00180E7C" w:rsidRDefault="00000000">
            <w:pPr>
              <w:pStyle w:val="Compact"/>
            </w:pPr>
            <w:r>
              <w:t>Pledging conference commitments, paid-in over 5 years</w:t>
            </w:r>
          </w:p>
        </w:tc>
      </w:tr>
      <w:tr w:rsidR="00180E7C" w14:paraId="46D6CD71" w14:textId="77777777">
        <w:tc>
          <w:tcPr>
            <w:tcW w:w="0" w:type="auto"/>
          </w:tcPr>
          <w:p w14:paraId="1E7ECAB6" w14:textId="77777777" w:rsidR="00180E7C" w:rsidRDefault="00000000">
            <w:pPr>
              <w:pStyle w:val="Compact"/>
            </w:pPr>
            <w:r>
              <w:t>International financial institutions</w:t>
            </w:r>
          </w:p>
        </w:tc>
        <w:tc>
          <w:tcPr>
            <w:tcW w:w="0" w:type="auto"/>
          </w:tcPr>
          <w:p w14:paraId="0133650A" w14:textId="77777777" w:rsidR="00180E7C" w:rsidRDefault="00000000">
            <w:pPr>
              <w:pStyle w:val="Compact"/>
            </w:pPr>
            <w:r>
              <w:t>20 percent</w:t>
            </w:r>
          </w:p>
        </w:tc>
        <w:tc>
          <w:tcPr>
            <w:tcW w:w="0" w:type="auto"/>
          </w:tcPr>
          <w:p w14:paraId="2BB7D799" w14:textId="77777777" w:rsidR="00180E7C" w:rsidRDefault="00000000">
            <w:pPr>
              <w:pStyle w:val="Compact"/>
            </w:pPr>
            <w:r>
              <w:t>World Bank, regional development banks, co-financing</w:t>
            </w:r>
          </w:p>
        </w:tc>
      </w:tr>
      <w:tr w:rsidR="00180E7C" w14:paraId="518FEFBB" w14:textId="77777777">
        <w:tc>
          <w:tcPr>
            <w:tcW w:w="0" w:type="auto"/>
          </w:tcPr>
          <w:p w14:paraId="39944A9F" w14:textId="77777777" w:rsidR="00180E7C" w:rsidRDefault="00000000">
            <w:pPr>
              <w:pStyle w:val="Compact"/>
            </w:pPr>
            <w:r>
              <w:t>Private investment mobilized</w:t>
            </w:r>
          </w:p>
        </w:tc>
        <w:tc>
          <w:tcPr>
            <w:tcW w:w="0" w:type="auto"/>
          </w:tcPr>
          <w:p w14:paraId="08FF7A66" w14:textId="77777777" w:rsidR="00180E7C" w:rsidRDefault="00000000">
            <w:pPr>
              <w:pStyle w:val="Compact"/>
            </w:pPr>
            <w:r>
              <w:t>15 percent</w:t>
            </w:r>
          </w:p>
        </w:tc>
        <w:tc>
          <w:tcPr>
            <w:tcW w:w="0" w:type="auto"/>
          </w:tcPr>
          <w:p w14:paraId="4C075D37" w14:textId="77777777" w:rsidR="00180E7C" w:rsidRDefault="00000000">
            <w:pPr>
              <w:pStyle w:val="Compact"/>
            </w:pPr>
            <w:r>
              <w:t>Article 53 protection architecture, project finance</w:t>
            </w:r>
          </w:p>
        </w:tc>
      </w:tr>
      <w:tr w:rsidR="00180E7C" w14:paraId="7486C292" w14:textId="77777777">
        <w:tc>
          <w:tcPr>
            <w:tcW w:w="0" w:type="auto"/>
          </w:tcPr>
          <w:p w14:paraId="19ECB03A" w14:textId="77777777" w:rsidR="00180E7C" w:rsidRDefault="00000000">
            <w:pPr>
              <w:pStyle w:val="Compact"/>
            </w:pPr>
            <w:r>
              <w:t>Donor contributions and technical grants</w:t>
            </w:r>
          </w:p>
        </w:tc>
        <w:tc>
          <w:tcPr>
            <w:tcW w:w="0" w:type="auto"/>
          </w:tcPr>
          <w:p w14:paraId="28316C00" w14:textId="77777777" w:rsidR="00180E7C" w:rsidRDefault="00000000">
            <w:pPr>
              <w:pStyle w:val="Compact"/>
            </w:pPr>
            <w:r>
              <w:t>5 percent</w:t>
            </w:r>
          </w:p>
        </w:tc>
        <w:tc>
          <w:tcPr>
            <w:tcW w:w="0" w:type="auto"/>
          </w:tcPr>
          <w:p w14:paraId="0B09080E" w14:textId="77777777" w:rsidR="00180E7C" w:rsidRDefault="00000000">
            <w:pPr>
              <w:pStyle w:val="Compact"/>
            </w:pPr>
            <w:r>
              <w:t>United Nations agencies, bilateral donors</w:t>
            </w:r>
          </w:p>
        </w:tc>
      </w:tr>
    </w:tbl>
    <w:p w14:paraId="70E351CC" w14:textId="77777777" w:rsidR="00180E7C" w:rsidRDefault="00000000">
      <w:pPr>
        <w:pStyle w:val="BodyText"/>
      </w:pPr>
      <w:r>
        <w:t>I.3.2 The United States contribution executes through facilitation per Article 52.2: the sanctions termination’s fiscal value to Iran, estimated in the negotiating record at multiples of the fund target across the period, constitutes the United States share in substance.</w:t>
      </w:r>
    </w:p>
    <w:p w14:paraId="5BC5FB90" w14:textId="77777777" w:rsidR="00180E7C" w:rsidRDefault="00000000">
      <w:pPr>
        <w:pStyle w:val="Heading2"/>
      </w:pPr>
      <w:bookmarkStart w:id="687" w:name="i.4-governance"/>
      <w:bookmarkEnd w:id="686"/>
      <w:r>
        <w:t>I.4 Governance</w:t>
      </w:r>
    </w:p>
    <w:p w14:paraId="5550B846" w14:textId="77777777" w:rsidR="00180E7C" w:rsidRDefault="00000000">
      <w:pPr>
        <w:pStyle w:val="FirstParagraph"/>
      </w:pPr>
      <w:r>
        <w:t xml:space="preserve">I.4.1 </w:t>
      </w:r>
      <w:r>
        <w:rPr>
          <w:b/>
          <w:bCs/>
        </w:rPr>
        <w:t>The Board:</w:t>
      </w:r>
      <w:r>
        <w:t xml:space="preserve"> eleven governors: six appointed by Iran (including the Chair); two appointed by the contributing regional partners jointly; one by the international financial institutions; one by the Swiss Facilitator (fiduciary guardian, non-voting on allocation, </w:t>
      </w:r>
      <w:r>
        <w:lastRenderedPageBreak/>
        <w:t>voting on fiduciary matters); one United Nations representative (observer). Decisions: simple majority on program matters; two-thirds including the Chair on annual allocation plans; consensus on Charter amendments.</w:t>
      </w:r>
    </w:p>
    <w:p w14:paraId="14BA4407" w14:textId="77777777" w:rsidR="00180E7C" w:rsidRDefault="00000000">
      <w:pPr>
        <w:pStyle w:val="BodyText"/>
      </w:pPr>
      <w:r>
        <w:t xml:space="preserve">I.4.2 </w:t>
      </w:r>
      <w:r>
        <w:rPr>
          <w:b/>
          <w:bCs/>
        </w:rPr>
        <w:t>The Secretariat:</w:t>
      </w:r>
      <w:r>
        <w:t xml:space="preserve"> a professional secretariat of 120 staff, internationally recruited with Iranian majority, headed by a Secretary-General appointed by the Board for a five-year term.</w:t>
      </w:r>
    </w:p>
    <w:p w14:paraId="48D077EA" w14:textId="77777777" w:rsidR="00180E7C" w:rsidRDefault="00000000">
      <w:pPr>
        <w:pStyle w:val="BodyText"/>
      </w:pPr>
      <w:r>
        <w:t xml:space="preserve">I.4.3 </w:t>
      </w:r>
      <w:r>
        <w:rPr>
          <w:b/>
          <w:bCs/>
        </w:rPr>
        <w:t>The Priorities Process:</w:t>
      </w:r>
      <w:r>
        <w:t xml:space="preserve"> Iran’s national development authorities present the annual priorities plan; the Board adopts the allocation within the fiduciary framework; sector envelopes guide but do not dictate.</w:t>
      </w:r>
    </w:p>
    <w:p w14:paraId="00952EC4" w14:textId="77777777" w:rsidR="00180E7C" w:rsidRDefault="00000000">
      <w:pPr>
        <w:pStyle w:val="BodyText"/>
      </w:pPr>
      <w:r>
        <w:t xml:space="preserve">I.4.4 </w:t>
      </w:r>
      <w:r>
        <w:rPr>
          <w:b/>
          <w:bCs/>
        </w:rPr>
        <w:t>The Fiduciary Framework:</w:t>
      </w:r>
      <w:r>
        <w:t xml:space="preserve"> international procurement standards with preference mechanisms for Iranian enterprises; independent procurement review; project-level disclosure; the transparency portal publishing every commitment, disbursement, and result; quarterly internal audit; annual external audit; the evaluation office reporting publicly on outcomes.</w:t>
      </w:r>
    </w:p>
    <w:p w14:paraId="762FD81C" w14:textId="77777777" w:rsidR="00180E7C" w:rsidRDefault="00000000">
      <w:pPr>
        <w:pStyle w:val="Heading2"/>
      </w:pPr>
      <w:bookmarkStart w:id="688" w:name="i.5-investment-chapter"/>
      <w:bookmarkEnd w:id="687"/>
      <w:r>
        <w:t>I.5 Investment Chapter</w:t>
      </w:r>
    </w:p>
    <w:p w14:paraId="2482B23F" w14:textId="77777777" w:rsidR="00180E7C" w:rsidRDefault="00000000">
      <w:pPr>
        <w:pStyle w:val="FirstParagraph"/>
      </w:pPr>
      <w:r>
        <w:t>I.5.1 Investments under the RDF umbrella enjoy: fair and equitable treatment; full protection and security; non-discrimination; transfer freedom; expropriation only for public purpose, non-discriminatorily, with prompt, adequate, effective compensation; umbrella clause protection for commitments made under the fund framework.</w:t>
      </w:r>
    </w:p>
    <w:p w14:paraId="44FCD482" w14:textId="77777777" w:rsidR="00180E7C" w:rsidRDefault="00000000">
      <w:pPr>
        <w:pStyle w:val="Heading2"/>
      </w:pPr>
      <w:bookmarkStart w:id="689" w:name="i.6-investment-dispute-mechanism"/>
      <w:bookmarkEnd w:id="688"/>
      <w:r>
        <w:t>I.6 Investment Dispute Mechanism</w:t>
      </w:r>
    </w:p>
    <w:p w14:paraId="32714CDA" w14:textId="77777777" w:rsidR="00180E7C" w:rsidRDefault="00000000">
      <w:pPr>
        <w:pStyle w:val="FirstParagraph"/>
      </w:pPr>
      <w:r>
        <w:t>I.6.1 Disputes proceed: negotiation (60 days); mediation (60 days, RDF mediation service); arbitration (UNCITRAL rules, seats in Geneva, The Hague, or Singapore; three arbitrators; awards final and enforceable under the New York Convention framework).</w:t>
      </w:r>
    </w:p>
    <w:p w14:paraId="3F9E27EE" w14:textId="77777777" w:rsidR="00180E7C" w:rsidRDefault="00000000">
      <w:pPr>
        <w:pStyle w:val="Heading2"/>
      </w:pPr>
      <w:bookmarkStart w:id="690" w:name="Xd296e20f24c3d117b1dfc176bff25cbc29f5353"/>
      <w:bookmarkEnd w:id="689"/>
      <w:r>
        <w:t>I.7 The Economic Monitoring Board Interface</w:t>
      </w:r>
    </w:p>
    <w:p w14:paraId="316E9C0B" w14:textId="77777777" w:rsidR="00180E7C" w:rsidRDefault="00000000">
      <w:pPr>
        <w:pStyle w:val="FirstParagraph"/>
      </w:pPr>
      <w:r>
        <w:t>I.7.1 The EMB of Article 55 coordinates with the RDF Secretariat: shared data on disbursement performance, the over-compliance interface, and the quarterly joint reporting cycle.</w:t>
      </w:r>
    </w:p>
    <w:p w14:paraId="7B652FE1" w14:textId="77777777" w:rsidR="00180E7C" w:rsidRDefault="00000000">
      <w:pPr>
        <w:pStyle w:val="Heading2"/>
      </w:pPr>
      <w:bookmarkStart w:id="691" w:name="i.8-verification-and-treaty-cost-sharing"/>
      <w:bookmarkEnd w:id="690"/>
      <w:r>
        <w:t>I.8 Verification and Treaty Cost-Sharing</w:t>
      </w:r>
    </w:p>
    <w:p w14:paraId="73EABB6D" w14:textId="77777777" w:rsidR="00180E7C" w:rsidRDefault="00000000">
      <w:pPr>
        <w:pStyle w:val="FirstParagraph"/>
      </w:pPr>
      <w:r>
        <w:t>I.8.1 Treaty verification and organ costs share per the table: JMC and JOCs (Parties 40 percent each, Facilitating States 20 percent); Hormuz Authority (per Annex B.8); enhanced IAEA verification increment (United States 35 percent, Iran 15 percent, partners 50 percent through voluntary contributions); RDF secretariat (fund budget). The RDF administers the shared cost facility with annual public accounting.</w:t>
      </w:r>
    </w:p>
    <w:p w14:paraId="0F254BFF" w14:textId="77777777" w:rsidR="00180E7C" w:rsidRDefault="00000000">
      <w:pPr>
        <w:pStyle w:val="Heading2"/>
      </w:pPr>
      <w:bookmarkStart w:id="692" w:name="i.9-tables"/>
      <w:bookmarkEnd w:id="691"/>
      <w:r>
        <w:t>I.9 Tables</w:t>
      </w:r>
    </w:p>
    <w:p w14:paraId="24E131CE" w14:textId="77777777" w:rsidR="00180E7C" w:rsidRDefault="00000000">
      <w:pPr>
        <w:pStyle w:val="FirstParagraph"/>
      </w:pPr>
      <w:r>
        <w:t xml:space="preserve">I.9.1 Table I-1, sector envelopes: energy 22 percent; water and desalination 14 percent; transportation and logistics 16 percent; housing and urban reconstruction 12 percent; </w:t>
      </w:r>
      <w:r>
        <w:lastRenderedPageBreak/>
        <w:t>health 8 percent; education 6 percent; grid integration 6 percent; environment 6 percent; demobilization facility 5 percent; technical assistance and administration 5 percent.</w:t>
      </w:r>
    </w:p>
    <w:p w14:paraId="6E408034" w14:textId="77777777" w:rsidR="00180E7C" w:rsidRDefault="00000000">
      <w:pPr>
        <w:pStyle w:val="BodyText"/>
      </w:pPr>
      <w:r>
        <w:t>I.9.2 Table I-2, energy envelope priorities: upstream integrity and modernization; gas processing and flaring elimination; refinery upgrading; petrochemical rehabilitation; renewable build-out.</w:t>
      </w:r>
    </w:p>
    <w:p w14:paraId="3B8338F6" w14:textId="77777777" w:rsidR="00180E7C" w:rsidRDefault="00000000">
      <w:pPr>
        <w:pStyle w:val="BodyText"/>
      </w:pPr>
      <w:r>
        <w:t>I.9.3 Table I-3, corridor projects: International North-South Transport Corridor segments; Chabahar development; rail electrification; port modernization.</w:t>
      </w:r>
    </w:p>
    <w:p w14:paraId="342D08C3" w14:textId="77777777" w:rsidR="00180E7C" w:rsidRDefault="00000000">
      <w:pPr>
        <w:pStyle w:val="BodyText"/>
      </w:pPr>
      <w:r>
        <w:t>I.9.4 Table I-4, Lebanon envelope: power sector rehabilitation; port and airport works; southern Lebanon reconstruction; LAF capability support; administered through Lebanese state institutions per Article 76.4.</w:t>
      </w:r>
    </w:p>
    <w:p w14:paraId="3EB6010C" w14:textId="77777777" w:rsidR="00180E7C" w:rsidRDefault="00000000">
      <w:pPr>
        <w:pStyle w:val="BodyText"/>
      </w:pPr>
      <w:r>
        <w:t>I.9.5 Table I-5, Environmental Cooperation Fund: dust and sandstorm mitigation; transboundary water projects; marine protection; ring-fenced per Article 83.2.</w:t>
      </w:r>
    </w:p>
    <w:p w14:paraId="67530BE3" w14:textId="77777777" w:rsidR="00180E7C" w:rsidRDefault="00000000">
      <w:pPr>
        <w:pStyle w:val="Heading2"/>
      </w:pPr>
      <w:bookmarkStart w:id="693" w:name="X6555dba71e42d141636929e62a6b5912a164106"/>
      <w:bookmarkEnd w:id="692"/>
      <w:r>
        <w:t>I.10 The Bilateral Exchange Foundation Endowment</w:t>
      </w:r>
    </w:p>
    <w:p w14:paraId="77FBFE32" w14:textId="77777777" w:rsidR="00180E7C" w:rsidRDefault="00000000">
      <w:pPr>
        <w:pStyle w:val="FirstParagraph"/>
      </w:pPr>
      <w:r>
        <w:t>I.10.1 The RDF endows the Foundation of Article 84 with 500 million dollars over five years, governed independently per its statute deposited in the Registry.</w:t>
      </w:r>
    </w:p>
    <w:p w14:paraId="1953B23D" w14:textId="77777777" w:rsidR="00180E7C" w:rsidRDefault="00000000">
      <w:r>
        <w:br w:type="page"/>
      </w:r>
    </w:p>
    <w:p w14:paraId="3AE97B31" w14:textId="77777777" w:rsidR="00180E7C" w:rsidRDefault="00000000">
      <w:pPr>
        <w:pStyle w:val="Heading1"/>
      </w:pPr>
      <w:bookmarkStart w:id="694" w:name="X449f71c834f09cad39b8ab2890df734a477088d"/>
      <w:bookmarkStart w:id="695" w:name="_Toc237843175"/>
      <w:bookmarkEnd w:id="682"/>
      <w:bookmarkEnd w:id="693"/>
      <w:r>
        <w:lastRenderedPageBreak/>
        <w:t>ANNEX J: NAVAL DECONFLICTION AND MARITIME SAFETY PROTOCOL</w:t>
      </w:r>
      <w:bookmarkEnd w:id="695"/>
    </w:p>
    <w:p w14:paraId="2A27E703" w14:textId="77777777" w:rsidR="00180E7C" w:rsidRDefault="00000000">
      <w:pPr>
        <w:pStyle w:val="Heading2"/>
      </w:pPr>
      <w:bookmarkStart w:id="696" w:name="j.1-scope"/>
      <w:r>
        <w:t>J.1 Scope</w:t>
      </w:r>
    </w:p>
    <w:p w14:paraId="57D61A42" w14:textId="77777777" w:rsidR="00180E7C" w:rsidRDefault="00000000">
      <w:pPr>
        <w:pStyle w:val="FirstParagraph"/>
      </w:pPr>
      <w:r>
        <w:t>J.1.1 This Protocol governs the interaction of naval and state vessels of the Parties in the Gulf Theater, implements Article 20, and interfaces with the Hormuz Authority procedures of Title III.</w:t>
      </w:r>
    </w:p>
    <w:p w14:paraId="4BBA2A58" w14:textId="77777777" w:rsidR="00180E7C" w:rsidRDefault="00000000">
      <w:pPr>
        <w:pStyle w:val="Heading2"/>
      </w:pPr>
      <w:bookmarkStart w:id="697" w:name="j.2-communications"/>
      <w:bookmarkEnd w:id="696"/>
      <w:r>
        <w:t>J.2 Communications</w:t>
      </w:r>
    </w:p>
    <w:p w14:paraId="3FF7600A" w14:textId="77777777" w:rsidR="00180E7C" w:rsidRDefault="00000000">
      <w:pPr>
        <w:pStyle w:val="FirstParagraph"/>
      </w:pPr>
      <w:r>
        <w:t>J.2.1 Primary circuit: bridge-to-bridge VHF Channel 16 with working Channel 72; secondary: the military deconfliction data link; tertiary: the JOC voice line. All bridge watch officers carry English as the working language for safety communication.</w:t>
      </w:r>
    </w:p>
    <w:p w14:paraId="102C32F5" w14:textId="77777777" w:rsidR="00180E7C" w:rsidRDefault="00000000">
      <w:pPr>
        <w:pStyle w:val="BodyText"/>
      </w:pPr>
      <w:r>
        <w:t>J.2.2 The code word system: standardized prowords for the deconfliction lexicon (transit announcement, intent query, maneuver warning, stand-down directive), published in the Registry.</w:t>
      </w:r>
    </w:p>
    <w:p w14:paraId="0AAB93E2" w14:textId="77777777" w:rsidR="00180E7C" w:rsidRDefault="00000000">
      <w:pPr>
        <w:pStyle w:val="Heading2"/>
      </w:pPr>
      <w:bookmarkStart w:id="698" w:name="j.3-identification-and-data-link"/>
      <w:bookmarkEnd w:id="697"/>
      <w:r>
        <w:t>J.3 Identification and Data Link</w:t>
      </w:r>
    </w:p>
    <w:p w14:paraId="73550563" w14:textId="77777777" w:rsidR="00180E7C" w:rsidRDefault="00000000">
      <w:pPr>
        <w:pStyle w:val="FirstParagraph"/>
      </w:pPr>
      <w:r>
        <w:t>J.3.1 Naval vessels within 100 nautical miles of the Strait broadcast position, course, speed, and identity through the data link every 15 minutes. The link displays on both Parties’ command systems and at the JOCs.</w:t>
      </w:r>
    </w:p>
    <w:p w14:paraId="1FBCA153" w14:textId="77777777" w:rsidR="00180E7C" w:rsidRDefault="00000000">
      <w:pPr>
        <w:pStyle w:val="Heading2"/>
      </w:pPr>
      <w:bookmarkStart w:id="699" w:name="j.4-maneuvering-standards"/>
      <w:bookmarkEnd w:id="698"/>
      <w:r>
        <w:t>J.4 Maneuvering Standards</w:t>
      </w:r>
    </w:p>
    <w:p w14:paraId="2285B875" w14:textId="77777777" w:rsidR="00180E7C" w:rsidRDefault="00000000">
      <w:pPr>
        <w:pStyle w:val="FirstParagraph"/>
      </w:pPr>
      <w:r>
        <w:t>J.4.1 The International Regulations for Preventing Collisions at Sea govern all encounters, supplemented by: minimum approach distances of Article 18.1.1(b); prohibition of fire-control radar illumination; prohibition of simulated attack profiles; safe passing speeds in the vicinity of the corridor system.</w:t>
      </w:r>
    </w:p>
    <w:p w14:paraId="7F022908" w14:textId="77777777" w:rsidR="00180E7C" w:rsidRDefault="00000000">
      <w:pPr>
        <w:pStyle w:val="Heading2"/>
      </w:pPr>
      <w:bookmarkStart w:id="700" w:name="j.5-air-maritime-interface"/>
      <w:bookmarkEnd w:id="699"/>
      <w:r>
        <w:t>J.5 Air-Maritime Interface</w:t>
      </w:r>
    </w:p>
    <w:p w14:paraId="10ED1185" w14:textId="77777777" w:rsidR="00180E7C" w:rsidRDefault="00000000">
      <w:pPr>
        <w:pStyle w:val="FirstParagraph"/>
      </w:pPr>
      <w:r>
        <w:t>J.5.1 Naval aircraft observe the airspace regime of Article 19; shipboard helicopter operations near the corridor system notify the MOC; unmanned systems operate per the declaration regime.</w:t>
      </w:r>
    </w:p>
    <w:p w14:paraId="71C5C74C" w14:textId="77777777" w:rsidR="00180E7C" w:rsidRDefault="00000000">
      <w:pPr>
        <w:pStyle w:val="Heading2"/>
      </w:pPr>
      <w:bookmarkStart w:id="701" w:name="j.6-the-incidents-at-sea-procedures"/>
      <w:bookmarkEnd w:id="700"/>
      <w:r>
        <w:t>J.6 The Incidents at Sea Procedures</w:t>
      </w:r>
    </w:p>
    <w:p w14:paraId="4B7BA05A" w14:textId="77777777" w:rsidR="00180E7C" w:rsidRDefault="00000000">
      <w:pPr>
        <w:pStyle w:val="FirstParagraph"/>
      </w:pPr>
      <w:r>
        <w:t>J.6.1 An unsafe encounter activates: immediate bridge-to-bridge communication; report to both commands and the JOC within 30 minutes; joint incident review within 72 hours; corrective guidance; the review record enters the SDR.</w:t>
      </w:r>
    </w:p>
    <w:p w14:paraId="60C36C58" w14:textId="77777777" w:rsidR="00180E7C" w:rsidRDefault="00000000">
      <w:pPr>
        <w:pStyle w:val="Heading2"/>
      </w:pPr>
      <w:bookmarkStart w:id="702" w:name="j.7-boarding-restrictions"/>
      <w:bookmarkEnd w:id="701"/>
      <w:r>
        <w:t>J.7 Boarding Restrictions</w:t>
      </w:r>
    </w:p>
    <w:p w14:paraId="44204908" w14:textId="77777777" w:rsidR="00180E7C" w:rsidRDefault="00000000">
      <w:pPr>
        <w:pStyle w:val="FirstParagraph"/>
      </w:pPr>
      <w:r>
        <w:t>J.7.1 No naval vessel of either Party boards, inspects, diverts, or detains any third-state vessel except under the interdiction protocol of Article 36.4 or with flag state consent. Vessels of the Parties: no boarding in any circumstance outside the treaty’s own verification procedures.</w:t>
      </w:r>
    </w:p>
    <w:p w14:paraId="259E8250" w14:textId="77777777" w:rsidR="00180E7C" w:rsidRDefault="00000000">
      <w:pPr>
        <w:pStyle w:val="Heading2"/>
      </w:pPr>
      <w:bookmarkStart w:id="703" w:name="j.8-water-space-management"/>
      <w:bookmarkEnd w:id="702"/>
      <w:r>
        <w:lastRenderedPageBreak/>
        <w:t>J.8 Water Space Management</w:t>
      </w:r>
    </w:p>
    <w:p w14:paraId="4CF9F8B3" w14:textId="77777777" w:rsidR="00180E7C" w:rsidRDefault="00000000">
      <w:pPr>
        <w:pStyle w:val="FirstParagraph"/>
      </w:pPr>
      <w:r>
        <w:t>J.8.1 Submarine operating areas: declared areas exchanged through the JOCs; the notification fence at the Strait approaches requires surface transit or notice through the data link; active sonar operations announce through the link.</w:t>
      </w:r>
    </w:p>
    <w:p w14:paraId="2CC6C95D" w14:textId="77777777" w:rsidR="00180E7C" w:rsidRDefault="00000000">
      <w:pPr>
        <w:pStyle w:val="Heading2"/>
      </w:pPr>
      <w:bookmarkStart w:id="704" w:name="j.9-mine-countermeasures-program"/>
      <w:bookmarkEnd w:id="703"/>
      <w:r>
        <w:t>J.9 Mine Countermeasures Program</w:t>
      </w:r>
    </w:p>
    <w:p w14:paraId="6127C28F" w14:textId="77777777" w:rsidR="00180E7C" w:rsidRDefault="00000000">
      <w:pPr>
        <w:pStyle w:val="FirstParagraph"/>
      </w:pPr>
      <w:r>
        <w:t>J.9.1 Iran executes the clearance program with UNMAS technical support and international observer participation: Phase 1 survey (Days 0-30): route survey of the corridor geometry with the survey assets of Iran augmented by international contributions; Phase 2 clearance (Days 15-60): clearance of located ordnance, with disposal per international standards; Phase 3 certification (by Day 60): the certification survey and the issuance of the mine clearance certificate for each corridor, entering the SDR and triggering final corridor activation per Article 32.3.</w:t>
      </w:r>
    </w:p>
    <w:p w14:paraId="4D5FD69E" w14:textId="77777777" w:rsidR="00180E7C" w:rsidRDefault="00000000">
      <w:pPr>
        <w:pStyle w:val="BodyText"/>
      </w:pPr>
      <w:r>
        <w:t>J.9.2 The United States delivers its mine intelligence packages within 14 days of EIF; other states contribute survey assets, remotely operated vehicles, and funding through the Joint MCM Fund administered by the Authority.</w:t>
      </w:r>
    </w:p>
    <w:p w14:paraId="70B95019" w14:textId="77777777" w:rsidR="00180E7C" w:rsidRDefault="00000000">
      <w:pPr>
        <w:pStyle w:val="BodyText"/>
      </w:pPr>
      <w:r>
        <w:t>J.9.3 Mine inventories: Iran consolidates all naval mine stocks at the two declared depots (Bandar Abbas Depot 1; Chabahar Depot 2) under continuous monitoring; no mine deploys outside depots; any training employment occurs in declared exercise boxes with immediate recovery and accounting.</w:t>
      </w:r>
    </w:p>
    <w:p w14:paraId="1042D415" w14:textId="77777777" w:rsidR="00180E7C" w:rsidRDefault="00000000">
      <w:pPr>
        <w:pStyle w:val="BodyText"/>
      </w:pPr>
      <w:r>
        <w:t>J.9.4 Legacy hazard: any mine or ordnance discovered post-certification triggers immediate notice, marking, and disposal under the same protocol, with the corridor safety stoppage rule of Article 34.2 available to the MOC.</w:t>
      </w:r>
    </w:p>
    <w:p w14:paraId="6ECEECFD" w14:textId="77777777" w:rsidR="00180E7C" w:rsidRDefault="00000000">
      <w:pPr>
        <w:pStyle w:val="Heading2"/>
      </w:pPr>
      <w:bookmarkStart w:id="705" w:name="j.10-salvage-and-assistance"/>
      <w:bookmarkEnd w:id="704"/>
      <w:r>
        <w:t>J.10 Salvage and Assistance</w:t>
      </w:r>
    </w:p>
    <w:p w14:paraId="13668B11" w14:textId="77777777" w:rsidR="00180E7C" w:rsidRDefault="00000000">
      <w:pPr>
        <w:pStyle w:val="FirstParagraph"/>
      </w:pPr>
      <w:r>
        <w:t>J.10.1 Naval salvage assets of both Parties cooperate in the Governance Area under MOC coordination; assistance to any vessel in distress proceeds without regard to flag per Article 40.</w:t>
      </w:r>
    </w:p>
    <w:p w14:paraId="5FF1C70B" w14:textId="77777777" w:rsidR="00180E7C" w:rsidRDefault="00000000">
      <w:pPr>
        <w:pStyle w:val="Heading2"/>
      </w:pPr>
      <w:bookmarkStart w:id="706" w:name="j.11-exercise-notification-interface"/>
      <w:bookmarkEnd w:id="705"/>
      <w:r>
        <w:t>J.11 Exercise Notification Interface</w:t>
      </w:r>
    </w:p>
    <w:p w14:paraId="596DCFDB" w14:textId="77777777" w:rsidR="00180E7C" w:rsidRDefault="00000000">
      <w:pPr>
        <w:pStyle w:val="FirstParagraph"/>
      </w:pPr>
      <w:r>
        <w:t>J.11.1 Naval exercises notify per Article 16.5 with the maritime annex: area, forces, live-fire windows, and safety broadcasts; the Authority relays navigation warnings through the Notice to Mariners system.</w:t>
      </w:r>
    </w:p>
    <w:p w14:paraId="64CBDCBF" w14:textId="77777777" w:rsidR="00180E7C" w:rsidRDefault="00000000">
      <w:pPr>
        <w:pStyle w:val="Heading2"/>
      </w:pPr>
      <w:bookmarkStart w:id="707" w:name="j.12-annual-review"/>
      <w:bookmarkEnd w:id="706"/>
      <w:r>
        <w:t>J.12 Annual Review</w:t>
      </w:r>
    </w:p>
    <w:p w14:paraId="7BE08392" w14:textId="77777777" w:rsidR="00180E7C" w:rsidRDefault="00000000">
      <w:pPr>
        <w:pStyle w:val="FirstParagraph"/>
      </w:pPr>
      <w:r>
        <w:t>J.12.1 The naval commands of both Parties review this Protocol annually within the JOC framework, proposing updates through the technical procedure of Article 72.2.</w:t>
      </w:r>
    </w:p>
    <w:p w14:paraId="6F245F5D" w14:textId="77777777" w:rsidR="00180E7C" w:rsidRDefault="00000000">
      <w:r>
        <w:br w:type="page"/>
      </w:r>
    </w:p>
    <w:p w14:paraId="616B5F34" w14:textId="77777777" w:rsidR="00180E7C" w:rsidRDefault="00000000">
      <w:pPr>
        <w:pStyle w:val="Heading1"/>
      </w:pPr>
      <w:bookmarkStart w:id="708" w:name="X8efb42a8b7944413c3de50204a451a712d9b4fd"/>
      <w:bookmarkStart w:id="709" w:name="_Toc237843176"/>
      <w:bookmarkEnd w:id="694"/>
      <w:bookmarkEnd w:id="707"/>
      <w:r>
        <w:lastRenderedPageBreak/>
        <w:t>ANNEX K: BALLISTIC MISSILE DIALOGUE FRAMEWORK</w:t>
      </w:r>
      <w:bookmarkEnd w:id="709"/>
    </w:p>
    <w:p w14:paraId="6F3047CC" w14:textId="77777777" w:rsidR="00180E7C" w:rsidRDefault="00000000">
      <w:pPr>
        <w:pStyle w:val="Heading2"/>
      </w:pPr>
      <w:bookmarkStart w:id="710" w:name="k.1-mandate-and-status"/>
      <w:r>
        <w:t>K.1 Mandate and Status</w:t>
      </w:r>
    </w:p>
    <w:p w14:paraId="2A3F4B41" w14:textId="77777777" w:rsidR="00180E7C" w:rsidRDefault="00000000">
      <w:pPr>
        <w:pStyle w:val="FirstParagraph"/>
      </w:pPr>
      <w:r>
        <w:t>K.1.1 This Framework implements Article 21. It establishes a standing technical-political process on missiles and related systems, convened within 60 days of EIF, meeting monthly at expert level and quarterly at policy level, co-chaired by the Parties with Swiss facilitation.</w:t>
      </w:r>
    </w:p>
    <w:p w14:paraId="5936D70D" w14:textId="77777777" w:rsidR="00180E7C" w:rsidRDefault="00000000">
      <w:pPr>
        <w:pStyle w:val="BodyText"/>
      </w:pPr>
      <w:r>
        <w:t>K.1.2 The Framework acknowledges the registered positions: Iran’s position that its defensive missile capability stands outside negotiation; the United States position that long-range systems require limitation. The Framework resolves the collision through the structure of Article 21.2: a verified stand-down delivering immediate security outcomes, plus this dialogue building the path to durable transparency and eventual codified ceilings, with neither Party conceding its underlying position.</w:t>
      </w:r>
    </w:p>
    <w:p w14:paraId="27E4F0C8" w14:textId="77777777" w:rsidR="00180E7C" w:rsidRDefault="00000000">
      <w:pPr>
        <w:pStyle w:val="Heading2"/>
      </w:pPr>
      <w:bookmarkStart w:id="711" w:name="k.2-the-stand-down-regime"/>
      <w:bookmarkEnd w:id="710"/>
      <w:r>
        <w:t>K.2 The Stand-Down Regime</w:t>
      </w:r>
    </w:p>
    <w:p w14:paraId="14F5E115" w14:textId="77777777" w:rsidR="00180E7C" w:rsidRDefault="00000000">
      <w:pPr>
        <w:pStyle w:val="FirstParagraph"/>
      </w:pPr>
      <w:r>
        <w:t>K.2.1 From EIF, the framework freezes: flight testing of ballistic missiles exceeding 1,000 kilometers range; deployment of ballistic missile units to new wartime dispersal sites in the Gulf Theater; targeting activity against the other Party’s forces or territory.</w:t>
      </w:r>
    </w:p>
    <w:p w14:paraId="37C88D7D" w14:textId="77777777" w:rsidR="00180E7C" w:rsidRDefault="00000000">
      <w:pPr>
        <w:pStyle w:val="BodyText"/>
      </w:pPr>
      <w:r>
        <w:t>K.2.2 Exemptions: space launch vehicle activity declared in advance per Section K.7; static testing at declared facilities; training launches of systems below 1,000 kilometers within declared exercise boxes, notified 14 days in advance.</w:t>
      </w:r>
    </w:p>
    <w:p w14:paraId="23E8CA5B" w14:textId="77777777" w:rsidR="00180E7C" w:rsidRDefault="00000000">
      <w:pPr>
        <w:pStyle w:val="Heading2"/>
      </w:pPr>
      <w:bookmarkStart w:id="712" w:name="k.3-declarations"/>
      <w:bookmarkEnd w:id="711"/>
      <w:r>
        <w:t>K.3 Declarations</w:t>
      </w:r>
    </w:p>
    <w:p w14:paraId="34A7C5A6" w14:textId="77777777" w:rsidR="00180E7C" w:rsidRDefault="00000000">
      <w:pPr>
        <w:pStyle w:val="FirstParagraph"/>
      </w:pPr>
      <w:r>
        <w:t>K.3.1 Within 90 days of EIF, Iran files with the JMC a declaration of ballistic missile holdings by category (range classes: below 300 km; 300-1,000 km; 1,000-2,000 km; above 2,000 km), quantities by class, and garrison locations at the theater level of detail. The declaration enters the SDR and verifies against national technical means through the convergent-evidence standard.</w:t>
      </w:r>
    </w:p>
    <w:p w14:paraId="23563AD0" w14:textId="77777777" w:rsidR="00180E7C" w:rsidRDefault="00000000">
      <w:pPr>
        <w:pStyle w:val="Heading2"/>
      </w:pPr>
      <w:bookmarkStart w:id="713" w:name="k.4-the-dialogue-agenda"/>
      <w:bookmarkEnd w:id="712"/>
      <w:r>
        <w:t>K.4 The Dialogue Agenda</w:t>
      </w:r>
    </w:p>
    <w:p w14:paraId="3E1AF84F" w14:textId="77777777" w:rsidR="00180E7C" w:rsidRDefault="00000000">
      <w:pPr>
        <w:pStyle w:val="FirstParagraph"/>
      </w:pPr>
      <w:r>
        <w:t>K.4.1 Standing agenda: (a) notification regimes for tests and space launches; (b) transparency measures distinguishing space launch from weapons development; (c) doctrine discussions on the defensive character of deployments; (d) regional missile transparency through the RSCSC; (e) the conditions and parameters for a future protocol codifying quantitative ceilings; (f) the interface with the nuclear-capable exclusion of Article 21.3.</w:t>
      </w:r>
    </w:p>
    <w:p w14:paraId="2BB4B1C3" w14:textId="77777777" w:rsidR="00180E7C" w:rsidRDefault="00000000">
      <w:pPr>
        <w:pStyle w:val="Heading2"/>
      </w:pPr>
      <w:bookmarkStart w:id="714" w:name="k.5-verification-interface"/>
      <w:bookmarkEnd w:id="713"/>
      <w:r>
        <w:t>K.5 Verification Interface</w:t>
      </w:r>
    </w:p>
    <w:p w14:paraId="4E144F1F" w14:textId="77777777" w:rsidR="00180E7C" w:rsidRDefault="00000000">
      <w:pPr>
        <w:pStyle w:val="FirstParagraph"/>
      </w:pPr>
      <w:r>
        <w:t xml:space="preserve">K.5.1 The stand-down verifies through: satellite review of launch sites and garrisons; telemetry and sensor data where available; the declarations regime; and the anomaly </w:t>
      </w:r>
      <w:r>
        <w:lastRenderedPageBreak/>
        <w:t>system. A suspected prohibited launch registers as Level 3, or Level 4 upon convergent confirmation.</w:t>
      </w:r>
    </w:p>
    <w:p w14:paraId="7C2C2476" w14:textId="77777777" w:rsidR="00180E7C" w:rsidRDefault="00000000">
      <w:pPr>
        <w:pStyle w:val="Heading2"/>
      </w:pPr>
      <w:bookmarkStart w:id="715" w:name="k.6-space-launch-transparency-protocol"/>
      <w:bookmarkEnd w:id="714"/>
      <w:r>
        <w:t>K.6 Space Launch Transparency Protocol</w:t>
      </w:r>
    </w:p>
    <w:p w14:paraId="447FB8A8" w14:textId="77777777" w:rsidR="00180E7C" w:rsidRDefault="00000000">
      <w:pPr>
        <w:pStyle w:val="FirstParagraph"/>
      </w:pPr>
      <w:r>
        <w:t>K.6.1 Space launch activity declares: vehicle configuration, launch window (72-hour notice), trajectory azimuth, and payload class. The declaration distinguishes the activity from missile testing; the JMC publishes confirmation of each launch’s declared character.</w:t>
      </w:r>
    </w:p>
    <w:p w14:paraId="72DBCD2F" w14:textId="77777777" w:rsidR="00180E7C" w:rsidRDefault="00000000">
      <w:pPr>
        <w:pStyle w:val="Heading2"/>
      </w:pPr>
      <w:bookmarkStart w:id="716" w:name="k.7-nuclear-capable-exclusion-interface"/>
      <w:bookmarkEnd w:id="715"/>
      <w:r>
        <w:t>K.7 Nuclear-Capable Exclusion Interface</w:t>
      </w:r>
    </w:p>
    <w:p w14:paraId="755B8134" w14:textId="77777777" w:rsidR="00180E7C" w:rsidRDefault="00000000">
      <w:pPr>
        <w:pStyle w:val="FirstParagraph"/>
      </w:pPr>
      <w:r>
        <w:t>K.7.1 The exclusion of Article 21.3 (no development, testing, or deployment of ballistic missiles designed to be nuclear-capable) operates consequentially: the permanent non-nuclear undertaking of Article 61.1 renders the category operationally empty. The Dialogue maintains the technical channel reviewing relevant design indicators, keeping the exclusion verified and empty.</w:t>
      </w:r>
    </w:p>
    <w:p w14:paraId="52788EEB" w14:textId="77777777" w:rsidR="00180E7C" w:rsidRDefault="00000000">
      <w:pPr>
        <w:pStyle w:val="Heading2"/>
      </w:pPr>
      <w:bookmarkStart w:id="717" w:name="k.8-annual-report"/>
      <w:bookmarkEnd w:id="716"/>
      <w:r>
        <w:t>K.8 Annual Report</w:t>
      </w:r>
    </w:p>
    <w:p w14:paraId="760F9DEB" w14:textId="77777777" w:rsidR="00180E7C" w:rsidRDefault="00000000">
      <w:pPr>
        <w:pStyle w:val="FirstParagraph"/>
      </w:pPr>
      <w:r>
        <w:t>K.8.1 The Dialogue reports annually to the HCC: stand-down verification record, declaration updates, progress on the agenda, and recommendations.</w:t>
      </w:r>
    </w:p>
    <w:p w14:paraId="502A2453" w14:textId="77777777" w:rsidR="00180E7C" w:rsidRDefault="00000000">
      <w:r>
        <w:br w:type="page"/>
      </w:r>
    </w:p>
    <w:p w14:paraId="7BC069FA" w14:textId="77777777" w:rsidR="00180E7C" w:rsidRDefault="00000000">
      <w:pPr>
        <w:pStyle w:val="Heading1"/>
      </w:pPr>
      <w:bookmarkStart w:id="718" w:name="X2701519c752dba86814eb455c2fd94dc47671fa"/>
      <w:bookmarkStart w:id="719" w:name="_Toc237843177"/>
      <w:bookmarkEnd w:id="708"/>
      <w:bookmarkEnd w:id="717"/>
      <w:r>
        <w:lastRenderedPageBreak/>
        <w:t>ANNEX L: LEBANON AND REGIONAL NON-STATE ACTOR PROTOCOLS</w:t>
      </w:r>
      <w:bookmarkEnd w:id="719"/>
    </w:p>
    <w:p w14:paraId="1FAE9641" w14:textId="77777777" w:rsidR="00180E7C" w:rsidRDefault="00000000">
      <w:pPr>
        <w:pStyle w:val="Heading2"/>
      </w:pPr>
      <w:bookmarkStart w:id="720" w:name="l.1-structure"/>
      <w:r>
        <w:t>L.1 Structure</w:t>
      </w:r>
    </w:p>
    <w:p w14:paraId="07C70DF7" w14:textId="77777777" w:rsidR="00180E7C" w:rsidRDefault="00000000">
      <w:pPr>
        <w:pStyle w:val="FirstParagraph"/>
      </w:pPr>
      <w:r>
        <w:t>L.1.1 This Annex contains the operative regional instruments of Title VI: Part One, the Lebanon Stabilization Protocol; Part Two, the Resolution 1701 Enhancement Package; Part Three, the Lebanese Sovereign Track sequence; Part Four, the Iraq Integration Roadmap; Part Five, the Syria Drawdown Schedule; Part Six, the parallel assurance memoranda register; Section 4, the declarations regime; Section 5, attribution standards; Section 7, the border monitoring architecture.</w:t>
      </w:r>
    </w:p>
    <w:p w14:paraId="7A6F61BE" w14:textId="77777777" w:rsidR="00180E7C" w:rsidRDefault="00000000">
      <w:pPr>
        <w:pStyle w:val="Heading2"/>
      </w:pPr>
      <w:bookmarkStart w:id="721" w:name="X3046816bfc320405aac6462f67e18c9c68907f6"/>
      <w:bookmarkEnd w:id="720"/>
      <w:r>
        <w:t>Part One: The Lebanon Stabilization Protocol</w:t>
      </w:r>
    </w:p>
    <w:p w14:paraId="1E05ABE3" w14:textId="77777777" w:rsidR="00180E7C" w:rsidRDefault="00000000">
      <w:pPr>
        <w:pStyle w:val="FirstParagraph"/>
      </w:pPr>
      <w:r>
        <w:t>L.2.1 The Parties establish, with the Lebanese Republic and with Qatari and United Nations facilitation, the Lebanon Stabilization Protocol as a parallel binding instrument entering into force simultaneously with this Treaty: legally separate, politically synchronized, enforced through its own mechanisms.</w:t>
      </w:r>
    </w:p>
    <w:p w14:paraId="5A9FF2AA" w14:textId="77777777" w:rsidR="00180E7C" w:rsidRDefault="00000000">
      <w:pPr>
        <w:pStyle w:val="BodyText"/>
      </w:pPr>
      <w:r>
        <w:t>L.2.2 The Protocol consolidates the cessation of hostilities between Israel and Hezbollah of June 2026 into a durable ceasefire: (a) no air, land, or sea attacks across the Blue Line in either direction; (b) no offensive operations against Lebanese civilian, military, or state targets; (c) no rocket, missile, drone, or infiltration attacks from Lebanese territory; (d) withdrawal of forces from positions re-entered during the 2026 fighting per Table L-1; (e) the monitoring and verification architecture of Part Two.</w:t>
      </w:r>
    </w:p>
    <w:p w14:paraId="452D3D5F" w14:textId="77777777" w:rsidR="00180E7C" w:rsidRDefault="00000000">
      <w:pPr>
        <w:pStyle w:val="BodyText"/>
      </w:pPr>
      <w:r>
        <w:t>L.2.3 Table L-1, withdrawal and return schedule: re-entered positions vacate in three phases over 90 days, verified by the tripartite mechanism; displaced residents return with the reconstruction support of the RDF Lebanon envelope; the safe return of evacuated communities on both sides of the Blue Line completes within the same window.</w:t>
      </w:r>
    </w:p>
    <w:p w14:paraId="739848A4" w14:textId="77777777" w:rsidR="00180E7C" w:rsidRDefault="00000000">
      <w:pPr>
        <w:pStyle w:val="BodyText"/>
      </w:pPr>
      <w:r>
        <w:t>L.2.4 Enforcement separation: disputes under the Protocol resolve within the Protocol’s mechanisms (the tripartite mechanism, the Lebanon file of the RSCSC, and the United Nations channel). A Protocol dispute never triggers step-back under this Treaty, and a Treaty step-back never suspends the Protocol. The instruments breathe separately so that neither contaminates the other.</w:t>
      </w:r>
    </w:p>
    <w:p w14:paraId="3427A155" w14:textId="77777777" w:rsidR="00180E7C" w:rsidRDefault="00000000">
      <w:pPr>
        <w:pStyle w:val="Heading2"/>
      </w:pPr>
      <w:bookmarkStart w:id="722" w:name="X3367a6a6738cda32fcd0617fc15667d6f35be7e"/>
      <w:bookmarkEnd w:id="721"/>
      <w:r>
        <w:t>Part Two: The Resolution 1701 Enhancement Package</w:t>
      </w:r>
    </w:p>
    <w:p w14:paraId="6F650721" w14:textId="77777777" w:rsidR="00180E7C" w:rsidRDefault="00000000">
      <w:pPr>
        <w:pStyle w:val="FirstParagraph"/>
      </w:pPr>
      <w:r>
        <w:t>L.3.1 UNIFIL enhancement: modernized sensor and observation capability along the Blue Line; expanded reporting cadence; the technical monitoring layer feeding the tripartite mechanism.</w:t>
      </w:r>
    </w:p>
    <w:p w14:paraId="11CF613F" w14:textId="77777777" w:rsidR="00180E7C" w:rsidRDefault="00000000">
      <w:pPr>
        <w:pStyle w:val="BodyText"/>
      </w:pPr>
      <w:r>
        <w:t>L.3.2 LAF deployment plan: the Lebanese Armed Forces deploy to full southern coverage per the capability build-up financed through the RDF Lebanon envelope: troop rotations, equipment packages, border observation posts, and the joint operations coordination with UNIFIL.</w:t>
      </w:r>
    </w:p>
    <w:p w14:paraId="5BD262DC" w14:textId="77777777" w:rsidR="00180E7C" w:rsidRDefault="00000000">
      <w:pPr>
        <w:pStyle w:val="BodyText"/>
      </w:pPr>
      <w:r>
        <w:lastRenderedPageBreak/>
        <w:t>L.3.3 The tripartite verification mechanism (UNIFIL, LAF, monitoring architecture): defined inspection powers in the southern zone; weekly reporting; the violation investigation procedure with 72-hour response; publication of the monthly Blue Line status report.</w:t>
      </w:r>
    </w:p>
    <w:p w14:paraId="31277BDF" w14:textId="77777777" w:rsidR="00180E7C" w:rsidRDefault="00000000">
      <w:pPr>
        <w:pStyle w:val="Heading2"/>
      </w:pPr>
      <w:bookmarkStart w:id="723" w:name="part-three-the-lebanese-sovereign-track"/>
      <w:bookmarkEnd w:id="722"/>
      <w:r>
        <w:t>Part Three: The Lebanese Sovereign Track</w:t>
      </w:r>
    </w:p>
    <w:p w14:paraId="52C7EDB5" w14:textId="77777777" w:rsidR="00180E7C" w:rsidRDefault="00000000">
      <w:pPr>
        <w:pStyle w:val="FirstParagraph"/>
      </w:pPr>
      <w:r>
        <w:t>L.4.1 Sequence: (a) the durable ceasefire locks first; (b) LAF capability builds second; (c) heavy weapons of non-state actors in southern Lebanon canton under LAF-supervised arrangements negotiated within Lebanon’s national dialogue; (d) external supply termination per Article 7.1.2 verifies through Section 7; (e) political participation of all Lebanese movements within the state continues unaffected.</w:t>
      </w:r>
    </w:p>
    <w:p w14:paraId="5AF70E78" w14:textId="77777777" w:rsidR="00180E7C" w:rsidRDefault="00000000">
      <w:pPr>
        <w:pStyle w:val="BodyText"/>
      </w:pPr>
      <w:r>
        <w:t>L.4.2 The track respects the registered positions: internal armed actors constitute a Lebanese sovereign matter (Lebanese government position); externally imposed disarmament stands rejected (Hezbollah position); verified security outcomes on the northern border stand required (Israeli position). The architecture delivers the outcomes through Lebanese sovereignty rather than around it.</w:t>
      </w:r>
    </w:p>
    <w:p w14:paraId="52F30A01" w14:textId="77777777" w:rsidR="00180E7C" w:rsidRDefault="00000000">
      <w:pPr>
        <w:pStyle w:val="Heading2"/>
      </w:pPr>
      <w:bookmarkStart w:id="724" w:name="part-four-the-iraq-integration-roadmap"/>
      <w:bookmarkEnd w:id="723"/>
      <w:r>
        <w:t>Part Four: The Iraq Integration Roadmap</w:t>
      </w:r>
    </w:p>
    <w:p w14:paraId="50D39E3B" w14:textId="77777777" w:rsidR="00180E7C" w:rsidRDefault="00000000">
      <w:pPr>
        <w:pStyle w:val="FirstParagraph"/>
      </w:pPr>
      <w:r>
        <w:t>L.5.1 The Iraqi government’s own roadmap governs: integration, demobilization, or regularization of armed groups outside full state command, sequenced per Iraqi design: inventory declarations, heavy weapons registration, integration into state structures or demobilization with RDSF support, and the parliamentary participation framework sustaining the constitutional process.</w:t>
      </w:r>
    </w:p>
    <w:p w14:paraId="616A1D6A" w14:textId="77777777" w:rsidR="00180E7C" w:rsidRDefault="00000000">
      <w:pPr>
        <w:pStyle w:val="BodyText"/>
      </w:pPr>
      <w:r>
        <w:t>L.5.2 The Parties support: Iran through supply termination and diplomatic backing of state authority; the United States through the bilateral security framework with Iraq within Article 27 ceilings; both through the RDSF financing of integration programs.</w:t>
      </w:r>
    </w:p>
    <w:p w14:paraId="3EF75F7F" w14:textId="77777777" w:rsidR="00180E7C" w:rsidRDefault="00000000">
      <w:pPr>
        <w:pStyle w:val="Heading2"/>
      </w:pPr>
      <w:bookmarkStart w:id="725" w:name="part-five-syria-drawdown-schedule"/>
      <w:bookmarkEnd w:id="724"/>
      <w:r>
        <w:t>Part Five: Syria Drawdown Schedule</w:t>
      </w:r>
    </w:p>
    <w:p w14:paraId="33176BDF" w14:textId="77777777" w:rsidR="00180E7C" w:rsidRDefault="00000000">
      <w:pPr>
        <w:pStyle w:val="FirstParagraph"/>
      </w:pPr>
      <w:r>
        <w:t>L.6.1 Table L-5: Iranian advisory presence drawdown: Phase 1 (Days 0-180): consolidation of advisory missions at declared locations, withdrawal of forward field advisers; Phase 2 (Days 181-365): reduction to the residual advisory mission agreed with the Syrian government; Phase 3 (Days 366-540): residual mission at steady state, declared and verified.</w:t>
      </w:r>
    </w:p>
    <w:p w14:paraId="24921099" w14:textId="77777777" w:rsidR="00180E7C" w:rsidRDefault="00000000">
      <w:pPr>
        <w:pStyle w:val="BodyText"/>
      </w:pPr>
      <w:r>
        <w:t>L.6.2 The Syria-Lebanon transfer corridor closes under Section 7 monitoring; declarations cover any residual state-to-state defense cooperation, which proceeds transparently per the declarations regime.</w:t>
      </w:r>
    </w:p>
    <w:p w14:paraId="1293751B" w14:textId="77777777" w:rsidR="00180E7C" w:rsidRDefault="00000000">
      <w:pPr>
        <w:pStyle w:val="Heading2"/>
      </w:pPr>
      <w:bookmarkStart w:id="726" w:name="X1545a3e50bba82df6c9847bfa005d5ab88f14fa"/>
      <w:bookmarkEnd w:id="725"/>
      <w:r>
        <w:t>Part Six: Parallel Assurance Memoranda Register</w:t>
      </w:r>
    </w:p>
    <w:p w14:paraId="3E005723" w14:textId="77777777" w:rsidR="00180E7C" w:rsidRDefault="00000000">
      <w:pPr>
        <w:pStyle w:val="FirstParagraph"/>
      </w:pPr>
      <w:r>
        <w:t>L.7.1 The Registry records the parallel instruments outside this Treaty: the United States-Israel assurance memorandum (Article 81.3.1); the United States-GCC defense frameworks; the Oman-Iran bilateral technical arrangements. Recording preserves transparency; recording confers no Treaty status on the recorded instruments.</w:t>
      </w:r>
    </w:p>
    <w:p w14:paraId="2E1BBAC0" w14:textId="77777777" w:rsidR="00180E7C" w:rsidRDefault="00000000">
      <w:pPr>
        <w:pStyle w:val="Heading2"/>
      </w:pPr>
      <w:bookmarkStart w:id="727" w:name="X97f90fbd5241adb20c0a5954efbff4b645c59e5"/>
      <w:bookmarkEnd w:id="726"/>
      <w:r>
        <w:lastRenderedPageBreak/>
        <w:t>Section 4: The Proxy Domain Declarations Regime</w:t>
      </w:r>
    </w:p>
    <w:p w14:paraId="78D813D7" w14:textId="77777777" w:rsidR="00180E7C" w:rsidRDefault="00000000">
      <w:pPr>
        <w:pStyle w:val="FirstParagraph"/>
      </w:pPr>
      <w:r>
        <w:t>L.8.1 Semi-annual declarations by Iran: the termination status of weapons and military financing flows per group category (Lebanon, Yemen, Iraq, Palestine), the channels closed, and the residual political-relationship register (non-material). Semi-annual declarations by the United States: the termination status of support for offensive operations by regional partners against Iran. Declarations verify against Section 7 monitoring and financial tracking.</w:t>
      </w:r>
    </w:p>
    <w:p w14:paraId="147E12DF" w14:textId="77777777" w:rsidR="00180E7C" w:rsidRDefault="00000000">
      <w:pPr>
        <w:pStyle w:val="Heading2"/>
      </w:pPr>
      <w:bookmarkStart w:id="728" w:name="section-5-attribution-standards"/>
      <w:bookmarkEnd w:id="727"/>
      <w:r>
        <w:t>Section 5: Attribution Standards</w:t>
      </w:r>
    </w:p>
    <w:p w14:paraId="43A6C0EA" w14:textId="77777777" w:rsidR="00180E7C" w:rsidRDefault="00000000">
      <w:pPr>
        <w:pStyle w:val="FirstParagraph"/>
      </w:pPr>
      <w:r>
        <w:t>L.9.1 Attribution of a non-state actor’s operation to a Party requires: (a) effective direction or control of the specific operation, shown through convergent evidence (communications, logistics, financial flows, captured materiel chain-of-custody); or (b) material support knowingly provided for that specific operation. Political alignment, shared rhetoric, historic association, or general relationships never suffice. Attribution disputes process through the Escalation Chain.</w:t>
      </w:r>
    </w:p>
    <w:p w14:paraId="6F43AAEB" w14:textId="77777777" w:rsidR="00180E7C" w:rsidRDefault="00000000">
      <w:pPr>
        <w:pStyle w:val="Heading2"/>
      </w:pPr>
      <w:bookmarkStart w:id="729" w:name="X4947b67cfd05200b60714c60944af3d431dda95"/>
      <w:bookmarkEnd w:id="728"/>
      <w:r>
        <w:t>Section 7: The Border Monitoring Architecture</w:t>
      </w:r>
    </w:p>
    <w:p w14:paraId="1200F861" w14:textId="77777777" w:rsidR="00180E7C" w:rsidRDefault="00000000">
      <w:pPr>
        <w:pStyle w:val="FirstParagraph"/>
      </w:pPr>
      <w:r>
        <w:t>L.10.1 Components: border sensor packages at the crossing points of the Syria-Lebanon, Iraq-Iran, and relevant maritime approaches; overflight data shared under Article 19; financial tracking through the banking integrity architecture (Article 55.3); declarations (Section 4); and the investigation procedure of the tripartite and JMC mechanisms.</w:t>
      </w:r>
    </w:p>
    <w:p w14:paraId="4A455038" w14:textId="77777777" w:rsidR="00180E7C" w:rsidRDefault="00000000">
      <w:pPr>
        <w:pStyle w:val="BodyText"/>
      </w:pPr>
      <w:r>
        <w:t>L.10.2 Detected flows process per Annex D, Category 7: interdiction and acknowledgment (4 points, with the flow’s termination verified); denial then verification (8 points); attributed direction of cross-border attack (12 points, petition threshold).</w:t>
      </w:r>
    </w:p>
    <w:p w14:paraId="602349E9" w14:textId="77777777" w:rsidR="00180E7C" w:rsidRDefault="00000000">
      <w:pPr>
        <w:pStyle w:val="Heading2"/>
      </w:pPr>
      <w:bookmarkStart w:id="730" w:name="section-8-palestine-file"/>
      <w:bookmarkEnd w:id="729"/>
      <w:r>
        <w:t>Section 8: Palestine File</w:t>
      </w:r>
    </w:p>
    <w:p w14:paraId="44D75A1E" w14:textId="77777777" w:rsidR="00180E7C" w:rsidRDefault="00000000">
      <w:pPr>
        <w:pStyle w:val="FirstParagraph"/>
      </w:pPr>
      <w:r>
        <w:t>L.11.1 The Parties support the regional efforts toward a durable Gaza stabilization and a political horizon, through: diplomatic backing of the United Nations and regional mediation tracks; the humanitarian surge through Article 57 channels; and Iran’s termination of weapons flows to armed Palestinian groups per Article 7.1.2, verified per Section 7, with the political dimension remaining a matter for the Palestinian and regional processes.</w:t>
      </w:r>
    </w:p>
    <w:p w14:paraId="14A90F03" w14:textId="77777777" w:rsidR="00180E7C" w:rsidRDefault="00000000">
      <w:r>
        <w:br w:type="page"/>
      </w:r>
    </w:p>
    <w:p w14:paraId="34B19EF6" w14:textId="77777777" w:rsidR="00180E7C" w:rsidRDefault="00000000">
      <w:pPr>
        <w:pStyle w:val="Heading1"/>
      </w:pPr>
      <w:bookmarkStart w:id="731" w:name="Xba4e6b341f849db10f4fff0119addc87284fbd0"/>
      <w:bookmarkStart w:id="732" w:name="_Toc237843178"/>
      <w:bookmarkEnd w:id="718"/>
      <w:bookmarkEnd w:id="730"/>
      <w:r>
        <w:lastRenderedPageBreak/>
        <w:t>ANNEX M: HUMANITARIAN EXCHANGE, PRISONER RELEASE, AND MISSING PERSONS PROTOCOL</w:t>
      </w:r>
      <w:bookmarkEnd w:id="732"/>
    </w:p>
    <w:p w14:paraId="1D2C180A" w14:textId="77777777" w:rsidR="00180E7C" w:rsidRDefault="00000000">
      <w:pPr>
        <w:pStyle w:val="Heading2"/>
      </w:pPr>
      <w:bookmarkStart w:id="733" w:name="Xc8938cbf396da13bede90c8faff0079de6c6105"/>
      <w:r>
        <w:t>M.1 The Humanitarian Firewall Operationalized</w:t>
      </w:r>
    </w:p>
    <w:p w14:paraId="3FA2F4D9" w14:textId="77777777" w:rsidR="00180E7C" w:rsidRDefault="00000000">
      <w:pPr>
        <w:pStyle w:val="FirstParagraph"/>
      </w:pPr>
      <w:r>
        <w:t>M.1.1 This Annex operationalizes Articles 9, 57, and 64. The humanitarian firewall admits no exception: no step-back, no dispute, no crisis, no breach interrupts humanitarian movement, civilian protection, detainee welfare, or the work of this Annex.</w:t>
      </w:r>
    </w:p>
    <w:p w14:paraId="69981207" w14:textId="77777777" w:rsidR="00180E7C" w:rsidRDefault="00000000">
      <w:pPr>
        <w:pStyle w:val="Heading2"/>
      </w:pPr>
      <w:bookmarkStart w:id="734" w:name="m.2-schedule-m-1-the-release-lists"/>
      <w:bookmarkEnd w:id="733"/>
      <w:r>
        <w:t>M.2 Schedule M-1: The Release Lists</w:t>
      </w:r>
    </w:p>
    <w:p w14:paraId="09F897A6" w14:textId="77777777" w:rsidR="00180E7C" w:rsidRDefault="00000000">
      <w:pPr>
        <w:pStyle w:val="FirstParagraph"/>
      </w:pPr>
      <w:r>
        <w:t>M.2.1 Within 14 days of EIF, the Parties exchange, through the International Committee of the Red Cross, the complete lists of: nationals of each Party detained in the other’s custody on charges connected to the bilateral conflict; all persons detained during the 2026 war; and dual nationals in either category. The ICRC verifies the lists against its detention records.</w:t>
      </w:r>
    </w:p>
    <w:p w14:paraId="20DE6D82" w14:textId="77777777" w:rsidR="00180E7C" w:rsidRDefault="00000000">
      <w:pPr>
        <w:pStyle w:val="BodyText"/>
      </w:pPr>
      <w:r>
        <w:t>M.2.2 Within 30 days of EIF, the full reciprocal release executes: simultaneous handover at the agreed locations (the Swiss-facilitated airbridge Tehran-Muscat-Zurich-Washington routing), with ICRC verification of each transfer, medical screening, and family notification.</w:t>
      </w:r>
    </w:p>
    <w:p w14:paraId="101BE288" w14:textId="77777777" w:rsidR="00180E7C" w:rsidRDefault="00000000">
      <w:pPr>
        <w:pStyle w:val="BodyText"/>
      </w:pPr>
      <w:r>
        <w:t>M.2.3 Post-release undertakings: no released person faces re-detention for the same conduct; each Party reports the person’s safe arrival through the ICRC channel.</w:t>
      </w:r>
    </w:p>
    <w:p w14:paraId="18CE27C4" w14:textId="77777777" w:rsidR="00180E7C" w:rsidRDefault="00000000">
      <w:pPr>
        <w:pStyle w:val="Heading2"/>
      </w:pPr>
      <w:bookmarkStart w:id="735" w:name="m.3-humanitarian-corridors"/>
      <w:bookmarkEnd w:id="734"/>
      <w:r>
        <w:t>M.3 Humanitarian Corridors</w:t>
      </w:r>
    </w:p>
    <w:p w14:paraId="37D8520F" w14:textId="77777777" w:rsidR="00180E7C" w:rsidRDefault="00000000">
      <w:pPr>
        <w:pStyle w:val="FirstParagraph"/>
      </w:pPr>
      <w:r>
        <w:t>M.3.1 Sea: Corridor Four priority transit with rapid screening (Article 9.2.2); humanitarian manifests pre-cleared through the Authority’s humanitarian desk. Air: the humanitarian flight corridors through the Tehran and regional flight information regions with priority handling. Land: the crossing points of Table M-2 (Iran-Iraq crossings for regional relief, Iran-Turkey crossings, Chabahar land-sea interface) with facilitated customs.</w:t>
      </w:r>
    </w:p>
    <w:p w14:paraId="00D0EAB6" w14:textId="77777777" w:rsidR="00180E7C" w:rsidRDefault="00000000">
      <w:pPr>
        <w:pStyle w:val="BodyText"/>
      </w:pPr>
      <w:r>
        <w:t>M.3.2 Table M-2 crossing points operate with: 24/7 humanitarian lanes; pre-cleared convoy documentation; United Nations observer access; no inspection delay beyond the rapid screening protocol (maximum 3 hours per convoy absent specific actionable intelligence).</w:t>
      </w:r>
    </w:p>
    <w:p w14:paraId="69C8F2C0" w14:textId="77777777" w:rsidR="00180E7C" w:rsidRDefault="00000000">
      <w:pPr>
        <w:pStyle w:val="Heading2"/>
      </w:pPr>
      <w:bookmarkStart w:id="736" w:name="m.4-rapid-screening-protocol"/>
      <w:bookmarkEnd w:id="735"/>
      <w:r>
        <w:t>M.4 Rapid Screening Protocol</w:t>
      </w:r>
    </w:p>
    <w:p w14:paraId="5D159727" w14:textId="77777777" w:rsidR="00180E7C" w:rsidRDefault="00000000">
      <w:pPr>
        <w:pStyle w:val="FirstParagraph"/>
      </w:pPr>
      <w:r>
        <w:t>M.4.1 Humanitarian cargo screens through: manifest review; risk-based physical inspection not exceeding 10 percent of consignments; immediate release upon clearance. Any hold beyond 3 hours requires written justification logged in the SDR and notification to the humanitarian desk, with release or escalation within 24 hours.</w:t>
      </w:r>
    </w:p>
    <w:p w14:paraId="20548B96" w14:textId="77777777" w:rsidR="00180E7C" w:rsidRDefault="00000000">
      <w:pPr>
        <w:pStyle w:val="Heading2"/>
      </w:pPr>
      <w:bookmarkStart w:id="737" w:name="m.5-humanitarian-organizations-access"/>
      <w:bookmarkEnd w:id="736"/>
      <w:r>
        <w:t>M.5 Humanitarian Organizations Access</w:t>
      </w:r>
    </w:p>
    <w:p w14:paraId="667BB9DB" w14:textId="77777777" w:rsidR="00180E7C" w:rsidRDefault="00000000">
      <w:pPr>
        <w:pStyle w:val="FirstParagraph"/>
      </w:pPr>
      <w:r>
        <w:t xml:space="preserve">M.5.1 International humanitarian organizations (United Nations agencies, ICRC, international non-governmental organizations registered with the humanitarian desk) </w:t>
      </w:r>
      <w:r>
        <w:lastRenderedPageBreak/>
        <w:t>operate with: expedited visas (5 business days); unimpeded logistics; access to affected populations per their mandates; and the security notification interface with the JOCs.</w:t>
      </w:r>
    </w:p>
    <w:p w14:paraId="3395E186" w14:textId="77777777" w:rsidR="00180E7C" w:rsidRDefault="00000000">
      <w:pPr>
        <w:pStyle w:val="BodyText"/>
      </w:pPr>
      <w:r>
        <w:t>M.5.2 Yemen humanitarian surge: priority allocation of the humanitarian channel to Yemeni ports under United Nations verification per Article 77.3.</w:t>
      </w:r>
    </w:p>
    <w:p w14:paraId="17F998CA" w14:textId="77777777" w:rsidR="00180E7C" w:rsidRDefault="00000000">
      <w:pPr>
        <w:pStyle w:val="BodyText"/>
      </w:pPr>
      <w:r>
        <w:t>M.5.3 Regional relief coordination: the humanitarian desk coordinates with OCHA on the regional relief picture quarterly.</w:t>
      </w:r>
    </w:p>
    <w:p w14:paraId="5D673F51" w14:textId="77777777" w:rsidR="00180E7C" w:rsidRDefault="00000000">
      <w:pPr>
        <w:pStyle w:val="Heading2"/>
      </w:pPr>
      <w:bookmarkStart w:id="738" w:name="X5cf06e360d30a466a23b9fe352933c1ee588c1a"/>
      <w:bookmarkEnd w:id="737"/>
      <w:r>
        <w:t>M.6 Ongoing Detention Humanitarian Review</w:t>
      </w:r>
    </w:p>
    <w:p w14:paraId="5CF500A2" w14:textId="77777777" w:rsidR="00180E7C" w:rsidRDefault="00000000">
      <w:pPr>
        <w:pStyle w:val="FirstParagraph"/>
      </w:pPr>
      <w:r>
        <w:t>M.6.1 Any future detention of the other’s nationals with humanitarian dimensions (health, age, family emergency) processes through the humanitarian review channel within 30 days, with ICRC good offices; medical evacuation proceeds immediately per Article 9.4.1.</w:t>
      </w:r>
    </w:p>
    <w:p w14:paraId="3E262A82" w14:textId="77777777" w:rsidR="00180E7C" w:rsidRDefault="00000000">
      <w:pPr>
        <w:pStyle w:val="Heading2"/>
      </w:pPr>
      <w:bookmarkStart w:id="739" w:name="m.7-mariner-first-provisions"/>
      <w:bookmarkEnd w:id="738"/>
      <w:r>
        <w:t>M.7 Mariner First Provisions</w:t>
      </w:r>
    </w:p>
    <w:p w14:paraId="59398708" w14:textId="77777777" w:rsidR="00180E7C" w:rsidRDefault="00000000">
      <w:pPr>
        <w:pStyle w:val="FirstParagraph"/>
      </w:pPr>
      <w:r>
        <w:t>M.7.1 Seafarer welfare: crew change facilitation at designated ports; medical care access; repatriation support; the Authority seafarer desk resolving status questions within 72 hours; no seafarer detention for the vessel’s regulatory issues; stranded crew support through the shipowners’ contribution program and the coastal states’ welfare facilities.</w:t>
      </w:r>
    </w:p>
    <w:p w14:paraId="0EFE1487" w14:textId="77777777" w:rsidR="00180E7C" w:rsidRDefault="00000000">
      <w:pPr>
        <w:pStyle w:val="Heading2"/>
      </w:pPr>
      <w:bookmarkStart w:id="740" w:name="m.8-the-joint-civilian-harm-review-cell"/>
      <w:bookmarkEnd w:id="739"/>
      <w:r>
        <w:t>M.8 The Joint Civilian Harm Review Cell</w:t>
      </w:r>
    </w:p>
    <w:p w14:paraId="4466319F" w14:textId="77777777" w:rsidR="00180E7C" w:rsidRDefault="00000000">
      <w:pPr>
        <w:pStyle w:val="FirstParagraph"/>
      </w:pPr>
      <w:r>
        <w:t>M.8.1 Composition: three members per Party plus three ICRC-nominated neutrals; mandate: investigate reports of civilian harm from the 2026 war and subsequent incidents; document findings in the SDR; transmit recommendations to the accountability mechanisms of Article 65; coordinate the return-of-displaced-persons interface of Article 82.2.</w:t>
      </w:r>
    </w:p>
    <w:p w14:paraId="1F8A6B8B" w14:textId="77777777" w:rsidR="00180E7C" w:rsidRDefault="00000000">
      <w:pPr>
        <w:pStyle w:val="Heading2"/>
      </w:pPr>
      <w:bookmarkStart w:id="741" w:name="m.9-the-joint-missing-persons-commission"/>
      <w:bookmarkEnd w:id="740"/>
      <w:r>
        <w:t>M.9 The Joint Missing Persons Commission</w:t>
      </w:r>
    </w:p>
    <w:p w14:paraId="1C4C719D" w14:textId="77777777" w:rsidR="00180E7C" w:rsidRDefault="00000000">
      <w:pPr>
        <w:pStyle w:val="FirstParagraph"/>
      </w:pPr>
      <w:r>
        <w:t>M.9.1 Mandate: account for missing persons from the 2026 war, the 1980-1988 war files of mutual interest, and historic cases; recover and repatriate remains; notify families. Operations: case files opened on family or state request; joint forensic teams with ICRC partnership; site access facilitated by both Parties; annual public report on progress (respecting family privacy).</w:t>
      </w:r>
    </w:p>
    <w:p w14:paraId="3BAF5DC4" w14:textId="77777777" w:rsidR="00180E7C" w:rsidRDefault="00000000">
      <w:pPr>
        <w:pStyle w:val="BodyText"/>
      </w:pPr>
      <w:r>
        <w:t>M.9.2 The Commission’s work proceeds unconditionally: no political dispute touches it; its funding stands ring-fenced within the humanitarian channel.</w:t>
      </w:r>
    </w:p>
    <w:p w14:paraId="51ACF7DA" w14:textId="77777777" w:rsidR="00180E7C" w:rsidRDefault="00000000">
      <w:pPr>
        <w:pStyle w:val="Heading2"/>
      </w:pPr>
      <w:bookmarkStart w:id="742" w:name="m.10-annual-humanitarian-review"/>
      <w:bookmarkEnd w:id="741"/>
      <w:r>
        <w:t>M.10 Annual Humanitarian Review</w:t>
      </w:r>
    </w:p>
    <w:p w14:paraId="73AD4341" w14:textId="77777777" w:rsidR="00180E7C" w:rsidRDefault="00000000">
      <w:pPr>
        <w:pStyle w:val="FirstParagraph"/>
      </w:pPr>
      <w:r>
        <w:t>M.10.1 The humanitarian desk reports annually to the HCC: corridor performance, screening times, access statistics, detainee welfare, missing persons progress, and recommendations, with the report published in non-sensitive summary.</w:t>
      </w:r>
    </w:p>
    <w:p w14:paraId="58FA0561" w14:textId="77777777" w:rsidR="00180E7C" w:rsidRDefault="00000000">
      <w:r>
        <w:br w:type="page"/>
      </w:r>
    </w:p>
    <w:p w14:paraId="0AAD4251" w14:textId="77777777" w:rsidR="00180E7C" w:rsidRDefault="00000000">
      <w:pPr>
        <w:pStyle w:val="Heading1"/>
      </w:pPr>
      <w:bookmarkStart w:id="743" w:name="annex-n-the-guarantor-matrix-protocol"/>
      <w:bookmarkStart w:id="744" w:name="_Toc237843179"/>
      <w:bookmarkEnd w:id="731"/>
      <w:bookmarkEnd w:id="742"/>
      <w:r>
        <w:lastRenderedPageBreak/>
        <w:t>ANNEX N: THE GUARANTOR MATRIX PROTOCOL</w:t>
      </w:r>
      <w:bookmarkEnd w:id="744"/>
    </w:p>
    <w:p w14:paraId="33D5DC5E" w14:textId="77777777" w:rsidR="00180E7C" w:rsidRDefault="00000000">
      <w:pPr>
        <w:pStyle w:val="Heading2"/>
      </w:pPr>
      <w:bookmarkStart w:id="745" w:name="n.1-composition"/>
      <w:r>
        <w:t>N.1 Composition</w:t>
      </w:r>
    </w:p>
    <w:p w14:paraId="2E73CBCE" w14:textId="77777777" w:rsidR="00180E7C" w:rsidRDefault="00000000">
      <w:pPr>
        <w:pStyle w:val="FirstParagraph"/>
      </w:pPr>
      <w:r>
        <w:t>N.1.1 The Guarantor Matrix comprises: the Islamic Republic of Pakistan (lead mediator); the Sultanate of Oman (coastal co-anchor and Authority Chair); the State of Qatar (regional facilitator); the Swiss Confederation (Facilitator of Record); the Secretary-General of the United Nations (Depositary and good-offices holder); and, in their technical capacities, the IAEA, IMO, IHO, UNMAS, and OCHA.</w:t>
      </w:r>
    </w:p>
    <w:p w14:paraId="2B5E6685" w14:textId="77777777" w:rsidR="00180E7C" w:rsidRDefault="00000000">
      <w:pPr>
        <w:pStyle w:val="Heading2"/>
      </w:pPr>
      <w:bookmarkStart w:id="746" w:name="n.2-functions"/>
      <w:bookmarkEnd w:id="745"/>
      <w:r>
        <w:t>N.2 Functions</w:t>
      </w:r>
    </w:p>
    <w:p w14:paraId="5F8FB722" w14:textId="77777777" w:rsidR="00180E7C" w:rsidRDefault="00000000">
      <w:pPr>
        <w:pStyle w:val="FirstParagraph"/>
      </w:pPr>
      <w:r>
        <w:t>N.2.1 The Matrix: (a) receives the reporting architecture of Article 68; (b) convenes under Article 26.2 upon either Party’s call within 72 hours at minister level; (c) issues consensus recommendations carrying the full diplomatic weight of the Facilitating States; (d) supports the ratification and implementation process politically and technically; (e) participates in the review conferences of Article 75.3.</w:t>
      </w:r>
    </w:p>
    <w:p w14:paraId="277183BF" w14:textId="77777777" w:rsidR="00180E7C" w:rsidRDefault="00000000">
      <w:pPr>
        <w:pStyle w:val="Heading2"/>
      </w:pPr>
      <w:bookmarkStart w:id="747" w:name="n.3-the-consultation-guarantee"/>
      <w:bookmarkEnd w:id="746"/>
      <w:r>
        <w:t>N.3 The Consultation Guarantee</w:t>
      </w:r>
    </w:p>
    <w:p w14:paraId="48D7FB8C" w14:textId="77777777" w:rsidR="00180E7C" w:rsidRDefault="00000000">
      <w:pPr>
        <w:pStyle w:val="FirstParagraph"/>
      </w:pPr>
      <w:r>
        <w:t>N.3.1 Upon convening, the Matrix: receives the JMC assessment; hears both Parties; issues its consensus recommendation within 7 days; transmits the recommendation and the underlying record to the Security Council through the Depositary. The Matrix’s guarantee operates through presence, verification, and engagement; it implies no automatic military commitment by any Facilitating State.</w:t>
      </w:r>
    </w:p>
    <w:p w14:paraId="20D9F670" w14:textId="77777777" w:rsidR="00180E7C" w:rsidRDefault="00000000">
      <w:pPr>
        <w:pStyle w:val="Heading2"/>
      </w:pPr>
      <w:bookmarkStart w:id="748" w:name="n.4-facilitating-state-specific-roles"/>
      <w:bookmarkEnd w:id="747"/>
      <w:r>
        <w:t>N.4 Facilitating State Specific Roles</w:t>
      </w:r>
    </w:p>
    <w:p w14:paraId="64CFF297" w14:textId="77777777" w:rsidR="00180E7C" w:rsidRDefault="00000000">
      <w:pPr>
        <w:pStyle w:val="FirstParagraph"/>
      </w:pPr>
      <w:r>
        <w:t>N.4.1 Pakistan: host of the plenary record; good offices on the political track; participation in JOC-Doha. Oman: Authority Chair; host of JOC-Muscat and the Secretariat; SAR lead; RSCSC chair. Qatar: regional facilitation including the Lebanon and Yemen files; host of JOC-Doha mirror functions. Switzerland: escrow agent; Third-Party Expert Pool administrator; tie-breaker telemetry contracting; custodianship functions of Article 15.3; neutrality ombudsman.</w:t>
      </w:r>
    </w:p>
    <w:p w14:paraId="189A64C6" w14:textId="77777777" w:rsidR="00180E7C" w:rsidRDefault="00000000">
      <w:pPr>
        <w:pStyle w:val="Heading2"/>
      </w:pPr>
      <w:bookmarkStart w:id="749" w:name="n.5-status-and-immunities"/>
      <w:bookmarkEnd w:id="748"/>
      <w:r>
        <w:t>N.5 Status and Immunities</w:t>
      </w:r>
    </w:p>
    <w:p w14:paraId="7618B234" w14:textId="77777777" w:rsidR="00180E7C" w:rsidRDefault="00000000">
      <w:pPr>
        <w:pStyle w:val="FirstParagraph"/>
      </w:pPr>
      <w:r>
        <w:t>N.5.1 Facilitating State personnel performing treaty functions enjoy the immunities of Article 71 under the status agreements deposited in the Registry.</w:t>
      </w:r>
    </w:p>
    <w:p w14:paraId="2C797086" w14:textId="77777777" w:rsidR="00180E7C" w:rsidRDefault="00000000">
      <w:pPr>
        <w:pStyle w:val="Heading2"/>
      </w:pPr>
      <w:bookmarkStart w:id="750" w:name="n.6-succession-and-continuity"/>
      <w:bookmarkEnd w:id="749"/>
      <w:r>
        <w:t>N.6 Succession and Continuity</w:t>
      </w:r>
    </w:p>
    <w:p w14:paraId="49DE936E" w14:textId="77777777" w:rsidR="00180E7C" w:rsidRDefault="00000000">
      <w:pPr>
        <w:pStyle w:val="FirstParagraph"/>
      </w:pPr>
      <w:r>
        <w:t>N.6.1 Each treaty organ maintains deputy succession tables: every principal role carries a designated deputy empowered to act during absence or crisis; the Swiss Facilitator holds custodianship of organ records and machinery during any representation interruption per Article 15.3.</w:t>
      </w:r>
    </w:p>
    <w:p w14:paraId="7ACAB920" w14:textId="77777777" w:rsidR="00180E7C" w:rsidRDefault="00000000">
      <w:pPr>
        <w:pStyle w:val="Heading2"/>
      </w:pPr>
      <w:bookmarkStart w:id="751" w:name="n.7-funding"/>
      <w:bookmarkEnd w:id="750"/>
      <w:r>
        <w:lastRenderedPageBreak/>
        <w:t>N.7 Funding</w:t>
      </w:r>
    </w:p>
    <w:p w14:paraId="4E2CFC7B" w14:textId="77777777" w:rsidR="00180E7C" w:rsidRDefault="00000000">
      <w:pPr>
        <w:pStyle w:val="FirstParagraph"/>
      </w:pPr>
      <w:r>
        <w:t>N.7.1 Facilitating State incremental costs fund through the cost-sharing table of Annex I, Section 8; no Facilitating State assumes financial obligation beyond its express written acceptance.</w:t>
      </w:r>
    </w:p>
    <w:p w14:paraId="2EDEDE44" w14:textId="77777777" w:rsidR="00180E7C" w:rsidRDefault="00000000">
      <w:pPr>
        <w:pStyle w:val="Heading2"/>
      </w:pPr>
      <w:bookmarkStart w:id="752" w:name="n.8-withdrawal-of-a-facilitating-state"/>
      <w:bookmarkEnd w:id="751"/>
      <w:r>
        <w:t>N.8 Withdrawal of a Facilitating State</w:t>
      </w:r>
    </w:p>
    <w:p w14:paraId="3701998A" w14:textId="77777777" w:rsidR="00180E7C" w:rsidRDefault="00000000">
      <w:pPr>
        <w:pStyle w:val="FirstParagraph"/>
      </w:pPr>
      <w:r>
        <w:t>N.8.1 A Facilitating State withdraws from its facilitation role upon 6 months notice to the Parties and the Depositary; the Parties agree a successor within 90 days, failing which the remaining Facilitating States redistribute the functions by consensus.</w:t>
      </w:r>
    </w:p>
    <w:p w14:paraId="536C1DDF" w14:textId="77777777" w:rsidR="00180E7C" w:rsidRDefault="00000000">
      <w:r>
        <w:br w:type="page"/>
      </w:r>
    </w:p>
    <w:p w14:paraId="75C2CC93" w14:textId="77777777" w:rsidR="00180E7C" w:rsidRDefault="00000000">
      <w:pPr>
        <w:pStyle w:val="Heading1"/>
      </w:pPr>
      <w:bookmarkStart w:id="753" w:name="X3c22287b5214ee0a9eb3f4307c0063ebba154d4"/>
      <w:bookmarkStart w:id="754" w:name="_Toc237843180"/>
      <w:bookmarkEnd w:id="743"/>
      <w:bookmarkEnd w:id="752"/>
      <w:r>
        <w:lastRenderedPageBreak/>
        <w:t>ANNEX O: DISPUTE RESOLUTION AND ARBITRATION RULES</w:t>
      </w:r>
      <w:bookmarkEnd w:id="754"/>
    </w:p>
    <w:p w14:paraId="4D2F1811" w14:textId="77777777" w:rsidR="00180E7C" w:rsidRDefault="00000000">
      <w:pPr>
        <w:pStyle w:val="Heading2"/>
      </w:pPr>
      <w:bookmarkStart w:id="755" w:name="o.1-scope"/>
      <w:r>
        <w:t>O.1 Scope</w:t>
      </w:r>
    </w:p>
    <w:p w14:paraId="22BB16F9" w14:textId="77777777" w:rsidR="00180E7C" w:rsidRDefault="00000000">
      <w:pPr>
        <w:pStyle w:val="FirstParagraph"/>
      </w:pPr>
      <w:r>
        <w:t>O.1.1 These Rules govern arbitration under Article 69.4 and the panels of Article 45, and constitute the procedural law of the Joint Claims Commission of Section O.8.</w:t>
      </w:r>
    </w:p>
    <w:p w14:paraId="7E6D1D47" w14:textId="77777777" w:rsidR="00180E7C" w:rsidRDefault="00000000">
      <w:pPr>
        <w:pStyle w:val="Heading2"/>
      </w:pPr>
      <w:bookmarkStart w:id="756" w:name="o.2-the-standing-panel"/>
      <w:bookmarkEnd w:id="755"/>
      <w:r>
        <w:t>O.2 The Standing Panel</w:t>
      </w:r>
    </w:p>
    <w:p w14:paraId="3B09304B" w14:textId="77777777" w:rsidR="00180E7C" w:rsidRDefault="00000000">
      <w:pPr>
        <w:pStyle w:val="FirstParagraph"/>
      </w:pPr>
      <w:r>
        <w:t>O.2.1 The standing panel: fifteen arbitrators: five nominated by each Party, five neutrals selected by the Swiss Facilitator from nationals of states other than the Parties and the Facilitating States. Members serve six-year renewable terms, under independence and impartiality undertakings.</w:t>
      </w:r>
    </w:p>
    <w:p w14:paraId="6A8E7EB1" w14:textId="77777777" w:rsidR="00180E7C" w:rsidRDefault="00000000">
      <w:pPr>
        <w:pStyle w:val="Heading2"/>
      </w:pPr>
      <w:bookmarkStart w:id="757" w:name="o.3-constitution-of-tribunals"/>
      <w:bookmarkEnd w:id="756"/>
      <w:r>
        <w:t>O.3 Constitution of Tribunals</w:t>
      </w:r>
    </w:p>
    <w:p w14:paraId="779F3725" w14:textId="77777777" w:rsidR="00180E7C" w:rsidRDefault="00000000">
      <w:pPr>
        <w:pStyle w:val="FirstParagraph"/>
      </w:pPr>
      <w:r>
        <w:t>O.3.1 Each tribunal: three arbitrators: one selected by each Party from the panel, and a presiding arbitrator selected by agreement of the two, or failing agreement within 14 days, appointed by the Swiss Facilitator from the neutral members.</w:t>
      </w:r>
    </w:p>
    <w:p w14:paraId="32138765" w14:textId="77777777" w:rsidR="00180E7C" w:rsidRDefault="00000000">
      <w:pPr>
        <w:pStyle w:val="Heading2"/>
      </w:pPr>
      <w:bookmarkStart w:id="758" w:name="o.4-procedure"/>
      <w:bookmarkEnd w:id="757"/>
      <w:r>
        <w:t>O.4 Procedure</w:t>
      </w:r>
    </w:p>
    <w:p w14:paraId="323DF865" w14:textId="77777777" w:rsidR="00180E7C" w:rsidRDefault="00000000">
      <w:pPr>
        <w:pStyle w:val="FirstParagraph"/>
      </w:pPr>
      <w:r>
        <w:t>O.4.1 Seat: Geneva or The Hague, at the claimant’s election. Language: English and Persian with interpretation. Timetable: memorial 45 days; counter-memorial 45 days; reply rounds at the tribunal’s direction; hearing within 120 days of constitution; award within 90 days of hearing close.</w:t>
      </w:r>
    </w:p>
    <w:p w14:paraId="0E6F1835" w14:textId="77777777" w:rsidR="00180E7C" w:rsidRDefault="00000000">
      <w:pPr>
        <w:pStyle w:val="BodyText"/>
      </w:pPr>
      <w:r>
        <w:t>O.4.2 Evidence: the tribunal receives the SDR record as authentic; the convergent-evidence standard applies to attribution questions; confidential material handles per the redacted-review protocol.</w:t>
      </w:r>
    </w:p>
    <w:p w14:paraId="570050BD" w14:textId="77777777" w:rsidR="00180E7C" w:rsidRDefault="00000000">
      <w:pPr>
        <w:pStyle w:val="BodyText"/>
      </w:pPr>
      <w:r>
        <w:t>O.4.3 Interim measures: the tribunal orders interim measures to preserve the status quo, including suspension of contested step-backs pending award where irreparable harm looms; the humanitarian firewall binds the tribunal absolutely.</w:t>
      </w:r>
    </w:p>
    <w:p w14:paraId="4226584C" w14:textId="77777777" w:rsidR="00180E7C" w:rsidRDefault="00000000">
      <w:pPr>
        <w:pStyle w:val="Heading2"/>
      </w:pPr>
      <w:bookmarkStart w:id="759" w:name="o.5-awards-and-enforcement"/>
      <w:bookmarkEnd w:id="758"/>
      <w:r>
        <w:t>O.5 Awards and Enforcement</w:t>
      </w:r>
    </w:p>
    <w:p w14:paraId="54163C31" w14:textId="77777777" w:rsidR="00180E7C" w:rsidRDefault="00000000">
      <w:pPr>
        <w:pStyle w:val="FirstParagraph"/>
      </w:pPr>
      <w:r>
        <w:t>O.5.1 Awards bind finally. Execution proceeds: through the step-back schedules (adjusting lines per the award); through the escrow (monetary awards against a Party’s performance); through the Claims Facility (Section O.8); and through the diplomatic weight of the Guarantor Matrix. A Party failing to execute an award within 90 days faces the HCC compliance review.</w:t>
      </w:r>
    </w:p>
    <w:p w14:paraId="741002CF" w14:textId="77777777" w:rsidR="00180E7C" w:rsidRDefault="00000000">
      <w:pPr>
        <w:pStyle w:val="Heading2"/>
      </w:pPr>
      <w:bookmarkStart w:id="760" w:name="o.6-maritime-panels-interface"/>
      <w:bookmarkEnd w:id="759"/>
      <w:r>
        <w:t>O.6 Maritime Panels Interface</w:t>
      </w:r>
    </w:p>
    <w:p w14:paraId="2548A554" w14:textId="77777777" w:rsidR="00180E7C" w:rsidRDefault="00000000">
      <w:pPr>
        <w:pStyle w:val="FirstParagraph"/>
      </w:pPr>
      <w:r>
        <w:t>O.6.1 The panels of Article 45 operate under these Rules mutatis mutandis, with the compressed timelines of that Article and the twin-key composition rules of Article 45.2.</w:t>
      </w:r>
    </w:p>
    <w:p w14:paraId="6EFB512B" w14:textId="77777777" w:rsidR="00180E7C" w:rsidRDefault="00000000">
      <w:pPr>
        <w:pStyle w:val="Heading2"/>
      </w:pPr>
      <w:bookmarkStart w:id="761" w:name="o.7-interpretive-decisions"/>
      <w:bookmarkEnd w:id="760"/>
      <w:r>
        <w:lastRenderedPageBreak/>
        <w:t>O.7 Interpretive Decisions</w:t>
      </w:r>
    </w:p>
    <w:p w14:paraId="3A65CDAA" w14:textId="77777777" w:rsidR="00180E7C" w:rsidRDefault="00000000">
      <w:pPr>
        <w:pStyle w:val="FirstParagraph"/>
      </w:pPr>
      <w:r>
        <w:t>O.7.1 The HCC issues interpretive decisions by consensus; where consensus fails on a question of treaty interpretation, either Party refers the question to arbitration under these Rules, and the arbitral interpretation binds.</w:t>
      </w:r>
    </w:p>
    <w:p w14:paraId="6E8FD416" w14:textId="77777777" w:rsidR="00180E7C" w:rsidRDefault="00000000">
      <w:pPr>
        <w:pStyle w:val="Heading2"/>
      </w:pPr>
      <w:bookmarkStart w:id="762" w:name="o.8-the-joint-claims-commission"/>
      <w:bookmarkEnd w:id="761"/>
      <w:r>
        <w:t>O.8 The Joint Claims Commission</w:t>
      </w:r>
    </w:p>
    <w:p w14:paraId="1EC84E53" w14:textId="77777777" w:rsidR="00180E7C" w:rsidRDefault="00000000">
      <w:pPr>
        <w:pStyle w:val="FirstParagraph"/>
      </w:pPr>
      <w:r>
        <w:t>O.8.1 Composition: nine members: three appointed per Party, three neutrals selected by the Swiss Facilitator. Jurisdiction: claims of nationals of either Party arising from the 2026 war and from measures addressed by this Treaty (blocked property, expropriated assets, personal injury, wrongful detention damages), excluding claims between the Parties as states, which Article 65.2 resolves structurally.</w:t>
      </w:r>
    </w:p>
    <w:p w14:paraId="05718339" w14:textId="77777777" w:rsidR="00180E7C" w:rsidRDefault="00000000">
      <w:pPr>
        <w:pStyle w:val="BodyText"/>
      </w:pPr>
      <w:r>
        <w:t>O.8.2 Procedure: claims file within 3 years of EIF; small claims track (under 250,000 dollars, documents-only, decision within 180 days); standard track per these Rules; the Commission sits in The Hague with hearings also by video.</w:t>
      </w:r>
    </w:p>
    <w:p w14:paraId="6EC3D69B" w14:textId="77777777" w:rsidR="00180E7C" w:rsidRDefault="00000000">
      <w:pPr>
        <w:pStyle w:val="BodyText"/>
      </w:pPr>
      <w:r>
        <w:t>O.8.3 Awards pay through the Claims Facility of Annex H, Section 11. The Facility replenishes: Iranian share through Pool B installments; United States share through appropriation per the implementing legislation.</w:t>
      </w:r>
    </w:p>
    <w:p w14:paraId="6A0CDB49" w14:textId="77777777" w:rsidR="00180E7C" w:rsidRDefault="00000000">
      <w:pPr>
        <w:pStyle w:val="BodyText"/>
      </w:pPr>
      <w:r>
        <w:t>O.8.4 Record: the Commission publishes its docket statistics and reasoned awards (with privacy redactions), contributing to the historical record of the war’s costs borne by ordinary people.</w:t>
      </w:r>
    </w:p>
    <w:p w14:paraId="0A457DC7" w14:textId="77777777" w:rsidR="00180E7C" w:rsidRDefault="00000000">
      <w:pPr>
        <w:pStyle w:val="Heading2"/>
      </w:pPr>
      <w:bookmarkStart w:id="763" w:name="o.9-the-joint-linguistic-panel"/>
      <w:bookmarkEnd w:id="762"/>
      <w:r>
        <w:t>O.9 The Joint Linguistic Panel</w:t>
      </w:r>
    </w:p>
    <w:p w14:paraId="26F6F13E" w14:textId="77777777" w:rsidR="00180E7C" w:rsidRDefault="00000000">
      <w:pPr>
        <w:pStyle w:val="FirstParagraph"/>
      </w:pPr>
      <w:r>
        <w:t>O.9.1 Composition: three linguists per Party plus a Swiss-nominated chair; mandate: maintain the Terminology Register (Annex A); resolve divergences between authentic texts within 14 days of referral; issue harmonized readings binding on both Parties; prepare the Arabic courtesy translation.</w:t>
      </w:r>
    </w:p>
    <w:p w14:paraId="6A91A8F8" w14:textId="77777777" w:rsidR="00180E7C" w:rsidRDefault="00000000">
      <w:r>
        <w:br w:type="page"/>
      </w:r>
    </w:p>
    <w:p w14:paraId="710C1CF0" w14:textId="77777777" w:rsidR="00180E7C" w:rsidRDefault="00000000">
      <w:pPr>
        <w:pStyle w:val="Heading1"/>
      </w:pPr>
      <w:bookmarkStart w:id="764" w:name="X8bc698d6610f05b7c2401fe5e1e002f9290f264"/>
      <w:bookmarkStart w:id="765" w:name="_Toc237843181"/>
      <w:bookmarkEnd w:id="753"/>
      <w:bookmarkEnd w:id="763"/>
      <w:r>
        <w:lastRenderedPageBreak/>
        <w:t>ANNEX P: MASTER IMPLEMENTATION TIMELINE (DAY 0 TO DAY 1825)</w:t>
      </w:r>
      <w:bookmarkEnd w:id="765"/>
    </w:p>
    <w:p w14:paraId="78BF2423" w14:textId="77777777" w:rsidR="00180E7C" w:rsidRDefault="00000000">
      <w:pPr>
        <w:pStyle w:val="Heading2"/>
      </w:pPr>
      <w:bookmarkStart w:id="766" w:name="p.1-architecture"/>
      <w:r>
        <w:t>P.1 Architecture</w:t>
      </w:r>
    </w:p>
    <w:p w14:paraId="57DA43C8" w14:textId="77777777" w:rsidR="00180E7C" w:rsidRDefault="00000000">
      <w:pPr>
        <w:pStyle w:val="FirstParagraph"/>
      </w:pPr>
      <w:r>
        <w:t>P.1.1 This Annex contains the master timeline of Article 10: seven phases, each listing maturing obligations, verification events, and reciprocal benefits, followed by the benchmark register (Section P.6), the posture schedules (Sections P.2-P.4), the fallback sequences (Section P.9), and the ratification package (Section P.10).</w:t>
      </w:r>
    </w:p>
    <w:p w14:paraId="6B672D3D" w14:textId="77777777" w:rsidR="00180E7C" w:rsidRDefault="00000000">
      <w:pPr>
        <w:pStyle w:val="Heading2"/>
      </w:pPr>
      <w:bookmarkStart w:id="767" w:name="p.2-phase-i-days-0-30-stabilization"/>
      <w:bookmarkEnd w:id="766"/>
      <w:r>
        <w:t>P.2 Phase I: Days 0-30 (Stabilization)</w:t>
      </w:r>
    </w:p>
    <w:tbl>
      <w:tblPr>
        <w:tblStyle w:val="Table"/>
        <w:tblW w:w="5000" w:type="pct"/>
        <w:tblLook w:val="0020" w:firstRow="1" w:lastRow="0" w:firstColumn="0" w:lastColumn="0" w:noHBand="0" w:noVBand="0"/>
      </w:tblPr>
      <w:tblGrid>
        <w:gridCol w:w="613"/>
        <w:gridCol w:w="3688"/>
        <w:gridCol w:w="2646"/>
        <w:gridCol w:w="2629"/>
      </w:tblGrid>
      <w:tr w:rsidR="00180E7C" w14:paraId="13E81ECB"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03F7857" w14:textId="77777777" w:rsidR="00180E7C" w:rsidRDefault="00000000">
            <w:pPr>
              <w:pStyle w:val="Compact"/>
            </w:pPr>
            <w:r>
              <w:t>Day</w:t>
            </w:r>
          </w:p>
        </w:tc>
        <w:tc>
          <w:tcPr>
            <w:tcW w:w="0" w:type="auto"/>
          </w:tcPr>
          <w:p w14:paraId="4DF8931F" w14:textId="77777777" w:rsidR="00180E7C" w:rsidRDefault="00000000">
            <w:pPr>
              <w:pStyle w:val="Compact"/>
            </w:pPr>
            <w:r>
              <w:t>Event</w:t>
            </w:r>
          </w:p>
        </w:tc>
        <w:tc>
          <w:tcPr>
            <w:tcW w:w="0" w:type="auto"/>
          </w:tcPr>
          <w:p w14:paraId="5430ED4B" w14:textId="77777777" w:rsidR="00180E7C" w:rsidRDefault="00000000">
            <w:pPr>
              <w:pStyle w:val="Compact"/>
            </w:pPr>
            <w:r>
              <w:t>Verification</w:t>
            </w:r>
          </w:p>
        </w:tc>
        <w:tc>
          <w:tcPr>
            <w:tcW w:w="0" w:type="auto"/>
          </w:tcPr>
          <w:p w14:paraId="740C38B3" w14:textId="77777777" w:rsidR="00180E7C" w:rsidRDefault="00000000">
            <w:pPr>
              <w:pStyle w:val="Compact"/>
            </w:pPr>
            <w:r>
              <w:t>Reciprocal Benefit</w:t>
            </w:r>
          </w:p>
        </w:tc>
      </w:tr>
      <w:tr w:rsidR="00180E7C" w14:paraId="3C76C387" w14:textId="77777777">
        <w:tc>
          <w:tcPr>
            <w:tcW w:w="0" w:type="auto"/>
          </w:tcPr>
          <w:p w14:paraId="4AF21DA6" w14:textId="77777777" w:rsidR="00180E7C" w:rsidRDefault="00000000">
            <w:pPr>
              <w:pStyle w:val="Compact"/>
            </w:pPr>
            <w:r>
              <w:t>0</w:t>
            </w:r>
          </w:p>
        </w:tc>
        <w:tc>
          <w:tcPr>
            <w:tcW w:w="0" w:type="auto"/>
          </w:tcPr>
          <w:p w14:paraId="45684338" w14:textId="77777777" w:rsidR="00180E7C" w:rsidRDefault="00000000">
            <w:pPr>
              <w:pStyle w:val="Compact"/>
            </w:pPr>
            <w:r>
              <w:t>EIF; ceasefire permanent; hotlines live</w:t>
            </w:r>
          </w:p>
        </w:tc>
        <w:tc>
          <w:tcPr>
            <w:tcW w:w="0" w:type="auto"/>
          </w:tcPr>
          <w:p w14:paraId="4BE793FC" w14:textId="77777777" w:rsidR="00180E7C" w:rsidRDefault="00000000">
            <w:pPr>
              <w:pStyle w:val="Compact"/>
            </w:pPr>
            <w:r>
              <w:t>JMC baseline start</w:t>
            </w:r>
          </w:p>
        </w:tc>
        <w:tc>
          <w:tcPr>
            <w:tcW w:w="0" w:type="auto"/>
          </w:tcPr>
          <w:p w14:paraId="0E24FFD2" w14:textId="77777777" w:rsidR="00180E7C" w:rsidRDefault="00000000">
            <w:pPr>
              <w:pStyle w:val="Compact"/>
            </w:pPr>
            <w:r>
              <w:t>Phase I sanctions terminations execute</w:t>
            </w:r>
          </w:p>
        </w:tc>
      </w:tr>
      <w:tr w:rsidR="00180E7C" w14:paraId="787E27FD" w14:textId="77777777">
        <w:tc>
          <w:tcPr>
            <w:tcW w:w="0" w:type="auto"/>
          </w:tcPr>
          <w:p w14:paraId="3337DA46" w14:textId="77777777" w:rsidR="00180E7C" w:rsidRDefault="00000000">
            <w:pPr>
              <w:pStyle w:val="Compact"/>
            </w:pPr>
            <w:r>
              <w:t>1</w:t>
            </w:r>
          </w:p>
        </w:tc>
        <w:tc>
          <w:tcPr>
            <w:tcW w:w="0" w:type="auto"/>
          </w:tcPr>
          <w:p w14:paraId="00BD8D2B" w14:textId="77777777" w:rsidR="00180E7C" w:rsidRDefault="00000000">
            <w:pPr>
              <w:pStyle w:val="Compact"/>
            </w:pPr>
            <w:r>
              <w:t>Blockade dissolution fleet order; Iranian transit restrictions dissolve</w:t>
            </w:r>
          </w:p>
        </w:tc>
        <w:tc>
          <w:tcPr>
            <w:tcW w:w="0" w:type="auto"/>
          </w:tcPr>
          <w:p w14:paraId="02DD6704" w14:textId="77777777" w:rsidR="00180E7C" w:rsidRDefault="00000000">
            <w:pPr>
              <w:pStyle w:val="Compact"/>
            </w:pPr>
            <w:r>
              <w:t>MOC confirmation; Notice to Mariners 1</w:t>
            </w:r>
          </w:p>
        </w:tc>
        <w:tc>
          <w:tcPr>
            <w:tcW w:w="0" w:type="auto"/>
          </w:tcPr>
          <w:p w14:paraId="02C5C75F" w14:textId="77777777" w:rsidR="00180E7C" w:rsidRDefault="00000000">
            <w:pPr>
              <w:pStyle w:val="Compact"/>
            </w:pPr>
            <w:r>
              <w:t>Interim corridors open</w:t>
            </w:r>
          </w:p>
        </w:tc>
      </w:tr>
      <w:tr w:rsidR="00180E7C" w14:paraId="6211B742" w14:textId="77777777">
        <w:tc>
          <w:tcPr>
            <w:tcW w:w="0" w:type="auto"/>
          </w:tcPr>
          <w:p w14:paraId="1AD10760" w14:textId="77777777" w:rsidR="00180E7C" w:rsidRDefault="00000000">
            <w:pPr>
              <w:pStyle w:val="Compact"/>
            </w:pPr>
            <w:r>
              <w:t>7</w:t>
            </w:r>
          </w:p>
        </w:tc>
        <w:tc>
          <w:tcPr>
            <w:tcW w:w="0" w:type="auto"/>
          </w:tcPr>
          <w:p w14:paraId="6014AEFC" w14:textId="77777777" w:rsidR="00180E7C" w:rsidRDefault="00000000">
            <w:pPr>
              <w:pStyle w:val="Compact"/>
            </w:pPr>
            <w:r>
              <w:t>JOCs operational; JMC watch floors live</w:t>
            </w:r>
          </w:p>
        </w:tc>
        <w:tc>
          <w:tcPr>
            <w:tcW w:w="0" w:type="auto"/>
          </w:tcPr>
          <w:p w14:paraId="1489F3D5" w14:textId="77777777" w:rsidR="00180E7C" w:rsidRDefault="00000000">
            <w:pPr>
              <w:pStyle w:val="Compact"/>
            </w:pPr>
            <w:r>
              <w:t>JMC activation certificate</w:t>
            </w:r>
          </w:p>
        </w:tc>
        <w:tc>
          <w:tcPr>
            <w:tcW w:w="0" w:type="auto"/>
          </w:tcPr>
          <w:p w14:paraId="0B5BF6A4" w14:textId="77777777" w:rsidR="00180E7C" w:rsidRDefault="00000000">
            <w:pPr>
              <w:pStyle w:val="Compact"/>
            </w:pPr>
            <w:r>
              <w:t>Humanitarian channel full operation</w:t>
            </w:r>
          </w:p>
        </w:tc>
      </w:tr>
      <w:tr w:rsidR="00180E7C" w14:paraId="13806D1B" w14:textId="77777777">
        <w:tc>
          <w:tcPr>
            <w:tcW w:w="0" w:type="auto"/>
          </w:tcPr>
          <w:p w14:paraId="5CB05C55" w14:textId="77777777" w:rsidR="00180E7C" w:rsidRDefault="00000000">
            <w:pPr>
              <w:pStyle w:val="Compact"/>
            </w:pPr>
            <w:r>
              <w:t>10</w:t>
            </w:r>
          </w:p>
        </w:tc>
        <w:tc>
          <w:tcPr>
            <w:tcW w:w="0" w:type="auto"/>
          </w:tcPr>
          <w:p w14:paraId="74D2FE4B" w14:textId="77777777" w:rsidR="00180E7C" w:rsidRDefault="00000000">
            <w:pPr>
              <w:pStyle w:val="Compact"/>
            </w:pPr>
            <w:r>
              <w:t>Pool A first release (12 billion) settles</w:t>
            </w:r>
          </w:p>
        </w:tc>
        <w:tc>
          <w:tcPr>
            <w:tcW w:w="0" w:type="auto"/>
          </w:tcPr>
          <w:p w14:paraId="5D728625" w14:textId="77777777" w:rsidR="00180E7C" w:rsidRDefault="00000000">
            <w:pPr>
              <w:pStyle w:val="Compact"/>
            </w:pPr>
            <w:r>
              <w:t>Escrow confirmation in SDR</w:t>
            </w:r>
          </w:p>
        </w:tc>
        <w:tc>
          <w:tcPr>
            <w:tcW w:w="0" w:type="auto"/>
          </w:tcPr>
          <w:p w14:paraId="0D911FDF" w14:textId="77777777" w:rsidR="00180E7C" w:rsidRDefault="00000000">
            <w:pPr>
              <w:pStyle w:val="Compact"/>
            </w:pPr>
            <w:r>
              <w:t>Stabilization operations begin</w:t>
            </w:r>
          </w:p>
        </w:tc>
      </w:tr>
      <w:tr w:rsidR="00180E7C" w14:paraId="08AE843B" w14:textId="77777777">
        <w:tc>
          <w:tcPr>
            <w:tcW w:w="0" w:type="auto"/>
          </w:tcPr>
          <w:p w14:paraId="40E65609" w14:textId="77777777" w:rsidR="00180E7C" w:rsidRDefault="00000000">
            <w:pPr>
              <w:pStyle w:val="Compact"/>
            </w:pPr>
            <w:r>
              <w:t>14</w:t>
            </w:r>
          </w:p>
        </w:tc>
        <w:tc>
          <w:tcPr>
            <w:tcW w:w="0" w:type="auto"/>
          </w:tcPr>
          <w:p w14:paraId="5F7F7E12" w14:textId="77777777" w:rsidR="00180E7C" w:rsidRDefault="00000000">
            <w:pPr>
              <w:pStyle w:val="Compact"/>
            </w:pPr>
            <w:r>
              <w:t>Baseline declarations (forces, nuclear, sanctions, assets, proxy)</w:t>
            </w:r>
          </w:p>
        </w:tc>
        <w:tc>
          <w:tcPr>
            <w:tcW w:w="0" w:type="auto"/>
          </w:tcPr>
          <w:p w14:paraId="39145A79" w14:textId="77777777" w:rsidR="00180E7C" w:rsidRDefault="00000000">
            <w:pPr>
              <w:pStyle w:val="Compact"/>
            </w:pPr>
            <w:r>
              <w:t>JMC receipt</w:t>
            </w:r>
          </w:p>
        </w:tc>
        <w:tc>
          <w:tcPr>
            <w:tcW w:w="0" w:type="auto"/>
          </w:tcPr>
          <w:p w14:paraId="5CDF96F1" w14:textId="77777777" w:rsidR="00180E7C" w:rsidRDefault="00000000">
            <w:pPr>
              <w:pStyle w:val="Compact"/>
            </w:pPr>
            <w:r>
              <w:t>Verification campaign launches</w:t>
            </w:r>
          </w:p>
        </w:tc>
      </w:tr>
      <w:tr w:rsidR="00180E7C" w14:paraId="3223D20F" w14:textId="77777777">
        <w:tc>
          <w:tcPr>
            <w:tcW w:w="0" w:type="auto"/>
          </w:tcPr>
          <w:p w14:paraId="2A137565" w14:textId="77777777" w:rsidR="00180E7C" w:rsidRDefault="00000000">
            <w:pPr>
              <w:pStyle w:val="Compact"/>
            </w:pPr>
            <w:r>
              <w:t>14</w:t>
            </w:r>
          </w:p>
        </w:tc>
        <w:tc>
          <w:tcPr>
            <w:tcW w:w="0" w:type="auto"/>
          </w:tcPr>
          <w:p w14:paraId="478B72BE" w14:textId="77777777" w:rsidR="00180E7C" w:rsidRDefault="00000000">
            <w:pPr>
              <w:pStyle w:val="Compact"/>
            </w:pPr>
            <w:r>
              <w:t>United States mine intelligence delivered</w:t>
            </w:r>
          </w:p>
        </w:tc>
        <w:tc>
          <w:tcPr>
            <w:tcW w:w="0" w:type="auto"/>
          </w:tcPr>
          <w:p w14:paraId="4BBDAEB3" w14:textId="77777777" w:rsidR="00180E7C" w:rsidRDefault="00000000">
            <w:pPr>
              <w:pStyle w:val="Compact"/>
            </w:pPr>
            <w:r>
              <w:t>MOC receipt</w:t>
            </w:r>
          </w:p>
        </w:tc>
        <w:tc>
          <w:tcPr>
            <w:tcW w:w="0" w:type="auto"/>
          </w:tcPr>
          <w:p w14:paraId="46E3F466" w14:textId="77777777" w:rsidR="00180E7C" w:rsidRDefault="00000000">
            <w:pPr>
              <w:pStyle w:val="Compact"/>
            </w:pPr>
            <w:r>
              <w:t>Mine survey Phase 1 starts</w:t>
            </w:r>
          </w:p>
        </w:tc>
      </w:tr>
      <w:tr w:rsidR="00180E7C" w14:paraId="06B63412" w14:textId="77777777">
        <w:tc>
          <w:tcPr>
            <w:tcW w:w="0" w:type="auto"/>
          </w:tcPr>
          <w:p w14:paraId="233E5D99" w14:textId="77777777" w:rsidR="00180E7C" w:rsidRDefault="00000000">
            <w:pPr>
              <w:pStyle w:val="Compact"/>
            </w:pPr>
            <w:r>
              <w:t>30</w:t>
            </w:r>
          </w:p>
        </w:tc>
        <w:tc>
          <w:tcPr>
            <w:tcW w:w="0" w:type="auto"/>
          </w:tcPr>
          <w:p w14:paraId="2A996963" w14:textId="77777777" w:rsidR="00180E7C" w:rsidRDefault="00000000">
            <w:pPr>
              <w:pStyle w:val="Compact"/>
            </w:pPr>
            <w:r>
              <w:t>Detainee release complete (Schedule M-1)</w:t>
            </w:r>
          </w:p>
        </w:tc>
        <w:tc>
          <w:tcPr>
            <w:tcW w:w="0" w:type="auto"/>
          </w:tcPr>
          <w:p w14:paraId="5A6CB449" w14:textId="77777777" w:rsidR="00180E7C" w:rsidRDefault="00000000">
            <w:pPr>
              <w:pStyle w:val="Compact"/>
            </w:pPr>
            <w:r>
              <w:t>ICRC verification</w:t>
            </w:r>
          </w:p>
        </w:tc>
        <w:tc>
          <w:tcPr>
            <w:tcW w:w="0" w:type="auto"/>
          </w:tcPr>
          <w:p w14:paraId="174D2CA3" w14:textId="77777777" w:rsidR="00180E7C" w:rsidRDefault="00000000">
            <w:pPr>
              <w:pStyle w:val="Compact"/>
            </w:pPr>
            <w:r>
              <w:t>Phase I closeout review</w:t>
            </w:r>
          </w:p>
        </w:tc>
      </w:tr>
    </w:tbl>
    <w:p w14:paraId="16F85BA0" w14:textId="77777777" w:rsidR="00180E7C" w:rsidRDefault="00000000">
      <w:pPr>
        <w:pStyle w:val="Heading2"/>
      </w:pPr>
      <w:bookmarkStart w:id="768" w:name="p.3-phase-ii-days-31-180-activation"/>
      <w:bookmarkEnd w:id="767"/>
      <w:r>
        <w:t>P.3 Phase II: Days 31-180 (Activation)</w:t>
      </w:r>
    </w:p>
    <w:tbl>
      <w:tblPr>
        <w:tblStyle w:val="Table"/>
        <w:tblW w:w="5000" w:type="pct"/>
        <w:tblLook w:val="0020" w:firstRow="1" w:lastRow="0" w:firstColumn="0" w:lastColumn="0" w:noHBand="0" w:noVBand="0"/>
      </w:tblPr>
      <w:tblGrid>
        <w:gridCol w:w="1085"/>
        <w:gridCol w:w="3476"/>
        <w:gridCol w:w="1917"/>
        <w:gridCol w:w="3098"/>
      </w:tblGrid>
      <w:tr w:rsidR="00180E7C" w14:paraId="402AD5D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0DFCEBC" w14:textId="77777777" w:rsidR="00180E7C" w:rsidRDefault="00000000">
            <w:pPr>
              <w:pStyle w:val="Compact"/>
            </w:pPr>
            <w:r>
              <w:t>Window</w:t>
            </w:r>
          </w:p>
        </w:tc>
        <w:tc>
          <w:tcPr>
            <w:tcW w:w="0" w:type="auto"/>
          </w:tcPr>
          <w:p w14:paraId="350AD252" w14:textId="77777777" w:rsidR="00180E7C" w:rsidRDefault="00000000">
            <w:pPr>
              <w:pStyle w:val="Compact"/>
            </w:pPr>
            <w:r>
              <w:t>Event</w:t>
            </w:r>
          </w:p>
        </w:tc>
        <w:tc>
          <w:tcPr>
            <w:tcW w:w="0" w:type="auto"/>
          </w:tcPr>
          <w:p w14:paraId="7B336D53" w14:textId="77777777" w:rsidR="00180E7C" w:rsidRDefault="00000000">
            <w:pPr>
              <w:pStyle w:val="Compact"/>
            </w:pPr>
            <w:r>
              <w:t>Verification</w:t>
            </w:r>
          </w:p>
        </w:tc>
        <w:tc>
          <w:tcPr>
            <w:tcW w:w="0" w:type="auto"/>
          </w:tcPr>
          <w:p w14:paraId="7EF60BAD" w14:textId="77777777" w:rsidR="00180E7C" w:rsidRDefault="00000000">
            <w:pPr>
              <w:pStyle w:val="Compact"/>
            </w:pPr>
            <w:r>
              <w:t>Reciprocal Benefit</w:t>
            </w:r>
          </w:p>
        </w:tc>
      </w:tr>
      <w:tr w:rsidR="00180E7C" w14:paraId="58AB841A" w14:textId="77777777">
        <w:tc>
          <w:tcPr>
            <w:tcW w:w="0" w:type="auto"/>
          </w:tcPr>
          <w:p w14:paraId="465BA6C0" w14:textId="77777777" w:rsidR="00180E7C" w:rsidRDefault="00000000">
            <w:pPr>
              <w:pStyle w:val="Compact"/>
            </w:pPr>
            <w:r>
              <w:t>31-60</w:t>
            </w:r>
          </w:p>
        </w:tc>
        <w:tc>
          <w:tcPr>
            <w:tcW w:w="0" w:type="auto"/>
          </w:tcPr>
          <w:p w14:paraId="4518EC51" w14:textId="77777777" w:rsidR="00180E7C" w:rsidRDefault="00000000">
            <w:pPr>
              <w:pStyle w:val="Compact"/>
            </w:pPr>
            <w:r>
              <w:t>Mine clearance Phases 2-3; final corridor activation</w:t>
            </w:r>
          </w:p>
        </w:tc>
        <w:tc>
          <w:tcPr>
            <w:tcW w:w="0" w:type="auto"/>
          </w:tcPr>
          <w:p w14:paraId="682EADB9" w14:textId="77777777" w:rsidR="00180E7C" w:rsidRDefault="00000000">
            <w:pPr>
              <w:pStyle w:val="Compact"/>
            </w:pPr>
            <w:r>
              <w:t>MCM certificates</w:t>
            </w:r>
          </w:p>
        </w:tc>
        <w:tc>
          <w:tcPr>
            <w:tcW w:w="0" w:type="auto"/>
          </w:tcPr>
          <w:p w14:paraId="61CB8B4A" w14:textId="77777777" w:rsidR="00180E7C" w:rsidRDefault="00000000">
            <w:pPr>
              <w:pStyle w:val="Compact"/>
            </w:pPr>
            <w:r>
              <w:t>Corridor system full operation</w:t>
            </w:r>
          </w:p>
        </w:tc>
      </w:tr>
      <w:tr w:rsidR="00180E7C" w14:paraId="2F8355D4" w14:textId="77777777">
        <w:tc>
          <w:tcPr>
            <w:tcW w:w="0" w:type="auto"/>
          </w:tcPr>
          <w:p w14:paraId="46F7BAB4" w14:textId="77777777" w:rsidR="00180E7C" w:rsidRDefault="00000000">
            <w:pPr>
              <w:pStyle w:val="Compact"/>
            </w:pPr>
            <w:r>
              <w:t>60</w:t>
            </w:r>
          </w:p>
        </w:tc>
        <w:tc>
          <w:tcPr>
            <w:tcW w:w="0" w:type="auto"/>
          </w:tcPr>
          <w:p w14:paraId="28C25C64" w14:textId="77777777" w:rsidR="00180E7C" w:rsidRDefault="00000000">
            <w:pPr>
              <w:pStyle w:val="Compact"/>
            </w:pPr>
            <w:r>
              <w:t>Missile Dialogue convenes; proxy declarations cycle begins</w:t>
            </w:r>
          </w:p>
        </w:tc>
        <w:tc>
          <w:tcPr>
            <w:tcW w:w="0" w:type="auto"/>
          </w:tcPr>
          <w:p w14:paraId="435F295E" w14:textId="77777777" w:rsidR="00180E7C" w:rsidRDefault="00000000">
            <w:pPr>
              <w:pStyle w:val="Compact"/>
            </w:pPr>
            <w:r>
              <w:t>JMC registration</w:t>
            </w:r>
          </w:p>
        </w:tc>
        <w:tc>
          <w:tcPr>
            <w:tcW w:w="0" w:type="auto"/>
          </w:tcPr>
          <w:p w14:paraId="34C2C81A" w14:textId="77777777" w:rsidR="00180E7C" w:rsidRDefault="00000000">
            <w:pPr>
              <w:pStyle w:val="Compact"/>
            </w:pPr>
            <w:r>
              <w:t>RSCSC first session</w:t>
            </w:r>
          </w:p>
        </w:tc>
      </w:tr>
      <w:tr w:rsidR="00180E7C" w14:paraId="31674A89" w14:textId="77777777">
        <w:tc>
          <w:tcPr>
            <w:tcW w:w="0" w:type="auto"/>
          </w:tcPr>
          <w:p w14:paraId="5C806B53" w14:textId="77777777" w:rsidR="00180E7C" w:rsidRDefault="00000000">
            <w:pPr>
              <w:pStyle w:val="Compact"/>
            </w:pPr>
            <w:r>
              <w:t>90</w:t>
            </w:r>
          </w:p>
        </w:tc>
        <w:tc>
          <w:tcPr>
            <w:tcW w:w="0" w:type="auto"/>
          </w:tcPr>
          <w:p w14:paraId="45A229AA" w14:textId="77777777" w:rsidR="00180E7C" w:rsidRDefault="00000000">
            <w:pPr>
              <w:pStyle w:val="Compact"/>
            </w:pPr>
            <w:r>
              <w:t>Down-Blending Facility commissioned</w:t>
            </w:r>
          </w:p>
        </w:tc>
        <w:tc>
          <w:tcPr>
            <w:tcW w:w="0" w:type="auto"/>
          </w:tcPr>
          <w:p w14:paraId="792548C7" w14:textId="77777777" w:rsidR="00180E7C" w:rsidRDefault="00000000">
            <w:pPr>
              <w:pStyle w:val="Compact"/>
            </w:pPr>
            <w:r>
              <w:t>IAEA certificate</w:t>
            </w:r>
          </w:p>
        </w:tc>
        <w:tc>
          <w:tcPr>
            <w:tcW w:w="0" w:type="auto"/>
          </w:tcPr>
          <w:p w14:paraId="2665FB52" w14:textId="77777777" w:rsidR="00180E7C" w:rsidRDefault="00000000">
            <w:pPr>
              <w:pStyle w:val="Compact"/>
            </w:pPr>
            <w:r>
              <w:t>Banking restoration package activates</w:t>
            </w:r>
          </w:p>
        </w:tc>
      </w:tr>
      <w:tr w:rsidR="00180E7C" w14:paraId="79FB7628" w14:textId="77777777">
        <w:tc>
          <w:tcPr>
            <w:tcW w:w="0" w:type="auto"/>
          </w:tcPr>
          <w:p w14:paraId="62A34A20" w14:textId="77777777" w:rsidR="00180E7C" w:rsidRDefault="00000000">
            <w:pPr>
              <w:pStyle w:val="Compact"/>
            </w:pPr>
            <w:r>
              <w:t>91-174</w:t>
            </w:r>
          </w:p>
        </w:tc>
        <w:tc>
          <w:tcPr>
            <w:tcW w:w="0" w:type="auto"/>
          </w:tcPr>
          <w:p w14:paraId="2D5F9E18" w14:textId="77777777" w:rsidR="00180E7C" w:rsidRDefault="00000000">
            <w:pPr>
              <w:pStyle w:val="Compact"/>
            </w:pPr>
            <w:r>
              <w:t>Batches 1-4 complete</w:t>
            </w:r>
          </w:p>
        </w:tc>
        <w:tc>
          <w:tcPr>
            <w:tcW w:w="0" w:type="auto"/>
          </w:tcPr>
          <w:p w14:paraId="4840CAD9" w14:textId="77777777" w:rsidR="00180E7C" w:rsidRDefault="00000000">
            <w:pPr>
              <w:pStyle w:val="Compact"/>
            </w:pPr>
            <w:r>
              <w:t>Batch certificates</w:t>
            </w:r>
          </w:p>
        </w:tc>
        <w:tc>
          <w:tcPr>
            <w:tcW w:w="0" w:type="auto"/>
          </w:tcPr>
          <w:p w14:paraId="78B2AF49" w14:textId="77777777" w:rsidR="00180E7C" w:rsidRDefault="00000000">
            <w:pPr>
              <w:pStyle w:val="Compact"/>
            </w:pPr>
            <w:r>
              <w:t>Phase II terminations (CBI, banks, SWIFT, energy)</w:t>
            </w:r>
          </w:p>
        </w:tc>
      </w:tr>
      <w:tr w:rsidR="00180E7C" w14:paraId="60EF7439" w14:textId="77777777">
        <w:tc>
          <w:tcPr>
            <w:tcW w:w="0" w:type="auto"/>
          </w:tcPr>
          <w:p w14:paraId="3EF0D970" w14:textId="77777777" w:rsidR="00180E7C" w:rsidRDefault="00000000">
            <w:pPr>
              <w:pStyle w:val="Compact"/>
            </w:pPr>
            <w:r>
              <w:t>120</w:t>
            </w:r>
          </w:p>
        </w:tc>
        <w:tc>
          <w:tcPr>
            <w:tcW w:w="0" w:type="auto"/>
          </w:tcPr>
          <w:p w14:paraId="38D26FBC" w14:textId="77777777" w:rsidR="00180E7C" w:rsidRDefault="00000000">
            <w:pPr>
              <w:pStyle w:val="Compact"/>
            </w:pPr>
            <w:r>
              <w:t>Ratification completion target</w:t>
            </w:r>
          </w:p>
        </w:tc>
        <w:tc>
          <w:tcPr>
            <w:tcW w:w="0" w:type="auto"/>
          </w:tcPr>
          <w:p w14:paraId="7C155529" w14:textId="77777777" w:rsidR="00180E7C" w:rsidRDefault="00000000">
            <w:pPr>
              <w:pStyle w:val="Compact"/>
            </w:pPr>
            <w:r>
              <w:t>Depositary registration</w:t>
            </w:r>
          </w:p>
        </w:tc>
        <w:tc>
          <w:tcPr>
            <w:tcW w:w="0" w:type="auto"/>
          </w:tcPr>
          <w:p w14:paraId="59710C3D" w14:textId="77777777" w:rsidR="00180E7C" w:rsidRDefault="00000000">
            <w:pPr>
              <w:pStyle w:val="Compact"/>
            </w:pPr>
            <w:r>
              <w:t>Implementing legislation operative</w:t>
            </w:r>
          </w:p>
        </w:tc>
      </w:tr>
      <w:tr w:rsidR="00180E7C" w14:paraId="08D9C043" w14:textId="77777777">
        <w:tc>
          <w:tcPr>
            <w:tcW w:w="0" w:type="auto"/>
          </w:tcPr>
          <w:p w14:paraId="5D4A9668" w14:textId="77777777" w:rsidR="00180E7C" w:rsidRDefault="00000000">
            <w:pPr>
              <w:pStyle w:val="Compact"/>
            </w:pPr>
            <w:r>
              <w:t>150</w:t>
            </w:r>
          </w:p>
        </w:tc>
        <w:tc>
          <w:tcPr>
            <w:tcW w:w="0" w:type="auto"/>
          </w:tcPr>
          <w:p w14:paraId="1178FC9C" w14:textId="77777777" w:rsidR="00180E7C" w:rsidRDefault="00000000">
            <w:pPr>
              <w:pStyle w:val="Compact"/>
            </w:pPr>
            <w:r>
              <w:t>Force posture Tranche 1 complete</w:t>
            </w:r>
          </w:p>
        </w:tc>
        <w:tc>
          <w:tcPr>
            <w:tcW w:w="0" w:type="auto"/>
          </w:tcPr>
          <w:p w14:paraId="697FA491" w14:textId="77777777" w:rsidR="00180E7C" w:rsidRDefault="00000000">
            <w:pPr>
              <w:pStyle w:val="Compact"/>
            </w:pPr>
            <w:r>
              <w:t>JMC tranche certificate</w:t>
            </w:r>
          </w:p>
        </w:tc>
        <w:tc>
          <w:tcPr>
            <w:tcW w:w="0" w:type="auto"/>
          </w:tcPr>
          <w:p w14:paraId="60D93BD8" w14:textId="77777777" w:rsidR="00180E7C" w:rsidRDefault="00000000">
            <w:pPr>
              <w:pStyle w:val="Compact"/>
            </w:pPr>
            <w:r>
              <w:t>Investment sectors open</w:t>
            </w:r>
          </w:p>
        </w:tc>
      </w:tr>
      <w:tr w:rsidR="00180E7C" w14:paraId="5970E4FC" w14:textId="77777777">
        <w:tc>
          <w:tcPr>
            <w:tcW w:w="0" w:type="auto"/>
          </w:tcPr>
          <w:p w14:paraId="24B1884F" w14:textId="77777777" w:rsidR="00180E7C" w:rsidRDefault="00000000">
            <w:pPr>
              <w:pStyle w:val="Compact"/>
            </w:pPr>
            <w:r>
              <w:t>180</w:t>
            </w:r>
          </w:p>
        </w:tc>
        <w:tc>
          <w:tcPr>
            <w:tcW w:w="0" w:type="auto"/>
          </w:tcPr>
          <w:p w14:paraId="49C6FA7E" w14:textId="77777777" w:rsidR="00180E7C" w:rsidRDefault="00000000">
            <w:pPr>
              <w:pStyle w:val="Compact"/>
            </w:pPr>
            <w:r>
              <w:t xml:space="preserve">Stage One IRGC review </w:t>
            </w:r>
            <w:r>
              <w:lastRenderedPageBreak/>
              <w:t>initiates; LAF build-up milestone</w:t>
            </w:r>
          </w:p>
        </w:tc>
        <w:tc>
          <w:tcPr>
            <w:tcW w:w="0" w:type="auto"/>
          </w:tcPr>
          <w:p w14:paraId="71848BA9" w14:textId="77777777" w:rsidR="00180E7C" w:rsidRDefault="00000000">
            <w:pPr>
              <w:pStyle w:val="Compact"/>
            </w:pPr>
            <w:r>
              <w:lastRenderedPageBreak/>
              <w:t xml:space="preserve">JMC/UNIFIL </w:t>
            </w:r>
            <w:r>
              <w:lastRenderedPageBreak/>
              <w:t>records</w:t>
            </w:r>
          </w:p>
        </w:tc>
        <w:tc>
          <w:tcPr>
            <w:tcW w:w="0" w:type="auto"/>
          </w:tcPr>
          <w:p w14:paraId="04EED513" w14:textId="77777777" w:rsidR="00180E7C" w:rsidRDefault="00000000">
            <w:pPr>
              <w:pStyle w:val="Compact"/>
            </w:pPr>
            <w:r>
              <w:lastRenderedPageBreak/>
              <w:t>Phase II closeout</w:t>
            </w:r>
          </w:p>
        </w:tc>
      </w:tr>
    </w:tbl>
    <w:p w14:paraId="5B0D8265" w14:textId="77777777" w:rsidR="00180E7C" w:rsidRDefault="00000000">
      <w:pPr>
        <w:pStyle w:val="Heading2"/>
      </w:pPr>
      <w:bookmarkStart w:id="769" w:name="p.4-phase-iii-days-181-540-normalization"/>
      <w:bookmarkEnd w:id="768"/>
      <w:r>
        <w:t>P.4 Phase III: Days 181-540 (Normalization)</w:t>
      </w:r>
    </w:p>
    <w:tbl>
      <w:tblPr>
        <w:tblStyle w:val="Table"/>
        <w:tblW w:w="5000" w:type="pct"/>
        <w:tblLook w:val="0020" w:firstRow="1" w:lastRow="0" w:firstColumn="0" w:lastColumn="0" w:noHBand="0" w:noVBand="0"/>
      </w:tblPr>
      <w:tblGrid>
        <w:gridCol w:w="1088"/>
        <w:gridCol w:w="3785"/>
        <w:gridCol w:w="2041"/>
        <w:gridCol w:w="2662"/>
      </w:tblGrid>
      <w:tr w:rsidR="00180E7C" w14:paraId="6F09F56B"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0503748" w14:textId="77777777" w:rsidR="00180E7C" w:rsidRDefault="00000000">
            <w:pPr>
              <w:pStyle w:val="Compact"/>
            </w:pPr>
            <w:r>
              <w:t>Window</w:t>
            </w:r>
          </w:p>
        </w:tc>
        <w:tc>
          <w:tcPr>
            <w:tcW w:w="0" w:type="auto"/>
          </w:tcPr>
          <w:p w14:paraId="10658FCA" w14:textId="77777777" w:rsidR="00180E7C" w:rsidRDefault="00000000">
            <w:pPr>
              <w:pStyle w:val="Compact"/>
            </w:pPr>
            <w:r>
              <w:t>Event</w:t>
            </w:r>
          </w:p>
        </w:tc>
        <w:tc>
          <w:tcPr>
            <w:tcW w:w="0" w:type="auto"/>
          </w:tcPr>
          <w:p w14:paraId="2349E890" w14:textId="77777777" w:rsidR="00180E7C" w:rsidRDefault="00000000">
            <w:pPr>
              <w:pStyle w:val="Compact"/>
            </w:pPr>
            <w:r>
              <w:t>Verification</w:t>
            </w:r>
          </w:p>
        </w:tc>
        <w:tc>
          <w:tcPr>
            <w:tcW w:w="0" w:type="auto"/>
          </w:tcPr>
          <w:p w14:paraId="656BAE48" w14:textId="77777777" w:rsidR="00180E7C" w:rsidRDefault="00000000">
            <w:pPr>
              <w:pStyle w:val="Compact"/>
            </w:pPr>
            <w:r>
              <w:t>Reciprocal Benefit</w:t>
            </w:r>
          </w:p>
        </w:tc>
      </w:tr>
      <w:tr w:rsidR="00180E7C" w14:paraId="405E1BBA" w14:textId="77777777">
        <w:tc>
          <w:tcPr>
            <w:tcW w:w="0" w:type="auto"/>
          </w:tcPr>
          <w:p w14:paraId="6C18EDF9" w14:textId="77777777" w:rsidR="00180E7C" w:rsidRDefault="00000000">
            <w:pPr>
              <w:pStyle w:val="Compact"/>
            </w:pPr>
            <w:r>
              <w:t>175-258</w:t>
            </w:r>
          </w:p>
        </w:tc>
        <w:tc>
          <w:tcPr>
            <w:tcW w:w="0" w:type="auto"/>
          </w:tcPr>
          <w:p w14:paraId="136E5D13" w14:textId="77777777" w:rsidR="00180E7C" w:rsidRDefault="00000000">
            <w:pPr>
              <w:pStyle w:val="Compact"/>
            </w:pPr>
            <w:r>
              <w:t>Batches 5-8 complete (60% campaign done)</w:t>
            </w:r>
          </w:p>
        </w:tc>
        <w:tc>
          <w:tcPr>
            <w:tcW w:w="0" w:type="auto"/>
          </w:tcPr>
          <w:p w14:paraId="0BF55FDF" w14:textId="77777777" w:rsidR="00180E7C" w:rsidRDefault="00000000">
            <w:pPr>
              <w:pStyle w:val="Compact"/>
            </w:pPr>
            <w:r>
              <w:t>Batch certificates</w:t>
            </w:r>
          </w:p>
        </w:tc>
        <w:tc>
          <w:tcPr>
            <w:tcW w:w="0" w:type="auto"/>
          </w:tcPr>
          <w:p w14:paraId="5F6BA9CE" w14:textId="77777777" w:rsidR="00180E7C" w:rsidRDefault="00000000">
            <w:pPr>
              <w:pStyle w:val="Compact"/>
            </w:pPr>
            <w:r>
              <w:t>Phase III terminations (primary, secondary)</w:t>
            </w:r>
          </w:p>
        </w:tc>
      </w:tr>
      <w:tr w:rsidR="00180E7C" w14:paraId="3EC2187D" w14:textId="77777777">
        <w:tc>
          <w:tcPr>
            <w:tcW w:w="0" w:type="auto"/>
          </w:tcPr>
          <w:p w14:paraId="755A8AE1" w14:textId="77777777" w:rsidR="00180E7C" w:rsidRDefault="00000000">
            <w:pPr>
              <w:pStyle w:val="Compact"/>
            </w:pPr>
            <w:r>
              <w:t>240</w:t>
            </w:r>
          </w:p>
        </w:tc>
        <w:tc>
          <w:tcPr>
            <w:tcW w:w="0" w:type="auto"/>
          </w:tcPr>
          <w:p w14:paraId="2D8ED18D" w14:textId="77777777" w:rsidR="00180E7C" w:rsidRDefault="00000000">
            <w:pPr>
              <w:pStyle w:val="Compact"/>
            </w:pPr>
            <w:r>
              <w:t>Damaged-site accounting closure</w:t>
            </w:r>
          </w:p>
        </w:tc>
        <w:tc>
          <w:tcPr>
            <w:tcW w:w="0" w:type="auto"/>
          </w:tcPr>
          <w:p w14:paraId="5B09D2C8" w14:textId="77777777" w:rsidR="00180E7C" w:rsidRDefault="00000000">
            <w:pPr>
              <w:pStyle w:val="Compact"/>
            </w:pPr>
            <w:r>
              <w:t>IAEA closure report</w:t>
            </w:r>
          </w:p>
        </w:tc>
        <w:tc>
          <w:tcPr>
            <w:tcW w:w="0" w:type="auto"/>
          </w:tcPr>
          <w:p w14:paraId="22E82437" w14:textId="77777777" w:rsidR="00180E7C" w:rsidRDefault="00000000">
            <w:pPr>
              <w:pStyle w:val="Compact"/>
            </w:pPr>
            <w:r>
              <w:t>Full inventory peace</w:t>
            </w:r>
          </w:p>
        </w:tc>
      </w:tr>
      <w:tr w:rsidR="00180E7C" w14:paraId="32F9508F" w14:textId="77777777">
        <w:tc>
          <w:tcPr>
            <w:tcW w:w="0" w:type="auto"/>
          </w:tcPr>
          <w:p w14:paraId="37324A54" w14:textId="77777777" w:rsidR="00180E7C" w:rsidRDefault="00000000">
            <w:pPr>
              <w:pStyle w:val="Compact"/>
            </w:pPr>
            <w:r>
              <w:t>270</w:t>
            </w:r>
          </w:p>
        </w:tc>
        <w:tc>
          <w:tcPr>
            <w:tcW w:w="0" w:type="auto"/>
          </w:tcPr>
          <w:p w14:paraId="1F5A46F8" w14:textId="77777777" w:rsidR="00180E7C" w:rsidRDefault="00000000">
            <w:pPr>
              <w:pStyle w:val="Compact"/>
            </w:pPr>
            <w:r>
              <w:t>Posture Tranche 2; IRGC FTO revocation completes</w:t>
            </w:r>
          </w:p>
        </w:tc>
        <w:tc>
          <w:tcPr>
            <w:tcW w:w="0" w:type="auto"/>
          </w:tcPr>
          <w:p w14:paraId="65615263" w14:textId="77777777" w:rsidR="00180E7C" w:rsidRDefault="00000000">
            <w:pPr>
              <w:pStyle w:val="Compact"/>
            </w:pPr>
            <w:r>
              <w:t>JMC certificate</w:t>
            </w:r>
          </w:p>
        </w:tc>
        <w:tc>
          <w:tcPr>
            <w:tcW w:w="0" w:type="auto"/>
          </w:tcPr>
          <w:p w14:paraId="61A285F1" w14:textId="77777777" w:rsidR="00180E7C" w:rsidRDefault="00000000">
            <w:pPr>
              <w:pStyle w:val="Compact"/>
            </w:pPr>
            <w:r>
              <w:t>Designation architecture resolves</w:t>
            </w:r>
          </w:p>
        </w:tc>
      </w:tr>
      <w:tr w:rsidR="00180E7C" w14:paraId="0ACFE663" w14:textId="77777777">
        <w:tc>
          <w:tcPr>
            <w:tcW w:w="0" w:type="auto"/>
          </w:tcPr>
          <w:p w14:paraId="219447E8" w14:textId="77777777" w:rsidR="00180E7C" w:rsidRDefault="00000000">
            <w:pPr>
              <w:pStyle w:val="Compact"/>
            </w:pPr>
            <w:r>
              <w:t>365</w:t>
            </w:r>
          </w:p>
        </w:tc>
        <w:tc>
          <w:tcPr>
            <w:tcW w:w="0" w:type="auto"/>
          </w:tcPr>
          <w:p w14:paraId="50974D79" w14:textId="77777777" w:rsidR="00180E7C" w:rsidRDefault="00000000">
            <w:pPr>
              <w:pStyle w:val="Compact"/>
            </w:pPr>
            <w:r>
              <w:t>PMD closure assessment; first review conference of organs</w:t>
            </w:r>
          </w:p>
        </w:tc>
        <w:tc>
          <w:tcPr>
            <w:tcW w:w="0" w:type="auto"/>
          </w:tcPr>
          <w:p w14:paraId="5783EBA7" w14:textId="77777777" w:rsidR="00180E7C" w:rsidRDefault="00000000">
            <w:pPr>
              <w:pStyle w:val="Compact"/>
            </w:pPr>
            <w:r>
              <w:t>DG report</w:t>
            </w:r>
          </w:p>
        </w:tc>
        <w:tc>
          <w:tcPr>
            <w:tcW w:w="0" w:type="auto"/>
          </w:tcPr>
          <w:p w14:paraId="7AF4578E" w14:textId="77777777" w:rsidR="00180E7C" w:rsidRDefault="00000000">
            <w:pPr>
              <w:pStyle w:val="Compact"/>
            </w:pPr>
            <w:r>
              <w:t>Board closure of censure resolutions</w:t>
            </w:r>
          </w:p>
        </w:tc>
      </w:tr>
      <w:tr w:rsidR="00180E7C" w14:paraId="1376A4E5" w14:textId="77777777">
        <w:tc>
          <w:tcPr>
            <w:tcW w:w="0" w:type="auto"/>
          </w:tcPr>
          <w:p w14:paraId="64C62AEC" w14:textId="77777777" w:rsidR="00180E7C" w:rsidRDefault="00000000">
            <w:pPr>
              <w:pStyle w:val="Compact"/>
            </w:pPr>
            <w:r>
              <w:t>400</w:t>
            </w:r>
          </w:p>
        </w:tc>
        <w:tc>
          <w:tcPr>
            <w:tcW w:w="0" w:type="auto"/>
          </w:tcPr>
          <w:p w14:paraId="21697A1A" w14:textId="77777777" w:rsidR="00180E7C" w:rsidRDefault="00000000">
            <w:pPr>
              <w:pStyle w:val="Compact"/>
            </w:pPr>
            <w:r>
              <w:t>Lebanon cantonment arrangements milestone; Syria Phase 2</w:t>
            </w:r>
          </w:p>
        </w:tc>
        <w:tc>
          <w:tcPr>
            <w:tcW w:w="0" w:type="auto"/>
          </w:tcPr>
          <w:p w14:paraId="667DED2B" w14:textId="77777777" w:rsidR="00180E7C" w:rsidRDefault="00000000">
            <w:pPr>
              <w:pStyle w:val="Compact"/>
            </w:pPr>
            <w:r>
              <w:t>Tripartite/LAF records</w:t>
            </w:r>
          </w:p>
        </w:tc>
        <w:tc>
          <w:tcPr>
            <w:tcW w:w="0" w:type="auto"/>
          </w:tcPr>
          <w:p w14:paraId="08006D88" w14:textId="77777777" w:rsidR="00180E7C" w:rsidRDefault="00000000">
            <w:pPr>
              <w:pStyle w:val="Compact"/>
            </w:pPr>
            <w:r>
              <w:t>Caesar interface relief step</w:t>
            </w:r>
          </w:p>
        </w:tc>
      </w:tr>
      <w:tr w:rsidR="00180E7C" w14:paraId="2B998A76" w14:textId="77777777">
        <w:tc>
          <w:tcPr>
            <w:tcW w:w="0" w:type="auto"/>
          </w:tcPr>
          <w:p w14:paraId="49A0984B" w14:textId="77777777" w:rsidR="00180E7C" w:rsidRDefault="00000000">
            <w:pPr>
              <w:pStyle w:val="Compact"/>
            </w:pPr>
            <w:r>
              <w:t>540</w:t>
            </w:r>
          </w:p>
        </w:tc>
        <w:tc>
          <w:tcPr>
            <w:tcW w:w="0" w:type="auto"/>
          </w:tcPr>
          <w:p w14:paraId="30FF4A71" w14:textId="77777777" w:rsidR="00180E7C" w:rsidRDefault="00000000">
            <w:pPr>
              <w:pStyle w:val="Compact"/>
            </w:pPr>
            <w:r>
              <w:t>Intermediate assay campaign complete; Permitted Inventory steady state</w:t>
            </w:r>
          </w:p>
        </w:tc>
        <w:tc>
          <w:tcPr>
            <w:tcW w:w="0" w:type="auto"/>
          </w:tcPr>
          <w:p w14:paraId="4CD798AF" w14:textId="77777777" w:rsidR="00180E7C" w:rsidRDefault="00000000">
            <w:pPr>
              <w:pStyle w:val="Compact"/>
            </w:pPr>
            <w:r>
              <w:t>IAEA certificate</w:t>
            </w:r>
          </w:p>
        </w:tc>
        <w:tc>
          <w:tcPr>
            <w:tcW w:w="0" w:type="auto"/>
          </w:tcPr>
          <w:p w14:paraId="06093DEE" w14:textId="77777777" w:rsidR="00180E7C" w:rsidRDefault="00000000">
            <w:pPr>
              <w:pStyle w:val="Compact"/>
            </w:pPr>
            <w:r>
              <w:t>Phase III closeout; Phase IV opens</w:t>
            </w:r>
          </w:p>
        </w:tc>
      </w:tr>
    </w:tbl>
    <w:p w14:paraId="3C6190C8" w14:textId="77777777" w:rsidR="00180E7C" w:rsidRDefault="00000000">
      <w:pPr>
        <w:pStyle w:val="Heading2"/>
      </w:pPr>
      <w:bookmarkStart w:id="770" w:name="Xfef88dab874c6b960de69d17b3080eb7d5e9932"/>
      <w:bookmarkEnd w:id="769"/>
      <w:r>
        <w:t>P.5 Phase IV-VII: Days 541-1825 (Consolidation)</w:t>
      </w:r>
    </w:p>
    <w:tbl>
      <w:tblPr>
        <w:tblStyle w:val="Table"/>
        <w:tblW w:w="5000" w:type="pct"/>
        <w:tblLook w:val="0020" w:firstRow="1" w:lastRow="0" w:firstColumn="0" w:lastColumn="0" w:noHBand="0" w:noVBand="0"/>
      </w:tblPr>
      <w:tblGrid>
        <w:gridCol w:w="1167"/>
        <w:gridCol w:w="3763"/>
        <w:gridCol w:w="1811"/>
        <w:gridCol w:w="2835"/>
      </w:tblGrid>
      <w:tr w:rsidR="00180E7C" w14:paraId="1EF37CF2"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5FC202D" w14:textId="77777777" w:rsidR="00180E7C" w:rsidRDefault="00000000">
            <w:pPr>
              <w:pStyle w:val="Compact"/>
            </w:pPr>
            <w:r>
              <w:t>Window</w:t>
            </w:r>
          </w:p>
        </w:tc>
        <w:tc>
          <w:tcPr>
            <w:tcW w:w="0" w:type="auto"/>
          </w:tcPr>
          <w:p w14:paraId="346B17D2" w14:textId="77777777" w:rsidR="00180E7C" w:rsidRDefault="00000000">
            <w:pPr>
              <w:pStyle w:val="Compact"/>
            </w:pPr>
            <w:r>
              <w:t>Event</w:t>
            </w:r>
          </w:p>
        </w:tc>
        <w:tc>
          <w:tcPr>
            <w:tcW w:w="0" w:type="auto"/>
          </w:tcPr>
          <w:p w14:paraId="0B7D92FB" w14:textId="77777777" w:rsidR="00180E7C" w:rsidRDefault="00000000">
            <w:pPr>
              <w:pStyle w:val="Compact"/>
            </w:pPr>
            <w:r>
              <w:t>Verification</w:t>
            </w:r>
          </w:p>
        </w:tc>
        <w:tc>
          <w:tcPr>
            <w:tcW w:w="0" w:type="auto"/>
          </w:tcPr>
          <w:p w14:paraId="6B7C69CB" w14:textId="77777777" w:rsidR="00180E7C" w:rsidRDefault="00000000">
            <w:pPr>
              <w:pStyle w:val="Compact"/>
            </w:pPr>
            <w:r>
              <w:t>Reciprocal Benefit</w:t>
            </w:r>
          </w:p>
        </w:tc>
      </w:tr>
      <w:tr w:rsidR="00180E7C" w14:paraId="755AA5BA" w14:textId="77777777">
        <w:tc>
          <w:tcPr>
            <w:tcW w:w="0" w:type="auto"/>
          </w:tcPr>
          <w:p w14:paraId="7E0D0E7A" w14:textId="77777777" w:rsidR="00180E7C" w:rsidRDefault="00000000">
            <w:pPr>
              <w:pStyle w:val="Compact"/>
            </w:pPr>
            <w:r>
              <w:t>541-720</w:t>
            </w:r>
          </w:p>
        </w:tc>
        <w:tc>
          <w:tcPr>
            <w:tcW w:w="0" w:type="auto"/>
          </w:tcPr>
          <w:p w14:paraId="55F151DC" w14:textId="77777777" w:rsidR="00180E7C" w:rsidRDefault="00000000">
            <w:pPr>
              <w:pStyle w:val="Compact"/>
            </w:pPr>
            <w:r>
              <w:t>Fordow conversion completes; residual measures terminate</w:t>
            </w:r>
          </w:p>
        </w:tc>
        <w:tc>
          <w:tcPr>
            <w:tcW w:w="0" w:type="auto"/>
          </w:tcPr>
          <w:p w14:paraId="25DE425C" w14:textId="77777777" w:rsidR="00180E7C" w:rsidRDefault="00000000">
            <w:pPr>
              <w:pStyle w:val="Compact"/>
            </w:pPr>
            <w:r>
              <w:t>IAEA/JMC certificates</w:t>
            </w:r>
          </w:p>
        </w:tc>
        <w:tc>
          <w:tcPr>
            <w:tcW w:w="0" w:type="auto"/>
          </w:tcPr>
          <w:p w14:paraId="5AA48A4E" w14:textId="77777777" w:rsidR="00180E7C" w:rsidRDefault="00000000">
            <w:pPr>
              <w:pStyle w:val="Compact"/>
            </w:pPr>
            <w:r>
              <w:t>Phase IV terminations; IFI normalization</w:t>
            </w:r>
          </w:p>
        </w:tc>
      </w:tr>
      <w:tr w:rsidR="00180E7C" w14:paraId="39F9ECB6" w14:textId="77777777">
        <w:tc>
          <w:tcPr>
            <w:tcW w:w="0" w:type="auto"/>
          </w:tcPr>
          <w:p w14:paraId="3194D725" w14:textId="77777777" w:rsidR="00180E7C" w:rsidRDefault="00000000">
            <w:pPr>
              <w:pStyle w:val="Compact"/>
            </w:pPr>
            <w:r>
              <w:t>720-1095</w:t>
            </w:r>
          </w:p>
        </w:tc>
        <w:tc>
          <w:tcPr>
            <w:tcW w:w="0" w:type="auto"/>
          </w:tcPr>
          <w:p w14:paraId="360E629C" w14:textId="77777777" w:rsidR="00180E7C" w:rsidRDefault="00000000">
            <w:pPr>
              <w:pStyle w:val="Compact"/>
            </w:pPr>
            <w:r>
              <w:t>Full economic normalization; embassy exchange complete; RDF at cruising speed</w:t>
            </w:r>
          </w:p>
        </w:tc>
        <w:tc>
          <w:tcPr>
            <w:tcW w:w="0" w:type="auto"/>
          </w:tcPr>
          <w:p w14:paraId="60E9CF0A" w14:textId="77777777" w:rsidR="00180E7C" w:rsidRDefault="00000000">
            <w:pPr>
              <w:pStyle w:val="Compact"/>
            </w:pPr>
            <w:r>
              <w:t>EMB annual reviews</w:t>
            </w:r>
          </w:p>
        </w:tc>
        <w:tc>
          <w:tcPr>
            <w:tcW w:w="0" w:type="auto"/>
          </w:tcPr>
          <w:p w14:paraId="04B8A0B5" w14:textId="77777777" w:rsidR="00180E7C" w:rsidRDefault="00000000">
            <w:pPr>
              <w:pStyle w:val="Compact"/>
            </w:pPr>
            <w:r>
              <w:t>Preferential trade framework negotiation completes</w:t>
            </w:r>
          </w:p>
        </w:tc>
      </w:tr>
      <w:tr w:rsidR="00180E7C" w14:paraId="4ABAB9C4" w14:textId="77777777">
        <w:tc>
          <w:tcPr>
            <w:tcW w:w="0" w:type="auto"/>
          </w:tcPr>
          <w:p w14:paraId="43FADB5B" w14:textId="77777777" w:rsidR="00180E7C" w:rsidRDefault="00000000">
            <w:pPr>
              <w:pStyle w:val="Compact"/>
            </w:pPr>
            <w:r>
              <w:t>1095-1460</w:t>
            </w:r>
          </w:p>
        </w:tc>
        <w:tc>
          <w:tcPr>
            <w:tcW w:w="0" w:type="auto"/>
          </w:tcPr>
          <w:p w14:paraId="09BE18B7" w14:textId="77777777" w:rsidR="00180E7C" w:rsidRDefault="00000000">
            <w:pPr>
              <w:pStyle w:val="Compact"/>
            </w:pPr>
            <w:r>
              <w:t>Regional arms control track product; FATF normalization</w:t>
            </w:r>
          </w:p>
        </w:tc>
        <w:tc>
          <w:tcPr>
            <w:tcW w:w="0" w:type="auto"/>
          </w:tcPr>
          <w:p w14:paraId="5CC6D21C" w14:textId="77777777" w:rsidR="00180E7C" w:rsidRDefault="00000000">
            <w:pPr>
              <w:pStyle w:val="Compact"/>
            </w:pPr>
            <w:r>
              <w:t>RSCSC/FATF records</w:t>
            </w:r>
          </w:p>
        </w:tc>
        <w:tc>
          <w:tcPr>
            <w:tcW w:w="0" w:type="auto"/>
          </w:tcPr>
          <w:p w14:paraId="52776DC3" w14:textId="77777777" w:rsidR="00180E7C" w:rsidRDefault="00000000">
            <w:pPr>
              <w:pStyle w:val="Compact"/>
            </w:pPr>
            <w:r>
              <w:t>Residual reviews close</w:t>
            </w:r>
          </w:p>
        </w:tc>
      </w:tr>
      <w:tr w:rsidR="00180E7C" w14:paraId="19E43965" w14:textId="77777777">
        <w:tc>
          <w:tcPr>
            <w:tcW w:w="0" w:type="auto"/>
          </w:tcPr>
          <w:p w14:paraId="78756B91" w14:textId="77777777" w:rsidR="00180E7C" w:rsidRDefault="00000000">
            <w:pPr>
              <w:pStyle w:val="Compact"/>
            </w:pPr>
            <w:r>
              <w:t>1460-1825</w:t>
            </w:r>
          </w:p>
        </w:tc>
        <w:tc>
          <w:tcPr>
            <w:tcW w:w="0" w:type="auto"/>
          </w:tcPr>
          <w:p w14:paraId="4BAC91EF" w14:textId="77777777" w:rsidR="00180E7C" w:rsidRDefault="00000000">
            <w:pPr>
              <w:pStyle w:val="Compact"/>
            </w:pPr>
            <w:r>
              <w:t>Five-year review conference; permanence confirmation</w:t>
            </w:r>
          </w:p>
        </w:tc>
        <w:tc>
          <w:tcPr>
            <w:tcW w:w="0" w:type="auto"/>
          </w:tcPr>
          <w:p w14:paraId="36676C32" w14:textId="77777777" w:rsidR="00180E7C" w:rsidRDefault="00000000">
            <w:pPr>
              <w:pStyle w:val="Compact"/>
            </w:pPr>
            <w:r>
              <w:t>HCC review</w:t>
            </w:r>
          </w:p>
        </w:tc>
        <w:tc>
          <w:tcPr>
            <w:tcW w:w="0" w:type="auto"/>
          </w:tcPr>
          <w:p w14:paraId="38AE82FF" w14:textId="77777777" w:rsidR="00180E7C" w:rsidRDefault="00000000">
            <w:pPr>
              <w:pStyle w:val="Compact"/>
            </w:pPr>
            <w:r>
              <w:t>Architecture confirmed or strengthened</w:t>
            </w:r>
          </w:p>
        </w:tc>
      </w:tr>
    </w:tbl>
    <w:p w14:paraId="637A997A" w14:textId="77777777" w:rsidR="00180E7C" w:rsidRDefault="00000000">
      <w:pPr>
        <w:pStyle w:val="Heading2"/>
      </w:pPr>
      <w:bookmarkStart w:id="771" w:name="Xc5a83376e9612c52fb0d64d3fde67de2d11db1e"/>
      <w:bookmarkEnd w:id="770"/>
      <w:r>
        <w:t>P.6 The Benchmark Register (Selected Anchors)</w:t>
      </w:r>
    </w:p>
    <w:p w14:paraId="715EC997" w14:textId="77777777" w:rsidR="00180E7C" w:rsidRDefault="00000000">
      <w:pPr>
        <w:pStyle w:val="FirstParagraph"/>
      </w:pPr>
      <w:r>
        <w:t>P.6.1 Every obligation carries: indicator, data source, verification event, certification pathway. Anchors: ceasefire (zero verified hostile acts per period; SDR); corridors (traffic flow statistics; Authority); down-blending (batch certificates; IAEA); posture (tranche certificates; JMC); sanctions (termination instruments registered; EMB); escrow (settlement confirmations; SDR); proxy domain (declaration-plus-monitoring concordance; JMC); Lebanon (Blue Line status reports; tripartite).</w:t>
      </w:r>
    </w:p>
    <w:p w14:paraId="5C6891C0" w14:textId="77777777" w:rsidR="00180E7C" w:rsidRDefault="00000000">
      <w:pPr>
        <w:pStyle w:val="Heading2"/>
      </w:pPr>
      <w:bookmarkStart w:id="772" w:name="p.7-schedules-p-2-through-p-4"/>
      <w:bookmarkEnd w:id="771"/>
      <w:r>
        <w:lastRenderedPageBreak/>
        <w:t>P.7 Schedules P-2 through P-4</w:t>
      </w:r>
    </w:p>
    <w:p w14:paraId="32AC622B" w14:textId="77777777" w:rsidR="00180E7C" w:rsidRDefault="00000000">
      <w:pPr>
        <w:pStyle w:val="FirstParagraph"/>
      </w:pPr>
      <w:r>
        <w:t>P.7.1 Schedule P-2 (Verified Baseline Order of Battle), Schedule P-3 (wartime temporary positions list), and Schedule P-4 (IRGC Navy home-port posture) reside in the Treaty-Restricted compartment of the SDR, established from the baseline declarations and maintained current through quarterly updates.</w:t>
      </w:r>
    </w:p>
    <w:p w14:paraId="1A3EE949" w14:textId="77777777" w:rsidR="00180E7C" w:rsidRDefault="00000000">
      <w:pPr>
        <w:pStyle w:val="Heading2"/>
      </w:pPr>
      <w:bookmarkStart w:id="773" w:name="p.8-phase-gate-mechanics"/>
      <w:bookmarkEnd w:id="772"/>
      <w:r>
        <w:t>P.8 Phase-Gate Mechanics</w:t>
      </w:r>
    </w:p>
    <w:p w14:paraId="7A884AF1" w14:textId="77777777" w:rsidR="00180E7C" w:rsidRDefault="00000000">
      <w:pPr>
        <w:pStyle w:val="FirstParagraph"/>
      </w:pPr>
      <w:r>
        <w:t>P.8.1 Each phase gate opens upon the JMC’s certification package for the closing phase; certification issues automatically when objective indicators register complete; disputes enter the Escalation Chain with the Technical Dispute Hold applied to the disputed item only.</w:t>
      </w:r>
    </w:p>
    <w:p w14:paraId="59AFECF2" w14:textId="77777777" w:rsidR="00180E7C" w:rsidRDefault="00000000">
      <w:pPr>
        <w:pStyle w:val="Heading2"/>
      </w:pPr>
      <w:bookmarkStart w:id="774" w:name="p.9-fallback-sequences"/>
      <w:bookmarkEnd w:id="773"/>
      <w:r>
        <w:t>P.9 Fallback Sequences</w:t>
      </w:r>
    </w:p>
    <w:p w14:paraId="4D21E13F" w14:textId="77777777" w:rsidR="00180E7C" w:rsidRDefault="00000000">
      <w:pPr>
        <w:pStyle w:val="FirstParagraph"/>
      </w:pPr>
      <w:r>
        <w:t>P.9.1 If a phase-gate item stalls: the stalling item isolates; all non-affected steps proceed; the HCC adopts an interleaving adjustment within 20 days per Article 10.2.2; the synchronization engine never holds the whole Treaty hostage to a single item, except the nuclear batch certificates keying sanctions phases, where the linkage is the bargain itself.</w:t>
      </w:r>
    </w:p>
    <w:p w14:paraId="27CB05DB" w14:textId="77777777" w:rsidR="00180E7C" w:rsidRDefault="00000000">
      <w:pPr>
        <w:pStyle w:val="Heading2"/>
      </w:pPr>
      <w:bookmarkStart w:id="775" w:name="p.10-ratification-package"/>
      <w:bookmarkEnd w:id="774"/>
      <w:r>
        <w:t>P.10 Ratification Package</w:t>
      </w:r>
    </w:p>
    <w:p w14:paraId="32AC5F7A" w14:textId="77777777" w:rsidR="00180E7C" w:rsidRDefault="00000000">
      <w:pPr>
        <w:pStyle w:val="FirstParagraph"/>
      </w:pPr>
      <w:r>
        <w:t>P.10.1 The United States implementing legislation package: sanctions termination authorities (Titles I-VII of the legislation annex); escrow authorizations; verification cost appropriations; Claims Facility capitalization; transmitted within 30 days of signature per Article 13.1.1.</w:t>
      </w:r>
    </w:p>
    <w:p w14:paraId="19D798A6" w14:textId="77777777" w:rsidR="00180E7C" w:rsidRDefault="00000000">
      <w:pPr>
        <w:pStyle w:val="BodyText"/>
      </w:pPr>
      <w:r>
        <w:t>P.10.2 The Iranian ratification package: majlis ratification bill; Guardian Council review file; the Supreme Leader’s final authorization encompassing the Hormuz governance structure per Article 13.2.2; Central Bank escrow mandate; AEOI implementation directive.</w:t>
      </w:r>
    </w:p>
    <w:p w14:paraId="7F07DD29" w14:textId="77777777" w:rsidR="00180E7C" w:rsidRDefault="00000000">
      <w:r>
        <w:br w:type="page"/>
      </w:r>
    </w:p>
    <w:p w14:paraId="6BBC6B52" w14:textId="77777777" w:rsidR="00180E7C" w:rsidRDefault="00000000">
      <w:pPr>
        <w:pStyle w:val="Heading1"/>
      </w:pPr>
      <w:bookmarkStart w:id="776" w:name="X0a73a098b78a28965c2a1e2eed0df1868f0cf8d"/>
      <w:bookmarkStart w:id="777" w:name="_Toc237843182"/>
      <w:bookmarkEnd w:id="764"/>
      <w:bookmarkEnd w:id="775"/>
      <w:r>
        <w:lastRenderedPageBreak/>
        <w:t>SUPPLEMENTARY PROTOCOL SP-1: IMPLEMENTATION PROTOCOLS FOR TITLE I (POLITICAL SETTLEMENT)</w:t>
      </w:r>
      <w:bookmarkEnd w:id="777"/>
    </w:p>
    <w:p w14:paraId="366E2BB1" w14:textId="77777777" w:rsidR="00180E7C" w:rsidRDefault="00000000">
      <w:pPr>
        <w:pStyle w:val="Heading2"/>
      </w:pPr>
      <w:bookmarkStart w:id="778" w:name="Xf29a0fffa8267dd0266938a3de29b26a696586a"/>
      <w:r>
        <w:t>SP-1.1 Status of this Supplementary Protocol</w:t>
      </w:r>
    </w:p>
    <w:p w14:paraId="3B8EE55D" w14:textId="77777777" w:rsidR="00180E7C" w:rsidRDefault="00000000">
      <w:pPr>
        <w:pStyle w:val="FirstParagraph"/>
      </w:pPr>
      <w:r>
        <w:t>SP-1.1.1 This Supplementary Protocol forms an integral part of the Treaty per Article 0.1.3. It contains the operational detail executing Title I: for each Article, the responsible organs, the standing procedures, the data flows, the forms and instruments, and the failure responses. Where this Protocol and a Title I Article touch the same subject, the Article governs the principle and this Protocol governs the execution.</w:t>
      </w:r>
    </w:p>
    <w:p w14:paraId="7402063C" w14:textId="77777777" w:rsidR="00180E7C" w:rsidRDefault="00000000">
      <w:pPr>
        <w:pStyle w:val="Heading2"/>
      </w:pPr>
      <w:bookmarkStart w:id="779" w:name="X14e291a449f9d1f83b8f090913d84103bbdda14"/>
      <w:bookmarkEnd w:id="778"/>
      <w:r>
        <w:t>SP-1.2 Protocol for Article 1 (Permanent Ceasefire Mandate)</w:t>
      </w:r>
    </w:p>
    <w:p w14:paraId="0CB629C1" w14:textId="77777777" w:rsidR="00180E7C" w:rsidRDefault="00000000">
      <w:pPr>
        <w:pStyle w:val="Heading3"/>
      </w:pPr>
      <w:bookmarkStart w:id="780" w:name="sp-1.2.1-the-ceasefire-order-set"/>
      <w:r>
        <w:t>SP-1.2.1 The Ceasefire Order Set</w:t>
      </w:r>
    </w:p>
    <w:p w14:paraId="436C91A0" w14:textId="77777777" w:rsidR="00180E7C" w:rsidRDefault="00000000">
      <w:pPr>
        <w:pStyle w:val="FirstParagraph"/>
      </w:pPr>
      <w:r>
        <w:t>SP-1.2.1.1 At EIF, each Party issues its standing ceasefire order set: (a) the United States: CENTCOM General Order terminating offensive tasking against Iran, fleet order dissolving the blockade, and air component order standing down strike tasking; (b) Iran: General Staff order terminating operations against United States forces, IRGC Navy order dissolving the transit restriction regime, and air defense order reverting to peacetime posture. The texts of the orders deposit with the JMC within 24 hours of issuance, marked Treaty-Restricted.</w:t>
      </w:r>
    </w:p>
    <w:p w14:paraId="371B9007" w14:textId="77777777" w:rsidR="00180E7C" w:rsidRDefault="00000000">
      <w:pPr>
        <w:pStyle w:val="BodyText"/>
      </w:pPr>
      <w:r>
        <w:t>SP-1.2.1.2 The orders take the form of standing orders without expiration. Unit-level acknowledgment: every command at brigade, squadron, and fleet level acknowledges receipt within 72 hours; acknowledgments log in the SDR.</w:t>
      </w:r>
    </w:p>
    <w:p w14:paraId="37711B69" w14:textId="77777777" w:rsidR="00180E7C" w:rsidRDefault="00000000">
      <w:pPr>
        <w:pStyle w:val="Heading3"/>
      </w:pPr>
      <w:bookmarkStart w:id="781" w:name="sp-1.2.2-the-daily-ceasefire-bulletin"/>
      <w:bookmarkEnd w:id="780"/>
      <w:r>
        <w:t>SP-1.2.2 The Daily Ceasefire Bulletin</w:t>
      </w:r>
    </w:p>
    <w:p w14:paraId="09354DD6" w14:textId="77777777" w:rsidR="00180E7C" w:rsidRDefault="00000000">
      <w:pPr>
        <w:pStyle w:val="FirstParagraph"/>
      </w:pPr>
      <w:r>
        <w:t>SP-1.2.2.1 The JMC ceasefire sub-cell publishes the Daily Ceasefire Bulletin at 0600 UTC: hostile acts registered (target: zero), anomaly events, stand-down confirmations, and corridor status. Distribution: both Parties’ national commands, the Guarantor Matrix, the HCC deputies.</w:t>
      </w:r>
    </w:p>
    <w:p w14:paraId="5CF7B12E" w14:textId="77777777" w:rsidR="00180E7C" w:rsidRDefault="00000000">
      <w:pPr>
        <w:pStyle w:val="Heading3"/>
      </w:pPr>
      <w:bookmarkStart w:id="782" w:name="sp-1.2.3-violation-response-cards"/>
      <w:bookmarkEnd w:id="781"/>
      <w:r>
        <w:t>SP-1.2.3 Violation Response Cards</w:t>
      </w:r>
    </w:p>
    <w:p w14:paraId="25551285" w14:textId="77777777" w:rsidR="00180E7C" w:rsidRDefault="00000000">
      <w:pPr>
        <w:pStyle w:val="FirstParagraph"/>
      </w:pPr>
      <w:r>
        <w:t>SP-1.2.3.1 The JMC maintains pre-printed response cards for the ten most probable violation patterns (localized exchange of fire, drone incursion, fast-boat harassment, airspace brush, cyber alert, militia rocket event, corridor obstruction, detention incident, exercise misunderstanding, sensor spoofing). Each card states: immediate actions, notification chain, stand-down scope, evidence preservation, and escalation deadlines. Duty officers execute the card without awaiting instruction; the card system removes improvisation from the first sixty minutes of any incident.</w:t>
      </w:r>
    </w:p>
    <w:p w14:paraId="4BB445DE" w14:textId="77777777" w:rsidR="00180E7C" w:rsidRDefault="00000000">
      <w:pPr>
        <w:pStyle w:val="Heading2"/>
      </w:pPr>
      <w:bookmarkStart w:id="783" w:name="Xdd266510cf018dc8a2f410b96873fa3aad70774"/>
      <w:bookmarkEnd w:id="779"/>
      <w:bookmarkEnd w:id="782"/>
      <w:r>
        <w:lastRenderedPageBreak/>
        <w:t>SP-1.3 Protocol for Article 2 (Definitions of Hostile Acts)</w:t>
      </w:r>
    </w:p>
    <w:p w14:paraId="5DE92F69" w14:textId="77777777" w:rsidR="00180E7C" w:rsidRDefault="00000000">
      <w:pPr>
        <w:pStyle w:val="Heading3"/>
      </w:pPr>
      <w:bookmarkStart w:id="784" w:name="X4776b75831a87364f53589d06fb12314b9ce93a"/>
      <w:r>
        <w:t>SP-1.3.1 The Hostile Act Adjudication File</w:t>
      </w:r>
    </w:p>
    <w:p w14:paraId="55CCC036" w14:textId="77777777" w:rsidR="00180E7C" w:rsidRDefault="00000000">
      <w:pPr>
        <w:pStyle w:val="FirstParagraph"/>
      </w:pPr>
      <w:r>
        <w:t>SP-1.3.1.1 Every alleged hostile act opens an adjudication file in the SDR: allegation, evidence package, convergent-discipline assessment, Escalation Chain record, determination, and closure action. Files close within 30 days unless the Escalation Chain extends; open files report weekly to the HCC deputies.</w:t>
      </w:r>
    </w:p>
    <w:p w14:paraId="2AF6B521" w14:textId="77777777" w:rsidR="00180E7C" w:rsidRDefault="00000000">
      <w:pPr>
        <w:pStyle w:val="Heading3"/>
      </w:pPr>
      <w:bookmarkStart w:id="785" w:name="sp-1.3.2-the-excluded-acts-register"/>
      <w:bookmarkEnd w:id="784"/>
      <w:r>
        <w:t>SP-1.3.2 The Excluded-Acts Register</w:t>
      </w:r>
    </w:p>
    <w:p w14:paraId="558F80D6" w14:textId="77777777" w:rsidR="00180E7C" w:rsidRDefault="00000000">
      <w:pPr>
        <w:pStyle w:val="FirstParagraph"/>
      </w:pPr>
      <w:r>
        <w:t>SP-1.3.2.1 The JMC maintains the register of confirmed excluded acts (Authority enforcement actions, inspections, baseline defensive measures), so that routine lawful activity never accumulates suspicion. Quarterly publication of register statistics supports the public confidence function.</w:t>
      </w:r>
    </w:p>
    <w:p w14:paraId="7D4E8760" w14:textId="77777777" w:rsidR="00180E7C" w:rsidRDefault="00000000">
      <w:pPr>
        <w:pStyle w:val="Heading2"/>
      </w:pPr>
      <w:bookmarkStart w:id="786" w:name="X4063744d4e73c58b8dc25d2103d7c6176d94924"/>
      <w:bookmarkEnd w:id="783"/>
      <w:bookmarkEnd w:id="785"/>
      <w:r>
        <w:t>SP-1.4 Protocol for Article 3 (Mutual Recognition)</w:t>
      </w:r>
    </w:p>
    <w:p w14:paraId="48AC74D2" w14:textId="77777777" w:rsidR="00180E7C" w:rsidRDefault="00000000">
      <w:pPr>
        <w:pStyle w:val="Heading3"/>
      </w:pPr>
      <w:bookmarkStart w:id="787" w:name="sp-1.4.1-recognition-instruments"/>
      <w:r>
        <w:t>SP-1.4.1 Recognition Instruments</w:t>
      </w:r>
    </w:p>
    <w:p w14:paraId="1B0A7B60" w14:textId="77777777" w:rsidR="00180E7C" w:rsidRDefault="00000000">
      <w:pPr>
        <w:pStyle w:val="FirstParagraph"/>
      </w:pPr>
      <w:r>
        <w:t>SP-1.4.1.1 The recognition undertakings execute through: (a) the Treaty text itself; (b) parallel presidential instruments issued at signature, deposited with the Depositary; (c) the first exchange of diplomatic notes establishing the embassy upgrade track. The instruments sit in the public compartment of the SDR.</w:t>
      </w:r>
    </w:p>
    <w:p w14:paraId="7C2BD89B" w14:textId="77777777" w:rsidR="00180E7C" w:rsidRDefault="00000000">
      <w:pPr>
        <w:pStyle w:val="Heading3"/>
      </w:pPr>
      <w:bookmarkStart w:id="788" w:name="X0320d623d3f5c8e0dd38ea13c2da79c51aa524f"/>
      <w:bookmarkEnd w:id="787"/>
      <w:r>
        <w:t>SP-1.4.2 The Islands Freeze Clause Operation</w:t>
      </w:r>
    </w:p>
    <w:p w14:paraId="39219E22" w14:textId="77777777" w:rsidR="00180E7C" w:rsidRDefault="00000000">
      <w:pPr>
        <w:pStyle w:val="FirstParagraph"/>
      </w:pPr>
      <w:r>
        <w:t>SP-1.4.2.1 Regarding Abu Musa and the Tunbs: the Treaty organs process no agenda item touching sovereignty of the islands; the Authority’s functional operations in adjacent waters record no position; any Party attempting to place the question on a treaty organ agenda meets the chair’s ruling of non-competence, per the freeze clause.</w:t>
      </w:r>
    </w:p>
    <w:p w14:paraId="59BC4083" w14:textId="77777777" w:rsidR="00180E7C" w:rsidRDefault="00000000">
      <w:pPr>
        <w:pStyle w:val="Heading2"/>
      </w:pPr>
      <w:bookmarkStart w:id="789" w:name="Xd1867120ed5d306fcd33fe0fddbdcb104a573eb"/>
      <w:bookmarkEnd w:id="786"/>
      <w:bookmarkEnd w:id="788"/>
      <w:r>
        <w:t>SP-1.5 Protocol for Article 4 (Non-Aggression)</w:t>
      </w:r>
    </w:p>
    <w:p w14:paraId="2603CA57" w14:textId="77777777" w:rsidR="00180E7C" w:rsidRDefault="00000000">
      <w:pPr>
        <w:pStyle w:val="Heading3"/>
      </w:pPr>
      <w:bookmarkStart w:id="790" w:name="Xcc9a13f252e01f83b26c2a562963cdc46b1dcb8"/>
      <w:r>
        <w:t>SP-1.5.1 The Annual Non-Aggression Affirmation</w:t>
      </w:r>
    </w:p>
    <w:p w14:paraId="7A7642E5" w14:textId="77777777" w:rsidR="00180E7C" w:rsidRDefault="00000000">
      <w:pPr>
        <w:pStyle w:val="FirstParagraph"/>
      </w:pPr>
      <w:r>
        <w:t>SP-1.5.1.1 On each EIF anniversary, the Parties exchange written affirmations of Article 4 through the HCC, published with the annual report. The affirmation ritual keeps the renunciation politically visible in both capitals.</w:t>
      </w:r>
    </w:p>
    <w:p w14:paraId="25F13C7C" w14:textId="77777777" w:rsidR="00180E7C" w:rsidRDefault="00000000">
      <w:pPr>
        <w:pStyle w:val="Heading3"/>
      </w:pPr>
      <w:bookmarkStart w:id="791" w:name="Xa8e64379c8bbd3b5a7222883e10a296f8799674"/>
      <w:bookmarkEnd w:id="790"/>
      <w:r>
        <w:t>SP-1.5.2 Structured Self-Defense Procedure</w:t>
      </w:r>
    </w:p>
    <w:p w14:paraId="32AA2D1A" w14:textId="77777777" w:rsidR="00180E7C" w:rsidRDefault="00000000">
      <w:pPr>
        <w:pStyle w:val="FirstParagraph"/>
      </w:pPr>
      <w:r>
        <w:t>SP-1.5.2.1 A notification under Article 4.6 opens: immediate HCC Emergency Session; JMC fact-finding deployment within 24 hours; daily reporting until the Emergency Session declares restoration. The procedure treats any Article 51 invocation as the architecture’s highest-priority event.</w:t>
      </w:r>
    </w:p>
    <w:p w14:paraId="4590FFEF" w14:textId="77777777" w:rsidR="00180E7C" w:rsidRDefault="00000000">
      <w:pPr>
        <w:pStyle w:val="Heading2"/>
      </w:pPr>
      <w:bookmarkStart w:id="792" w:name="Xd8796762293119c3210233d026881bb1f603346"/>
      <w:bookmarkEnd w:id="789"/>
      <w:bookmarkEnd w:id="791"/>
      <w:r>
        <w:lastRenderedPageBreak/>
        <w:t>SP-1.6 Protocol for Article 5 (Diplomatic Normalization)</w:t>
      </w:r>
    </w:p>
    <w:p w14:paraId="66B74438" w14:textId="77777777" w:rsidR="00180E7C" w:rsidRDefault="00000000">
      <w:pPr>
        <w:pStyle w:val="Heading3"/>
      </w:pPr>
      <w:bookmarkStart w:id="793" w:name="sp-1.6.1-the-embassy-upgrade-workplan"/>
      <w:r>
        <w:t>SP-1.6.1 The Embassy Upgrade Workplan</w:t>
      </w:r>
    </w:p>
    <w:p w14:paraId="1FC114BA" w14:textId="77777777" w:rsidR="00180E7C" w:rsidRDefault="00000000">
      <w:pPr>
        <w:pStyle w:val="FirstParagraph"/>
      </w:pPr>
      <w:r>
        <w:t>SP-1.6.1.1 The Joint Diplomatic Working Group operates the workplan: Days 0-30, premises survey and security assessment in Tehran and Washington; Days 30-90, staffing build-up and consular service resumption; Days 90-180, chargé exchange and full-service operations; Days 180-540, ambassadorial nomination, agrément, and presentation of credentials. Each step reports to the HCC monthly.</w:t>
      </w:r>
    </w:p>
    <w:p w14:paraId="4D44EB20" w14:textId="77777777" w:rsidR="00180E7C" w:rsidRDefault="00000000">
      <w:pPr>
        <w:pStyle w:val="Heading3"/>
      </w:pPr>
      <w:bookmarkStart w:id="794" w:name="sp-1.6.2-hotline-operating-standard"/>
      <w:bookmarkEnd w:id="793"/>
      <w:r>
        <w:t>SP-1.6.2 Hotline Operating Standard</w:t>
      </w:r>
    </w:p>
    <w:p w14:paraId="67FD165F" w14:textId="77777777" w:rsidR="00180E7C" w:rsidRDefault="00000000">
      <w:pPr>
        <w:pStyle w:val="FirstParagraph"/>
      </w:pPr>
      <w:r>
        <w:t>SP-1.6.2.1 The hotlines test weekly at scheduled times; a failed test triggers restoration within six hours and a JMC technical report. Each hotline maintains: dedicated encryption, redundant routing, bilingual operator coverage, and the call log in the SDR (Treaty-Restricted).</w:t>
      </w:r>
    </w:p>
    <w:p w14:paraId="73501BFE" w14:textId="77777777" w:rsidR="00180E7C" w:rsidRDefault="00000000">
      <w:pPr>
        <w:pStyle w:val="Heading2"/>
      </w:pPr>
      <w:bookmarkStart w:id="795" w:name="Xa72267b36a770abef435ed5c81236568dd21092"/>
      <w:bookmarkEnd w:id="792"/>
      <w:bookmarkEnd w:id="794"/>
      <w:r>
        <w:t>SP-1.7 Protocol for Article 6 (Leadership Security)</w:t>
      </w:r>
    </w:p>
    <w:p w14:paraId="634EC52D" w14:textId="77777777" w:rsidR="00180E7C" w:rsidRDefault="00000000">
      <w:pPr>
        <w:pStyle w:val="Heading3"/>
      </w:pPr>
      <w:bookmarkStart w:id="796" w:name="sp-1.7.1-threat-information-procedure"/>
      <w:r>
        <w:t>SP-1.7.1 Threat Information Procedure</w:t>
      </w:r>
    </w:p>
    <w:p w14:paraId="5FEF2A62" w14:textId="77777777" w:rsidR="00180E7C" w:rsidRDefault="00000000">
      <w:pPr>
        <w:pStyle w:val="FirstParagraph"/>
      </w:pPr>
      <w:r>
        <w:t>SP-1.7.1.1 Credible threat information transits the principal hotline in a standard format: source characterization (without source exposure), threat description, timeframe, recommended protective posture. Receipt acknowledges within two hours; the receiving Party’s protective services confirm posture adjustment within twelve hours, with confirmation logged.</w:t>
      </w:r>
    </w:p>
    <w:p w14:paraId="7539E60A" w14:textId="77777777" w:rsidR="00180E7C" w:rsidRDefault="00000000">
      <w:pPr>
        <w:pStyle w:val="Heading2"/>
      </w:pPr>
      <w:bookmarkStart w:id="797" w:name="X8f1bc383571c3a8b65797912ebdc7385660bfb4"/>
      <w:bookmarkEnd w:id="795"/>
      <w:bookmarkEnd w:id="796"/>
      <w:r>
        <w:t>SP-1.8 Protocol for Article 7 (Proxy Deactivation)</w:t>
      </w:r>
    </w:p>
    <w:p w14:paraId="493AF1D0" w14:textId="77777777" w:rsidR="00180E7C" w:rsidRDefault="00000000">
      <w:pPr>
        <w:pStyle w:val="Heading3"/>
      </w:pPr>
      <w:bookmarkStart w:id="798" w:name="sp-1.8.1-the-termination-certificates"/>
      <w:r>
        <w:t>SP-1.8.1 The Termination Certificates</w:t>
      </w:r>
    </w:p>
    <w:p w14:paraId="755B8CDB" w14:textId="77777777" w:rsidR="00180E7C" w:rsidRDefault="00000000">
      <w:pPr>
        <w:pStyle w:val="FirstParagraph"/>
      </w:pPr>
      <w:r>
        <w:t>SP-1.8.1.1 The supply termination of Article 7.1.2 executes channel by channel: each identified channel (the declaration register of Annex L, Section 4, lists them by category) closes and the JMC issues a channel closure certificate after 90 days of clean monitoring. The certificate portfolio builds the verified record: the proxy domain ends not by declaration but by accumulated, audited closure.</w:t>
      </w:r>
    </w:p>
    <w:p w14:paraId="543794A9" w14:textId="77777777" w:rsidR="00180E7C" w:rsidRDefault="00000000">
      <w:pPr>
        <w:pStyle w:val="Heading2"/>
      </w:pPr>
      <w:bookmarkStart w:id="799" w:name="X4aa95bfdea4356ee16e79ed930bbc6c4ef0a653"/>
      <w:bookmarkEnd w:id="797"/>
      <w:bookmarkEnd w:id="798"/>
      <w:r>
        <w:t>SP-1.9 Protocol for Article 9 (Humanitarian Access)</w:t>
      </w:r>
    </w:p>
    <w:p w14:paraId="734EEED5" w14:textId="77777777" w:rsidR="00180E7C" w:rsidRDefault="00000000">
      <w:pPr>
        <w:pStyle w:val="Heading3"/>
      </w:pPr>
      <w:bookmarkStart w:id="800" w:name="sp-1.9.1-the-firewall-audit"/>
      <w:r>
        <w:t>SP-1.9.1 The Firewall Audit</w:t>
      </w:r>
    </w:p>
    <w:p w14:paraId="362D609C" w14:textId="77777777" w:rsidR="00180E7C" w:rsidRDefault="00000000">
      <w:pPr>
        <w:pStyle w:val="FirstParagraph"/>
      </w:pPr>
      <w:r>
        <w:t>SP-1.9.1.1 The humanitarian desk audits the firewall quarterly: corridor transit times, screening delays, channel transaction times, denial events (target: zero). The audit publishes. Any firewall breach registers as a Category 6.5 or equivalent demerit event with the highest publication priority.</w:t>
      </w:r>
    </w:p>
    <w:p w14:paraId="05E004A3" w14:textId="77777777" w:rsidR="00180E7C" w:rsidRDefault="00000000">
      <w:pPr>
        <w:pStyle w:val="Heading2"/>
      </w:pPr>
      <w:bookmarkStart w:id="801" w:name="X56c7146f434955eeb398c1a1348825c469299ff"/>
      <w:bookmarkEnd w:id="799"/>
      <w:bookmarkEnd w:id="800"/>
      <w:r>
        <w:lastRenderedPageBreak/>
        <w:t>SP-1.10 Protocol for Article 12 (Public Communication)</w:t>
      </w:r>
    </w:p>
    <w:p w14:paraId="7E1E8B05" w14:textId="77777777" w:rsidR="00180E7C" w:rsidRDefault="00000000">
      <w:pPr>
        <w:pStyle w:val="Heading3"/>
      </w:pPr>
      <w:bookmarkStart w:id="802" w:name="Xeb58654ddbe49b05b23e84fef61ea500bc27e66"/>
      <w:r>
        <w:t>SP-1.10.1 The Joint Milestone Announcements</w:t>
      </w:r>
    </w:p>
    <w:p w14:paraId="74C84CA7" w14:textId="77777777" w:rsidR="00180E7C" w:rsidRDefault="00000000">
      <w:pPr>
        <w:pStyle w:val="FirstParagraph"/>
      </w:pPr>
      <w:r>
        <w:t>SP-1.10.1.1 Every phase gate, batch certificate, tranche completion, and release event announces through a joint statement of the Joint Communication Cell: same text, simultaneous release, both languages. Neither Party briefs ahead of the joint text; the discipline protects both governments from the other’s domestic spin.</w:t>
      </w:r>
    </w:p>
    <w:p w14:paraId="43319D07" w14:textId="77777777" w:rsidR="00180E7C" w:rsidRDefault="00000000">
      <w:pPr>
        <w:pStyle w:val="Heading3"/>
      </w:pPr>
      <w:bookmarkStart w:id="803" w:name="sp-1.10.2-the-misinformation-watch"/>
      <w:bookmarkEnd w:id="802"/>
      <w:r>
        <w:t>SP-1.10.2 The Misinformation Watch</w:t>
      </w:r>
    </w:p>
    <w:p w14:paraId="6161E0D8" w14:textId="77777777" w:rsidR="00180E7C" w:rsidRDefault="00000000">
      <w:pPr>
        <w:pStyle w:val="FirstParagraph"/>
      </w:pPr>
      <w:r>
        <w:t>SP-1.10.2.1 The Cell monitors public information space for fabricated treaty claims and issues corrections within 24 hours, with a monthly misinformation report to the HCC.</w:t>
      </w:r>
    </w:p>
    <w:p w14:paraId="02FBAD5E" w14:textId="77777777" w:rsidR="00180E7C" w:rsidRDefault="00000000">
      <w:pPr>
        <w:pStyle w:val="Heading2"/>
      </w:pPr>
      <w:bookmarkStart w:id="804" w:name="Xcc62c9efd54e2ade25c44817608356dfc0ac1dd"/>
      <w:bookmarkEnd w:id="801"/>
      <w:bookmarkEnd w:id="803"/>
      <w:r>
        <w:t>SP-1.11 Protocol for Article 13 (Ratification)</w:t>
      </w:r>
    </w:p>
    <w:p w14:paraId="0C369C09" w14:textId="77777777" w:rsidR="00180E7C" w:rsidRDefault="00000000">
      <w:pPr>
        <w:pStyle w:val="Heading3"/>
      </w:pPr>
      <w:bookmarkStart w:id="805" w:name="sp-1.11.1-ratification-support-office"/>
      <w:r>
        <w:t>SP-1.11.1 Ratification Support Office</w:t>
      </w:r>
    </w:p>
    <w:p w14:paraId="260CB12F" w14:textId="77777777" w:rsidR="00180E7C" w:rsidRDefault="00000000">
      <w:pPr>
        <w:pStyle w:val="FirstParagraph"/>
      </w:pPr>
      <w:r>
        <w:t>SP-1.11.1.1 The Swiss Facilitator maintains the Ratification Support Office: drafting support for implementing legislation, constitutional process documentation, timeline tracking, and weekly ratification status reports to both Parties until both instruments deposit.</w:t>
      </w:r>
    </w:p>
    <w:p w14:paraId="4FF60D1D" w14:textId="77777777" w:rsidR="00180E7C" w:rsidRDefault="00000000">
      <w:pPr>
        <w:pStyle w:val="Heading2"/>
      </w:pPr>
      <w:bookmarkStart w:id="806" w:name="Xb0ba15e04d7ba0d7faa7ce2370f433438837c45"/>
      <w:bookmarkEnd w:id="804"/>
      <w:bookmarkEnd w:id="805"/>
      <w:r>
        <w:t>SP-1.12 Protocol for Article 15 (Contingencies)</w:t>
      </w:r>
    </w:p>
    <w:p w14:paraId="2D61F335" w14:textId="77777777" w:rsidR="00180E7C" w:rsidRDefault="00000000">
      <w:pPr>
        <w:pStyle w:val="Heading3"/>
      </w:pPr>
      <w:bookmarkStart w:id="807" w:name="sp-1.12.1-the-continuity-drill"/>
      <w:r>
        <w:t>SP-1.12.1 The Continuity Drill</w:t>
      </w:r>
    </w:p>
    <w:p w14:paraId="21BBF5FF" w14:textId="77777777" w:rsidR="00180E7C" w:rsidRDefault="00000000">
      <w:pPr>
        <w:pStyle w:val="FirstParagraph"/>
      </w:pPr>
      <w:r>
        <w:t>SP-1.12.1.1 The treaty organs conduct an annual continuity drill: simulated leadership transition, deputy succession activation, custodianship handover rehearsal, and data-flow continuity verification. The drill report identifies and fixes continuity gaps before reality tests them.</w:t>
      </w:r>
    </w:p>
    <w:p w14:paraId="42D904E3" w14:textId="77777777" w:rsidR="00180E7C" w:rsidRDefault="00000000">
      <w:r>
        <w:br w:type="page"/>
      </w:r>
    </w:p>
    <w:p w14:paraId="1A9D5CB9" w14:textId="77777777" w:rsidR="00180E7C" w:rsidRDefault="00000000">
      <w:pPr>
        <w:pStyle w:val="Heading1"/>
      </w:pPr>
      <w:bookmarkStart w:id="808" w:name="Xe13413f5721a1617a5dbee2d23f7cfbc08a9c3e"/>
      <w:bookmarkStart w:id="809" w:name="_Toc237843183"/>
      <w:bookmarkEnd w:id="776"/>
      <w:bookmarkEnd w:id="806"/>
      <w:bookmarkEnd w:id="807"/>
      <w:r>
        <w:lastRenderedPageBreak/>
        <w:t>SUPPLEMENTARY PROTOCOL SP-2: IMPLEMENTATION PROTOCOLS FOR TITLE II (SECURITY AND MILITARY DE-ESCALATION)</w:t>
      </w:r>
      <w:bookmarkEnd w:id="809"/>
    </w:p>
    <w:p w14:paraId="21FADA09" w14:textId="77777777" w:rsidR="00180E7C" w:rsidRDefault="00000000">
      <w:pPr>
        <w:pStyle w:val="Heading2"/>
      </w:pPr>
      <w:bookmarkStart w:id="810" w:name="Xc9a5db07a4719a4f1d48217b117c56a65277709"/>
      <w:r>
        <w:t>SP-2.1 Protocol for Article 16 (Force Withdrawal)</w:t>
      </w:r>
    </w:p>
    <w:p w14:paraId="2F8B40EB" w14:textId="77777777" w:rsidR="00180E7C" w:rsidRDefault="00000000">
      <w:pPr>
        <w:pStyle w:val="Heading3"/>
      </w:pPr>
      <w:bookmarkStart w:id="811" w:name="sp-2.1.1-the-withdrawal-engineering"/>
      <w:r>
        <w:t>SP-2.1.1 The Withdrawal Engineering</w:t>
      </w:r>
    </w:p>
    <w:p w14:paraId="0C465350" w14:textId="77777777" w:rsidR="00180E7C" w:rsidRDefault="00000000">
      <w:pPr>
        <w:pStyle w:val="FirstParagraph"/>
      </w:pPr>
      <w:r>
        <w:t>SP-2.1.1.1 Each tranche executes as an engineering operation: movement orders filed with the JMC 72 hours before execution; convoy and fleet routing through declared corridors; satellite observation windows coordinated; completion photography and sensor confirmation; the tranche certificate issued within 72 hours of completion.</w:t>
      </w:r>
    </w:p>
    <w:p w14:paraId="00F6D2AC" w14:textId="77777777" w:rsidR="00180E7C" w:rsidRDefault="00000000">
      <w:pPr>
        <w:pStyle w:val="Heading3"/>
      </w:pPr>
      <w:bookmarkStart w:id="812" w:name="sp-2.1.2-the-residual-presence-register"/>
      <w:bookmarkEnd w:id="811"/>
      <w:r>
        <w:t>SP-2.1.2 The Residual Presence Register</w:t>
      </w:r>
    </w:p>
    <w:p w14:paraId="17FCC337" w14:textId="77777777" w:rsidR="00180E7C" w:rsidRDefault="00000000">
      <w:pPr>
        <w:pStyle w:val="FirstParagraph"/>
      </w:pPr>
      <w:r>
        <w:t>SP-2.1.2.1 Every unit, vessel, aircraft, and facility remaining in the Gulf Theater after rebalancing registers in the Residual Presence Register with its declared peacetime posture. The Register updates quarterly; any unit not in the Register and not in transit notification registers as an anomaly.</w:t>
      </w:r>
    </w:p>
    <w:p w14:paraId="56D9C755" w14:textId="77777777" w:rsidR="00180E7C" w:rsidRDefault="00000000">
      <w:pPr>
        <w:pStyle w:val="Heading2"/>
      </w:pPr>
      <w:bookmarkStart w:id="813" w:name="Xeb2d9d2f2ad726fccade50bfd31169bcc9fc730"/>
      <w:bookmarkEnd w:id="810"/>
      <w:bookmarkEnd w:id="812"/>
      <w:r>
        <w:t>SP-2.2 Protocol for Article 17 (Buffer Zones)</w:t>
      </w:r>
    </w:p>
    <w:p w14:paraId="7BC0EF9D" w14:textId="77777777" w:rsidR="00180E7C" w:rsidRDefault="00000000">
      <w:pPr>
        <w:pStyle w:val="Heading3"/>
      </w:pPr>
      <w:bookmarkStart w:id="814" w:name="sp-2.2.1-buffer-marking-and-monitoring"/>
      <w:r>
        <w:t>SP-2.2.1 Buffer Marking and Monitoring</w:t>
      </w:r>
    </w:p>
    <w:p w14:paraId="33B55990" w14:textId="77777777" w:rsidR="00180E7C" w:rsidRDefault="00000000">
      <w:pPr>
        <w:pStyle w:val="FirstParagraph"/>
      </w:pPr>
      <w:r>
        <w:t>SP-2.2.1.1 The Deconfliction Belts mark on all navigation systems of both Parties’ forces; the JMC monitors belt integrity through the sensor architecture; a belt incursion triggers immediate notification and the unit’s withdrawal within six hours.</w:t>
      </w:r>
    </w:p>
    <w:p w14:paraId="4F39C925" w14:textId="77777777" w:rsidR="00180E7C" w:rsidRDefault="00000000">
      <w:pPr>
        <w:pStyle w:val="Heading2"/>
      </w:pPr>
      <w:bookmarkStart w:id="815" w:name="X0c9ac0b2448e19b0815e3a746a2aa162056ffd3"/>
      <w:bookmarkEnd w:id="813"/>
      <w:bookmarkEnd w:id="814"/>
      <w:r>
        <w:t>SP-2.3 Protocol for Article 18 (Rules of Engagement)</w:t>
      </w:r>
    </w:p>
    <w:p w14:paraId="76E6767E" w14:textId="77777777" w:rsidR="00180E7C" w:rsidRDefault="00000000">
      <w:pPr>
        <w:pStyle w:val="Heading3"/>
      </w:pPr>
      <w:bookmarkStart w:id="816" w:name="sp-2.3.1-roe-cards"/>
      <w:r>
        <w:t>SP-2.3.1 ROE Cards</w:t>
      </w:r>
    </w:p>
    <w:p w14:paraId="025CA8C1" w14:textId="77777777" w:rsidR="00180E7C" w:rsidRDefault="00000000">
      <w:pPr>
        <w:pStyle w:val="FirstParagraph"/>
      </w:pPr>
      <w:r>
        <w:t>SP-2.3.1.1 Both Parties issue harmonized ROE cards to all Theater units: the positive identification requirement, the approach distances, the prohibited profiles, the self-defense confinement, the notification duties. The cards’ texts exchange through the JOCs, so each side knows the other’s operating constraints.</w:t>
      </w:r>
    </w:p>
    <w:p w14:paraId="37C293A9" w14:textId="77777777" w:rsidR="00180E7C" w:rsidRDefault="00000000">
      <w:pPr>
        <w:pStyle w:val="Heading2"/>
      </w:pPr>
      <w:bookmarkStart w:id="817" w:name="sp-2.4-protocol-for-article-19-airspace"/>
      <w:bookmarkEnd w:id="815"/>
      <w:bookmarkEnd w:id="816"/>
      <w:r>
        <w:t>SP-2.4 Protocol for Article 19 (Airspace)</w:t>
      </w:r>
    </w:p>
    <w:p w14:paraId="3EA77FEE" w14:textId="77777777" w:rsidR="00180E7C" w:rsidRDefault="00000000">
      <w:pPr>
        <w:pStyle w:val="Heading3"/>
      </w:pPr>
      <w:bookmarkStart w:id="818" w:name="Xa9dbe9c485e59931a39353cb7b71c6d5f068d39"/>
      <w:r>
        <w:t>SP-2.4.1 The Daily Air Picture Conference</w:t>
      </w:r>
    </w:p>
    <w:p w14:paraId="3AE3AD85" w14:textId="77777777" w:rsidR="00180E7C" w:rsidRDefault="00000000">
      <w:pPr>
        <w:pStyle w:val="FirstParagraph"/>
      </w:pPr>
      <w:r>
        <w:t>SP-2.4.1.1 The Air Coordination Cell holds the daily air picture conference at 0800 UTC: review of the previous 24 hours’ tracks, upcoming verification flights, exercise notices, and any identification events. Minutes log in the SDR.</w:t>
      </w:r>
    </w:p>
    <w:p w14:paraId="4B849BE9" w14:textId="77777777" w:rsidR="00180E7C" w:rsidRDefault="00000000">
      <w:pPr>
        <w:pStyle w:val="Heading2"/>
      </w:pPr>
      <w:bookmarkStart w:id="819" w:name="Xccb7b0e1b922a3fae3cd8875feffa80fe347d65"/>
      <w:bookmarkEnd w:id="817"/>
      <w:bookmarkEnd w:id="818"/>
      <w:r>
        <w:lastRenderedPageBreak/>
        <w:t>SP-2.5 Protocol for Article 20 (Naval Deconfliction)</w:t>
      </w:r>
    </w:p>
    <w:p w14:paraId="395E1642" w14:textId="77777777" w:rsidR="00180E7C" w:rsidRDefault="00000000">
      <w:pPr>
        <w:pStyle w:val="Heading3"/>
      </w:pPr>
      <w:bookmarkStart w:id="820" w:name="sp-2.5.1-the-transit-window-system"/>
      <w:r>
        <w:t>SP-2.5.1 The Transit Window System</w:t>
      </w:r>
    </w:p>
    <w:p w14:paraId="6988A8EE" w14:textId="77777777" w:rsidR="00180E7C" w:rsidRDefault="00000000">
      <w:pPr>
        <w:pStyle w:val="FirstParagraph"/>
      </w:pPr>
      <w:r>
        <w:t>SP-2.5.1.1 Naval transits of the Strait book through the MOC’s transit window system: 24-hour advance declaration, window assignment, publication in the daily bulletin, and data-link tracking through the transit. Military transits never coincide with high-density commercial peaks where avoidable.</w:t>
      </w:r>
    </w:p>
    <w:p w14:paraId="3AC5B330" w14:textId="77777777" w:rsidR="00180E7C" w:rsidRDefault="00000000">
      <w:pPr>
        <w:pStyle w:val="Heading2"/>
      </w:pPr>
      <w:bookmarkStart w:id="821" w:name="sp-2.6-protocol-for-article-21-missiles"/>
      <w:bookmarkEnd w:id="819"/>
      <w:bookmarkEnd w:id="820"/>
      <w:r>
        <w:t>SP-2.6 Protocol for Article 21 (Missiles)</w:t>
      </w:r>
    </w:p>
    <w:p w14:paraId="4D781486" w14:textId="77777777" w:rsidR="00180E7C" w:rsidRDefault="00000000">
      <w:pPr>
        <w:pStyle w:val="Heading3"/>
      </w:pPr>
      <w:bookmarkStart w:id="822" w:name="sp-2.6.1-launch-event-procedure"/>
      <w:r>
        <w:t>SP-2.6.1 Launch Event Procedure</w:t>
      </w:r>
    </w:p>
    <w:p w14:paraId="12B83B97" w14:textId="77777777" w:rsidR="00180E7C" w:rsidRDefault="00000000">
      <w:pPr>
        <w:pStyle w:val="FirstParagraph"/>
      </w:pPr>
      <w:r>
        <w:t>SP-2.6.1.1 Any launch detection anywhere in the region triggers: sensor correlation within 15 minutes; classification (declared space launch, notified training launch, or undeclared event); for undeclared events, immediate Level 3 registration and the Anomaly Response Playbook.</w:t>
      </w:r>
    </w:p>
    <w:p w14:paraId="40D2BA57" w14:textId="77777777" w:rsidR="00180E7C" w:rsidRDefault="00000000">
      <w:pPr>
        <w:pStyle w:val="Heading2"/>
      </w:pPr>
      <w:bookmarkStart w:id="823" w:name="sp-2.7-protocol-for-article-22-cyber"/>
      <w:bookmarkEnd w:id="821"/>
      <w:bookmarkEnd w:id="822"/>
      <w:r>
        <w:t>SP-2.7 Protocol for Article 22 (Cyber)</w:t>
      </w:r>
    </w:p>
    <w:p w14:paraId="6F437511" w14:textId="77777777" w:rsidR="00180E7C" w:rsidRDefault="00000000">
      <w:pPr>
        <w:pStyle w:val="Heading3"/>
      </w:pPr>
      <w:bookmarkStart w:id="824" w:name="sp-2.7.1-the-protected-systems-inventory"/>
      <w:r>
        <w:t>SP-2.7.1 The Protected Systems Inventory</w:t>
      </w:r>
    </w:p>
    <w:p w14:paraId="09EF08BC" w14:textId="77777777" w:rsidR="00180E7C" w:rsidRDefault="00000000">
      <w:pPr>
        <w:pStyle w:val="FirstParagraph"/>
      </w:pPr>
      <w:r>
        <w:t>SP-2.7.1.1 The Joint Cyber Review Cell maintains the Protected Systems Inventory: the verification systems, escrow systems, corridor systems, and critical infrastructure interfaces of both Parties. Penetration testing of treaty systems occurs only by the Cell’s own red team under standing authorization.</w:t>
      </w:r>
    </w:p>
    <w:p w14:paraId="322EDC01" w14:textId="77777777" w:rsidR="00180E7C" w:rsidRDefault="00000000">
      <w:pPr>
        <w:pStyle w:val="Heading2"/>
      </w:pPr>
      <w:bookmarkStart w:id="825" w:name="sp-2.8-protocol-for-article-24-jocs"/>
      <w:bookmarkEnd w:id="823"/>
      <w:bookmarkEnd w:id="824"/>
      <w:r>
        <w:t>SP-2.8 Protocol for Article 24 (JOCs)</w:t>
      </w:r>
    </w:p>
    <w:p w14:paraId="4ABAE5AF" w14:textId="77777777" w:rsidR="00180E7C" w:rsidRDefault="00000000">
      <w:pPr>
        <w:pStyle w:val="Heading3"/>
      </w:pPr>
      <w:bookmarkStart w:id="826" w:name="Xeea44621e62aec94d0b55b46ec1750eecc9ae03"/>
      <w:r>
        <w:t>SP-2.8.1 JOC Standing Operating Procedures</w:t>
      </w:r>
    </w:p>
    <w:p w14:paraId="7F0A43CF" w14:textId="77777777" w:rsidR="00180E7C" w:rsidRDefault="00000000">
      <w:pPr>
        <w:pStyle w:val="FirstParagraph"/>
      </w:pPr>
      <w:r>
        <w:t>SP-2.8.1.1 Each JOC operates under its SOP: watch rotation (four shifts, six hours); the daily coordination call schedule; the incident classification cards; the situation report format; the escalation matrix; the liaison officer authorities. The SOPs harmonize between JOC-Muscat and JOC-Doha, with the annual JOC conference aligning practice.</w:t>
      </w:r>
    </w:p>
    <w:p w14:paraId="47D86937" w14:textId="77777777" w:rsidR="00180E7C" w:rsidRDefault="00000000">
      <w:pPr>
        <w:pStyle w:val="Heading2"/>
      </w:pPr>
      <w:bookmarkStart w:id="827" w:name="X9625bd55fce6e2c07c24edb51a4678453383e53"/>
      <w:bookmarkEnd w:id="825"/>
      <w:bookmarkEnd w:id="826"/>
      <w:r>
        <w:t>SP-2.9 Protocol for Article 28 (Inspections)</w:t>
      </w:r>
    </w:p>
    <w:p w14:paraId="54493720" w14:textId="77777777" w:rsidR="00180E7C" w:rsidRDefault="00000000">
      <w:pPr>
        <w:pStyle w:val="Heading3"/>
      </w:pPr>
      <w:bookmarkStart w:id="828" w:name="sp-2.9.1-inspection-mission-cycle"/>
      <w:r>
        <w:t>SP-2.9.1 Inspection Mission Cycle</w:t>
      </w:r>
    </w:p>
    <w:p w14:paraId="17D49FCB" w14:textId="77777777" w:rsidR="00180E7C" w:rsidRDefault="00000000">
      <w:pPr>
        <w:pStyle w:val="FirstParagraph"/>
      </w:pPr>
      <w:r>
        <w:t>SP-2.9.1.1 Each inspection runs the standard cycle: notification (14 days scheduled, 72 hours challenge); team assembly from the roster; pre-brief; access per the managed access protocol; on-site record agreement; report within 14 days; SDR logging; finding classification. Inspection statistics publish quarterly.</w:t>
      </w:r>
    </w:p>
    <w:p w14:paraId="5302E811" w14:textId="77777777" w:rsidR="00180E7C" w:rsidRDefault="00000000">
      <w:pPr>
        <w:pStyle w:val="Heading2"/>
      </w:pPr>
      <w:bookmarkStart w:id="829" w:name="X2b713ffdf84d25813cb6de9461b23c3fcc1b596"/>
      <w:bookmarkEnd w:id="827"/>
      <w:bookmarkEnd w:id="828"/>
      <w:r>
        <w:lastRenderedPageBreak/>
        <w:t>SP-2.10 Protocol for Article 29 (Emergency Mechanisms)</w:t>
      </w:r>
    </w:p>
    <w:p w14:paraId="318DAC4B" w14:textId="77777777" w:rsidR="00180E7C" w:rsidRDefault="00000000">
      <w:pPr>
        <w:pStyle w:val="Heading3"/>
      </w:pPr>
      <w:bookmarkStart w:id="830" w:name="sp-2.10.1-the-emergency-session-kit"/>
      <w:r>
        <w:t>SP-2.10.1 The Emergency Session Kit</w:t>
      </w:r>
    </w:p>
    <w:p w14:paraId="2317841A" w14:textId="77777777" w:rsidR="00180E7C" w:rsidRDefault="00000000">
      <w:pPr>
        <w:pStyle w:val="FirstParagraph"/>
      </w:pPr>
      <w:r>
        <w:t>SP-2.10.1.1 The Swiss Facilitator maintains the Emergency Session kit: standing video bridge, principal contact roster updated monthly, the agenda template, the de-escalation directive template, and the 24-hour clock discipline. The kit’s readiness tests monthly.</w:t>
      </w:r>
    </w:p>
    <w:p w14:paraId="58339E87" w14:textId="77777777" w:rsidR="00180E7C" w:rsidRDefault="00000000">
      <w:r>
        <w:br w:type="page"/>
      </w:r>
    </w:p>
    <w:p w14:paraId="4F558D04" w14:textId="77777777" w:rsidR="00180E7C" w:rsidRDefault="00000000">
      <w:pPr>
        <w:pStyle w:val="Heading1"/>
      </w:pPr>
      <w:bookmarkStart w:id="831" w:name="X5fe4a8309ea5f9e58653713939cc41005406fff"/>
      <w:bookmarkStart w:id="832" w:name="_Toc237843184"/>
      <w:bookmarkEnd w:id="808"/>
      <w:bookmarkEnd w:id="829"/>
      <w:bookmarkEnd w:id="830"/>
      <w:r>
        <w:lastRenderedPageBreak/>
        <w:t>SUPPLEMENTARY PROTOCOL SP-3: IMPLEMENTATION PROTOCOLS FOR TITLE III (HORMUZ GOVERNANCE)</w:t>
      </w:r>
      <w:bookmarkEnd w:id="832"/>
    </w:p>
    <w:p w14:paraId="200FA27B" w14:textId="77777777" w:rsidR="00180E7C" w:rsidRDefault="00000000">
      <w:pPr>
        <w:pStyle w:val="Heading2"/>
      </w:pPr>
      <w:bookmarkStart w:id="833" w:name="X53ce67d16179fe94e8ab28e4f4026f42fcef029"/>
      <w:r>
        <w:t>SP-3.1 The Rules of Transit Handbook (Operative Text)</w:t>
      </w:r>
    </w:p>
    <w:p w14:paraId="12D8FBDD" w14:textId="77777777" w:rsidR="00180E7C" w:rsidRDefault="00000000">
      <w:pPr>
        <w:pStyle w:val="Heading3"/>
      </w:pPr>
      <w:bookmarkStart w:id="834" w:name="sp-3.1.1-chapter-1-before-entry"/>
      <w:r>
        <w:t>SP-3.1.1 Chapter 1: Before Entry</w:t>
      </w:r>
    </w:p>
    <w:p w14:paraId="29430316" w14:textId="77777777" w:rsidR="00180E7C" w:rsidRDefault="00000000">
      <w:pPr>
        <w:pStyle w:val="FirstParagraph"/>
      </w:pPr>
      <w:r>
        <w:t>SP-3.1.1.1 Twelve hours before corridor entry, the vessel files electronically with the Authority: vessel particulars (name, IMO number, flag, class, dimensions); crew manifest summary; cargo manifest with IMDG declarations where applicable; last port and next port; agent details; and the declaration of compliance with the Rules of Transit. The Authority’s system acknowledges filing within 30 minutes and issues the Transit Reference Number.</w:t>
      </w:r>
    </w:p>
    <w:p w14:paraId="0ADA2682" w14:textId="77777777" w:rsidR="00180E7C" w:rsidRDefault="00000000">
      <w:pPr>
        <w:pStyle w:val="BodyText"/>
      </w:pPr>
      <w:r>
        <w:t>SP-3.1.1.2 Vessels above the pilotage threshold (Table B-8: tankers above 150,000 DWT, vessels above 300 meters LOA, and hazardous cargo carriers above 50,000 DWT) book pilotage at filing. Other vessels elect pilotage optionally.</w:t>
      </w:r>
    </w:p>
    <w:p w14:paraId="6E03EF96" w14:textId="77777777" w:rsidR="00180E7C" w:rsidRDefault="00000000">
      <w:pPr>
        <w:pStyle w:val="Heading3"/>
      </w:pPr>
      <w:bookmarkStart w:id="835" w:name="sp-3.1.2-chapter-2-corridor-entry"/>
      <w:bookmarkEnd w:id="834"/>
      <w:r>
        <w:t>SP-3.1.2 Chapter 2: Corridor Entry</w:t>
      </w:r>
    </w:p>
    <w:p w14:paraId="280B4DB2" w14:textId="77777777" w:rsidR="00180E7C" w:rsidRDefault="00000000">
      <w:pPr>
        <w:pStyle w:val="FirstParagraph"/>
      </w:pPr>
      <w:r>
        <w:t>SP-3.1.2.1 At the entry gate, the vessel: reports to the MOC on the working channel with its Transit Reference Number; confirms AIS transmission; receives lane assignment and any spacing instructions; and proceeds at the corridor speed regime. Identity verification completes within the entry segment through AIS correlation, visual or electronic identification, and manifest matching.</w:t>
      </w:r>
    </w:p>
    <w:p w14:paraId="54B07769" w14:textId="77777777" w:rsidR="00180E7C" w:rsidRDefault="00000000">
      <w:pPr>
        <w:pStyle w:val="Heading3"/>
      </w:pPr>
      <w:bookmarkStart w:id="836" w:name="sp-3.1.3-chapter-3-in-transit-conduct"/>
      <w:bookmarkEnd w:id="835"/>
      <w:r>
        <w:t>SP-3.1.3 Chapter 3: In-Transit Conduct</w:t>
      </w:r>
    </w:p>
    <w:p w14:paraId="10E1D781" w14:textId="77777777" w:rsidR="00180E7C" w:rsidRDefault="00000000">
      <w:pPr>
        <w:pStyle w:val="FirstParagraph"/>
      </w:pPr>
      <w:r>
        <w:t>SP-3.1.3.1 In transit, the vessel: maintains AIS continuous broadcast; maintains listening watch on the working channel; observes spacing and speed rules; overtakes only in designated sectors; makes no unscheduled stops; and reports immediately any casualty, hazard, or deviation. Dark-mode sailing, cargo concealment, unscheduled lane crossing, and loitering in the buffer corridor constitute prohibited conduct registering as compliance events.</w:t>
      </w:r>
    </w:p>
    <w:p w14:paraId="431539F8" w14:textId="77777777" w:rsidR="00180E7C" w:rsidRDefault="00000000">
      <w:pPr>
        <w:pStyle w:val="Heading3"/>
      </w:pPr>
      <w:bookmarkStart w:id="837" w:name="sp-3.1.4-chapter-4-exit-and-post-transit"/>
      <w:bookmarkEnd w:id="836"/>
      <w:r>
        <w:t>SP-3.1.4 Chapter 4: Exit and Post-Transit</w:t>
      </w:r>
    </w:p>
    <w:p w14:paraId="205DAB39" w14:textId="77777777" w:rsidR="00180E7C" w:rsidRDefault="00000000">
      <w:pPr>
        <w:pStyle w:val="FirstParagraph"/>
      </w:pPr>
      <w:r>
        <w:t>SP-3.1.4.1 At the exit gate, the vessel reports transit completion; the MOC closes the transit record; the Verification Cell audits a sample of transit records daily against manifests and tracks. Discrepancies open compliance queries under Article 36.</w:t>
      </w:r>
    </w:p>
    <w:p w14:paraId="447E722A" w14:textId="77777777" w:rsidR="00180E7C" w:rsidRDefault="00000000">
      <w:pPr>
        <w:pStyle w:val="Heading3"/>
      </w:pPr>
      <w:bookmarkStart w:id="838" w:name="sp-3.1.5-chapter-5-military-vessels"/>
      <w:bookmarkEnd w:id="837"/>
      <w:r>
        <w:t>SP-3.1.5 Chapter 5: Military Vessels</w:t>
      </w:r>
    </w:p>
    <w:p w14:paraId="41EE8189" w14:textId="77777777" w:rsidR="00180E7C" w:rsidRDefault="00000000">
      <w:pPr>
        <w:pStyle w:val="FirstParagraph"/>
      </w:pPr>
      <w:r>
        <w:t>SP-3.1.5.1 Military vessels of all states transit under the declaration regime: 24-hour advance declaration to the MOC; continuous and expeditious transit; no exercises, launches, or intelligence maneuvers within the corridors; data-link or AIS transmission as applicable.</w:t>
      </w:r>
    </w:p>
    <w:p w14:paraId="75EC3B29" w14:textId="77777777" w:rsidR="00180E7C" w:rsidRDefault="00000000">
      <w:pPr>
        <w:pStyle w:val="Heading3"/>
      </w:pPr>
      <w:bookmarkStart w:id="839" w:name="sp-3.1.6-chapter-6-emergency-conduct"/>
      <w:bookmarkEnd w:id="838"/>
      <w:r>
        <w:lastRenderedPageBreak/>
        <w:t>SP-3.1.6 Chapter 6: Emergency Conduct</w:t>
      </w:r>
    </w:p>
    <w:p w14:paraId="02A67E4C" w14:textId="77777777" w:rsidR="00180E7C" w:rsidRDefault="00000000">
      <w:pPr>
        <w:pStyle w:val="FirstParagraph"/>
      </w:pPr>
      <w:r>
        <w:t>SP-3.1.6.1 A vessel in distress activates: immediate MOC notification; the emergency lane system; the SAR architecture. Distress overrides every formality; documentation follows rescue.</w:t>
      </w:r>
    </w:p>
    <w:p w14:paraId="4847DA63" w14:textId="77777777" w:rsidR="00180E7C" w:rsidRDefault="00000000">
      <w:pPr>
        <w:pStyle w:val="Heading2"/>
      </w:pPr>
      <w:bookmarkStart w:id="840" w:name="X37e06a09cef0c34b8ff8c521fe8e68d40fdf983"/>
      <w:bookmarkEnd w:id="833"/>
      <w:bookmarkEnd w:id="839"/>
      <w:r>
        <w:t>SP-3.2 The MOC Standing Operating Procedures</w:t>
      </w:r>
    </w:p>
    <w:p w14:paraId="0791EB53" w14:textId="77777777" w:rsidR="00180E7C" w:rsidRDefault="00000000">
      <w:pPr>
        <w:pStyle w:val="Heading3"/>
      </w:pPr>
      <w:bookmarkStart w:id="841" w:name="sp-3.2.1-watch-organization"/>
      <w:r>
        <w:t>SP-3.2.1 Watch Organization</w:t>
      </w:r>
    </w:p>
    <w:p w14:paraId="03FD9417" w14:textId="77777777" w:rsidR="00180E7C" w:rsidRDefault="00000000">
      <w:pPr>
        <w:pStyle w:val="FirstParagraph"/>
      </w:pPr>
      <w:r>
        <w:t>SP-3.2.1.1 The MOC operates four watch sections on six-hour rotations, each comprising: the duty officer (alternating Omani/Iranian seniority), two traffic coordinators, one Verification Cell liaison, one SAR coordinator, and one communications operator. The Muscat mirror maintains a warm-standby watch capable of full assumption within 15 minutes.</w:t>
      </w:r>
    </w:p>
    <w:p w14:paraId="3226EE07" w14:textId="77777777" w:rsidR="00180E7C" w:rsidRDefault="00000000">
      <w:pPr>
        <w:pStyle w:val="Heading3"/>
      </w:pPr>
      <w:bookmarkStart w:id="842" w:name="sp-3.2.2-the-traffic-picture"/>
      <w:bookmarkEnd w:id="841"/>
      <w:r>
        <w:t>SP-3.2.2 The Traffic Picture</w:t>
      </w:r>
    </w:p>
    <w:p w14:paraId="1A865AD0" w14:textId="77777777" w:rsidR="00180E7C" w:rsidRDefault="00000000">
      <w:pPr>
        <w:pStyle w:val="FirstParagraph"/>
      </w:pPr>
      <w:r>
        <w:t>SP-3.2.2.1 The fused traffic picture integrates: coastal radar chains, AIS aggregation, satellite feeds, and corridor sensors. The picture refreshes continuously; track data logs to the SDR with ten-year retention.</w:t>
      </w:r>
    </w:p>
    <w:p w14:paraId="2F568FFE" w14:textId="77777777" w:rsidR="00180E7C" w:rsidRDefault="00000000">
      <w:pPr>
        <w:pStyle w:val="Heading3"/>
      </w:pPr>
      <w:bookmarkStart w:id="843" w:name="sp-3.2.3-daily-rhythm"/>
      <w:bookmarkEnd w:id="842"/>
      <w:r>
        <w:t>SP-3.2.3 Daily Rhythm</w:t>
      </w:r>
    </w:p>
    <w:p w14:paraId="26DEC01E" w14:textId="77777777" w:rsidR="00180E7C" w:rsidRDefault="00000000">
      <w:pPr>
        <w:pStyle w:val="FirstParagraph"/>
      </w:pPr>
      <w:r>
        <w:t>SP-3.2.3.1 The MOC publishes the daily navigational bulletin at 0400 UTC: corridor status, transit windows (including declared naval transits), hazards, exercises, weather, and notices. The weekly Notice to Mariners compiles amendments; urgent notices issue immediately.</w:t>
      </w:r>
    </w:p>
    <w:p w14:paraId="4A7D0541" w14:textId="77777777" w:rsidR="00180E7C" w:rsidRDefault="00000000">
      <w:pPr>
        <w:pStyle w:val="Heading2"/>
      </w:pPr>
      <w:bookmarkStart w:id="844" w:name="X39e2e2baec34667743259ef98c6a65f67ebeb55"/>
      <w:bookmarkEnd w:id="840"/>
      <w:bookmarkEnd w:id="843"/>
      <w:r>
        <w:t>SP-3.3 The Interdiction Protocol Operating Detail</w:t>
      </w:r>
    </w:p>
    <w:p w14:paraId="393F7DF5" w14:textId="77777777" w:rsidR="00180E7C" w:rsidRDefault="00000000">
      <w:pPr>
        <w:pStyle w:val="Heading3"/>
      </w:pPr>
      <w:bookmarkStart w:id="845" w:name="sp-3.3.1-the-twin-key-authorization-file"/>
      <w:r>
        <w:t>SP-3.3.1 The Twin-Key Authorization File</w:t>
      </w:r>
    </w:p>
    <w:p w14:paraId="53CFF6B2" w14:textId="77777777" w:rsidR="00180E7C" w:rsidRDefault="00000000">
      <w:pPr>
        <w:pStyle w:val="FirstParagraph"/>
      </w:pPr>
      <w:r>
        <w:t>SP-3.3.1.1 Every interdiction opens an authorization file before action: the Level 4 indicator evidence; the Omani authorizing officer’s written concurrence; the Iranian authorizing officer’s written concurrence; the international Cell officer’s witness attestation; the designated executing asset; and the continuous observation plan. The file completes before the vessel receives any direction to stop, except an attack in progress, where the executing asset acts first and the file completes within one hour with the MOC recording the emergency basis.</w:t>
      </w:r>
    </w:p>
    <w:p w14:paraId="6C37EA92" w14:textId="77777777" w:rsidR="00180E7C" w:rsidRDefault="00000000">
      <w:pPr>
        <w:pStyle w:val="Heading3"/>
      </w:pPr>
      <w:bookmarkStart w:id="846" w:name="sp-3.3.2-execution-standards"/>
      <w:bookmarkEnd w:id="845"/>
      <w:r>
        <w:t>SP-3.3.2 Execution Standards</w:t>
      </w:r>
    </w:p>
    <w:p w14:paraId="382ED00F" w14:textId="77777777" w:rsidR="00180E7C" w:rsidRDefault="00000000">
      <w:pPr>
        <w:pStyle w:val="FirstParagraph"/>
      </w:pPr>
      <w:r>
        <w:t>SP-3.3.2.1 Interdictions execute with: graduated warning (bridge-to-bridge, then signal, then positioning); minimum force; body-worn and sensor recording; continuous Cell observation; immediate Registry logging; flag state notification within four hours; and detention review availability within 48 hours.</w:t>
      </w:r>
    </w:p>
    <w:p w14:paraId="76F0B460" w14:textId="77777777" w:rsidR="00180E7C" w:rsidRDefault="00000000">
      <w:pPr>
        <w:pStyle w:val="Heading2"/>
      </w:pPr>
      <w:bookmarkStart w:id="847" w:name="sp-3.4-the-verification-cell-handbook"/>
      <w:bookmarkEnd w:id="844"/>
      <w:bookmarkEnd w:id="846"/>
      <w:r>
        <w:lastRenderedPageBreak/>
        <w:t>SP-3.4 The Verification Cell Handbook</w:t>
      </w:r>
    </w:p>
    <w:p w14:paraId="0B44BA6B" w14:textId="77777777" w:rsidR="00180E7C" w:rsidRDefault="00000000">
      <w:pPr>
        <w:pStyle w:val="Heading3"/>
      </w:pPr>
      <w:bookmarkStart w:id="848" w:name="sp-3.4.1-audit-programs"/>
      <w:r>
        <w:t>SP-3.4.1 Audit Programs</w:t>
      </w:r>
    </w:p>
    <w:p w14:paraId="66B051F1" w14:textId="77777777" w:rsidR="00180E7C" w:rsidRDefault="00000000">
      <w:pPr>
        <w:pStyle w:val="FirstParagraph"/>
      </w:pPr>
      <w:r>
        <w:t>SP-3.4.1.1 The Cells operate: the daily transit audit (sample not less than 10 percent of transits); the weekly manifest reconciliation; the monthly lane compliance analysis; the quarterly system integrity review (sensors, data mirroring, Registry health); and the annual full-scope audit supporting the Authority’s annual report.</w:t>
      </w:r>
    </w:p>
    <w:p w14:paraId="154477CD" w14:textId="77777777" w:rsidR="00180E7C" w:rsidRDefault="00000000">
      <w:pPr>
        <w:pStyle w:val="Heading3"/>
      </w:pPr>
      <w:bookmarkStart w:id="849" w:name="sp-3.4.2-reporting-lines"/>
      <w:bookmarkEnd w:id="848"/>
      <w:r>
        <w:t>SP-3.4.2 Reporting Lines</w:t>
      </w:r>
    </w:p>
    <w:p w14:paraId="7EB4A080" w14:textId="77777777" w:rsidR="00180E7C" w:rsidRDefault="00000000">
      <w:pPr>
        <w:pStyle w:val="FirstParagraph"/>
      </w:pPr>
      <w:r>
        <w:t>SP-3.4.2.1 Cell products flow: daily logs to the MOC and Secretariat; weekly summaries to the Council; monthly compliance reports to the Council and the JMC; immediate alerts per the anomaly system. No authority edits Cell products; comments attach, never overwrite.</w:t>
      </w:r>
    </w:p>
    <w:p w14:paraId="727E5512" w14:textId="77777777" w:rsidR="00180E7C" w:rsidRDefault="00000000">
      <w:pPr>
        <w:pStyle w:val="Heading2"/>
      </w:pPr>
      <w:bookmarkStart w:id="850" w:name="sp-3.5-the-fee-administration-manual"/>
      <w:bookmarkEnd w:id="847"/>
      <w:bookmarkEnd w:id="849"/>
      <w:r>
        <w:t>SP-3.5 The Fee Administration Manual</w:t>
      </w:r>
    </w:p>
    <w:p w14:paraId="73927611" w14:textId="77777777" w:rsidR="00180E7C" w:rsidRDefault="00000000">
      <w:pPr>
        <w:pStyle w:val="Heading3"/>
      </w:pPr>
      <w:bookmarkStart w:id="851" w:name="sp-3.5.1-billing-and-collection"/>
      <w:r>
        <w:t>SP-3.5.1 Billing and Collection</w:t>
      </w:r>
    </w:p>
    <w:p w14:paraId="54C864FB" w14:textId="77777777" w:rsidR="00180E7C" w:rsidRDefault="00000000">
      <w:pPr>
        <w:pStyle w:val="FirstParagraph"/>
      </w:pPr>
      <w:r>
        <w:t>SP-3.5.1.1 Catalog services bill through the Authority’s billing system against the Transit Reference Number; agents settle monthly; the Fund account at the designated settlement bank receives all collections; allocation runs quarterly per Table B-11 with audit confirmation.</w:t>
      </w:r>
    </w:p>
    <w:p w14:paraId="26D6E64C" w14:textId="77777777" w:rsidR="00180E7C" w:rsidRDefault="00000000">
      <w:pPr>
        <w:pStyle w:val="Heading3"/>
      </w:pPr>
      <w:bookmarkStart w:id="852" w:name="sp-3.5.2-the-anti-audit-discipline"/>
      <w:bookmarkEnd w:id="851"/>
      <w:r>
        <w:t>SP-3.5.2 The Anti-Audit Discipline</w:t>
      </w:r>
    </w:p>
    <w:p w14:paraId="1D4DC7C8" w14:textId="77777777" w:rsidR="00180E7C" w:rsidRDefault="00000000">
      <w:pPr>
        <w:pStyle w:val="FirstParagraph"/>
      </w:pPr>
      <w:r>
        <w:t>SP-3.5.2.1 Any charge demanded outside the Catalog reports through the Authority’s compliance hotline (open to masters, agents, and crews); the charge voids automatically; refund with interest processes within 30 days; repeated incidents trigger the governance review.</w:t>
      </w:r>
    </w:p>
    <w:p w14:paraId="4BF5F2C9" w14:textId="77777777" w:rsidR="00180E7C" w:rsidRDefault="00000000">
      <w:pPr>
        <w:pStyle w:val="Heading2"/>
      </w:pPr>
      <w:bookmarkStart w:id="853" w:name="X1a9ba65327b4af44c320e415d9feb6c1e8be880"/>
      <w:bookmarkEnd w:id="850"/>
      <w:bookmarkEnd w:id="852"/>
      <w:r>
        <w:t>SP-3.6 The Environmental Operating Program</w:t>
      </w:r>
    </w:p>
    <w:p w14:paraId="356FEC86" w14:textId="77777777" w:rsidR="00180E7C" w:rsidRDefault="00000000">
      <w:pPr>
        <w:pStyle w:val="Heading3"/>
      </w:pPr>
      <w:bookmarkStart w:id="854" w:name="sp-3.6.1-monitoring-network"/>
      <w:r>
        <w:t>SP-3.6.1 Monitoring Network</w:t>
      </w:r>
    </w:p>
    <w:p w14:paraId="21D1B2EA" w14:textId="77777777" w:rsidR="00180E7C" w:rsidRDefault="00000000">
      <w:pPr>
        <w:pStyle w:val="FirstParagraph"/>
      </w:pPr>
      <w:r>
        <w:t>SP-3.6.1.1 The program operates: 12 water quality stations; continuous oil-in-water sensing at the corridor boundaries; marine mammal acoustic monitoring; aerial survey monthly; the annual state-of-the-Strait report with trend analysis.</w:t>
      </w:r>
    </w:p>
    <w:p w14:paraId="04C97382" w14:textId="77777777" w:rsidR="00180E7C" w:rsidRDefault="00000000">
      <w:pPr>
        <w:pStyle w:val="Heading3"/>
      </w:pPr>
      <w:bookmarkStart w:id="855" w:name="sp-3.6.2-spill-response-drills"/>
      <w:bookmarkEnd w:id="854"/>
      <w:r>
        <w:t>SP-3.6.2 Spill Response Drills</w:t>
      </w:r>
    </w:p>
    <w:p w14:paraId="3F60F40E" w14:textId="77777777" w:rsidR="00180E7C" w:rsidRDefault="00000000">
      <w:pPr>
        <w:pStyle w:val="FirstParagraph"/>
      </w:pPr>
      <w:r>
        <w:t>SP-3.6.2.1 The joint spill response roster drills monthly at Tier 1, quarterly at Tier 2, and annually at Tier 3 with international observers. Drill reports publish.</w:t>
      </w:r>
    </w:p>
    <w:p w14:paraId="057F8EE9" w14:textId="77777777" w:rsidR="00180E7C" w:rsidRDefault="00000000">
      <w:pPr>
        <w:pStyle w:val="Heading2"/>
      </w:pPr>
      <w:bookmarkStart w:id="856" w:name="sp-3.7-the-sar-operating-plan"/>
      <w:bookmarkEnd w:id="853"/>
      <w:bookmarkEnd w:id="855"/>
      <w:r>
        <w:t>SP-3.7 The SAR Operating Plan</w:t>
      </w:r>
    </w:p>
    <w:p w14:paraId="099A419C" w14:textId="77777777" w:rsidR="00180E7C" w:rsidRDefault="00000000">
      <w:pPr>
        <w:pStyle w:val="Heading3"/>
      </w:pPr>
      <w:bookmarkStart w:id="857" w:name="sp-3.7.1-response-posture"/>
      <w:r>
        <w:t>SP-3.7.1 Response Posture</w:t>
      </w:r>
    </w:p>
    <w:p w14:paraId="7DD3C3A7" w14:textId="77777777" w:rsidR="00180E7C" w:rsidRDefault="00000000">
      <w:pPr>
        <w:pStyle w:val="FirstParagraph"/>
      </w:pPr>
      <w:r>
        <w:t xml:space="preserve">SP-3.7.1.1 The posture maintains: rescue vessels at 30-minute readiness at Bandar Abbas and Muscat; helicopter coverage per Table B-15; the emergency lane cleared for SAR </w:t>
      </w:r>
      <w:r>
        <w:lastRenderedPageBreak/>
        <w:t>activation; medical coordination with designated hospitals; the mass rescue plan for passenger vessel contingencies.</w:t>
      </w:r>
    </w:p>
    <w:p w14:paraId="4005D089" w14:textId="77777777" w:rsidR="00180E7C" w:rsidRDefault="00000000">
      <w:pPr>
        <w:pStyle w:val="Heading2"/>
      </w:pPr>
      <w:bookmarkStart w:id="858" w:name="sp-3.8-the-governance-review-cycle"/>
      <w:bookmarkEnd w:id="856"/>
      <w:bookmarkEnd w:id="857"/>
      <w:r>
        <w:t>SP-3.8 The Governance Review Cycle</w:t>
      </w:r>
    </w:p>
    <w:p w14:paraId="3A1DDCC7" w14:textId="77777777" w:rsidR="00180E7C" w:rsidRDefault="00000000">
      <w:pPr>
        <w:pStyle w:val="Heading3"/>
      </w:pPr>
      <w:bookmarkStart w:id="859" w:name="sp-3.8.1-annual-review"/>
      <w:r>
        <w:t>SP-3.8.1 Annual Review</w:t>
      </w:r>
    </w:p>
    <w:p w14:paraId="26ABA34C" w14:textId="77777777" w:rsidR="00180E7C" w:rsidRDefault="00000000">
      <w:pPr>
        <w:pStyle w:val="FirstParagraph"/>
      </w:pPr>
      <w:r>
        <w:t>SP-3.8.1.1 The Council conducts the annual governance review: traffic statistics, incident analysis, fee performance, environmental indicators, dispute statistics, and user feedback from the User Conference; the review adopts operational adjustments under Category B and recommends Category A amendments to the Council.</w:t>
      </w:r>
    </w:p>
    <w:p w14:paraId="21A46EC2" w14:textId="77777777" w:rsidR="00180E7C" w:rsidRDefault="00000000">
      <w:r>
        <w:br w:type="page"/>
      </w:r>
    </w:p>
    <w:p w14:paraId="3C39BB47" w14:textId="77777777" w:rsidR="00180E7C" w:rsidRDefault="00000000">
      <w:pPr>
        <w:pStyle w:val="Heading1"/>
      </w:pPr>
      <w:bookmarkStart w:id="860" w:name="X54df6a51a947394d133e40d1b4ee60365aa3a42"/>
      <w:bookmarkStart w:id="861" w:name="_Toc237843185"/>
      <w:bookmarkEnd w:id="831"/>
      <w:bookmarkEnd w:id="858"/>
      <w:bookmarkEnd w:id="859"/>
      <w:r>
        <w:lastRenderedPageBreak/>
        <w:t>SUPPLEMENTARY PROTOCOL SP-4: IMPLEMENTATION PROTOCOLS FOR TITLE IV (ECONOMIC NORMALIZATION)</w:t>
      </w:r>
      <w:bookmarkEnd w:id="861"/>
    </w:p>
    <w:p w14:paraId="0DD2727B" w14:textId="77777777" w:rsidR="00180E7C" w:rsidRDefault="00000000">
      <w:pPr>
        <w:pStyle w:val="Heading2"/>
      </w:pPr>
      <w:bookmarkStart w:id="862" w:name="Xb331bfe09bb5c4c7ad9e366085c8776baf91883"/>
      <w:r>
        <w:t>SP-4.1 Protocol for Article 46 (Sanctions Termination)</w:t>
      </w:r>
    </w:p>
    <w:p w14:paraId="5D7E8A6F" w14:textId="77777777" w:rsidR="00180E7C" w:rsidRDefault="00000000">
      <w:pPr>
        <w:pStyle w:val="Heading3"/>
      </w:pPr>
      <w:bookmarkStart w:id="863" w:name="Xd8dee16c10e5bc2e8c56b4f98d7e6fdc3f2e785"/>
      <w:r>
        <w:t>SP-4.1.1 The Termination Instrument Register</w:t>
      </w:r>
    </w:p>
    <w:p w14:paraId="5A91B58A" w14:textId="77777777" w:rsidR="00180E7C" w:rsidRDefault="00000000">
      <w:pPr>
        <w:pStyle w:val="FirstParagraph"/>
      </w:pPr>
      <w:r>
        <w:t>SP-4.1.1.1 Every termination executes through a named instrument (statute section, executive order, delisting rule, general license, or notification). The EMB maintains the Termination Instrument Register: instrument, legal effect date, verification key, and publication reference. The Register provides market actors a single authoritative source of what has actually terminated, ending the ambiguity that sustains over-compliance.</w:t>
      </w:r>
    </w:p>
    <w:p w14:paraId="22EE5A95" w14:textId="77777777" w:rsidR="00180E7C" w:rsidRDefault="00000000">
      <w:pPr>
        <w:pStyle w:val="Heading3"/>
      </w:pPr>
      <w:bookmarkStart w:id="864" w:name="sp-4.1.2-the-legal-effect-opinions"/>
      <w:bookmarkEnd w:id="863"/>
      <w:r>
        <w:t>SP-4.1.2 The Legal Effect Opinions</w:t>
      </w:r>
    </w:p>
    <w:p w14:paraId="2D15CBBD" w14:textId="77777777" w:rsidR="00180E7C" w:rsidRDefault="00000000">
      <w:pPr>
        <w:pStyle w:val="FirstParagraph"/>
      </w:pPr>
      <w:r>
        <w:t>SP-4.1.2.1 The United States Treasury issues, at each phase, a legal effect opinion addressed to the private sector: what terminated, what remains, and the safe harbors. Opinions publish in the Federal Register and on the compliance portal.</w:t>
      </w:r>
    </w:p>
    <w:p w14:paraId="3835E1AF" w14:textId="77777777" w:rsidR="00180E7C" w:rsidRDefault="00000000">
      <w:pPr>
        <w:pStyle w:val="Heading2"/>
      </w:pPr>
      <w:bookmarkStart w:id="865" w:name="X049fdcb0a9c5f9bc8071dd0b62701a3a36cd23c"/>
      <w:bookmarkEnd w:id="862"/>
      <w:bookmarkEnd w:id="864"/>
      <w:r>
        <w:t>SP-4.2 Protocol for Article 47 (Asset Release)</w:t>
      </w:r>
    </w:p>
    <w:p w14:paraId="061FD01E" w14:textId="77777777" w:rsidR="00180E7C" w:rsidRDefault="00000000">
      <w:pPr>
        <w:pStyle w:val="Heading3"/>
      </w:pPr>
      <w:bookmarkStart w:id="866" w:name="sp-4.2.1-settlement-calendar"/>
      <w:r>
        <w:t>SP-4.2.1 Settlement Calendar</w:t>
      </w:r>
    </w:p>
    <w:p w14:paraId="0D7FC4B3" w14:textId="77777777" w:rsidR="00180E7C" w:rsidRDefault="00000000">
      <w:pPr>
        <w:pStyle w:val="FirstParagraph"/>
      </w:pPr>
      <w:r>
        <w:t>SP-4.2.1.1 The Escrow Agent publishes the settlement calendar for each release event: instruction date, value date, settlement bank routing, confirmation deadline. Settlement failures escalate to the Escalation Chain within 24 hours with the Technical Dispute Hold applied to the affected amount only.</w:t>
      </w:r>
    </w:p>
    <w:p w14:paraId="79A9CA89" w14:textId="77777777" w:rsidR="00180E7C" w:rsidRDefault="00000000">
      <w:pPr>
        <w:pStyle w:val="Heading2"/>
      </w:pPr>
      <w:bookmarkStart w:id="867" w:name="X89f97401f3ecaab74d99e7159edc2949cf949dd"/>
      <w:bookmarkEnd w:id="865"/>
      <w:bookmarkEnd w:id="866"/>
      <w:r>
        <w:t>SP-4.3 Protocol for Article 48 (Oil Exports)</w:t>
      </w:r>
    </w:p>
    <w:p w14:paraId="01CBDCDD" w14:textId="77777777" w:rsidR="00180E7C" w:rsidRDefault="00000000">
      <w:pPr>
        <w:pStyle w:val="Heading3"/>
      </w:pPr>
      <w:bookmarkStart w:id="868" w:name="sp-4.3.1-the-export-facilitation-desk"/>
      <w:r>
        <w:t>SP-4.3.1 The Export Facilitation Desk</w:t>
      </w:r>
    </w:p>
    <w:p w14:paraId="04E4BDC4" w14:textId="77777777" w:rsidR="00180E7C" w:rsidRDefault="00000000">
      <w:pPr>
        <w:pStyle w:val="FirstParagraph"/>
      </w:pPr>
      <w:r>
        <w:t>SP-4.3.1.1 The EMB operates the Export Facilitation Desk for oil market participants: documentation support, payment channel coordination, insurance interface, and the over-compliance case workflow. The Desk publishes monthly export statistics.</w:t>
      </w:r>
    </w:p>
    <w:p w14:paraId="5650B383" w14:textId="77777777" w:rsidR="00180E7C" w:rsidRDefault="00000000">
      <w:pPr>
        <w:pStyle w:val="Heading2"/>
      </w:pPr>
      <w:bookmarkStart w:id="869" w:name="sp-4.4-protocol-for-article-49-banking"/>
      <w:bookmarkEnd w:id="867"/>
      <w:bookmarkEnd w:id="868"/>
      <w:r>
        <w:t>SP-4.4 Protocol for Article 49 (Banking)</w:t>
      </w:r>
    </w:p>
    <w:p w14:paraId="710398F8" w14:textId="77777777" w:rsidR="00180E7C" w:rsidRDefault="00000000">
      <w:pPr>
        <w:pStyle w:val="Heading3"/>
      </w:pPr>
      <w:bookmarkStart w:id="870" w:name="sp-4.4.1-the-bank-onboarding-track"/>
      <w:r>
        <w:t>SP-4.4.1 The Bank Onboarding Track</w:t>
      </w:r>
    </w:p>
    <w:p w14:paraId="321064B2" w14:textId="77777777" w:rsidR="00180E7C" w:rsidRDefault="00000000">
      <w:pPr>
        <w:pStyle w:val="FirstParagraph"/>
      </w:pPr>
      <w:r>
        <w:t>SP-4.4.1.1 Iranian banks reconnect through the onboarding track: SWIFT reconnection (technical), correspondent account establishment (commercial), compliance documentation (the joint technical team package), and the standing clarification desk. The EMB tracks onboarding progress per bank and publishes the banking access index quarterly.</w:t>
      </w:r>
    </w:p>
    <w:p w14:paraId="39F3CB38" w14:textId="77777777" w:rsidR="00180E7C" w:rsidRDefault="00000000">
      <w:pPr>
        <w:pStyle w:val="Heading2"/>
      </w:pPr>
      <w:bookmarkStart w:id="871" w:name="sp-4.5-protocol-for-article-52-rdf"/>
      <w:bookmarkEnd w:id="869"/>
      <w:bookmarkEnd w:id="870"/>
      <w:r>
        <w:lastRenderedPageBreak/>
        <w:t>SP-4.5 Protocol for Article 52 (RDF)</w:t>
      </w:r>
    </w:p>
    <w:p w14:paraId="58C7F2EB" w14:textId="77777777" w:rsidR="00180E7C" w:rsidRDefault="00000000">
      <w:pPr>
        <w:pStyle w:val="Heading3"/>
      </w:pPr>
      <w:bookmarkStart w:id="872" w:name="sp-4.5.1-the-project-cycle"/>
      <w:r>
        <w:t>SP-4.5.1 The Project Cycle</w:t>
      </w:r>
    </w:p>
    <w:p w14:paraId="09BEF778" w14:textId="77777777" w:rsidR="00180E7C" w:rsidRDefault="00000000">
      <w:pPr>
        <w:pStyle w:val="FirstParagraph"/>
      </w:pPr>
      <w:r>
        <w:t>SP-4.5.1.1 RDF projects run the standard cycle: priorities plan inclusion; project preparation (feasibility, procurement plan, safeguards); Board approval; tranche disbursement against milestones; supervision and audit; completion review; results publication. The project pipeline publishes on the transparency portal with status per project.</w:t>
      </w:r>
    </w:p>
    <w:p w14:paraId="7E285EC0" w14:textId="77777777" w:rsidR="00180E7C" w:rsidRDefault="00000000">
      <w:pPr>
        <w:pStyle w:val="Heading3"/>
      </w:pPr>
      <w:bookmarkStart w:id="873" w:name="Xf8287e995fe2c589b28f3e5e5181aa19e7decf3"/>
      <w:bookmarkEnd w:id="872"/>
      <w:r>
        <w:t>SP-4.5.2 The Pledging Conference Mechanics</w:t>
      </w:r>
    </w:p>
    <w:p w14:paraId="6DC7F9BD" w14:textId="77777777" w:rsidR="00180E7C" w:rsidRDefault="00000000">
      <w:pPr>
        <w:pStyle w:val="FirstParagraph"/>
      </w:pPr>
      <w:r>
        <w:t>SP-4.5.2.1 The Tehran Pledging Conference of Article 52.3 operates: pledge registration, paid-in schedules, the co-financing facility with the international financial institutions, and the annual replenishment review.</w:t>
      </w:r>
    </w:p>
    <w:p w14:paraId="2BC4A998" w14:textId="77777777" w:rsidR="00180E7C" w:rsidRDefault="00000000">
      <w:pPr>
        <w:pStyle w:val="Heading2"/>
      </w:pPr>
      <w:bookmarkStart w:id="874" w:name="X7715963d1316bcc5418d7ac5171e1ac42841a0c"/>
      <w:bookmarkEnd w:id="871"/>
      <w:bookmarkEnd w:id="873"/>
      <w:r>
        <w:t>SP-4.6 Protocol for Article 55 (Economic Monitoring)</w:t>
      </w:r>
    </w:p>
    <w:p w14:paraId="32AAEF48" w14:textId="77777777" w:rsidR="00180E7C" w:rsidRDefault="00000000">
      <w:pPr>
        <w:pStyle w:val="Heading3"/>
      </w:pPr>
      <w:bookmarkStart w:id="875" w:name="sp-4.6.1-the-emb-operating-charter"/>
      <w:r>
        <w:t>SP-4.6.1 The EMB Operating Charter</w:t>
      </w:r>
    </w:p>
    <w:p w14:paraId="62AA666F" w14:textId="77777777" w:rsidR="00180E7C" w:rsidRDefault="00000000">
      <w:pPr>
        <w:pStyle w:val="FirstParagraph"/>
      </w:pPr>
      <w:r>
        <w:t>SP-4.6.1.1 The EMB operates: monthly data collection from the escrow, the Authority, the Central Bank, and market sources; the quarterly public report; the Over-Compliance Register workflow; the annual economic normalization assessment. EMB data requests to the Parties’ authorities answer within 14 days.</w:t>
      </w:r>
    </w:p>
    <w:p w14:paraId="3E28A2E4" w14:textId="77777777" w:rsidR="00180E7C" w:rsidRDefault="00000000">
      <w:pPr>
        <w:pStyle w:val="Heading2"/>
      </w:pPr>
      <w:bookmarkStart w:id="876" w:name="sp-4.7-protocol-for-article-56-currency"/>
      <w:bookmarkEnd w:id="874"/>
      <w:bookmarkEnd w:id="875"/>
      <w:r>
        <w:t>SP-4.7 Protocol for Article 56 (Currency)</w:t>
      </w:r>
    </w:p>
    <w:p w14:paraId="37FDD441" w14:textId="77777777" w:rsidR="00180E7C" w:rsidRDefault="00000000">
      <w:pPr>
        <w:pStyle w:val="Heading3"/>
      </w:pPr>
      <w:bookmarkStart w:id="877" w:name="sp-4.7.1-the-stabilization-dashboard"/>
      <w:r>
        <w:t>SP-4.7.1 The Stabilization Dashboard</w:t>
      </w:r>
    </w:p>
    <w:p w14:paraId="1FC489C6" w14:textId="77777777" w:rsidR="00180E7C" w:rsidRDefault="00000000">
      <w:pPr>
        <w:pStyle w:val="FirstParagraph"/>
      </w:pPr>
      <w:r>
        <w:t>SP-4.7.1.1 The stabilization architecture monitors: exchange rate movements against Table H-3 bands, reserves, swap line status, and Pool A balances. The dashboard shares with both treasuries and the Swiss National Bank channel.</w:t>
      </w:r>
    </w:p>
    <w:p w14:paraId="51E62155" w14:textId="77777777" w:rsidR="00180E7C" w:rsidRDefault="00000000">
      <w:pPr>
        <w:pStyle w:val="Heading2"/>
      </w:pPr>
      <w:bookmarkStart w:id="878" w:name="X06a73e9579eb776f6592ed98ed5d53d79e05bd6"/>
      <w:bookmarkEnd w:id="876"/>
      <w:bookmarkEnd w:id="877"/>
      <w:r>
        <w:t>SP-4.8 Protocol for Article 60 (Contingencies)</w:t>
      </w:r>
    </w:p>
    <w:p w14:paraId="0499A0C2" w14:textId="77777777" w:rsidR="00180E7C" w:rsidRDefault="00000000">
      <w:pPr>
        <w:pStyle w:val="Heading3"/>
      </w:pPr>
      <w:bookmarkStart w:id="879" w:name="sp-4.8.1-the-shock-playbook"/>
      <w:r>
        <w:t>SP-4.8.1 The Shock Playbook</w:t>
      </w:r>
    </w:p>
    <w:p w14:paraId="14B8F504" w14:textId="77777777" w:rsidR="00180E7C" w:rsidRDefault="00000000">
      <w:pPr>
        <w:pStyle w:val="FirstParagraph"/>
      </w:pPr>
      <w:r>
        <w:t>SP-4.8.1.1 The EMB maintains the Shock Playbook: trigger definitions (oil price collapse below defined bands, global financial stress indicators, commodity shocks), the consultation sequence, the menu of responses (schedule flexibility within synchronization, stabilization activation, liquidity support), and the communication templates. The Playbook rehearses annually.</w:t>
      </w:r>
    </w:p>
    <w:p w14:paraId="169C5952" w14:textId="77777777" w:rsidR="00180E7C" w:rsidRDefault="00000000">
      <w:r>
        <w:br w:type="page"/>
      </w:r>
    </w:p>
    <w:p w14:paraId="071B617B" w14:textId="77777777" w:rsidR="00180E7C" w:rsidRDefault="00000000">
      <w:pPr>
        <w:pStyle w:val="Heading1"/>
      </w:pPr>
      <w:bookmarkStart w:id="880" w:name="Xf884aefe02ca798916f2643e0c87c32363a3a89"/>
      <w:bookmarkStart w:id="881" w:name="_Toc237843186"/>
      <w:bookmarkEnd w:id="860"/>
      <w:bookmarkEnd w:id="878"/>
      <w:bookmarkEnd w:id="879"/>
      <w:r>
        <w:lastRenderedPageBreak/>
        <w:t>SUPPLEMENTARY PROTOCOL SP-5: IMPLEMENTATION PROTOCOLS FOR TITLE V (LEGAL, JUSTICE, AND VERIFICATION)</w:t>
      </w:r>
      <w:bookmarkEnd w:id="881"/>
    </w:p>
    <w:p w14:paraId="4077521F" w14:textId="77777777" w:rsidR="00180E7C" w:rsidRDefault="00000000">
      <w:pPr>
        <w:pStyle w:val="Heading2"/>
      </w:pPr>
      <w:bookmarkStart w:id="882" w:name="X1ee4a61c981ec705a41aa49b609a9d3b2319fa0"/>
      <w:r>
        <w:t>SP-5.1 Protocol for Article 61 (Nuclear Limits)</w:t>
      </w:r>
    </w:p>
    <w:p w14:paraId="3C965012" w14:textId="77777777" w:rsidR="00180E7C" w:rsidRDefault="00000000">
      <w:pPr>
        <w:pStyle w:val="Heading3"/>
      </w:pPr>
      <w:bookmarkStart w:id="883" w:name="X791d5f6d0285d6571d6320d84fd678f9c240f60"/>
      <w:r>
        <w:t>SP-5.1.1 The Down-Blending Operating Manual</w:t>
      </w:r>
    </w:p>
    <w:p w14:paraId="6D8A9016" w14:textId="77777777" w:rsidR="00180E7C" w:rsidRDefault="00000000">
      <w:pPr>
        <w:pStyle w:val="FirstParagraph"/>
      </w:pPr>
      <w:r>
        <w:t>SP-5.1.1.1 The Isfahan Down-Blending Facility operates under its IAEA-reviewed operating manual: feed withdrawal from storage under seal-breaking ceremonies recorded on camera; mass flow measurement at feed, diluent, and product points; online enrichment measurement at product; sampling and laboratory assay confirmation per batch; product container sealing and Ledger update; and the batch certificate workflow (IAEA review of the complete batch record, certificate issuance within 72 hours, SDR registration).</w:t>
      </w:r>
    </w:p>
    <w:p w14:paraId="77C69C1E" w14:textId="77777777" w:rsidR="00180E7C" w:rsidRDefault="00000000">
      <w:pPr>
        <w:pStyle w:val="BodyText"/>
      </w:pPr>
      <w:r>
        <w:t>SP-5.1.1.2 Process safety: the facility operates under Iranian nuclear safety regulation with IAEA safety observation; any safety stoppage logs with cause and resumption; safety stoppages never count against cadence, and concealed safety events register as integrity violations.</w:t>
      </w:r>
    </w:p>
    <w:p w14:paraId="19601C1E" w14:textId="77777777" w:rsidR="00180E7C" w:rsidRDefault="00000000">
      <w:pPr>
        <w:pStyle w:val="Heading3"/>
      </w:pPr>
      <w:bookmarkStart w:id="884" w:name="sp-5.1.2-the-campaign-management-board"/>
      <w:bookmarkEnd w:id="883"/>
      <w:r>
        <w:t>SP-5.1.2 The Campaign Management Board</w:t>
      </w:r>
    </w:p>
    <w:p w14:paraId="1723700F" w14:textId="77777777" w:rsidR="00180E7C" w:rsidRDefault="00000000">
      <w:pPr>
        <w:pStyle w:val="FirstParagraph"/>
      </w:pPr>
      <w:r>
        <w:t>SP-5.1.2.1 The campaign runs under the Campaign Management Board: AEOI operations director, IAEA chief inspector, and JMC liaison, meeting weekly during the campaign, tracking: batch progress, diluent logistics, equipment performance, staffing, and the certificate pipeline. The Board resolves operational friction before it becomes schedule friction.</w:t>
      </w:r>
    </w:p>
    <w:p w14:paraId="458EBC07" w14:textId="77777777" w:rsidR="00180E7C" w:rsidRDefault="00000000">
      <w:pPr>
        <w:pStyle w:val="Heading3"/>
      </w:pPr>
      <w:bookmarkStart w:id="885" w:name="sp-5.1.3-the-recovery-operations-detail"/>
      <w:bookmarkEnd w:id="884"/>
      <w:r>
        <w:t>SP-5.1.3 The Recovery Operations Detail</w:t>
      </w:r>
    </w:p>
    <w:p w14:paraId="0FD02473" w14:textId="77777777" w:rsidR="00180E7C" w:rsidRDefault="00000000">
      <w:pPr>
        <w:pStyle w:val="FirstParagraph"/>
      </w:pPr>
      <w:r>
        <w:t>SP-5.1.3.1 Damaged-site recovery executes in work packages per sector: safety survey, access engineering, material location and characterization, containerization, weighing and fingerprinting, Ledger entry, transport to the Down-Blending Facility under seal, and sector closure certification. The United States technical data packages inform the structural safety assessments.</w:t>
      </w:r>
    </w:p>
    <w:p w14:paraId="3F130354" w14:textId="77777777" w:rsidR="00180E7C" w:rsidRDefault="00000000">
      <w:pPr>
        <w:pStyle w:val="Heading2"/>
      </w:pPr>
      <w:bookmarkStart w:id="886" w:name="Xb6e3ff374c433cc62a01efd93f896c456709b02"/>
      <w:bookmarkEnd w:id="882"/>
      <w:bookmarkEnd w:id="885"/>
      <w:r>
        <w:t>SP-5.2 Protocol for Article 62 (IAEA Access)</w:t>
      </w:r>
    </w:p>
    <w:p w14:paraId="57738628" w14:textId="77777777" w:rsidR="00180E7C" w:rsidRDefault="00000000">
      <w:pPr>
        <w:pStyle w:val="Heading3"/>
      </w:pPr>
      <w:bookmarkStart w:id="887" w:name="sp-5.2.1-the-resident-inspector-program"/>
      <w:r>
        <w:t>SP-5.2.1 The Resident Inspector Program</w:t>
      </w:r>
    </w:p>
    <w:p w14:paraId="05EE81CE" w14:textId="77777777" w:rsidR="00180E7C" w:rsidRDefault="00000000">
      <w:pPr>
        <w:pStyle w:val="FirstParagraph"/>
      </w:pPr>
      <w:r>
        <w:t>SP-5.2.1.1 Resident teams: 12 inspectors resident at any time across the four site complexes (Natanz 4, Isfahan 4, Fordow 2, Arak 2), rotating on 8-week cycles, with office facilities, communication systems, and movement support provided by the AEOI under the standing arrangement. Down-blending operations carry 24/7 inspector coverage; storage facilities carry continuous surveillance plus daily inspector rounds.</w:t>
      </w:r>
    </w:p>
    <w:p w14:paraId="29F66413" w14:textId="77777777" w:rsidR="00180E7C" w:rsidRDefault="00000000">
      <w:pPr>
        <w:pStyle w:val="Heading3"/>
      </w:pPr>
      <w:bookmarkStart w:id="888" w:name="sp-5.2.2-the-anytime-access-operations"/>
      <w:bookmarkEnd w:id="887"/>
      <w:r>
        <w:lastRenderedPageBreak/>
        <w:t>SP-5.2.2 The Anytime Access Operations</w:t>
      </w:r>
    </w:p>
    <w:p w14:paraId="6C69F521" w14:textId="77777777" w:rsidR="00180E7C" w:rsidRDefault="00000000">
      <w:pPr>
        <w:pStyle w:val="FirstParagraph"/>
      </w:pPr>
      <w:r>
        <w:t>SP-5.2.2.1 Access requests issue through the nuclear technical channel in the standard format: location, verification basis, requested techniques, team composition. The clock runs from transmission: 24 hours (declared facilities) or 72 hours (other locations). Managed access negotiation on techniques completes within the timeline; the negotiation manages techniques, never access itself. The IAEA’s certification of verification-objective satisfaction records in the access file.</w:t>
      </w:r>
    </w:p>
    <w:p w14:paraId="37EDF716" w14:textId="77777777" w:rsidR="00180E7C" w:rsidRDefault="00000000">
      <w:pPr>
        <w:pStyle w:val="Heading3"/>
      </w:pPr>
      <w:bookmarkStart w:id="889" w:name="sp-5.2.3-the-access-file-system"/>
      <w:bookmarkEnd w:id="888"/>
      <w:r>
        <w:t>SP-5.2.3 The Access File System</w:t>
      </w:r>
    </w:p>
    <w:p w14:paraId="3F2CE9D3" w14:textId="77777777" w:rsidR="00180E7C" w:rsidRDefault="00000000">
      <w:pPr>
        <w:pStyle w:val="FirstParagraph"/>
      </w:pPr>
      <w:r>
        <w:t>SP-5.2.3.1 Every access event opens an access file: request, timeline record, techniques agreed, findings, certification, and any dispute record. Access file statistics publish quarterly (numbers, timeline compliance, findings categories).</w:t>
      </w:r>
    </w:p>
    <w:p w14:paraId="39130D88" w14:textId="77777777" w:rsidR="00180E7C" w:rsidRDefault="00000000">
      <w:pPr>
        <w:pStyle w:val="Heading2"/>
      </w:pPr>
      <w:bookmarkStart w:id="890" w:name="sp-5.3-protocol-for-article-64-detainees"/>
      <w:bookmarkEnd w:id="886"/>
      <w:bookmarkEnd w:id="889"/>
      <w:r>
        <w:t>SP-5.3 Protocol for Article 64 (Detainees)</w:t>
      </w:r>
    </w:p>
    <w:p w14:paraId="2AFAF7FE" w14:textId="77777777" w:rsidR="00180E7C" w:rsidRDefault="00000000">
      <w:pPr>
        <w:pStyle w:val="Heading3"/>
      </w:pPr>
      <w:bookmarkStart w:id="891" w:name="sp-5.3.1-the-release-operations-center"/>
      <w:r>
        <w:t>SP-5.3.1 The Release Operations Center</w:t>
      </w:r>
    </w:p>
    <w:p w14:paraId="7908A017" w14:textId="77777777" w:rsidR="00180E7C" w:rsidRDefault="00000000">
      <w:pPr>
        <w:pStyle w:val="FirstParagraph"/>
      </w:pPr>
      <w:r>
        <w:t>SP-5.3.1.1 The ICRC-coordinated release executes through the Release Operations Center (Zurich): list verification, medical screening, transport logistics on the airbridge routing, family notification, arrival confirmation, and the 30-day post-release welfare check.</w:t>
      </w:r>
    </w:p>
    <w:p w14:paraId="5AF283DF" w14:textId="77777777" w:rsidR="00180E7C" w:rsidRDefault="00000000">
      <w:pPr>
        <w:pStyle w:val="Heading2"/>
      </w:pPr>
      <w:bookmarkStart w:id="892" w:name="sp-5.4-protocol-for-article-65-claims"/>
      <w:bookmarkEnd w:id="890"/>
      <w:bookmarkEnd w:id="891"/>
      <w:r>
        <w:t>SP-5.4 Protocol for Article 65 (Claims)</w:t>
      </w:r>
    </w:p>
    <w:p w14:paraId="24B9E30C" w14:textId="77777777" w:rsidR="00180E7C" w:rsidRDefault="00000000">
      <w:pPr>
        <w:pStyle w:val="Heading3"/>
      </w:pPr>
      <w:bookmarkStart w:id="893" w:name="sp-5.4.1-the-claims-intake-system"/>
      <w:r>
        <w:t>SP-5.4.1 The Claims Intake System</w:t>
      </w:r>
    </w:p>
    <w:p w14:paraId="0A47FF75" w14:textId="77777777" w:rsidR="00180E7C" w:rsidRDefault="00000000">
      <w:pPr>
        <w:pStyle w:val="FirstParagraph"/>
      </w:pPr>
      <w:r>
        <w:t>SP-5.4.1.1 The Joint Claims Commission operates electronic intake: claim registration, eligibility screening, track assignment (small or standard), and the docket publication. Outreach programs in both countries inform potential claimants through bar associations and community organizations.</w:t>
      </w:r>
    </w:p>
    <w:p w14:paraId="071FD28C" w14:textId="77777777" w:rsidR="00180E7C" w:rsidRDefault="00000000">
      <w:pPr>
        <w:pStyle w:val="Heading2"/>
      </w:pPr>
      <w:bookmarkStart w:id="894" w:name="X3e40927a854c6b1439f01b047457f942ae8576d"/>
      <w:bookmarkEnd w:id="892"/>
      <w:bookmarkEnd w:id="893"/>
      <w:r>
        <w:t>SP-5.5 Protocol for Article 67 (Cothrom Engine)</w:t>
      </w:r>
    </w:p>
    <w:p w14:paraId="6ADCEA52" w14:textId="77777777" w:rsidR="00180E7C" w:rsidRDefault="00000000">
      <w:pPr>
        <w:pStyle w:val="Heading3"/>
      </w:pPr>
      <w:bookmarkStart w:id="895" w:name="sp-5.5.1-the-engine-operations-center"/>
      <w:r>
        <w:t>SP-5.5.1 The Engine Operations Center</w:t>
      </w:r>
    </w:p>
    <w:p w14:paraId="38164519" w14:textId="77777777" w:rsidR="00180E7C" w:rsidRDefault="00000000">
      <w:pPr>
        <w:pStyle w:val="FirstParagraph"/>
      </w:pPr>
      <w:r>
        <w:t>SP-5.5.1.1 The JMC operates the Engine Operations Center: the anomaly queue, the claim docket, the demerit register, the step-back order pipeline, and the earn-back certification pipeline, each with assigned duty officers and the published service standards (anomaly triage within 5 minutes, claim registration within 24 hours, certificate issuance within 72 hours of objective verification).</w:t>
      </w:r>
    </w:p>
    <w:p w14:paraId="4965ACEB" w14:textId="77777777" w:rsidR="00180E7C" w:rsidRDefault="00000000">
      <w:pPr>
        <w:pStyle w:val="Heading3"/>
      </w:pPr>
      <w:bookmarkStart w:id="896" w:name="sp-5.5.2-the-symmetry-ledger-operations"/>
      <w:bookmarkEnd w:id="895"/>
      <w:r>
        <w:t>SP-5.5.2 The Symmetry Ledger Operations</w:t>
      </w:r>
    </w:p>
    <w:p w14:paraId="5CA78F3B" w14:textId="77777777" w:rsidR="00180E7C" w:rsidRDefault="00000000">
      <w:pPr>
        <w:pStyle w:val="FirstParagraph"/>
      </w:pPr>
      <w:r>
        <w:t>SP-5.5.2.1 The symmetry ledger computes monthly: accumulated pause-days per Party per line, asymmetry index, and trend analysis. The annual symmetry report to the HCC recommends any compensating adjustments.</w:t>
      </w:r>
    </w:p>
    <w:p w14:paraId="232EBECD" w14:textId="77777777" w:rsidR="00180E7C" w:rsidRDefault="00000000">
      <w:pPr>
        <w:pStyle w:val="Heading2"/>
      </w:pPr>
      <w:bookmarkStart w:id="897" w:name="sp-5.6-protocol-for-article-69-disputes"/>
      <w:bookmarkEnd w:id="894"/>
      <w:bookmarkEnd w:id="896"/>
      <w:r>
        <w:lastRenderedPageBreak/>
        <w:t>SP-5.6 Protocol for Article 69 (Disputes)</w:t>
      </w:r>
    </w:p>
    <w:p w14:paraId="535A7552" w14:textId="77777777" w:rsidR="00180E7C" w:rsidRDefault="00000000">
      <w:pPr>
        <w:pStyle w:val="Heading3"/>
      </w:pPr>
      <w:bookmarkStart w:id="898" w:name="sp-5.6.1-the-dispute-docket"/>
      <w:r>
        <w:t>SP-5.6.1 The Dispute Docket</w:t>
      </w:r>
    </w:p>
    <w:p w14:paraId="5053A321" w14:textId="77777777" w:rsidR="00180E7C" w:rsidRDefault="00000000">
      <w:pPr>
        <w:pStyle w:val="FirstParagraph"/>
      </w:pPr>
      <w:r>
        <w:t>SP-5.6.1.1 Every dispute enters the HCC dispute docket with its ladder position and deadlines; the docket publishes (non-sensitive matters); aging analysis flags any matter approaching deadline breach, and the ladder’s automatic elevation executes without human intervention.</w:t>
      </w:r>
    </w:p>
    <w:p w14:paraId="33A608BF" w14:textId="77777777" w:rsidR="00180E7C" w:rsidRDefault="00000000">
      <w:pPr>
        <w:pStyle w:val="Heading2"/>
      </w:pPr>
      <w:bookmarkStart w:id="899" w:name="X1ba76b870d573821680599ed2af18c64eb320fe"/>
      <w:bookmarkEnd w:id="897"/>
      <w:bookmarkEnd w:id="898"/>
      <w:r>
        <w:t>SP-5.7 Protocol for Article 75 (Permanence)</w:t>
      </w:r>
    </w:p>
    <w:p w14:paraId="03AA667A" w14:textId="77777777" w:rsidR="00180E7C" w:rsidRDefault="00000000">
      <w:pPr>
        <w:pStyle w:val="Heading3"/>
      </w:pPr>
      <w:bookmarkStart w:id="900" w:name="sp-5.7.1-the-permanence-watch"/>
      <w:r>
        <w:t>SP-5.7.1 The Permanence Watch</w:t>
      </w:r>
    </w:p>
    <w:p w14:paraId="3B29F6B1" w14:textId="77777777" w:rsidR="00180E7C" w:rsidRDefault="00000000">
      <w:pPr>
        <w:pStyle w:val="FirstParagraph"/>
      </w:pPr>
      <w:r>
        <w:t>SP-5.7.1.1 The JMC’s annual report includes the Permanence Watch section: the status of every permanent provision (Article 4, 61.1, 61.8, 9, 75), confirming each stands intact, and any legislative or political development in either country bearing on permanence, reported factually without advocacy.</w:t>
      </w:r>
    </w:p>
    <w:p w14:paraId="53E9A9C2" w14:textId="77777777" w:rsidR="00180E7C" w:rsidRDefault="00000000">
      <w:r>
        <w:br w:type="page"/>
      </w:r>
    </w:p>
    <w:p w14:paraId="46225FED" w14:textId="77777777" w:rsidR="00180E7C" w:rsidRDefault="00000000">
      <w:pPr>
        <w:pStyle w:val="Heading1"/>
      </w:pPr>
      <w:bookmarkStart w:id="901" w:name="X1cb751f40cf1b29cc5cd69e834d5cd292234ee3"/>
      <w:bookmarkStart w:id="902" w:name="_Toc237843187"/>
      <w:bookmarkEnd w:id="880"/>
      <w:bookmarkEnd w:id="899"/>
      <w:bookmarkEnd w:id="900"/>
      <w:r>
        <w:lastRenderedPageBreak/>
        <w:t>SUPPLEMENTARY PROTOCOL SP-6: IMPLEMENTATION PROTOCOLS FOR TITLES VI AND VII (REGIONAL AND FINAL)</w:t>
      </w:r>
      <w:bookmarkEnd w:id="902"/>
    </w:p>
    <w:p w14:paraId="2FC6E8E1" w14:textId="77777777" w:rsidR="00180E7C" w:rsidRDefault="00000000">
      <w:pPr>
        <w:pStyle w:val="Heading2"/>
      </w:pPr>
      <w:bookmarkStart w:id="903" w:name="sp-6.1-protocol-for-article-76-lebanon"/>
      <w:r>
        <w:t>SP-6.1 Protocol for Article 76 (Lebanon)</w:t>
      </w:r>
    </w:p>
    <w:p w14:paraId="7CE0DB26" w14:textId="77777777" w:rsidR="00180E7C" w:rsidRDefault="00000000">
      <w:pPr>
        <w:pStyle w:val="Heading3"/>
      </w:pPr>
      <w:bookmarkStart w:id="904" w:name="X2cf13e0c52949eb8062dea90dc8cd76427e3d52"/>
      <w:r>
        <w:t>SP-6.1.1 The Tripartite Mechanism Operations</w:t>
      </w:r>
    </w:p>
    <w:p w14:paraId="594431B8" w14:textId="77777777" w:rsidR="00180E7C" w:rsidRDefault="00000000">
      <w:pPr>
        <w:pStyle w:val="FirstParagraph"/>
      </w:pPr>
      <w:r>
        <w:t>SP-6.1.1.1 The tripartite mechanism (UNIFIL, LAF, monitoring architecture) operates: the weekly Blue Line patrol schedule; the violation investigation procedure (report within 24 hours, joint investigation within 72 hours, finding within 7 days); the monthly status report; and the liaison channel to the JMC for the separation-of-instruments discipline.</w:t>
      </w:r>
    </w:p>
    <w:p w14:paraId="283455DC" w14:textId="77777777" w:rsidR="00180E7C" w:rsidRDefault="00000000">
      <w:pPr>
        <w:pStyle w:val="Heading3"/>
      </w:pPr>
      <w:bookmarkStart w:id="905" w:name="sp-6.1.2-the-laf-capability-program"/>
      <w:bookmarkEnd w:id="904"/>
      <w:r>
        <w:t>SP-6.1.2 The LAF Capability Program</w:t>
      </w:r>
    </w:p>
    <w:p w14:paraId="7ACE8F9E" w14:textId="77777777" w:rsidR="00180E7C" w:rsidRDefault="00000000">
      <w:pPr>
        <w:pStyle w:val="FirstParagraph"/>
      </w:pPr>
      <w:r>
        <w:t>SP-6.1.2.1 The RDF Lebanon envelope funds: four border observation battalions equipped and trained over 24 months; the sensor and communications package; the barracks and logistics program; administered through Lebanese Ministry of Defense with international fiduciary oversight.</w:t>
      </w:r>
    </w:p>
    <w:p w14:paraId="6168912A" w14:textId="77777777" w:rsidR="00180E7C" w:rsidRDefault="00000000">
      <w:pPr>
        <w:pStyle w:val="Heading2"/>
      </w:pPr>
      <w:bookmarkStart w:id="906" w:name="sp-6.2-protocol-for-article-77-yemen"/>
      <w:bookmarkEnd w:id="903"/>
      <w:bookmarkEnd w:id="905"/>
      <w:r>
        <w:t>SP-6.2 Protocol for Article 77 (Yemen)</w:t>
      </w:r>
    </w:p>
    <w:p w14:paraId="0395E056" w14:textId="77777777" w:rsidR="00180E7C" w:rsidRDefault="00000000">
      <w:pPr>
        <w:pStyle w:val="Heading3"/>
      </w:pPr>
      <w:bookmarkStart w:id="907" w:name="sp-6.2.1-the-yemen-support-cell"/>
      <w:r>
        <w:t>SP-6.2.1 The Yemen Support Cell</w:t>
      </w:r>
    </w:p>
    <w:p w14:paraId="27CC022F" w14:textId="77777777" w:rsidR="00180E7C" w:rsidRDefault="00000000">
      <w:pPr>
        <w:pStyle w:val="FirstParagraph"/>
      </w:pPr>
      <w:r>
        <w:t>SP-6.2.1.1 The Parties staff the Yemen Support Cell within the RSCSC secretariat: diplomatic coordination on the United Nations track, humanitarian surge monitoring, and the Red Sea transition planning with the coastal states.</w:t>
      </w:r>
    </w:p>
    <w:p w14:paraId="587C8EBA" w14:textId="77777777" w:rsidR="00180E7C" w:rsidRDefault="00000000">
      <w:pPr>
        <w:pStyle w:val="Heading2"/>
      </w:pPr>
      <w:bookmarkStart w:id="908" w:name="sp-6.3-protocol-for-article-78-iraq"/>
      <w:bookmarkEnd w:id="906"/>
      <w:bookmarkEnd w:id="907"/>
      <w:r>
        <w:t>SP-6.3 Protocol for Article 78 (Iraq)</w:t>
      </w:r>
    </w:p>
    <w:p w14:paraId="3D7C649D" w14:textId="77777777" w:rsidR="00180E7C" w:rsidRDefault="00000000">
      <w:pPr>
        <w:pStyle w:val="Heading3"/>
      </w:pPr>
      <w:bookmarkStart w:id="909" w:name="sp-6.3.1-the-iraq-liaison"/>
      <w:r>
        <w:t>SP-6.3.1 The Iraq Liaison</w:t>
      </w:r>
    </w:p>
    <w:p w14:paraId="682CBC37" w14:textId="77777777" w:rsidR="00180E7C" w:rsidRDefault="00000000">
      <w:pPr>
        <w:pStyle w:val="FirstParagraph"/>
      </w:pPr>
      <w:r>
        <w:t>SP-6.3.1.1 The RSCSC maintains the Iraq Liaison office in Baghdad (at Iraqi invitation): supporting the integration roadmap’s international components, the RDSF program interface, and the border monitoring coordination.</w:t>
      </w:r>
    </w:p>
    <w:p w14:paraId="173D7A60" w14:textId="77777777" w:rsidR="00180E7C" w:rsidRDefault="00000000">
      <w:pPr>
        <w:pStyle w:val="Heading2"/>
      </w:pPr>
      <w:bookmarkStart w:id="910" w:name="X3cd7b1386784f8b1bde2bf81ba7af836f16eb53"/>
      <w:bookmarkEnd w:id="908"/>
      <w:bookmarkEnd w:id="909"/>
      <w:r>
        <w:t>SP-6.4 Protocol for Article 81 (Israel Protocol)</w:t>
      </w:r>
    </w:p>
    <w:p w14:paraId="2C8C7A09" w14:textId="77777777" w:rsidR="00180E7C" w:rsidRDefault="00000000">
      <w:pPr>
        <w:pStyle w:val="Heading3"/>
      </w:pPr>
      <w:bookmarkStart w:id="911" w:name="sp-6.4.1-the-briefing-channel-operations"/>
      <w:r>
        <w:t>SP-6.4.1 The Briefing Channel Operations</w:t>
      </w:r>
    </w:p>
    <w:p w14:paraId="243277D9" w14:textId="77777777" w:rsidR="00180E7C" w:rsidRDefault="00000000">
      <w:pPr>
        <w:pStyle w:val="FirstParagraph"/>
      </w:pPr>
      <w:r>
        <w:t>SP-6.4.1.1 The Swiss Facilitator operates the Article 81.4 channel: quarterly briefing packages (verification record extracts relevant to Israeli security concerns), immediate Level 4 notifications in the nuclear and proxy domains, and the annual in-person briefing session.</w:t>
      </w:r>
    </w:p>
    <w:p w14:paraId="3F2C8BBC" w14:textId="77777777" w:rsidR="00180E7C" w:rsidRDefault="00000000">
      <w:pPr>
        <w:pStyle w:val="Heading2"/>
      </w:pPr>
      <w:bookmarkStart w:id="912" w:name="X16f11f29a5ed02c99ca3d5e454fa1a6ca0d15f3"/>
      <w:bookmarkEnd w:id="910"/>
      <w:bookmarkEnd w:id="911"/>
      <w:r>
        <w:lastRenderedPageBreak/>
        <w:t>SP-6.5 Protocol for Article 83 (Environment and Narcotics)</w:t>
      </w:r>
    </w:p>
    <w:p w14:paraId="2AF98536" w14:textId="77777777" w:rsidR="00180E7C" w:rsidRDefault="00000000">
      <w:pPr>
        <w:pStyle w:val="Heading3"/>
      </w:pPr>
      <w:bookmarkStart w:id="913" w:name="sp-6.5.1-the-dust-storm-initiative"/>
      <w:r>
        <w:t>SP-6.5.1 The Dust Storm Initiative</w:t>
      </w:r>
    </w:p>
    <w:p w14:paraId="41784142" w14:textId="77777777" w:rsidR="00180E7C" w:rsidRDefault="00000000">
      <w:pPr>
        <w:pStyle w:val="FirstParagraph"/>
      </w:pPr>
      <w:r>
        <w:t>SP-6.5.1.1 The Environmental Cooperation Fund’s flagship: the regional dust and sandstorm mitigation initiative (monitoring network, source-area restoration, early warning), jointly executed with Iraq and the Gulf states, ring-fenced from all political files.</w:t>
      </w:r>
    </w:p>
    <w:p w14:paraId="3D6C563F" w14:textId="77777777" w:rsidR="00180E7C" w:rsidRDefault="00000000">
      <w:pPr>
        <w:pStyle w:val="Heading2"/>
      </w:pPr>
      <w:bookmarkStart w:id="914" w:name="X50d01e3ab501d1755e43104e1a55f20c5a34c11"/>
      <w:bookmarkEnd w:id="912"/>
      <w:bookmarkEnd w:id="913"/>
      <w:r>
        <w:t>SP-6.6 Protocol for Article 87 (Entry into Force)</w:t>
      </w:r>
    </w:p>
    <w:p w14:paraId="00357D7E" w14:textId="77777777" w:rsidR="00180E7C" w:rsidRDefault="00000000">
      <w:pPr>
        <w:pStyle w:val="Heading3"/>
      </w:pPr>
      <w:bookmarkStart w:id="915" w:name="sp-6.6.1-the-eif-countdown-checklist"/>
      <w:r>
        <w:t>SP-6.6.1 The EIF Countdown Checklist</w:t>
      </w:r>
    </w:p>
    <w:p w14:paraId="1F1BECA5" w14:textId="77777777" w:rsidR="00180E7C" w:rsidRDefault="00000000">
      <w:pPr>
        <w:pStyle w:val="FirstParagraph"/>
      </w:pPr>
      <w:r>
        <w:t>SP-6.6.1.1 The Swiss Facilitator maintains the EIF countdown checklist from deposit of the second ratification instrument: 200+ activation items (orders, account openings, staff deployments, system activations, publications) tracked to Day 0 readiness, with daily readiness reports in the final week.</w:t>
      </w:r>
    </w:p>
    <w:p w14:paraId="0D522D51" w14:textId="77777777" w:rsidR="00180E7C" w:rsidRDefault="00000000">
      <w:pPr>
        <w:pStyle w:val="Heading2"/>
      </w:pPr>
      <w:bookmarkStart w:id="916" w:name="X8a63e43464b7147289a367d87cbf4949e1b6703"/>
      <w:bookmarkEnd w:id="914"/>
      <w:bookmarkEnd w:id="915"/>
      <w:r>
        <w:t>SP-6.7 Protocol for Article 86 (Security Council)</w:t>
      </w:r>
    </w:p>
    <w:p w14:paraId="24A14735" w14:textId="77777777" w:rsidR="00180E7C" w:rsidRDefault="00000000">
      <w:pPr>
        <w:pStyle w:val="Heading3"/>
      </w:pPr>
      <w:bookmarkStart w:id="917" w:name="sp-6.7.1-the-council-engagement-calendar"/>
      <w:r>
        <w:t>SP-6.7.1 The Council Engagement Calendar</w:t>
      </w:r>
    </w:p>
    <w:p w14:paraId="5A357A5E" w14:textId="77777777" w:rsidR="00180E7C" w:rsidRDefault="00000000">
      <w:pPr>
        <w:pStyle w:val="FirstParagraph"/>
      </w:pPr>
      <w:r>
        <w:t>SP-6.7.1.1 The Depositary maintains: the transmittal record, the resolution adoption record, the annual report transmission calendar, and the briefing schedule for Council members on the verification architecture.</w:t>
      </w:r>
    </w:p>
    <w:p w14:paraId="50A4583E" w14:textId="77777777" w:rsidR="00180E7C" w:rsidRDefault="00000000">
      <w:r>
        <w:br w:type="page"/>
      </w:r>
    </w:p>
    <w:p w14:paraId="4BDA122C" w14:textId="77777777" w:rsidR="00180E7C" w:rsidRDefault="00000000">
      <w:pPr>
        <w:pStyle w:val="Heading1"/>
      </w:pPr>
      <w:bookmarkStart w:id="918" w:name="X4889f8d901ef20da7c872e65aef97829766c21f"/>
      <w:bookmarkStart w:id="919" w:name="_Toc237843188"/>
      <w:bookmarkEnd w:id="901"/>
      <w:bookmarkEnd w:id="916"/>
      <w:bookmarkEnd w:id="917"/>
      <w:r>
        <w:lastRenderedPageBreak/>
        <w:t>SUPPLEMENTARY PROTOCOL SP-7: OPERATIONAL TEMPLATES AND MODEL INSTRUMENTS</w:t>
      </w:r>
      <w:bookmarkEnd w:id="919"/>
    </w:p>
    <w:p w14:paraId="07F7FF0D" w14:textId="77777777" w:rsidR="00180E7C" w:rsidRDefault="00000000">
      <w:pPr>
        <w:pStyle w:val="Heading2"/>
      </w:pPr>
      <w:bookmarkStart w:id="920" w:name="sp-7.1-purpose"/>
      <w:r>
        <w:t>SP-7.1 Purpose</w:t>
      </w:r>
    </w:p>
    <w:p w14:paraId="500039C3" w14:textId="77777777" w:rsidR="00180E7C" w:rsidRDefault="00000000">
      <w:pPr>
        <w:pStyle w:val="FirstParagraph"/>
      </w:pPr>
      <w:r>
        <w:t>SP-7.1.1 This Protocol consolidates the standard forms, templates, and model instruments of the Treaty. The treaty organs use these templates as issued; modifications process through the technical update procedure of Article 72.2. The templates guarantee uniformity, and uniformity guarantees verifiability.</w:t>
      </w:r>
    </w:p>
    <w:p w14:paraId="33B4D5D7" w14:textId="77777777" w:rsidR="00180E7C" w:rsidRDefault="00000000">
      <w:pPr>
        <w:pStyle w:val="Heading2"/>
      </w:pPr>
      <w:bookmarkStart w:id="921" w:name="sp-7.2-form-t-1-anomaly-alert-record"/>
      <w:bookmarkEnd w:id="920"/>
      <w:r>
        <w:t>SP-7.2 Form T-1: Anomaly Alert Record</w:t>
      </w:r>
    </w:p>
    <w:tbl>
      <w:tblPr>
        <w:tblStyle w:val="Table"/>
        <w:tblW w:w="5000" w:type="pct"/>
        <w:tblLook w:val="0020" w:firstRow="1" w:lastRow="0" w:firstColumn="0" w:lastColumn="0" w:noHBand="0" w:noVBand="0"/>
      </w:tblPr>
      <w:tblGrid>
        <w:gridCol w:w="3611"/>
        <w:gridCol w:w="5965"/>
      </w:tblGrid>
      <w:tr w:rsidR="00180E7C" w14:paraId="40764852"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B7C7771" w14:textId="77777777" w:rsidR="00180E7C" w:rsidRDefault="00000000">
            <w:pPr>
              <w:pStyle w:val="Compact"/>
            </w:pPr>
            <w:r>
              <w:t>Field</w:t>
            </w:r>
          </w:p>
        </w:tc>
        <w:tc>
          <w:tcPr>
            <w:tcW w:w="0" w:type="auto"/>
          </w:tcPr>
          <w:p w14:paraId="30FEF7D4" w14:textId="77777777" w:rsidR="00180E7C" w:rsidRDefault="00000000">
            <w:pPr>
              <w:pStyle w:val="Compact"/>
            </w:pPr>
            <w:r>
              <w:t>Content</w:t>
            </w:r>
          </w:p>
        </w:tc>
      </w:tr>
      <w:tr w:rsidR="00180E7C" w14:paraId="5E6FC56E" w14:textId="77777777">
        <w:tc>
          <w:tcPr>
            <w:tcW w:w="0" w:type="auto"/>
          </w:tcPr>
          <w:p w14:paraId="14C1567F" w14:textId="77777777" w:rsidR="00180E7C" w:rsidRDefault="00000000">
            <w:pPr>
              <w:pStyle w:val="Compact"/>
            </w:pPr>
            <w:r>
              <w:t>Alert Identifier</w:t>
            </w:r>
          </w:p>
        </w:tc>
        <w:tc>
          <w:tcPr>
            <w:tcW w:w="0" w:type="auto"/>
          </w:tcPr>
          <w:p w14:paraId="581FFE68" w14:textId="77777777" w:rsidR="00180E7C" w:rsidRDefault="00000000">
            <w:pPr>
              <w:pStyle w:val="Compact"/>
            </w:pPr>
            <w:r>
              <w:t>SDR-assigned unique code</w:t>
            </w:r>
          </w:p>
        </w:tc>
      </w:tr>
      <w:tr w:rsidR="00180E7C" w14:paraId="52331A7D" w14:textId="77777777">
        <w:tc>
          <w:tcPr>
            <w:tcW w:w="0" w:type="auto"/>
          </w:tcPr>
          <w:p w14:paraId="00F5EB26" w14:textId="77777777" w:rsidR="00180E7C" w:rsidRDefault="00000000">
            <w:pPr>
              <w:pStyle w:val="Compact"/>
            </w:pPr>
            <w:r>
              <w:t>Classification</w:t>
            </w:r>
          </w:p>
        </w:tc>
        <w:tc>
          <w:tcPr>
            <w:tcW w:w="0" w:type="auto"/>
          </w:tcPr>
          <w:p w14:paraId="754AD0A4" w14:textId="77777777" w:rsidR="00180E7C" w:rsidRDefault="00000000">
            <w:pPr>
              <w:pStyle w:val="Compact"/>
            </w:pPr>
            <w:r>
              <w:t>Level 1 / 2 / 3 / 4</w:t>
            </w:r>
          </w:p>
        </w:tc>
      </w:tr>
      <w:tr w:rsidR="00180E7C" w14:paraId="6EA4726A" w14:textId="77777777">
        <w:tc>
          <w:tcPr>
            <w:tcW w:w="0" w:type="auto"/>
          </w:tcPr>
          <w:p w14:paraId="0D8C1CFB" w14:textId="77777777" w:rsidR="00180E7C" w:rsidRDefault="00000000">
            <w:pPr>
              <w:pStyle w:val="Compact"/>
            </w:pPr>
            <w:r>
              <w:t>Detection System</w:t>
            </w:r>
          </w:p>
        </w:tc>
        <w:tc>
          <w:tcPr>
            <w:tcW w:w="0" w:type="auto"/>
          </w:tcPr>
          <w:p w14:paraId="53408E6B" w14:textId="77777777" w:rsidR="00180E7C" w:rsidRDefault="00000000">
            <w:pPr>
              <w:pStyle w:val="Compact"/>
            </w:pPr>
            <w:r>
              <w:t>Sensor or feed identifier</w:t>
            </w:r>
          </w:p>
        </w:tc>
      </w:tr>
      <w:tr w:rsidR="00180E7C" w14:paraId="6EAF35DC" w14:textId="77777777">
        <w:tc>
          <w:tcPr>
            <w:tcW w:w="0" w:type="auto"/>
          </w:tcPr>
          <w:p w14:paraId="35C63AA7" w14:textId="77777777" w:rsidR="00180E7C" w:rsidRDefault="00000000">
            <w:pPr>
              <w:pStyle w:val="Compact"/>
            </w:pPr>
            <w:r>
              <w:t>Location / Facility</w:t>
            </w:r>
          </w:p>
        </w:tc>
        <w:tc>
          <w:tcPr>
            <w:tcW w:w="0" w:type="auto"/>
          </w:tcPr>
          <w:p w14:paraId="10C4F31C" w14:textId="77777777" w:rsidR="00180E7C" w:rsidRDefault="00000000">
            <w:pPr>
              <w:pStyle w:val="Compact"/>
            </w:pPr>
            <w:r>
              <w:t>Coordinates or site code</w:t>
            </w:r>
          </w:p>
        </w:tc>
      </w:tr>
      <w:tr w:rsidR="00180E7C" w14:paraId="04FA33A8" w14:textId="77777777">
        <w:tc>
          <w:tcPr>
            <w:tcW w:w="0" w:type="auto"/>
          </w:tcPr>
          <w:p w14:paraId="52B23E12" w14:textId="77777777" w:rsidR="00180E7C" w:rsidRDefault="00000000">
            <w:pPr>
              <w:pStyle w:val="Compact"/>
            </w:pPr>
            <w:r>
              <w:t>Deviation Description</w:t>
            </w:r>
          </w:p>
        </w:tc>
        <w:tc>
          <w:tcPr>
            <w:tcW w:w="0" w:type="auto"/>
          </w:tcPr>
          <w:p w14:paraId="1B0409D7" w14:textId="77777777" w:rsidR="00180E7C" w:rsidRDefault="00000000">
            <w:pPr>
              <w:pStyle w:val="Compact"/>
            </w:pPr>
            <w:r>
              <w:t>Objective description, no characterization</w:t>
            </w:r>
          </w:p>
        </w:tc>
      </w:tr>
      <w:tr w:rsidR="00180E7C" w14:paraId="730C6ED2" w14:textId="77777777">
        <w:tc>
          <w:tcPr>
            <w:tcW w:w="0" w:type="auto"/>
          </w:tcPr>
          <w:p w14:paraId="0D9C7080" w14:textId="77777777" w:rsidR="00180E7C" w:rsidRDefault="00000000">
            <w:pPr>
              <w:pStyle w:val="Compact"/>
            </w:pPr>
            <w:r>
              <w:t>Detection Timestamp</w:t>
            </w:r>
          </w:p>
        </w:tc>
        <w:tc>
          <w:tcPr>
            <w:tcW w:w="0" w:type="auto"/>
          </w:tcPr>
          <w:p w14:paraId="4594A861" w14:textId="77777777" w:rsidR="00180E7C" w:rsidRDefault="00000000">
            <w:pPr>
              <w:pStyle w:val="Compact"/>
            </w:pPr>
            <w:r>
              <w:t>UTC</w:t>
            </w:r>
          </w:p>
        </w:tc>
      </w:tr>
      <w:tr w:rsidR="00180E7C" w14:paraId="1F769D22" w14:textId="77777777">
        <w:tc>
          <w:tcPr>
            <w:tcW w:w="0" w:type="auto"/>
          </w:tcPr>
          <w:p w14:paraId="3F046979" w14:textId="77777777" w:rsidR="00180E7C" w:rsidRDefault="00000000">
            <w:pPr>
              <w:pStyle w:val="Compact"/>
            </w:pPr>
            <w:r>
              <w:t>Notification Timestamp</w:t>
            </w:r>
          </w:p>
        </w:tc>
        <w:tc>
          <w:tcPr>
            <w:tcW w:w="0" w:type="auto"/>
          </w:tcPr>
          <w:p w14:paraId="274F121D" w14:textId="77777777" w:rsidR="00180E7C" w:rsidRDefault="00000000">
            <w:pPr>
              <w:pStyle w:val="Compact"/>
            </w:pPr>
            <w:r>
              <w:t>UTC (target: plus 5 minutes)</w:t>
            </w:r>
          </w:p>
        </w:tc>
      </w:tr>
      <w:tr w:rsidR="00180E7C" w14:paraId="1A7B44ED" w14:textId="77777777">
        <w:tc>
          <w:tcPr>
            <w:tcW w:w="0" w:type="auto"/>
          </w:tcPr>
          <w:p w14:paraId="2476D67A" w14:textId="77777777" w:rsidR="00180E7C" w:rsidRDefault="00000000">
            <w:pPr>
              <w:pStyle w:val="Compact"/>
            </w:pPr>
            <w:r>
              <w:t>Stand-Down Confirmation</w:t>
            </w:r>
          </w:p>
        </w:tc>
        <w:tc>
          <w:tcPr>
            <w:tcW w:w="0" w:type="auto"/>
          </w:tcPr>
          <w:p w14:paraId="7E0ED7D7" w14:textId="77777777" w:rsidR="00180E7C" w:rsidRDefault="00000000">
            <w:pPr>
              <w:pStyle w:val="Compact"/>
            </w:pPr>
            <w:r>
              <w:t>Both Parties’ confirmations with timestamps</w:t>
            </w:r>
          </w:p>
        </w:tc>
      </w:tr>
      <w:tr w:rsidR="00180E7C" w14:paraId="06D2D71B" w14:textId="77777777">
        <w:tc>
          <w:tcPr>
            <w:tcW w:w="0" w:type="auto"/>
          </w:tcPr>
          <w:p w14:paraId="060FE848" w14:textId="77777777" w:rsidR="00180E7C" w:rsidRDefault="00000000">
            <w:pPr>
              <w:pStyle w:val="Compact"/>
            </w:pPr>
            <w:r>
              <w:t>Disposition</w:t>
            </w:r>
          </w:p>
        </w:tc>
        <w:tc>
          <w:tcPr>
            <w:tcW w:w="0" w:type="auto"/>
          </w:tcPr>
          <w:p w14:paraId="2B4EBDC4" w14:textId="77777777" w:rsidR="00180E7C" w:rsidRDefault="00000000">
            <w:pPr>
              <w:pStyle w:val="Compact"/>
            </w:pPr>
            <w:r>
              <w:t>Resolution, escalation, or reclassification</w:t>
            </w:r>
          </w:p>
        </w:tc>
      </w:tr>
    </w:tbl>
    <w:p w14:paraId="6192E48C" w14:textId="77777777" w:rsidR="00180E7C" w:rsidRDefault="00000000">
      <w:pPr>
        <w:pStyle w:val="Heading2"/>
      </w:pPr>
      <w:bookmarkStart w:id="922" w:name="sp-7.3-form-t-2-benchmark-certificate"/>
      <w:bookmarkEnd w:id="921"/>
      <w:r>
        <w:t>SP-7.3 Form T-2: Benchmark Certificate</w:t>
      </w:r>
    </w:p>
    <w:tbl>
      <w:tblPr>
        <w:tblStyle w:val="Table"/>
        <w:tblW w:w="5000" w:type="pct"/>
        <w:tblLook w:val="0020" w:firstRow="1" w:lastRow="0" w:firstColumn="0" w:lastColumn="0" w:noHBand="0" w:noVBand="0"/>
      </w:tblPr>
      <w:tblGrid>
        <w:gridCol w:w="3078"/>
        <w:gridCol w:w="6498"/>
      </w:tblGrid>
      <w:tr w:rsidR="00180E7C" w14:paraId="129672C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B56C279" w14:textId="77777777" w:rsidR="00180E7C" w:rsidRDefault="00000000">
            <w:pPr>
              <w:pStyle w:val="Compact"/>
            </w:pPr>
            <w:r>
              <w:t>Field</w:t>
            </w:r>
          </w:p>
        </w:tc>
        <w:tc>
          <w:tcPr>
            <w:tcW w:w="0" w:type="auto"/>
          </w:tcPr>
          <w:p w14:paraId="2A6F8036" w14:textId="77777777" w:rsidR="00180E7C" w:rsidRDefault="00000000">
            <w:pPr>
              <w:pStyle w:val="Compact"/>
            </w:pPr>
            <w:r>
              <w:t>Content</w:t>
            </w:r>
          </w:p>
        </w:tc>
      </w:tr>
      <w:tr w:rsidR="00180E7C" w14:paraId="768D7E88" w14:textId="77777777">
        <w:tc>
          <w:tcPr>
            <w:tcW w:w="0" w:type="auto"/>
          </w:tcPr>
          <w:p w14:paraId="30BF24D9" w14:textId="77777777" w:rsidR="00180E7C" w:rsidRDefault="00000000">
            <w:pPr>
              <w:pStyle w:val="Compact"/>
            </w:pPr>
            <w:r>
              <w:t>Certificate Number</w:t>
            </w:r>
          </w:p>
        </w:tc>
        <w:tc>
          <w:tcPr>
            <w:tcW w:w="0" w:type="auto"/>
          </w:tcPr>
          <w:p w14:paraId="2FF574C5" w14:textId="77777777" w:rsidR="00180E7C" w:rsidRDefault="00000000">
            <w:pPr>
              <w:pStyle w:val="Compact"/>
            </w:pPr>
            <w:r>
              <w:t>Sequential per domain</w:t>
            </w:r>
          </w:p>
        </w:tc>
      </w:tr>
      <w:tr w:rsidR="00180E7C" w14:paraId="0DF48F53" w14:textId="77777777">
        <w:tc>
          <w:tcPr>
            <w:tcW w:w="0" w:type="auto"/>
          </w:tcPr>
          <w:p w14:paraId="2D3C26DC" w14:textId="77777777" w:rsidR="00180E7C" w:rsidRDefault="00000000">
            <w:pPr>
              <w:pStyle w:val="Compact"/>
            </w:pPr>
            <w:r>
              <w:t>Benchmark</w:t>
            </w:r>
          </w:p>
        </w:tc>
        <w:tc>
          <w:tcPr>
            <w:tcW w:w="0" w:type="auto"/>
          </w:tcPr>
          <w:p w14:paraId="77AB9EB5" w14:textId="77777777" w:rsidR="00180E7C" w:rsidRDefault="00000000">
            <w:pPr>
              <w:pStyle w:val="Compact"/>
            </w:pPr>
            <w:r>
              <w:t>Register reference (Annex P, Section 6)</w:t>
            </w:r>
          </w:p>
        </w:tc>
      </w:tr>
      <w:tr w:rsidR="00180E7C" w14:paraId="25CD6AE2" w14:textId="77777777">
        <w:tc>
          <w:tcPr>
            <w:tcW w:w="0" w:type="auto"/>
          </w:tcPr>
          <w:p w14:paraId="7A2B2982" w14:textId="77777777" w:rsidR="00180E7C" w:rsidRDefault="00000000">
            <w:pPr>
              <w:pStyle w:val="Compact"/>
            </w:pPr>
            <w:r>
              <w:t>Objective Indicator</w:t>
            </w:r>
          </w:p>
        </w:tc>
        <w:tc>
          <w:tcPr>
            <w:tcW w:w="0" w:type="auto"/>
          </w:tcPr>
          <w:p w14:paraId="64E44F91" w14:textId="77777777" w:rsidR="00180E7C" w:rsidRDefault="00000000">
            <w:pPr>
              <w:pStyle w:val="Compact"/>
            </w:pPr>
            <w:r>
              <w:t>The measured values</w:t>
            </w:r>
          </w:p>
        </w:tc>
      </w:tr>
      <w:tr w:rsidR="00180E7C" w14:paraId="298EA0E3" w14:textId="77777777">
        <w:tc>
          <w:tcPr>
            <w:tcW w:w="0" w:type="auto"/>
          </w:tcPr>
          <w:p w14:paraId="548A2795" w14:textId="77777777" w:rsidR="00180E7C" w:rsidRDefault="00000000">
            <w:pPr>
              <w:pStyle w:val="Compact"/>
            </w:pPr>
            <w:r>
              <w:t>Data Sources</w:t>
            </w:r>
          </w:p>
        </w:tc>
        <w:tc>
          <w:tcPr>
            <w:tcW w:w="0" w:type="auto"/>
          </w:tcPr>
          <w:p w14:paraId="531D63E8" w14:textId="77777777" w:rsidR="00180E7C" w:rsidRDefault="00000000">
            <w:pPr>
              <w:pStyle w:val="Compact"/>
            </w:pPr>
            <w:r>
              <w:t>The SDR record references</w:t>
            </w:r>
          </w:p>
        </w:tc>
      </w:tr>
      <w:tr w:rsidR="00180E7C" w14:paraId="6CD08D0A" w14:textId="77777777">
        <w:tc>
          <w:tcPr>
            <w:tcW w:w="0" w:type="auto"/>
          </w:tcPr>
          <w:p w14:paraId="5FBEE3A1" w14:textId="77777777" w:rsidR="00180E7C" w:rsidRDefault="00000000">
            <w:pPr>
              <w:pStyle w:val="Compact"/>
            </w:pPr>
            <w:r>
              <w:t>Verification Event</w:t>
            </w:r>
          </w:p>
        </w:tc>
        <w:tc>
          <w:tcPr>
            <w:tcW w:w="0" w:type="auto"/>
          </w:tcPr>
          <w:p w14:paraId="392F760C" w14:textId="77777777" w:rsidR="00180E7C" w:rsidRDefault="00000000">
            <w:pPr>
              <w:pStyle w:val="Compact"/>
            </w:pPr>
            <w:r>
              <w:t>Inspection, sensor confirmation, or document audit</w:t>
            </w:r>
          </w:p>
        </w:tc>
      </w:tr>
      <w:tr w:rsidR="00180E7C" w14:paraId="3CBDA086" w14:textId="77777777">
        <w:tc>
          <w:tcPr>
            <w:tcW w:w="0" w:type="auto"/>
          </w:tcPr>
          <w:p w14:paraId="17BF9AF1" w14:textId="77777777" w:rsidR="00180E7C" w:rsidRDefault="00000000">
            <w:pPr>
              <w:pStyle w:val="Compact"/>
            </w:pPr>
            <w:r>
              <w:t>Certification Statement</w:t>
            </w:r>
          </w:p>
        </w:tc>
        <w:tc>
          <w:tcPr>
            <w:tcW w:w="0" w:type="auto"/>
          </w:tcPr>
          <w:p w14:paraId="2CA7CF04" w14:textId="77777777" w:rsidR="00180E7C" w:rsidRDefault="00000000">
            <w:pPr>
              <w:pStyle w:val="Compact"/>
            </w:pPr>
            <w:r>
              <w:t>The JMC certification language</w:t>
            </w:r>
          </w:p>
        </w:tc>
      </w:tr>
      <w:tr w:rsidR="00180E7C" w14:paraId="45A8F374" w14:textId="77777777">
        <w:tc>
          <w:tcPr>
            <w:tcW w:w="0" w:type="auto"/>
          </w:tcPr>
          <w:p w14:paraId="51C406E0" w14:textId="77777777" w:rsidR="00180E7C" w:rsidRDefault="00000000">
            <w:pPr>
              <w:pStyle w:val="Compact"/>
            </w:pPr>
            <w:r>
              <w:t>Synchronization Effect</w:t>
            </w:r>
          </w:p>
        </w:tc>
        <w:tc>
          <w:tcPr>
            <w:tcW w:w="0" w:type="auto"/>
          </w:tcPr>
          <w:p w14:paraId="6848A32D" w14:textId="77777777" w:rsidR="00180E7C" w:rsidRDefault="00000000">
            <w:pPr>
              <w:pStyle w:val="Compact"/>
            </w:pPr>
            <w:r>
              <w:t>The phase steps this certificate unlocks</w:t>
            </w:r>
          </w:p>
        </w:tc>
      </w:tr>
    </w:tbl>
    <w:p w14:paraId="7D907783" w14:textId="77777777" w:rsidR="00180E7C" w:rsidRDefault="00000000">
      <w:pPr>
        <w:pStyle w:val="Heading2"/>
      </w:pPr>
      <w:bookmarkStart w:id="923" w:name="sp-7.4-form-t-3-step-back-order"/>
      <w:bookmarkEnd w:id="922"/>
      <w:r>
        <w:t>SP-7.4 Form T-3: Step-Back Order</w:t>
      </w:r>
    </w:p>
    <w:tbl>
      <w:tblPr>
        <w:tblStyle w:val="Table"/>
        <w:tblW w:w="5000" w:type="pct"/>
        <w:tblLook w:val="0020" w:firstRow="1" w:lastRow="0" w:firstColumn="0" w:lastColumn="0" w:noHBand="0" w:noVBand="0"/>
      </w:tblPr>
      <w:tblGrid>
        <w:gridCol w:w="3138"/>
        <w:gridCol w:w="6438"/>
      </w:tblGrid>
      <w:tr w:rsidR="00180E7C" w14:paraId="709BD359"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A45DCA5" w14:textId="77777777" w:rsidR="00180E7C" w:rsidRDefault="00000000">
            <w:pPr>
              <w:pStyle w:val="Compact"/>
            </w:pPr>
            <w:r>
              <w:t>Field</w:t>
            </w:r>
          </w:p>
        </w:tc>
        <w:tc>
          <w:tcPr>
            <w:tcW w:w="0" w:type="auto"/>
          </w:tcPr>
          <w:p w14:paraId="552E69C0" w14:textId="77777777" w:rsidR="00180E7C" w:rsidRDefault="00000000">
            <w:pPr>
              <w:pStyle w:val="Compact"/>
            </w:pPr>
            <w:r>
              <w:t>Content</w:t>
            </w:r>
          </w:p>
        </w:tc>
      </w:tr>
      <w:tr w:rsidR="00180E7C" w14:paraId="60FFA25D" w14:textId="77777777">
        <w:tc>
          <w:tcPr>
            <w:tcW w:w="0" w:type="auto"/>
          </w:tcPr>
          <w:p w14:paraId="2507ED0D" w14:textId="77777777" w:rsidR="00180E7C" w:rsidRDefault="00000000">
            <w:pPr>
              <w:pStyle w:val="Compact"/>
            </w:pPr>
            <w:r>
              <w:t>Order Number</w:t>
            </w:r>
          </w:p>
        </w:tc>
        <w:tc>
          <w:tcPr>
            <w:tcW w:w="0" w:type="auto"/>
          </w:tcPr>
          <w:p w14:paraId="3C1DDEF8" w14:textId="77777777" w:rsidR="00180E7C" w:rsidRDefault="00000000">
            <w:pPr>
              <w:pStyle w:val="Compact"/>
            </w:pPr>
            <w:r>
              <w:t>Sequential</w:t>
            </w:r>
          </w:p>
        </w:tc>
      </w:tr>
      <w:tr w:rsidR="00180E7C" w14:paraId="6ECFA0C9" w14:textId="77777777">
        <w:tc>
          <w:tcPr>
            <w:tcW w:w="0" w:type="auto"/>
          </w:tcPr>
          <w:p w14:paraId="4A04B48F" w14:textId="77777777" w:rsidR="00180E7C" w:rsidRDefault="00000000">
            <w:pPr>
              <w:pStyle w:val="Compact"/>
            </w:pPr>
            <w:r>
              <w:t>Affected Party</w:t>
            </w:r>
          </w:p>
        </w:tc>
        <w:tc>
          <w:tcPr>
            <w:tcW w:w="0" w:type="auto"/>
          </w:tcPr>
          <w:p w14:paraId="318FA592" w14:textId="77777777" w:rsidR="00180E7C" w:rsidRDefault="00000000">
            <w:pPr>
              <w:pStyle w:val="Compact"/>
            </w:pPr>
            <w:r>
              <w:t>Party</w:t>
            </w:r>
          </w:p>
        </w:tc>
      </w:tr>
      <w:tr w:rsidR="00180E7C" w14:paraId="0CDDC0BB" w14:textId="77777777">
        <w:tc>
          <w:tcPr>
            <w:tcW w:w="0" w:type="auto"/>
          </w:tcPr>
          <w:p w14:paraId="2E583B8D" w14:textId="77777777" w:rsidR="00180E7C" w:rsidRDefault="00000000">
            <w:pPr>
              <w:pStyle w:val="Compact"/>
            </w:pPr>
            <w:r>
              <w:t>Benefit Line</w:t>
            </w:r>
          </w:p>
        </w:tc>
        <w:tc>
          <w:tcPr>
            <w:tcW w:w="0" w:type="auto"/>
          </w:tcPr>
          <w:p w14:paraId="09F165DF" w14:textId="77777777" w:rsidR="00180E7C" w:rsidRDefault="00000000">
            <w:pPr>
              <w:pStyle w:val="Compact"/>
            </w:pPr>
            <w:r>
              <w:t>BL reference (Annex E)</w:t>
            </w:r>
          </w:p>
        </w:tc>
      </w:tr>
      <w:tr w:rsidR="00180E7C" w14:paraId="36E93919" w14:textId="77777777">
        <w:tc>
          <w:tcPr>
            <w:tcW w:w="0" w:type="auto"/>
          </w:tcPr>
          <w:p w14:paraId="3237798F" w14:textId="77777777" w:rsidR="00180E7C" w:rsidRDefault="00000000">
            <w:pPr>
              <w:pStyle w:val="Compact"/>
            </w:pPr>
            <w:r>
              <w:t>Percentage</w:t>
            </w:r>
          </w:p>
        </w:tc>
        <w:tc>
          <w:tcPr>
            <w:tcW w:w="0" w:type="auto"/>
          </w:tcPr>
          <w:p w14:paraId="153F4290" w14:textId="77777777" w:rsidR="00180E7C" w:rsidRDefault="00000000">
            <w:pPr>
              <w:pStyle w:val="Compact"/>
            </w:pPr>
            <w:r>
              <w:t>Within tier ceiling</w:t>
            </w:r>
          </w:p>
        </w:tc>
      </w:tr>
      <w:tr w:rsidR="00180E7C" w14:paraId="570AFD06" w14:textId="77777777">
        <w:tc>
          <w:tcPr>
            <w:tcW w:w="0" w:type="auto"/>
          </w:tcPr>
          <w:p w14:paraId="2C40430F" w14:textId="77777777" w:rsidR="00180E7C" w:rsidRDefault="00000000">
            <w:pPr>
              <w:pStyle w:val="Compact"/>
            </w:pPr>
            <w:r>
              <w:t>Verified Basis</w:t>
            </w:r>
          </w:p>
        </w:tc>
        <w:tc>
          <w:tcPr>
            <w:tcW w:w="0" w:type="auto"/>
          </w:tcPr>
          <w:p w14:paraId="38595B29" w14:textId="77777777" w:rsidR="00180E7C" w:rsidRDefault="00000000">
            <w:pPr>
              <w:pStyle w:val="Compact"/>
            </w:pPr>
            <w:r>
              <w:t>Claim or anomaly file reference</w:t>
            </w:r>
          </w:p>
        </w:tc>
      </w:tr>
      <w:tr w:rsidR="00180E7C" w14:paraId="6E99830D" w14:textId="77777777">
        <w:tc>
          <w:tcPr>
            <w:tcW w:w="0" w:type="auto"/>
          </w:tcPr>
          <w:p w14:paraId="5B99B3CF" w14:textId="77777777" w:rsidR="00180E7C" w:rsidRDefault="00000000">
            <w:pPr>
              <w:pStyle w:val="Compact"/>
            </w:pPr>
            <w:r>
              <w:lastRenderedPageBreak/>
              <w:t>Tier</w:t>
            </w:r>
          </w:p>
        </w:tc>
        <w:tc>
          <w:tcPr>
            <w:tcW w:w="0" w:type="auto"/>
          </w:tcPr>
          <w:p w14:paraId="3293E3DE" w14:textId="77777777" w:rsidR="00180E7C" w:rsidRDefault="00000000">
            <w:pPr>
              <w:pStyle w:val="Compact"/>
            </w:pPr>
            <w:r>
              <w:t>1 / 2 / 3</w:t>
            </w:r>
          </w:p>
        </w:tc>
      </w:tr>
      <w:tr w:rsidR="00180E7C" w14:paraId="62A8BD29" w14:textId="77777777">
        <w:tc>
          <w:tcPr>
            <w:tcW w:w="0" w:type="auto"/>
          </w:tcPr>
          <w:p w14:paraId="12458DE6" w14:textId="77777777" w:rsidR="00180E7C" w:rsidRDefault="00000000">
            <w:pPr>
              <w:pStyle w:val="Compact"/>
            </w:pPr>
            <w:r>
              <w:t>Effective Time</w:t>
            </w:r>
          </w:p>
        </w:tc>
        <w:tc>
          <w:tcPr>
            <w:tcW w:w="0" w:type="auto"/>
          </w:tcPr>
          <w:p w14:paraId="116173EB" w14:textId="77777777" w:rsidR="00180E7C" w:rsidRDefault="00000000">
            <w:pPr>
              <w:pStyle w:val="Compact"/>
            </w:pPr>
            <w:r>
              <w:t>Issuance plus 72 hours</w:t>
            </w:r>
          </w:p>
        </w:tc>
      </w:tr>
      <w:tr w:rsidR="00180E7C" w14:paraId="42488B75" w14:textId="77777777">
        <w:tc>
          <w:tcPr>
            <w:tcW w:w="0" w:type="auto"/>
          </w:tcPr>
          <w:p w14:paraId="7E6DAFF9" w14:textId="77777777" w:rsidR="00180E7C" w:rsidRDefault="00000000">
            <w:pPr>
              <w:pStyle w:val="Compact"/>
            </w:pPr>
            <w:r>
              <w:t>Earn-Back Conditions</w:t>
            </w:r>
          </w:p>
        </w:tc>
        <w:tc>
          <w:tcPr>
            <w:tcW w:w="0" w:type="auto"/>
          </w:tcPr>
          <w:p w14:paraId="5104DABE" w14:textId="77777777" w:rsidR="00180E7C" w:rsidRDefault="00000000">
            <w:pPr>
              <w:pStyle w:val="Compact"/>
            </w:pPr>
            <w:r>
              <w:t>Objective remediation standard and clean cycle</w:t>
            </w:r>
          </w:p>
        </w:tc>
      </w:tr>
      <w:tr w:rsidR="00180E7C" w14:paraId="49C70DD6" w14:textId="77777777">
        <w:tc>
          <w:tcPr>
            <w:tcW w:w="0" w:type="auto"/>
          </w:tcPr>
          <w:p w14:paraId="741AD893" w14:textId="77777777" w:rsidR="00180E7C" w:rsidRDefault="00000000">
            <w:pPr>
              <w:pStyle w:val="Compact"/>
            </w:pPr>
            <w:r>
              <w:t>Executing Administrator</w:t>
            </w:r>
          </w:p>
        </w:tc>
        <w:tc>
          <w:tcPr>
            <w:tcW w:w="0" w:type="auto"/>
          </w:tcPr>
          <w:p w14:paraId="44F36DC6" w14:textId="77777777" w:rsidR="00180E7C" w:rsidRDefault="00000000">
            <w:pPr>
              <w:pStyle w:val="Compact"/>
            </w:pPr>
            <w:r>
              <w:t>Escrow agent / licensing authority / Authority / RDF</w:t>
            </w:r>
          </w:p>
        </w:tc>
      </w:tr>
    </w:tbl>
    <w:p w14:paraId="746A9A77" w14:textId="77777777" w:rsidR="00180E7C" w:rsidRDefault="00000000">
      <w:pPr>
        <w:pStyle w:val="Heading2"/>
      </w:pPr>
      <w:bookmarkStart w:id="924" w:name="sp-7.5-form-t-4-earn-back-certificate"/>
      <w:bookmarkEnd w:id="923"/>
      <w:r>
        <w:t>SP-7.5 Form T-4: Earn-Back Certificate</w:t>
      </w:r>
    </w:p>
    <w:tbl>
      <w:tblPr>
        <w:tblStyle w:val="Table"/>
        <w:tblW w:w="5000" w:type="pct"/>
        <w:tblLook w:val="0020" w:firstRow="1" w:lastRow="0" w:firstColumn="0" w:lastColumn="0" w:noHBand="0" w:noVBand="0"/>
      </w:tblPr>
      <w:tblGrid>
        <w:gridCol w:w="2964"/>
        <w:gridCol w:w="6612"/>
      </w:tblGrid>
      <w:tr w:rsidR="00180E7C" w14:paraId="526A6F02"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8B4AB43" w14:textId="77777777" w:rsidR="00180E7C" w:rsidRDefault="00000000">
            <w:pPr>
              <w:pStyle w:val="Compact"/>
            </w:pPr>
            <w:r>
              <w:t>Field</w:t>
            </w:r>
          </w:p>
        </w:tc>
        <w:tc>
          <w:tcPr>
            <w:tcW w:w="0" w:type="auto"/>
          </w:tcPr>
          <w:p w14:paraId="061AEFB4" w14:textId="77777777" w:rsidR="00180E7C" w:rsidRDefault="00000000">
            <w:pPr>
              <w:pStyle w:val="Compact"/>
            </w:pPr>
            <w:r>
              <w:t>Content</w:t>
            </w:r>
          </w:p>
        </w:tc>
      </w:tr>
      <w:tr w:rsidR="00180E7C" w14:paraId="0C0EAD51" w14:textId="77777777">
        <w:tc>
          <w:tcPr>
            <w:tcW w:w="0" w:type="auto"/>
          </w:tcPr>
          <w:p w14:paraId="5831766B" w14:textId="77777777" w:rsidR="00180E7C" w:rsidRDefault="00000000">
            <w:pPr>
              <w:pStyle w:val="Compact"/>
            </w:pPr>
            <w:r>
              <w:t>Certificate Number</w:t>
            </w:r>
          </w:p>
        </w:tc>
        <w:tc>
          <w:tcPr>
            <w:tcW w:w="0" w:type="auto"/>
          </w:tcPr>
          <w:p w14:paraId="7C98C6C7" w14:textId="77777777" w:rsidR="00180E7C" w:rsidRDefault="00000000">
            <w:pPr>
              <w:pStyle w:val="Compact"/>
            </w:pPr>
            <w:r>
              <w:t>Sequential, linked to the Step-Back Order</w:t>
            </w:r>
          </w:p>
        </w:tc>
      </w:tr>
      <w:tr w:rsidR="00180E7C" w14:paraId="577D6C10" w14:textId="77777777">
        <w:tc>
          <w:tcPr>
            <w:tcW w:w="0" w:type="auto"/>
          </w:tcPr>
          <w:p w14:paraId="2A1BBAFE" w14:textId="77777777" w:rsidR="00180E7C" w:rsidRDefault="00000000">
            <w:pPr>
              <w:pStyle w:val="Compact"/>
            </w:pPr>
            <w:r>
              <w:t>Remediation Evidence</w:t>
            </w:r>
          </w:p>
        </w:tc>
        <w:tc>
          <w:tcPr>
            <w:tcW w:w="0" w:type="auto"/>
          </w:tcPr>
          <w:p w14:paraId="04E16F74" w14:textId="77777777" w:rsidR="00180E7C" w:rsidRDefault="00000000">
            <w:pPr>
              <w:pStyle w:val="Compact"/>
            </w:pPr>
            <w:r>
              <w:t>Objective data references</w:t>
            </w:r>
          </w:p>
        </w:tc>
      </w:tr>
      <w:tr w:rsidR="00180E7C" w14:paraId="3F4C2004" w14:textId="77777777">
        <w:tc>
          <w:tcPr>
            <w:tcW w:w="0" w:type="auto"/>
          </w:tcPr>
          <w:p w14:paraId="01A78120" w14:textId="77777777" w:rsidR="00180E7C" w:rsidRDefault="00000000">
            <w:pPr>
              <w:pStyle w:val="Compact"/>
            </w:pPr>
            <w:r>
              <w:t>Clean Cycle Record</w:t>
            </w:r>
          </w:p>
        </w:tc>
        <w:tc>
          <w:tcPr>
            <w:tcW w:w="0" w:type="auto"/>
          </w:tcPr>
          <w:p w14:paraId="12115DE7" w14:textId="77777777" w:rsidR="00180E7C" w:rsidRDefault="00000000">
            <w:pPr>
              <w:pStyle w:val="Compact"/>
            </w:pPr>
            <w:r>
              <w:t>30 / 60 / 90 day verification summary</w:t>
            </w:r>
          </w:p>
        </w:tc>
      </w:tr>
      <w:tr w:rsidR="00180E7C" w14:paraId="1B1D14EF" w14:textId="77777777">
        <w:tc>
          <w:tcPr>
            <w:tcW w:w="0" w:type="auto"/>
          </w:tcPr>
          <w:p w14:paraId="6675082A" w14:textId="77777777" w:rsidR="00180E7C" w:rsidRDefault="00000000">
            <w:pPr>
              <w:pStyle w:val="Compact"/>
            </w:pPr>
            <w:r>
              <w:t>Restoration Action</w:t>
            </w:r>
          </w:p>
        </w:tc>
        <w:tc>
          <w:tcPr>
            <w:tcW w:w="0" w:type="auto"/>
          </w:tcPr>
          <w:p w14:paraId="32C71929" w14:textId="77777777" w:rsidR="00180E7C" w:rsidRDefault="00000000">
            <w:pPr>
              <w:pStyle w:val="Compact"/>
            </w:pPr>
            <w:r>
              <w:t>The restored flows, including retroactive completion</w:t>
            </w:r>
          </w:p>
        </w:tc>
      </w:tr>
      <w:tr w:rsidR="00180E7C" w14:paraId="5DE28184" w14:textId="77777777">
        <w:tc>
          <w:tcPr>
            <w:tcW w:w="0" w:type="auto"/>
          </w:tcPr>
          <w:p w14:paraId="45B8E2E6" w14:textId="77777777" w:rsidR="00180E7C" w:rsidRDefault="00000000">
            <w:pPr>
              <w:pStyle w:val="Compact"/>
            </w:pPr>
            <w:r>
              <w:t>Effective Time</w:t>
            </w:r>
          </w:p>
        </w:tc>
        <w:tc>
          <w:tcPr>
            <w:tcW w:w="0" w:type="auto"/>
          </w:tcPr>
          <w:p w14:paraId="60E575BB" w14:textId="77777777" w:rsidR="00180E7C" w:rsidRDefault="00000000">
            <w:pPr>
              <w:pStyle w:val="Compact"/>
            </w:pPr>
            <w:r>
              <w:t>Immediate upon issuance</w:t>
            </w:r>
          </w:p>
        </w:tc>
      </w:tr>
    </w:tbl>
    <w:p w14:paraId="558F8516" w14:textId="77777777" w:rsidR="00180E7C" w:rsidRDefault="00000000">
      <w:pPr>
        <w:pStyle w:val="Heading2"/>
      </w:pPr>
      <w:bookmarkStart w:id="925" w:name="sp-7.6-form-t-5-claim-submission"/>
      <w:bookmarkEnd w:id="924"/>
      <w:r>
        <w:t>SP-7.6 Form T-5: Claim Submission</w:t>
      </w:r>
    </w:p>
    <w:tbl>
      <w:tblPr>
        <w:tblStyle w:val="Table"/>
        <w:tblW w:w="5000" w:type="pct"/>
        <w:tblLook w:val="0020" w:firstRow="1" w:lastRow="0" w:firstColumn="0" w:lastColumn="0" w:noHBand="0" w:noVBand="0"/>
      </w:tblPr>
      <w:tblGrid>
        <w:gridCol w:w="2344"/>
        <w:gridCol w:w="7232"/>
      </w:tblGrid>
      <w:tr w:rsidR="00180E7C" w14:paraId="37649EAC"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DF1788D" w14:textId="77777777" w:rsidR="00180E7C" w:rsidRDefault="00000000">
            <w:pPr>
              <w:pStyle w:val="Compact"/>
            </w:pPr>
            <w:r>
              <w:t>Field</w:t>
            </w:r>
          </w:p>
        </w:tc>
        <w:tc>
          <w:tcPr>
            <w:tcW w:w="0" w:type="auto"/>
          </w:tcPr>
          <w:p w14:paraId="33AAB814" w14:textId="77777777" w:rsidR="00180E7C" w:rsidRDefault="00000000">
            <w:pPr>
              <w:pStyle w:val="Compact"/>
            </w:pPr>
            <w:r>
              <w:t>Content</w:t>
            </w:r>
          </w:p>
        </w:tc>
      </w:tr>
      <w:tr w:rsidR="00180E7C" w14:paraId="276DB740" w14:textId="77777777">
        <w:tc>
          <w:tcPr>
            <w:tcW w:w="0" w:type="auto"/>
          </w:tcPr>
          <w:p w14:paraId="2A280A4C" w14:textId="77777777" w:rsidR="00180E7C" w:rsidRDefault="00000000">
            <w:pPr>
              <w:pStyle w:val="Compact"/>
            </w:pPr>
            <w:r>
              <w:t>Claim Number</w:t>
            </w:r>
          </w:p>
        </w:tc>
        <w:tc>
          <w:tcPr>
            <w:tcW w:w="0" w:type="auto"/>
          </w:tcPr>
          <w:p w14:paraId="5D1FC8F8" w14:textId="77777777" w:rsidR="00180E7C" w:rsidRDefault="00000000">
            <w:pPr>
              <w:pStyle w:val="Compact"/>
            </w:pPr>
            <w:r>
              <w:t>Sequential</w:t>
            </w:r>
          </w:p>
        </w:tc>
      </w:tr>
      <w:tr w:rsidR="00180E7C" w14:paraId="25A49DE3" w14:textId="77777777">
        <w:tc>
          <w:tcPr>
            <w:tcW w:w="0" w:type="auto"/>
          </w:tcPr>
          <w:p w14:paraId="371BCDF8" w14:textId="77777777" w:rsidR="00180E7C" w:rsidRDefault="00000000">
            <w:pPr>
              <w:pStyle w:val="Compact"/>
            </w:pPr>
            <w:r>
              <w:t>Claimant Party</w:t>
            </w:r>
          </w:p>
        </w:tc>
        <w:tc>
          <w:tcPr>
            <w:tcW w:w="0" w:type="auto"/>
          </w:tcPr>
          <w:p w14:paraId="40B97404" w14:textId="77777777" w:rsidR="00180E7C" w:rsidRDefault="00000000">
            <w:pPr>
              <w:pStyle w:val="Compact"/>
            </w:pPr>
            <w:r>
              <w:t>Party</w:t>
            </w:r>
          </w:p>
        </w:tc>
      </w:tr>
      <w:tr w:rsidR="00180E7C" w14:paraId="01A359EA" w14:textId="77777777">
        <w:tc>
          <w:tcPr>
            <w:tcW w:w="0" w:type="auto"/>
          </w:tcPr>
          <w:p w14:paraId="3749DE8A" w14:textId="77777777" w:rsidR="00180E7C" w:rsidRDefault="00000000">
            <w:pPr>
              <w:pStyle w:val="Compact"/>
            </w:pPr>
            <w:r>
              <w:t>Obligation Cited</w:t>
            </w:r>
          </w:p>
        </w:tc>
        <w:tc>
          <w:tcPr>
            <w:tcW w:w="0" w:type="auto"/>
          </w:tcPr>
          <w:p w14:paraId="27EB1C24" w14:textId="77777777" w:rsidR="00180E7C" w:rsidRDefault="00000000">
            <w:pPr>
              <w:pStyle w:val="Compact"/>
            </w:pPr>
            <w:r>
              <w:t>Article and Annex reference</w:t>
            </w:r>
          </w:p>
        </w:tc>
      </w:tr>
      <w:tr w:rsidR="00180E7C" w14:paraId="40EBD7B4" w14:textId="77777777">
        <w:tc>
          <w:tcPr>
            <w:tcW w:w="0" w:type="auto"/>
          </w:tcPr>
          <w:p w14:paraId="72BD0866" w14:textId="77777777" w:rsidR="00180E7C" w:rsidRDefault="00000000">
            <w:pPr>
              <w:pStyle w:val="Compact"/>
            </w:pPr>
            <w:r>
              <w:t>Evidence Package</w:t>
            </w:r>
          </w:p>
        </w:tc>
        <w:tc>
          <w:tcPr>
            <w:tcW w:w="0" w:type="auto"/>
          </w:tcPr>
          <w:p w14:paraId="58F81934" w14:textId="77777777" w:rsidR="00180E7C" w:rsidRDefault="00000000">
            <w:pPr>
              <w:pStyle w:val="Compact"/>
            </w:pPr>
            <w:r>
              <w:t>SDR references, redacted-review marking where applicable</w:t>
            </w:r>
          </w:p>
        </w:tc>
      </w:tr>
      <w:tr w:rsidR="00180E7C" w14:paraId="4440455C" w14:textId="77777777">
        <w:tc>
          <w:tcPr>
            <w:tcW w:w="0" w:type="auto"/>
          </w:tcPr>
          <w:p w14:paraId="32BED8E0" w14:textId="77777777" w:rsidR="00180E7C" w:rsidRDefault="00000000">
            <w:pPr>
              <w:pStyle w:val="Compact"/>
            </w:pPr>
            <w:r>
              <w:t>Claimed Tier</w:t>
            </w:r>
          </w:p>
        </w:tc>
        <w:tc>
          <w:tcPr>
            <w:tcW w:w="0" w:type="auto"/>
          </w:tcPr>
          <w:p w14:paraId="5E92E3F6" w14:textId="77777777" w:rsidR="00180E7C" w:rsidRDefault="00000000">
            <w:pPr>
              <w:pStyle w:val="Compact"/>
            </w:pPr>
            <w:r>
              <w:t>Tier and benefit line</w:t>
            </w:r>
          </w:p>
        </w:tc>
      </w:tr>
      <w:tr w:rsidR="00180E7C" w14:paraId="5C535970" w14:textId="77777777">
        <w:tc>
          <w:tcPr>
            <w:tcW w:w="0" w:type="auto"/>
          </w:tcPr>
          <w:p w14:paraId="70B1B0F6" w14:textId="77777777" w:rsidR="00180E7C" w:rsidRDefault="00000000">
            <w:pPr>
              <w:pStyle w:val="Compact"/>
            </w:pPr>
            <w:r>
              <w:t>Remedy Sought</w:t>
            </w:r>
          </w:p>
        </w:tc>
        <w:tc>
          <w:tcPr>
            <w:tcW w:w="0" w:type="auto"/>
          </w:tcPr>
          <w:p w14:paraId="6BDEC5B3" w14:textId="77777777" w:rsidR="00180E7C" w:rsidRDefault="00000000">
            <w:pPr>
              <w:pStyle w:val="Compact"/>
            </w:pPr>
            <w:r>
              <w:t>Within the schedules</w:t>
            </w:r>
          </w:p>
        </w:tc>
      </w:tr>
      <w:tr w:rsidR="00180E7C" w14:paraId="3E169572" w14:textId="77777777">
        <w:tc>
          <w:tcPr>
            <w:tcW w:w="0" w:type="auto"/>
          </w:tcPr>
          <w:p w14:paraId="049B0FCF" w14:textId="77777777" w:rsidR="00180E7C" w:rsidRDefault="00000000">
            <w:pPr>
              <w:pStyle w:val="Compact"/>
            </w:pPr>
            <w:r>
              <w:t>Filing Attestation</w:t>
            </w:r>
          </w:p>
        </w:tc>
        <w:tc>
          <w:tcPr>
            <w:tcW w:w="0" w:type="auto"/>
          </w:tcPr>
          <w:p w14:paraId="4BBA1DD0" w14:textId="77777777" w:rsidR="00180E7C" w:rsidRDefault="00000000">
            <w:pPr>
              <w:pStyle w:val="Compact"/>
            </w:pPr>
            <w:r>
              <w:t>Mission head’s good-faith attestation</w:t>
            </w:r>
          </w:p>
        </w:tc>
      </w:tr>
    </w:tbl>
    <w:p w14:paraId="03700AF0" w14:textId="77777777" w:rsidR="00180E7C" w:rsidRDefault="00000000">
      <w:pPr>
        <w:pStyle w:val="Heading2"/>
      </w:pPr>
      <w:bookmarkStart w:id="926" w:name="X3239a8b71d5daacec0927a83bd526bb9247835f"/>
      <w:bookmarkEnd w:id="925"/>
      <w:r>
        <w:t>SP-7.7 Form T-6: Transit Filing (Rules of Transit)</w:t>
      </w:r>
    </w:p>
    <w:tbl>
      <w:tblPr>
        <w:tblStyle w:val="Table"/>
        <w:tblW w:w="5000" w:type="pct"/>
        <w:tblLook w:val="0020" w:firstRow="1" w:lastRow="0" w:firstColumn="0" w:lastColumn="0" w:noHBand="0" w:noVBand="0"/>
      </w:tblPr>
      <w:tblGrid>
        <w:gridCol w:w="3414"/>
        <w:gridCol w:w="6162"/>
      </w:tblGrid>
      <w:tr w:rsidR="00180E7C" w14:paraId="7B79169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C604877" w14:textId="77777777" w:rsidR="00180E7C" w:rsidRDefault="00000000">
            <w:pPr>
              <w:pStyle w:val="Compact"/>
            </w:pPr>
            <w:r>
              <w:t>Field</w:t>
            </w:r>
          </w:p>
        </w:tc>
        <w:tc>
          <w:tcPr>
            <w:tcW w:w="0" w:type="auto"/>
          </w:tcPr>
          <w:p w14:paraId="14C8EEAD" w14:textId="77777777" w:rsidR="00180E7C" w:rsidRDefault="00000000">
            <w:pPr>
              <w:pStyle w:val="Compact"/>
            </w:pPr>
            <w:r>
              <w:t>Content</w:t>
            </w:r>
          </w:p>
        </w:tc>
      </w:tr>
      <w:tr w:rsidR="00180E7C" w14:paraId="309B83DA" w14:textId="77777777">
        <w:tc>
          <w:tcPr>
            <w:tcW w:w="0" w:type="auto"/>
          </w:tcPr>
          <w:p w14:paraId="6F65BF4E" w14:textId="77777777" w:rsidR="00180E7C" w:rsidRDefault="00000000">
            <w:pPr>
              <w:pStyle w:val="Compact"/>
            </w:pPr>
            <w:r>
              <w:t>Transit Reference Number</w:t>
            </w:r>
          </w:p>
        </w:tc>
        <w:tc>
          <w:tcPr>
            <w:tcW w:w="0" w:type="auto"/>
          </w:tcPr>
          <w:p w14:paraId="2D6902C1" w14:textId="77777777" w:rsidR="00180E7C" w:rsidRDefault="00000000">
            <w:pPr>
              <w:pStyle w:val="Compact"/>
            </w:pPr>
            <w:r>
              <w:t>Authority-assigned</w:t>
            </w:r>
          </w:p>
        </w:tc>
      </w:tr>
      <w:tr w:rsidR="00180E7C" w14:paraId="56C9A5E9" w14:textId="77777777">
        <w:tc>
          <w:tcPr>
            <w:tcW w:w="0" w:type="auto"/>
          </w:tcPr>
          <w:p w14:paraId="591DFE96" w14:textId="77777777" w:rsidR="00180E7C" w:rsidRDefault="00000000">
            <w:pPr>
              <w:pStyle w:val="Compact"/>
            </w:pPr>
            <w:r>
              <w:t>Vessel Particulars</w:t>
            </w:r>
          </w:p>
        </w:tc>
        <w:tc>
          <w:tcPr>
            <w:tcW w:w="0" w:type="auto"/>
          </w:tcPr>
          <w:p w14:paraId="6EBCA9C4" w14:textId="77777777" w:rsidR="00180E7C" w:rsidRDefault="00000000">
            <w:pPr>
              <w:pStyle w:val="Compact"/>
            </w:pPr>
            <w:r>
              <w:t>Name, IMO number, flag, class, dimensions</w:t>
            </w:r>
          </w:p>
        </w:tc>
      </w:tr>
      <w:tr w:rsidR="00180E7C" w14:paraId="2CF3CF1B" w14:textId="77777777">
        <w:tc>
          <w:tcPr>
            <w:tcW w:w="0" w:type="auto"/>
          </w:tcPr>
          <w:p w14:paraId="10EEB018" w14:textId="77777777" w:rsidR="00180E7C" w:rsidRDefault="00000000">
            <w:pPr>
              <w:pStyle w:val="Compact"/>
            </w:pPr>
            <w:r>
              <w:t>Crew Summary</w:t>
            </w:r>
          </w:p>
        </w:tc>
        <w:tc>
          <w:tcPr>
            <w:tcW w:w="0" w:type="auto"/>
          </w:tcPr>
          <w:p w14:paraId="2FE63108" w14:textId="77777777" w:rsidR="00180E7C" w:rsidRDefault="00000000">
            <w:pPr>
              <w:pStyle w:val="Compact"/>
            </w:pPr>
            <w:r>
              <w:t>Number, nationalities, certification summary</w:t>
            </w:r>
          </w:p>
        </w:tc>
      </w:tr>
      <w:tr w:rsidR="00180E7C" w14:paraId="51263789" w14:textId="77777777">
        <w:tc>
          <w:tcPr>
            <w:tcW w:w="0" w:type="auto"/>
          </w:tcPr>
          <w:p w14:paraId="205D186D" w14:textId="77777777" w:rsidR="00180E7C" w:rsidRDefault="00000000">
            <w:pPr>
              <w:pStyle w:val="Compact"/>
            </w:pPr>
            <w:r>
              <w:t>Cargo Manifest</w:t>
            </w:r>
          </w:p>
        </w:tc>
        <w:tc>
          <w:tcPr>
            <w:tcW w:w="0" w:type="auto"/>
          </w:tcPr>
          <w:p w14:paraId="2E7ECA5E" w14:textId="77777777" w:rsidR="00180E7C" w:rsidRDefault="00000000">
            <w:pPr>
              <w:pStyle w:val="Compact"/>
            </w:pPr>
            <w:r>
              <w:t>Full manifest with IMDG declarations</w:t>
            </w:r>
          </w:p>
        </w:tc>
      </w:tr>
      <w:tr w:rsidR="00180E7C" w14:paraId="3F46E5F7" w14:textId="77777777">
        <w:tc>
          <w:tcPr>
            <w:tcW w:w="0" w:type="auto"/>
          </w:tcPr>
          <w:p w14:paraId="422D763C" w14:textId="77777777" w:rsidR="00180E7C" w:rsidRDefault="00000000">
            <w:pPr>
              <w:pStyle w:val="Compact"/>
            </w:pPr>
            <w:r>
              <w:t>Routing</w:t>
            </w:r>
          </w:p>
        </w:tc>
        <w:tc>
          <w:tcPr>
            <w:tcW w:w="0" w:type="auto"/>
          </w:tcPr>
          <w:p w14:paraId="651DB21D" w14:textId="77777777" w:rsidR="00180E7C" w:rsidRDefault="00000000">
            <w:pPr>
              <w:pStyle w:val="Compact"/>
            </w:pPr>
            <w:r>
              <w:t>Last port, next port, agent</w:t>
            </w:r>
          </w:p>
        </w:tc>
      </w:tr>
      <w:tr w:rsidR="00180E7C" w14:paraId="3802A36E" w14:textId="77777777">
        <w:tc>
          <w:tcPr>
            <w:tcW w:w="0" w:type="auto"/>
          </w:tcPr>
          <w:p w14:paraId="1DF10FFF" w14:textId="77777777" w:rsidR="00180E7C" w:rsidRDefault="00000000">
            <w:pPr>
              <w:pStyle w:val="Compact"/>
            </w:pPr>
            <w:r>
              <w:t>Compliance Declaration</w:t>
            </w:r>
          </w:p>
        </w:tc>
        <w:tc>
          <w:tcPr>
            <w:tcW w:w="0" w:type="auto"/>
          </w:tcPr>
          <w:p w14:paraId="43FF6641" w14:textId="77777777" w:rsidR="00180E7C" w:rsidRDefault="00000000">
            <w:pPr>
              <w:pStyle w:val="Compact"/>
            </w:pPr>
            <w:r>
              <w:t>Master’s declaration of compliance with the Rules</w:t>
            </w:r>
          </w:p>
        </w:tc>
      </w:tr>
      <w:tr w:rsidR="00180E7C" w14:paraId="750CA163" w14:textId="77777777">
        <w:tc>
          <w:tcPr>
            <w:tcW w:w="0" w:type="auto"/>
          </w:tcPr>
          <w:p w14:paraId="5844884E" w14:textId="77777777" w:rsidR="00180E7C" w:rsidRDefault="00000000">
            <w:pPr>
              <w:pStyle w:val="Compact"/>
            </w:pPr>
            <w:r>
              <w:t>Pilotage Booking</w:t>
            </w:r>
          </w:p>
        </w:tc>
        <w:tc>
          <w:tcPr>
            <w:tcW w:w="0" w:type="auto"/>
          </w:tcPr>
          <w:p w14:paraId="582DEDE7" w14:textId="77777777" w:rsidR="00180E7C" w:rsidRDefault="00000000">
            <w:pPr>
              <w:pStyle w:val="Compact"/>
            </w:pPr>
            <w:r>
              <w:t>Where applicable</w:t>
            </w:r>
          </w:p>
        </w:tc>
      </w:tr>
    </w:tbl>
    <w:p w14:paraId="00985771" w14:textId="77777777" w:rsidR="00180E7C" w:rsidRDefault="00000000">
      <w:pPr>
        <w:pStyle w:val="Heading2"/>
      </w:pPr>
      <w:bookmarkStart w:id="927" w:name="X0636b34a04d357738cc6ff41a23b49d0f51c1ca"/>
      <w:bookmarkEnd w:id="926"/>
      <w:r>
        <w:t>SP-7.8 Form T-7: Interdiction Authorization File</w:t>
      </w:r>
    </w:p>
    <w:tbl>
      <w:tblPr>
        <w:tblStyle w:val="Table"/>
        <w:tblW w:w="0" w:type="auto"/>
        <w:tblLook w:val="0020" w:firstRow="1" w:lastRow="0" w:firstColumn="0" w:lastColumn="0" w:noHBand="0" w:noVBand="0"/>
      </w:tblPr>
      <w:tblGrid>
        <w:gridCol w:w="2478"/>
        <w:gridCol w:w="4909"/>
      </w:tblGrid>
      <w:tr w:rsidR="00180E7C" w14:paraId="268F5A8A"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F5F42EB" w14:textId="77777777" w:rsidR="00180E7C" w:rsidRDefault="00000000">
            <w:pPr>
              <w:pStyle w:val="Compact"/>
            </w:pPr>
            <w:r>
              <w:t>Field</w:t>
            </w:r>
          </w:p>
        </w:tc>
        <w:tc>
          <w:tcPr>
            <w:tcW w:w="0" w:type="auto"/>
          </w:tcPr>
          <w:p w14:paraId="34972C68" w14:textId="77777777" w:rsidR="00180E7C" w:rsidRDefault="00000000">
            <w:pPr>
              <w:pStyle w:val="Compact"/>
            </w:pPr>
            <w:r>
              <w:t>Content</w:t>
            </w:r>
          </w:p>
        </w:tc>
      </w:tr>
      <w:tr w:rsidR="00180E7C" w14:paraId="5B241F79" w14:textId="77777777">
        <w:tc>
          <w:tcPr>
            <w:tcW w:w="0" w:type="auto"/>
          </w:tcPr>
          <w:p w14:paraId="649121EB" w14:textId="77777777" w:rsidR="00180E7C" w:rsidRDefault="00000000">
            <w:pPr>
              <w:pStyle w:val="Compact"/>
            </w:pPr>
            <w:r>
              <w:t>File Number</w:t>
            </w:r>
          </w:p>
        </w:tc>
        <w:tc>
          <w:tcPr>
            <w:tcW w:w="0" w:type="auto"/>
          </w:tcPr>
          <w:p w14:paraId="2ECF20A5" w14:textId="77777777" w:rsidR="00180E7C" w:rsidRDefault="00000000">
            <w:pPr>
              <w:pStyle w:val="Compact"/>
            </w:pPr>
            <w:r>
              <w:t>Sequential</w:t>
            </w:r>
          </w:p>
        </w:tc>
      </w:tr>
      <w:tr w:rsidR="00180E7C" w14:paraId="7665978E" w14:textId="77777777">
        <w:tc>
          <w:tcPr>
            <w:tcW w:w="0" w:type="auto"/>
          </w:tcPr>
          <w:p w14:paraId="13D85461" w14:textId="77777777" w:rsidR="00180E7C" w:rsidRDefault="00000000">
            <w:pPr>
              <w:pStyle w:val="Compact"/>
            </w:pPr>
            <w:r>
              <w:t>Level 4 Indicator</w:t>
            </w:r>
          </w:p>
        </w:tc>
        <w:tc>
          <w:tcPr>
            <w:tcW w:w="0" w:type="auto"/>
          </w:tcPr>
          <w:p w14:paraId="6D29C488" w14:textId="77777777" w:rsidR="00180E7C" w:rsidRDefault="00000000">
            <w:pPr>
              <w:pStyle w:val="Compact"/>
            </w:pPr>
            <w:r>
              <w:t>Verification Cell evidence reference</w:t>
            </w:r>
          </w:p>
        </w:tc>
      </w:tr>
      <w:tr w:rsidR="00180E7C" w14:paraId="66A876AE" w14:textId="77777777">
        <w:tc>
          <w:tcPr>
            <w:tcW w:w="0" w:type="auto"/>
          </w:tcPr>
          <w:p w14:paraId="3274100F" w14:textId="77777777" w:rsidR="00180E7C" w:rsidRDefault="00000000">
            <w:pPr>
              <w:pStyle w:val="Compact"/>
            </w:pPr>
            <w:r>
              <w:lastRenderedPageBreak/>
              <w:t>Omani Concurrence</w:t>
            </w:r>
          </w:p>
        </w:tc>
        <w:tc>
          <w:tcPr>
            <w:tcW w:w="0" w:type="auto"/>
          </w:tcPr>
          <w:p w14:paraId="2998D176" w14:textId="77777777" w:rsidR="00180E7C" w:rsidRDefault="00000000">
            <w:pPr>
              <w:pStyle w:val="Compact"/>
            </w:pPr>
            <w:r>
              <w:t>Authorizing officer, signature, timestamp</w:t>
            </w:r>
          </w:p>
        </w:tc>
      </w:tr>
      <w:tr w:rsidR="00180E7C" w14:paraId="1E7C02C6" w14:textId="77777777">
        <w:tc>
          <w:tcPr>
            <w:tcW w:w="0" w:type="auto"/>
          </w:tcPr>
          <w:p w14:paraId="67DDD0BE" w14:textId="77777777" w:rsidR="00180E7C" w:rsidRDefault="00000000">
            <w:pPr>
              <w:pStyle w:val="Compact"/>
            </w:pPr>
            <w:r>
              <w:t>Iranian Concurrence</w:t>
            </w:r>
          </w:p>
        </w:tc>
        <w:tc>
          <w:tcPr>
            <w:tcW w:w="0" w:type="auto"/>
          </w:tcPr>
          <w:p w14:paraId="439DF991" w14:textId="77777777" w:rsidR="00180E7C" w:rsidRDefault="00000000">
            <w:pPr>
              <w:pStyle w:val="Compact"/>
            </w:pPr>
            <w:r>
              <w:t>Authorizing officer, signature, timestamp</w:t>
            </w:r>
          </w:p>
        </w:tc>
      </w:tr>
      <w:tr w:rsidR="00180E7C" w14:paraId="350058EE" w14:textId="77777777">
        <w:tc>
          <w:tcPr>
            <w:tcW w:w="0" w:type="auto"/>
          </w:tcPr>
          <w:p w14:paraId="16832A44" w14:textId="77777777" w:rsidR="00180E7C" w:rsidRDefault="00000000">
            <w:pPr>
              <w:pStyle w:val="Compact"/>
            </w:pPr>
            <w:r>
              <w:t>International Witness</w:t>
            </w:r>
          </w:p>
        </w:tc>
        <w:tc>
          <w:tcPr>
            <w:tcW w:w="0" w:type="auto"/>
          </w:tcPr>
          <w:p w14:paraId="40F93F5B" w14:textId="77777777" w:rsidR="00180E7C" w:rsidRDefault="00000000">
            <w:pPr>
              <w:pStyle w:val="Compact"/>
            </w:pPr>
            <w:r>
              <w:t>Cell officer attestation</w:t>
            </w:r>
          </w:p>
        </w:tc>
      </w:tr>
      <w:tr w:rsidR="00180E7C" w14:paraId="49F3A83C" w14:textId="77777777">
        <w:tc>
          <w:tcPr>
            <w:tcW w:w="0" w:type="auto"/>
          </w:tcPr>
          <w:p w14:paraId="69607840" w14:textId="77777777" w:rsidR="00180E7C" w:rsidRDefault="00000000">
            <w:pPr>
              <w:pStyle w:val="Compact"/>
            </w:pPr>
            <w:r>
              <w:t>Executing Asset</w:t>
            </w:r>
          </w:p>
        </w:tc>
        <w:tc>
          <w:tcPr>
            <w:tcW w:w="0" w:type="auto"/>
          </w:tcPr>
          <w:p w14:paraId="34F22EA1" w14:textId="77777777" w:rsidR="00180E7C" w:rsidRDefault="00000000">
            <w:pPr>
              <w:pStyle w:val="Compact"/>
            </w:pPr>
            <w:r>
              <w:t>Designated unit</w:t>
            </w:r>
          </w:p>
        </w:tc>
      </w:tr>
      <w:tr w:rsidR="00180E7C" w14:paraId="0ABB7758" w14:textId="77777777">
        <w:tc>
          <w:tcPr>
            <w:tcW w:w="0" w:type="auto"/>
          </w:tcPr>
          <w:p w14:paraId="2389E628" w14:textId="77777777" w:rsidR="00180E7C" w:rsidRDefault="00000000">
            <w:pPr>
              <w:pStyle w:val="Compact"/>
            </w:pPr>
            <w:r>
              <w:t>Observation Plan</w:t>
            </w:r>
          </w:p>
        </w:tc>
        <w:tc>
          <w:tcPr>
            <w:tcW w:w="0" w:type="auto"/>
          </w:tcPr>
          <w:p w14:paraId="7C4F56A2" w14:textId="77777777" w:rsidR="00180E7C" w:rsidRDefault="00000000">
            <w:pPr>
              <w:pStyle w:val="Compact"/>
            </w:pPr>
            <w:r>
              <w:t>Recording and Cell observation arrangements</w:t>
            </w:r>
          </w:p>
        </w:tc>
      </w:tr>
      <w:tr w:rsidR="00180E7C" w14:paraId="02C66FC5" w14:textId="77777777">
        <w:tc>
          <w:tcPr>
            <w:tcW w:w="0" w:type="auto"/>
          </w:tcPr>
          <w:p w14:paraId="54DE336C" w14:textId="77777777" w:rsidR="00180E7C" w:rsidRDefault="00000000">
            <w:pPr>
              <w:pStyle w:val="Compact"/>
            </w:pPr>
            <w:r>
              <w:t>Flag State Notification</w:t>
            </w:r>
          </w:p>
        </w:tc>
        <w:tc>
          <w:tcPr>
            <w:tcW w:w="0" w:type="auto"/>
          </w:tcPr>
          <w:p w14:paraId="6B67A8DF" w14:textId="77777777" w:rsidR="00180E7C" w:rsidRDefault="00000000">
            <w:pPr>
              <w:pStyle w:val="Compact"/>
            </w:pPr>
            <w:r>
              <w:t>Timestamp (target: within 4 hours)</w:t>
            </w:r>
          </w:p>
        </w:tc>
      </w:tr>
    </w:tbl>
    <w:p w14:paraId="11BA9CAE" w14:textId="77777777" w:rsidR="00180E7C" w:rsidRDefault="00000000">
      <w:pPr>
        <w:pStyle w:val="Heading2"/>
      </w:pPr>
      <w:bookmarkStart w:id="928" w:name="X2c1aed3773d78ccd6a0d6d7d617d41d53c111c9"/>
      <w:bookmarkEnd w:id="927"/>
      <w:r>
        <w:t>SP-7.9 Form T-8: Batch Certificate (Down-Blending)</w:t>
      </w:r>
    </w:p>
    <w:tbl>
      <w:tblPr>
        <w:tblStyle w:val="Table"/>
        <w:tblW w:w="5000" w:type="pct"/>
        <w:tblLook w:val="0020" w:firstRow="1" w:lastRow="0" w:firstColumn="0" w:lastColumn="0" w:noHBand="0" w:noVBand="0"/>
      </w:tblPr>
      <w:tblGrid>
        <w:gridCol w:w="2872"/>
        <w:gridCol w:w="6704"/>
      </w:tblGrid>
      <w:tr w:rsidR="00180E7C" w14:paraId="3CEB952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F1976F6" w14:textId="77777777" w:rsidR="00180E7C" w:rsidRDefault="00000000">
            <w:pPr>
              <w:pStyle w:val="Compact"/>
            </w:pPr>
            <w:r>
              <w:t>Field</w:t>
            </w:r>
          </w:p>
        </w:tc>
        <w:tc>
          <w:tcPr>
            <w:tcW w:w="0" w:type="auto"/>
          </w:tcPr>
          <w:p w14:paraId="4EF58B3D" w14:textId="77777777" w:rsidR="00180E7C" w:rsidRDefault="00000000">
            <w:pPr>
              <w:pStyle w:val="Compact"/>
            </w:pPr>
            <w:r>
              <w:t>Content</w:t>
            </w:r>
          </w:p>
        </w:tc>
      </w:tr>
      <w:tr w:rsidR="00180E7C" w14:paraId="2D6B8DE4" w14:textId="77777777">
        <w:tc>
          <w:tcPr>
            <w:tcW w:w="0" w:type="auto"/>
          </w:tcPr>
          <w:p w14:paraId="34C4D108" w14:textId="77777777" w:rsidR="00180E7C" w:rsidRDefault="00000000">
            <w:pPr>
              <w:pStyle w:val="Compact"/>
            </w:pPr>
            <w:r>
              <w:t>Batch Number</w:t>
            </w:r>
          </w:p>
        </w:tc>
        <w:tc>
          <w:tcPr>
            <w:tcW w:w="0" w:type="auto"/>
          </w:tcPr>
          <w:p w14:paraId="7D93E2AA" w14:textId="77777777" w:rsidR="00180E7C" w:rsidRDefault="00000000">
            <w:pPr>
              <w:pStyle w:val="Compact"/>
            </w:pPr>
            <w:r>
              <w:t>1-8 (60 percent campaign) or campaign reference</w:t>
            </w:r>
          </w:p>
        </w:tc>
      </w:tr>
      <w:tr w:rsidR="00180E7C" w14:paraId="1208C2C4" w14:textId="77777777">
        <w:tc>
          <w:tcPr>
            <w:tcW w:w="0" w:type="auto"/>
          </w:tcPr>
          <w:p w14:paraId="122F40AB" w14:textId="77777777" w:rsidR="00180E7C" w:rsidRDefault="00000000">
            <w:pPr>
              <w:pStyle w:val="Compact"/>
            </w:pPr>
            <w:r>
              <w:t>Feed Record</w:t>
            </w:r>
          </w:p>
        </w:tc>
        <w:tc>
          <w:tcPr>
            <w:tcW w:w="0" w:type="auto"/>
          </w:tcPr>
          <w:p w14:paraId="39D0959F" w14:textId="77777777" w:rsidR="00180E7C" w:rsidRDefault="00000000">
            <w:pPr>
              <w:pStyle w:val="Compact"/>
            </w:pPr>
            <w:r>
              <w:t>Mass, assay, Ledger references</w:t>
            </w:r>
          </w:p>
        </w:tc>
      </w:tr>
      <w:tr w:rsidR="00180E7C" w14:paraId="099614A6" w14:textId="77777777">
        <w:tc>
          <w:tcPr>
            <w:tcW w:w="0" w:type="auto"/>
          </w:tcPr>
          <w:p w14:paraId="7524900C" w14:textId="77777777" w:rsidR="00180E7C" w:rsidRDefault="00000000">
            <w:pPr>
              <w:pStyle w:val="Compact"/>
            </w:pPr>
            <w:r>
              <w:t>Diluent Record</w:t>
            </w:r>
          </w:p>
        </w:tc>
        <w:tc>
          <w:tcPr>
            <w:tcW w:w="0" w:type="auto"/>
          </w:tcPr>
          <w:p w14:paraId="16B71B11" w14:textId="77777777" w:rsidR="00180E7C" w:rsidRDefault="00000000">
            <w:pPr>
              <w:pStyle w:val="Compact"/>
            </w:pPr>
            <w:r>
              <w:t>Mass, assay, source</w:t>
            </w:r>
          </w:p>
        </w:tc>
      </w:tr>
      <w:tr w:rsidR="00180E7C" w14:paraId="310C0D16" w14:textId="77777777">
        <w:tc>
          <w:tcPr>
            <w:tcW w:w="0" w:type="auto"/>
          </w:tcPr>
          <w:p w14:paraId="5DA2E3FE" w14:textId="77777777" w:rsidR="00180E7C" w:rsidRDefault="00000000">
            <w:pPr>
              <w:pStyle w:val="Compact"/>
            </w:pPr>
            <w:r>
              <w:t>Product Record</w:t>
            </w:r>
          </w:p>
        </w:tc>
        <w:tc>
          <w:tcPr>
            <w:tcW w:w="0" w:type="auto"/>
          </w:tcPr>
          <w:p w14:paraId="4D11703F" w14:textId="77777777" w:rsidR="00180E7C" w:rsidRDefault="00000000">
            <w:pPr>
              <w:pStyle w:val="Compact"/>
            </w:pPr>
            <w:r>
              <w:t>Mass, assay (at or below 0.711 percent), container seals</w:t>
            </w:r>
          </w:p>
        </w:tc>
      </w:tr>
      <w:tr w:rsidR="00180E7C" w14:paraId="2EA132EA" w14:textId="77777777">
        <w:tc>
          <w:tcPr>
            <w:tcW w:w="0" w:type="auto"/>
          </w:tcPr>
          <w:p w14:paraId="365EC38F" w14:textId="77777777" w:rsidR="00180E7C" w:rsidRDefault="00000000">
            <w:pPr>
              <w:pStyle w:val="Compact"/>
            </w:pPr>
            <w:r>
              <w:t>Measurement Record</w:t>
            </w:r>
          </w:p>
        </w:tc>
        <w:tc>
          <w:tcPr>
            <w:tcW w:w="0" w:type="auto"/>
          </w:tcPr>
          <w:p w14:paraId="6C81121F" w14:textId="77777777" w:rsidR="00180E7C" w:rsidRDefault="00000000">
            <w:pPr>
              <w:pStyle w:val="Compact"/>
            </w:pPr>
            <w:r>
              <w:t>Online monitors, samples, laboratory assays</w:t>
            </w:r>
          </w:p>
        </w:tc>
      </w:tr>
      <w:tr w:rsidR="00180E7C" w14:paraId="6579F424" w14:textId="77777777">
        <w:tc>
          <w:tcPr>
            <w:tcW w:w="0" w:type="auto"/>
          </w:tcPr>
          <w:p w14:paraId="792AF406" w14:textId="77777777" w:rsidR="00180E7C" w:rsidRDefault="00000000">
            <w:pPr>
              <w:pStyle w:val="Compact"/>
            </w:pPr>
            <w:r>
              <w:t>IAEA Certification</w:t>
            </w:r>
          </w:p>
        </w:tc>
        <w:tc>
          <w:tcPr>
            <w:tcW w:w="0" w:type="auto"/>
          </w:tcPr>
          <w:p w14:paraId="7FE09325" w14:textId="77777777" w:rsidR="00180E7C" w:rsidRDefault="00000000">
            <w:pPr>
              <w:pStyle w:val="Compact"/>
            </w:pPr>
            <w:r>
              <w:t>Certificate language, chief inspector signature</w:t>
            </w:r>
          </w:p>
        </w:tc>
      </w:tr>
      <w:tr w:rsidR="00180E7C" w14:paraId="015B8EC6" w14:textId="77777777">
        <w:tc>
          <w:tcPr>
            <w:tcW w:w="0" w:type="auto"/>
          </w:tcPr>
          <w:p w14:paraId="1297F31B" w14:textId="77777777" w:rsidR="00180E7C" w:rsidRDefault="00000000">
            <w:pPr>
              <w:pStyle w:val="Compact"/>
            </w:pPr>
            <w:r>
              <w:t>Irreversibility Class</w:t>
            </w:r>
          </w:p>
        </w:tc>
        <w:tc>
          <w:tcPr>
            <w:tcW w:w="0" w:type="auto"/>
          </w:tcPr>
          <w:p w14:paraId="6A56071B" w14:textId="77777777" w:rsidR="00180E7C" w:rsidRDefault="00000000">
            <w:pPr>
              <w:pStyle w:val="Compact"/>
            </w:pPr>
            <w:r>
              <w:t>Class I / II / III</w:t>
            </w:r>
          </w:p>
        </w:tc>
      </w:tr>
      <w:tr w:rsidR="00180E7C" w14:paraId="1BA01BDC" w14:textId="77777777">
        <w:tc>
          <w:tcPr>
            <w:tcW w:w="0" w:type="auto"/>
          </w:tcPr>
          <w:p w14:paraId="3080EDFD" w14:textId="77777777" w:rsidR="00180E7C" w:rsidRDefault="00000000">
            <w:pPr>
              <w:pStyle w:val="Compact"/>
            </w:pPr>
            <w:r>
              <w:t>Synchronization Effect</w:t>
            </w:r>
          </w:p>
        </w:tc>
        <w:tc>
          <w:tcPr>
            <w:tcW w:w="0" w:type="auto"/>
          </w:tcPr>
          <w:p w14:paraId="5D36D542" w14:textId="77777777" w:rsidR="00180E7C" w:rsidRDefault="00000000">
            <w:pPr>
              <w:pStyle w:val="Compact"/>
            </w:pPr>
            <w:r>
              <w:t>Annex G steps unlocked</w:t>
            </w:r>
          </w:p>
        </w:tc>
      </w:tr>
    </w:tbl>
    <w:p w14:paraId="68597EAB" w14:textId="77777777" w:rsidR="00180E7C" w:rsidRDefault="00000000">
      <w:pPr>
        <w:pStyle w:val="Heading2"/>
      </w:pPr>
      <w:bookmarkStart w:id="929" w:name="X8819025c2e8ea5a2142ab71692d9a3606dd4574"/>
      <w:bookmarkEnd w:id="928"/>
      <w:r>
        <w:t>SP-7.10 Form T-9: Naval Transit Declaration</w:t>
      </w:r>
    </w:p>
    <w:tbl>
      <w:tblPr>
        <w:tblStyle w:val="Table"/>
        <w:tblW w:w="0" w:type="auto"/>
        <w:tblLook w:val="0020" w:firstRow="1" w:lastRow="0" w:firstColumn="0" w:lastColumn="0" w:noHBand="0" w:noVBand="0"/>
      </w:tblPr>
      <w:tblGrid>
        <w:gridCol w:w="3016"/>
        <w:gridCol w:w="3810"/>
      </w:tblGrid>
      <w:tr w:rsidR="00180E7C" w14:paraId="2D9C2B27"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4C5D455B" w14:textId="77777777" w:rsidR="00180E7C" w:rsidRDefault="00000000">
            <w:pPr>
              <w:pStyle w:val="Compact"/>
            </w:pPr>
            <w:r>
              <w:t>Field</w:t>
            </w:r>
          </w:p>
        </w:tc>
        <w:tc>
          <w:tcPr>
            <w:tcW w:w="0" w:type="auto"/>
          </w:tcPr>
          <w:p w14:paraId="313A88BB" w14:textId="77777777" w:rsidR="00180E7C" w:rsidRDefault="00000000">
            <w:pPr>
              <w:pStyle w:val="Compact"/>
            </w:pPr>
            <w:r>
              <w:t>Content</w:t>
            </w:r>
          </w:p>
        </w:tc>
      </w:tr>
      <w:tr w:rsidR="00180E7C" w14:paraId="569FA502" w14:textId="77777777">
        <w:tc>
          <w:tcPr>
            <w:tcW w:w="0" w:type="auto"/>
          </w:tcPr>
          <w:p w14:paraId="5B303A01" w14:textId="77777777" w:rsidR="00180E7C" w:rsidRDefault="00000000">
            <w:pPr>
              <w:pStyle w:val="Compact"/>
            </w:pPr>
            <w:r>
              <w:t>Declaring State</w:t>
            </w:r>
          </w:p>
        </w:tc>
        <w:tc>
          <w:tcPr>
            <w:tcW w:w="0" w:type="auto"/>
          </w:tcPr>
          <w:p w14:paraId="642E1319" w14:textId="77777777" w:rsidR="00180E7C" w:rsidRDefault="00000000">
            <w:pPr>
              <w:pStyle w:val="Compact"/>
            </w:pPr>
            <w:r>
              <w:t>State</w:t>
            </w:r>
          </w:p>
        </w:tc>
      </w:tr>
      <w:tr w:rsidR="00180E7C" w14:paraId="034E2F95" w14:textId="77777777">
        <w:tc>
          <w:tcPr>
            <w:tcW w:w="0" w:type="auto"/>
          </w:tcPr>
          <w:p w14:paraId="458A3264" w14:textId="77777777" w:rsidR="00180E7C" w:rsidRDefault="00000000">
            <w:pPr>
              <w:pStyle w:val="Compact"/>
            </w:pPr>
            <w:r>
              <w:t>Vessel</w:t>
            </w:r>
          </w:p>
        </w:tc>
        <w:tc>
          <w:tcPr>
            <w:tcW w:w="0" w:type="auto"/>
          </w:tcPr>
          <w:p w14:paraId="61BBF90C" w14:textId="77777777" w:rsidR="00180E7C" w:rsidRDefault="00000000">
            <w:pPr>
              <w:pStyle w:val="Compact"/>
            </w:pPr>
            <w:r>
              <w:t>Name, type, displacement</w:t>
            </w:r>
          </w:p>
        </w:tc>
      </w:tr>
      <w:tr w:rsidR="00180E7C" w14:paraId="3C11E9C1" w14:textId="77777777">
        <w:tc>
          <w:tcPr>
            <w:tcW w:w="0" w:type="auto"/>
          </w:tcPr>
          <w:p w14:paraId="69842205" w14:textId="77777777" w:rsidR="00180E7C" w:rsidRDefault="00000000">
            <w:pPr>
              <w:pStyle w:val="Compact"/>
            </w:pPr>
            <w:r>
              <w:t>Transit Window Requested</w:t>
            </w:r>
          </w:p>
        </w:tc>
        <w:tc>
          <w:tcPr>
            <w:tcW w:w="0" w:type="auto"/>
          </w:tcPr>
          <w:p w14:paraId="0D1A112F" w14:textId="77777777" w:rsidR="00180E7C" w:rsidRDefault="00000000">
            <w:pPr>
              <w:pStyle w:val="Compact"/>
            </w:pPr>
            <w:r>
              <w:t>Dates and times</w:t>
            </w:r>
          </w:p>
        </w:tc>
      </w:tr>
      <w:tr w:rsidR="00180E7C" w14:paraId="749C787C" w14:textId="77777777">
        <w:tc>
          <w:tcPr>
            <w:tcW w:w="0" w:type="auto"/>
          </w:tcPr>
          <w:p w14:paraId="16415500" w14:textId="77777777" w:rsidR="00180E7C" w:rsidRDefault="00000000">
            <w:pPr>
              <w:pStyle w:val="Compact"/>
            </w:pPr>
            <w:r>
              <w:t>Purpose</w:t>
            </w:r>
          </w:p>
        </w:tc>
        <w:tc>
          <w:tcPr>
            <w:tcW w:w="0" w:type="auto"/>
          </w:tcPr>
          <w:p w14:paraId="6366AA34" w14:textId="77777777" w:rsidR="00180E7C" w:rsidRDefault="00000000">
            <w:pPr>
              <w:pStyle w:val="Compact"/>
            </w:pPr>
            <w:r>
              <w:t>Continuous and expeditious transit</w:t>
            </w:r>
          </w:p>
        </w:tc>
      </w:tr>
      <w:tr w:rsidR="00180E7C" w14:paraId="4B47752E" w14:textId="77777777">
        <w:tc>
          <w:tcPr>
            <w:tcW w:w="0" w:type="auto"/>
          </w:tcPr>
          <w:p w14:paraId="31C726F5" w14:textId="77777777" w:rsidR="00180E7C" w:rsidRDefault="00000000">
            <w:pPr>
              <w:pStyle w:val="Compact"/>
            </w:pPr>
            <w:r>
              <w:t>Data-Link Plan</w:t>
            </w:r>
          </w:p>
        </w:tc>
        <w:tc>
          <w:tcPr>
            <w:tcW w:w="0" w:type="auto"/>
          </w:tcPr>
          <w:p w14:paraId="402E4CDC" w14:textId="77777777" w:rsidR="00180E7C" w:rsidRDefault="00000000">
            <w:pPr>
              <w:pStyle w:val="Compact"/>
            </w:pPr>
            <w:r>
              <w:t>Transmission arrangements</w:t>
            </w:r>
          </w:p>
        </w:tc>
      </w:tr>
      <w:tr w:rsidR="00180E7C" w14:paraId="7E8EBC7B" w14:textId="77777777">
        <w:tc>
          <w:tcPr>
            <w:tcW w:w="0" w:type="auto"/>
          </w:tcPr>
          <w:p w14:paraId="0F6736B6" w14:textId="77777777" w:rsidR="00180E7C" w:rsidRDefault="00000000">
            <w:pPr>
              <w:pStyle w:val="Compact"/>
            </w:pPr>
            <w:r>
              <w:t>MOC Window Assignment</w:t>
            </w:r>
          </w:p>
        </w:tc>
        <w:tc>
          <w:tcPr>
            <w:tcW w:w="0" w:type="auto"/>
          </w:tcPr>
          <w:p w14:paraId="05AAA529" w14:textId="77777777" w:rsidR="00180E7C" w:rsidRDefault="00000000">
            <w:pPr>
              <w:pStyle w:val="Compact"/>
            </w:pPr>
            <w:r>
              <w:t>Assigned window and conditions</w:t>
            </w:r>
          </w:p>
        </w:tc>
      </w:tr>
    </w:tbl>
    <w:p w14:paraId="44E1A96D" w14:textId="77777777" w:rsidR="00180E7C" w:rsidRDefault="00000000">
      <w:pPr>
        <w:pStyle w:val="Heading2"/>
      </w:pPr>
      <w:bookmarkStart w:id="930" w:name="Xd51ac6a6f972fff5572ebe7f9a7655f8c887da8"/>
      <w:bookmarkEnd w:id="929"/>
      <w:r>
        <w:t>SP-7.11 Form T-10: Escrow Release Instruction</w:t>
      </w:r>
    </w:p>
    <w:tbl>
      <w:tblPr>
        <w:tblStyle w:val="Table"/>
        <w:tblW w:w="0" w:type="auto"/>
        <w:tblLook w:val="0020" w:firstRow="1" w:lastRow="0" w:firstColumn="0" w:lastColumn="0" w:noHBand="0" w:noVBand="0"/>
      </w:tblPr>
      <w:tblGrid>
        <w:gridCol w:w="2539"/>
        <w:gridCol w:w="4638"/>
      </w:tblGrid>
      <w:tr w:rsidR="00180E7C" w14:paraId="11C80E9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02DA66C" w14:textId="77777777" w:rsidR="00180E7C" w:rsidRDefault="00000000">
            <w:pPr>
              <w:pStyle w:val="Compact"/>
            </w:pPr>
            <w:r>
              <w:t>Field</w:t>
            </w:r>
          </w:p>
        </w:tc>
        <w:tc>
          <w:tcPr>
            <w:tcW w:w="0" w:type="auto"/>
          </w:tcPr>
          <w:p w14:paraId="12563F53" w14:textId="77777777" w:rsidR="00180E7C" w:rsidRDefault="00000000">
            <w:pPr>
              <w:pStyle w:val="Compact"/>
            </w:pPr>
            <w:r>
              <w:t>Content</w:t>
            </w:r>
          </w:p>
        </w:tc>
      </w:tr>
      <w:tr w:rsidR="00180E7C" w14:paraId="548F5A3D" w14:textId="77777777">
        <w:tc>
          <w:tcPr>
            <w:tcW w:w="0" w:type="auto"/>
          </w:tcPr>
          <w:p w14:paraId="42E3D274" w14:textId="77777777" w:rsidR="00180E7C" w:rsidRDefault="00000000">
            <w:pPr>
              <w:pStyle w:val="Compact"/>
            </w:pPr>
            <w:r>
              <w:t>Instruction Number</w:t>
            </w:r>
          </w:p>
        </w:tc>
        <w:tc>
          <w:tcPr>
            <w:tcW w:w="0" w:type="auto"/>
          </w:tcPr>
          <w:p w14:paraId="390D76B2" w14:textId="77777777" w:rsidR="00180E7C" w:rsidRDefault="00000000">
            <w:pPr>
              <w:pStyle w:val="Compact"/>
            </w:pPr>
            <w:r>
              <w:t>Sequential</w:t>
            </w:r>
          </w:p>
        </w:tc>
      </w:tr>
      <w:tr w:rsidR="00180E7C" w14:paraId="21FB0E58" w14:textId="77777777">
        <w:tc>
          <w:tcPr>
            <w:tcW w:w="0" w:type="auto"/>
          </w:tcPr>
          <w:p w14:paraId="1A85AC41" w14:textId="77777777" w:rsidR="00180E7C" w:rsidRDefault="00000000">
            <w:pPr>
              <w:pStyle w:val="Compact"/>
            </w:pPr>
            <w:r>
              <w:t>Certificate Basis</w:t>
            </w:r>
          </w:p>
        </w:tc>
        <w:tc>
          <w:tcPr>
            <w:tcW w:w="0" w:type="auto"/>
          </w:tcPr>
          <w:p w14:paraId="152E0824" w14:textId="77777777" w:rsidR="00180E7C" w:rsidRDefault="00000000">
            <w:pPr>
              <w:pStyle w:val="Compact"/>
            </w:pPr>
            <w:r>
              <w:t>JMC certificate reference</w:t>
            </w:r>
          </w:p>
        </w:tc>
      </w:tr>
      <w:tr w:rsidR="00180E7C" w14:paraId="1466D3B0" w14:textId="77777777">
        <w:tc>
          <w:tcPr>
            <w:tcW w:w="0" w:type="auto"/>
          </w:tcPr>
          <w:p w14:paraId="37620176" w14:textId="77777777" w:rsidR="00180E7C" w:rsidRDefault="00000000">
            <w:pPr>
              <w:pStyle w:val="Compact"/>
            </w:pPr>
            <w:r>
              <w:t>Amount</w:t>
            </w:r>
          </w:p>
        </w:tc>
        <w:tc>
          <w:tcPr>
            <w:tcW w:w="0" w:type="auto"/>
          </w:tcPr>
          <w:p w14:paraId="45DEEE3F" w14:textId="77777777" w:rsidR="00180E7C" w:rsidRDefault="00000000">
            <w:pPr>
              <w:pStyle w:val="Compact"/>
            </w:pPr>
            <w:r>
              <w:t>Amount and currency</w:t>
            </w:r>
          </w:p>
        </w:tc>
      </w:tr>
      <w:tr w:rsidR="00180E7C" w14:paraId="56799288" w14:textId="77777777">
        <w:tc>
          <w:tcPr>
            <w:tcW w:w="0" w:type="auto"/>
          </w:tcPr>
          <w:p w14:paraId="47D3B086" w14:textId="77777777" w:rsidR="00180E7C" w:rsidRDefault="00000000">
            <w:pPr>
              <w:pStyle w:val="Compact"/>
            </w:pPr>
            <w:r>
              <w:t>Source Accounts</w:t>
            </w:r>
          </w:p>
        </w:tc>
        <w:tc>
          <w:tcPr>
            <w:tcW w:w="0" w:type="auto"/>
          </w:tcPr>
          <w:p w14:paraId="1F27D741" w14:textId="77777777" w:rsidR="00180E7C" w:rsidRDefault="00000000">
            <w:pPr>
              <w:pStyle w:val="Compact"/>
            </w:pPr>
            <w:r>
              <w:t>Holding institution references</w:t>
            </w:r>
          </w:p>
        </w:tc>
      </w:tr>
      <w:tr w:rsidR="00180E7C" w14:paraId="2296E17D" w14:textId="77777777">
        <w:tc>
          <w:tcPr>
            <w:tcW w:w="0" w:type="auto"/>
          </w:tcPr>
          <w:p w14:paraId="10F754E9" w14:textId="77777777" w:rsidR="00180E7C" w:rsidRDefault="00000000">
            <w:pPr>
              <w:pStyle w:val="Compact"/>
            </w:pPr>
            <w:r>
              <w:t>Destination</w:t>
            </w:r>
          </w:p>
        </w:tc>
        <w:tc>
          <w:tcPr>
            <w:tcW w:w="0" w:type="auto"/>
          </w:tcPr>
          <w:p w14:paraId="7B811887" w14:textId="77777777" w:rsidR="00180E7C" w:rsidRDefault="00000000">
            <w:pPr>
              <w:pStyle w:val="Compact"/>
            </w:pPr>
            <w:r>
              <w:t>Master Escrow Account and Pool allocation</w:t>
            </w:r>
          </w:p>
        </w:tc>
      </w:tr>
      <w:tr w:rsidR="00180E7C" w14:paraId="30FCC78F" w14:textId="77777777">
        <w:tc>
          <w:tcPr>
            <w:tcW w:w="0" w:type="auto"/>
          </w:tcPr>
          <w:p w14:paraId="1155485D" w14:textId="77777777" w:rsidR="00180E7C" w:rsidRDefault="00000000">
            <w:pPr>
              <w:pStyle w:val="Compact"/>
            </w:pPr>
            <w:r>
              <w:t>Value Date</w:t>
            </w:r>
          </w:p>
        </w:tc>
        <w:tc>
          <w:tcPr>
            <w:tcW w:w="0" w:type="auto"/>
          </w:tcPr>
          <w:p w14:paraId="0FC5C3FF" w14:textId="77777777" w:rsidR="00180E7C" w:rsidRDefault="00000000">
            <w:pPr>
              <w:pStyle w:val="Compact"/>
            </w:pPr>
            <w:r>
              <w:t>Settlement date</w:t>
            </w:r>
          </w:p>
        </w:tc>
      </w:tr>
      <w:tr w:rsidR="00180E7C" w14:paraId="64859AAD" w14:textId="77777777">
        <w:tc>
          <w:tcPr>
            <w:tcW w:w="0" w:type="auto"/>
          </w:tcPr>
          <w:p w14:paraId="6C807C15" w14:textId="77777777" w:rsidR="00180E7C" w:rsidRDefault="00000000">
            <w:pPr>
              <w:pStyle w:val="Compact"/>
            </w:pPr>
            <w:r>
              <w:t>Confirmation Deadline</w:t>
            </w:r>
          </w:p>
        </w:tc>
        <w:tc>
          <w:tcPr>
            <w:tcW w:w="0" w:type="auto"/>
          </w:tcPr>
          <w:p w14:paraId="1825283E" w14:textId="77777777" w:rsidR="00180E7C" w:rsidRDefault="00000000">
            <w:pPr>
              <w:pStyle w:val="Compact"/>
            </w:pPr>
            <w:r>
              <w:t>24 hours post-settlement</w:t>
            </w:r>
          </w:p>
        </w:tc>
      </w:tr>
    </w:tbl>
    <w:p w14:paraId="748BDBFA" w14:textId="77777777" w:rsidR="00180E7C" w:rsidRDefault="00000000">
      <w:pPr>
        <w:pStyle w:val="Heading2"/>
      </w:pPr>
      <w:bookmarkStart w:id="931" w:name="Xbc2a6acd8f5824d5db97bb2db3ee6b7334de9a9"/>
      <w:bookmarkEnd w:id="930"/>
      <w:r>
        <w:lastRenderedPageBreak/>
        <w:t>SP-7.12 Form T-11: Detention Review Request</w:t>
      </w:r>
    </w:p>
    <w:tbl>
      <w:tblPr>
        <w:tblStyle w:val="Table"/>
        <w:tblW w:w="0" w:type="auto"/>
        <w:tblLook w:val="0020" w:firstRow="1" w:lastRow="0" w:firstColumn="0" w:lastColumn="0" w:noHBand="0" w:noVBand="0"/>
      </w:tblPr>
      <w:tblGrid>
        <w:gridCol w:w="2316"/>
        <w:gridCol w:w="4857"/>
      </w:tblGrid>
      <w:tr w:rsidR="00180E7C" w14:paraId="4FABC669"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482ECB3" w14:textId="77777777" w:rsidR="00180E7C" w:rsidRDefault="00000000">
            <w:pPr>
              <w:pStyle w:val="Compact"/>
            </w:pPr>
            <w:r>
              <w:t>Field</w:t>
            </w:r>
          </w:p>
        </w:tc>
        <w:tc>
          <w:tcPr>
            <w:tcW w:w="0" w:type="auto"/>
          </w:tcPr>
          <w:p w14:paraId="1DBF51A4" w14:textId="77777777" w:rsidR="00180E7C" w:rsidRDefault="00000000">
            <w:pPr>
              <w:pStyle w:val="Compact"/>
            </w:pPr>
            <w:r>
              <w:t>Content</w:t>
            </w:r>
          </w:p>
        </w:tc>
      </w:tr>
      <w:tr w:rsidR="00180E7C" w14:paraId="40C5718D" w14:textId="77777777">
        <w:tc>
          <w:tcPr>
            <w:tcW w:w="0" w:type="auto"/>
          </w:tcPr>
          <w:p w14:paraId="0BE78F14" w14:textId="77777777" w:rsidR="00180E7C" w:rsidRDefault="00000000">
            <w:pPr>
              <w:pStyle w:val="Compact"/>
            </w:pPr>
            <w:r>
              <w:t>Requesting Party</w:t>
            </w:r>
          </w:p>
        </w:tc>
        <w:tc>
          <w:tcPr>
            <w:tcW w:w="0" w:type="auto"/>
          </w:tcPr>
          <w:p w14:paraId="4D689914" w14:textId="77777777" w:rsidR="00180E7C" w:rsidRDefault="00000000">
            <w:pPr>
              <w:pStyle w:val="Compact"/>
            </w:pPr>
            <w:r>
              <w:t>Flag state or vessel interest</w:t>
            </w:r>
          </w:p>
        </w:tc>
      </w:tr>
      <w:tr w:rsidR="00180E7C" w14:paraId="7404E387" w14:textId="77777777">
        <w:tc>
          <w:tcPr>
            <w:tcW w:w="0" w:type="auto"/>
          </w:tcPr>
          <w:p w14:paraId="71A20D87" w14:textId="77777777" w:rsidR="00180E7C" w:rsidRDefault="00000000">
            <w:pPr>
              <w:pStyle w:val="Compact"/>
            </w:pPr>
            <w:r>
              <w:t>Vessel</w:t>
            </w:r>
          </w:p>
        </w:tc>
        <w:tc>
          <w:tcPr>
            <w:tcW w:w="0" w:type="auto"/>
          </w:tcPr>
          <w:p w14:paraId="70EDF60A" w14:textId="77777777" w:rsidR="00180E7C" w:rsidRDefault="00000000">
            <w:pPr>
              <w:pStyle w:val="Compact"/>
            </w:pPr>
            <w:r>
              <w:t>Particulars</w:t>
            </w:r>
          </w:p>
        </w:tc>
      </w:tr>
      <w:tr w:rsidR="00180E7C" w14:paraId="2FE7DA07" w14:textId="77777777">
        <w:tc>
          <w:tcPr>
            <w:tcW w:w="0" w:type="auto"/>
          </w:tcPr>
          <w:p w14:paraId="7A99A2A8" w14:textId="77777777" w:rsidR="00180E7C" w:rsidRDefault="00000000">
            <w:pPr>
              <w:pStyle w:val="Compact"/>
            </w:pPr>
            <w:r>
              <w:t>Detention Reference</w:t>
            </w:r>
          </w:p>
        </w:tc>
        <w:tc>
          <w:tcPr>
            <w:tcW w:w="0" w:type="auto"/>
          </w:tcPr>
          <w:p w14:paraId="73020788" w14:textId="77777777" w:rsidR="00180E7C" w:rsidRDefault="00000000">
            <w:pPr>
              <w:pStyle w:val="Compact"/>
            </w:pPr>
            <w:r>
              <w:t>Registry entry</w:t>
            </w:r>
          </w:p>
        </w:tc>
      </w:tr>
      <w:tr w:rsidR="00180E7C" w14:paraId="077B7268" w14:textId="77777777">
        <w:tc>
          <w:tcPr>
            <w:tcW w:w="0" w:type="auto"/>
          </w:tcPr>
          <w:p w14:paraId="6CA40E7D" w14:textId="77777777" w:rsidR="00180E7C" w:rsidRDefault="00000000">
            <w:pPr>
              <w:pStyle w:val="Compact"/>
            </w:pPr>
            <w:r>
              <w:t>Grounds Contested</w:t>
            </w:r>
          </w:p>
        </w:tc>
        <w:tc>
          <w:tcPr>
            <w:tcW w:w="0" w:type="auto"/>
          </w:tcPr>
          <w:p w14:paraId="6CCCCA58" w14:textId="77777777" w:rsidR="00180E7C" w:rsidRDefault="00000000">
            <w:pPr>
              <w:pStyle w:val="Compact"/>
            </w:pPr>
            <w:r>
              <w:t>Protocol test references</w:t>
            </w:r>
          </w:p>
        </w:tc>
      </w:tr>
      <w:tr w:rsidR="00180E7C" w14:paraId="07EF0A62" w14:textId="77777777">
        <w:tc>
          <w:tcPr>
            <w:tcW w:w="0" w:type="auto"/>
          </w:tcPr>
          <w:p w14:paraId="25E0AA91" w14:textId="77777777" w:rsidR="00180E7C" w:rsidRDefault="00000000">
            <w:pPr>
              <w:pStyle w:val="Compact"/>
            </w:pPr>
            <w:r>
              <w:t>Relief Sought</w:t>
            </w:r>
          </w:p>
        </w:tc>
        <w:tc>
          <w:tcPr>
            <w:tcW w:w="0" w:type="auto"/>
          </w:tcPr>
          <w:p w14:paraId="36FC4BA7" w14:textId="77777777" w:rsidR="00180E7C" w:rsidRDefault="00000000">
            <w:pPr>
              <w:pStyle w:val="Compact"/>
            </w:pPr>
            <w:r>
              <w:t>Release and/or compensation per Table B-17</w:t>
            </w:r>
          </w:p>
        </w:tc>
      </w:tr>
    </w:tbl>
    <w:p w14:paraId="786DF45D" w14:textId="77777777" w:rsidR="00180E7C" w:rsidRDefault="00000000">
      <w:pPr>
        <w:pStyle w:val="Heading2"/>
      </w:pPr>
      <w:bookmarkStart w:id="932" w:name="sp-7.13-form-t-12-exercise-notification"/>
      <w:bookmarkEnd w:id="931"/>
      <w:r>
        <w:t>SP-7.13 Form T-12: Exercise Notification</w:t>
      </w:r>
    </w:p>
    <w:tbl>
      <w:tblPr>
        <w:tblStyle w:val="Table"/>
        <w:tblW w:w="0" w:type="auto"/>
        <w:tblLook w:val="0020" w:firstRow="1" w:lastRow="0" w:firstColumn="0" w:lastColumn="0" w:noHBand="0" w:noVBand="0"/>
      </w:tblPr>
      <w:tblGrid>
        <w:gridCol w:w="2583"/>
        <w:gridCol w:w="4139"/>
      </w:tblGrid>
      <w:tr w:rsidR="00180E7C" w14:paraId="644FF7A5"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D449EC7" w14:textId="77777777" w:rsidR="00180E7C" w:rsidRDefault="00000000">
            <w:pPr>
              <w:pStyle w:val="Compact"/>
            </w:pPr>
            <w:r>
              <w:t>Field</w:t>
            </w:r>
          </w:p>
        </w:tc>
        <w:tc>
          <w:tcPr>
            <w:tcW w:w="0" w:type="auto"/>
          </w:tcPr>
          <w:p w14:paraId="3C8C1009" w14:textId="77777777" w:rsidR="00180E7C" w:rsidRDefault="00000000">
            <w:pPr>
              <w:pStyle w:val="Compact"/>
            </w:pPr>
            <w:r>
              <w:t>Content</w:t>
            </w:r>
          </w:p>
        </w:tc>
      </w:tr>
      <w:tr w:rsidR="00180E7C" w14:paraId="35A33C20" w14:textId="77777777">
        <w:tc>
          <w:tcPr>
            <w:tcW w:w="0" w:type="auto"/>
          </w:tcPr>
          <w:p w14:paraId="6ADC4EA1" w14:textId="77777777" w:rsidR="00180E7C" w:rsidRDefault="00000000">
            <w:pPr>
              <w:pStyle w:val="Compact"/>
            </w:pPr>
            <w:r>
              <w:t>Notifying Party</w:t>
            </w:r>
          </w:p>
        </w:tc>
        <w:tc>
          <w:tcPr>
            <w:tcW w:w="0" w:type="auto"/>
          </w:tcPr>
          <w:p w14:paraId="20C16097" w14:textId="77777777" w:rsidR="00180E7C" w:rsidRDefault="00000000">
            <w:pPr>
              <w:pStyle w:val="Compact"/>
            </w:pPr>
            <w:r>
              <w:t>Party</w:t>
            </w:r>
          </w:p>
        </w:tc>
      </w:tr>
      <w:tr w:rsidR="00180E7C" w14:paraId="584F3E59" w14:textId="77777777">
        <w:tc>
          <w:tcPr>
            <w:tcW w:w="0" w:type="auto"/>
          </w:tcPr>
          <w:p w14:paraId="5246651A" w14:textId="77777777" w:rsidR="00180E7C" w:rsidRDefault="00000000">
            <w:pPr>
              <w:pStyle w:val="Compact"/>
            </w:pPr>
            <w:r>
              <w:t>Exercise Designation</w:t>
            </w:r>
          </w:p>
        </w:tc>
        <w:tc>
          <w:tcPr>
            <w:tcW w:w="0" w:type="auto"/>
          </w:tcPr>
          <w:p w14:paraId="71A1693D" w14:textId="77777777" w:rsidR="00180E7C" w:rsidRDefault="00000000">
            <w:pPr>
              <w:pStyle w:val="Compact"/>
            </w:pPr>
            <w:r>
              <w:t>Name and serial</w:t>
            </w:r>
          </w:p>
        </w:tc>
      </w:tr>
      <w:tr w:rsidR="00180E7C" w14:paraId="6FDF44C2" w14:textId="77777777">
        <w:tc>
          <w:tcPr>
            <w:tcW w:w="0" w:type="auto"/>
          </w:tcPr>
          <w:p w14:paraId="7317B977" w14:textId="77777777" w:rsidR="00180E7C" w:rsidRDefault="00000000">
            <w:pPr>
              <w:pStyle w:val="Compact"/>
            </w:pPr>
            <w:r>
              <w:t>Dates and Areas</w:t>
            </w:r>
          </w:p>
        </w:tc>
        <w:tc>
          <w:tcPr>
            <w:tcW w:w="0" w:type="auto"/>
          </w:tcPr>
          <w:p w14:paraId="703301F7" w14:textId="77777777" w:rsidR="00180E7C" w:rsidRDefault="00000000">
            <w:pPr>
              <w:pStyle w:val="Compact"/>
            </w:pPr>
            <w:r>
              <w:t>Including live-fire windows and boxes</w:t>
            </w:r>
          </w:p>
        </w:tc>
      </w:tr>
      <w:tr w:rsidR="00180E7C" w14:paraId="387555CA" w14:textId="77777777">
        <w:tc>
          <w:tcPr>
            <w:tcW w:w="0" w:type="auto"/>
          </w:tcPr>
          <w:p w14:paraId="635DB332" w14:textId="77777777" w:rsidR="00180E7C" w:rsidRDefault="00000000">
            <w:pPr>
              <w:pStyle w:val="Compact"/>
            </w:pPr>
            <w:r>
              <w:t>Forces</w:t>
            </w:r>
          </w:p>
        </w:tc>
        <w:tc>
          <w:tcPr>
            <w:tcW w:w="0" w:type="auto"/>
          </w:tcPr>
          <w:p w14:paraId="1CB07496" w14:textId="77777777" w:rsidR="00180E7C" w:rsidRDefault="00000000">
            <w:pPr>
              <w:pStyle w:val="Compact"/>
            </w:pPr>
            <w:r>
              <w:t>Personnel, units, platforms</w:t>
            </w:r>
          </w:p>
        </w:tc>
      </w:tr>
      <w:tr w:rsidR="00180E7C" w14:paraId="701D8FC8" w14:textId="77777777">
        <w:tc>
          <w:tcPr>
            <w:tcW w:w="0" w:type="auto"/>
          </w:tcPr>
          <w:p w14:paraId="0869022C" w14:textId="77777777" w:rsidR="00180E7C" w:rsidRDefault="00000000">
            <w:pPr>
              <w:pStyle w:val="Compact"/>
            </w:pPr>
            <w:r>
              <w:t>Purpose</w:t>
            </w:r>
          </w:p>
        </w:tc>
        <w:tc>
          <w:tcPr>
            <w:tcW w:w="0" w:type="auto"/>
          </w:tcPr>
          <w:p w14:paraId="3F851904" w14:textId="77777777" w:rsidR="00180E7C" w:rsidRDefault="00000000">
            <w:pPr>
              <w:pStyle w:val="Compact"/>
            </w:pPr>
            <w:r>
              <w:t>Training objective category</w:t>
            </w:r>
          </w:p>
        </w:tc>
      </w:tr>
      <w:tr w:rsidR="00180E7C" w14:paraId="3CE19115" w14:textId="77777777">
        <w:tc>
          <w:tcPr>
            <w:tcW w:w="0" w:type="auto"/>
          </w:tcPr>
          <w:p w14:paraId="3921E9FC" w14:textId="77777777" w:rsidR="00180E7C" w:rsidRDefault="00000000">
            <w:pPr>
              <w:pStyle w:val="Compact"/>
            </w:pPr>
            <w:r>
              <w:t>Separation Compliance</w:t>
            </w:r>
          </w:p>
        </w:tc>
        <w:tc>
          <w:tcPr>
            <w:tcW w:w="0" w:type="auto"/>
          </w:tcPr>
          <w:p w14:paraId="651A4BFA" w14:textId="77777777" w:rsidR="00180E7C" w:rsidRDefault="00000000">
            <w:pPr>
              <w:pStyle w:val="Compact"/>
            </w:pPr>
            <w:r>
              <w:t>Distance certifications per Article 16.5</w:t>
            </w:r>
          </w:p>
        </w:tc>
      </w:tr>
    </w:tbl>
    <w:p w14:paraId="3487B59C" w14:textId="77777777" w:rsidR="00180E7C" w:rsidRDefault="00000000">
      <w:pPr>
        <w:pStyle w:val="Heading2"/>
      </w:pPr>
      <w:bookmarkStart w:id="933" w:name="X310eb526a5f2d1bb274ec5f4a64cdf31d606acc"/>
      <w:bookmarkEnd w:id="932"/>
      <w:r>
        <w:t>SP-7.14 Model Instrument M-1: Channel Closure Certificate (Proxy Domain)</w:t>
      </w:r>
    </w:p>
    <w:p w14:paraId="554EF97D" w14:textId="77777777" w:rsidR="00180E7C" w:rsidRDefault="00000000">
      <w:pPr>
        <w:pStyle w:val="FirstParagraph"/>
      </w:pPr>
      <w:r>
        <w:t>SP-7.14.1 Text: “The Joint Monitoring Cell certifies that the supply channel referenced [register code] stands closed, on the basis of ninety days of concordant monitoring across the border sensor architecture, financial tracking, and declarations reconciliation, with zero detected flows in the period. This certificate enters the Shared Digital Registry and the portfolio of the verified termination record.”</w:t>
      </w:r>
    </w:p>
    <w:p w14:paraId="51C605C1" w14:textId="77777777" w:rsidR="00180E7C" w:rsidRDefault="00000000">
      <w:pPr>
        <w:pStyle w:val="Heading2"/>
      </w:pPr>
      <w:bookmarkStart w:id="934" w:name="X14fee8a33bcc7f0d8452af9172c8c9af520b269"/>
      <w:bookmarkEnd w:id="933"/>
      <w:r>
        <w:t>SP-7.15 Model Instrument M-2: Continuity Affirmation</w:t>
      </w:r>
    </w:p>
    <w:p w14:paraId="34D792AF" w14:textId="77777777" w:rsidR="00180E7C" w:rsidRDefault="00000000">
      <w:pPr>
        <w:pStyle w:val="FirstParagraph"/>
      </w:pPr>
      <w:r>
        <w:t>SP-7.15.1 Text per Annex R, Part 4, with the addition of organ personnel confirmations: “The undersigned further confirms the continued designation of [treaty organ appointments] or the appointment of successors within thirty days.”</w:t>
      </w:r>
    </w:p>
    <w:p w14:paraId="4D2307AF" w14:textId="77777777" w:rsidR="00180E7C" w:rsidRDefault="00000000">
      <w:pPr>
        <w:pStyle w:val="Heading2"/>
      </w:pPr>
      <w:bookmarkStart w:id="935" w:name="Xc9afd17bf73dd96bc59f6aaa5d87a97f3b746e9"/>
      <w:bookmarkEnd w:id="934"/>
      <w:r>
        <w:t>SP-7.16 Model Instrument M-3: Emergency Session De-Escalation Directive</w:t>
      </w:r>
    </w:p>
    <w:p w14:paraId="53EAA2AF" w14:textId="77777777" w:rsidR="00180E7C" w:rsidRDefault="00000000">
      <w:pPr>
        <w:pStyle w:val="FirstParagraph"/>
      </w:pPr>
      <w:r>
        <w:t>SP-7.16.1 Text: “The High Contracting Council, in Emergency Session convened [date], directs: (1) immediate stand-down of forces within [area]; (2) confinement of [incident] to the mechanisms of the Treaty; (3) JMC fact-finding deployment by [time]; (4) daily reporting to this Council until restoration; (5) the joint holding statement of Article 12.3 within eight hours. This directive binds both Parties upon issuance.”</w:t>
      </w:r>
    </w:p>
    <w:p w14:paraId="6B6FF2CE" w14:textId="77777777" w:rsidR="00180E7C" w:rsidRDefault="00000000">
      <w:pPr>
        <w:pStyle w:val="Heading2"/>
      </w:pPr>
      <w:bookmarkStart w:id="936" w:name="Xaf5404e7be5c9c432675b0081be10e3056223eb"/>
      <w:bookmarkEnd w:id="935"/>
      <w:r>
        <w:t>SP-7.17 Model Instrument M-4: Guarantor Matrix Consensus Recommendation</w:t>
      </w:r>
    </w:p>
    <w:p w14:paraId="40C2C3DE" w14:textId="77777777" w:rsidR="00180E7C" w:rsidRDefault="00000000">
      <w:pPr>
        <w:pStyle w:val="FirstParagraph"/>
      </w:pPr>
      <w:r>
        <w:t xml:space="preserve">SP-7.17.1 Text: “The Guarantor Matrix, convened at minister level on [date] pursuant to Article 26.2, having received the Joint Monitoring Cell’s assessment and heard both Parties, </w:t>
      </w:r>
      <w:r>
        <w:lastRenderedPageBreak/>
        <w:t>recommends: [recommendations]. The Matrix transmits this recommendation and the underlying record to the Security Council through the Depositary, and remains engaged.”</w:t>
      </w:r>
    </w:p>
    <w:p w14:paraId="0AE0FF62" w14:textId="77777777" w:rsidR="00180E7C" w:rsidRDefault="00000000">
      <w:pPr>
        <w:pStyle w:val="Heading2"/>
      </w:pPr>
      <w:bookmarkStart w:id="937" w:name="X725cb4859c532ed8710904c331d4f501ee8da4c"/>
      <w:bookmarkEnd w:id="936"/>
      <w:r>
        <w:t>SP-7.18 Model Instrument M-5: Provisional Application Declaration</w:t>
      </w:r>
    </w:p>
    <w:p w14:paraId="74B1FD02" w14:textId="77777777" w:rsidR="00180E7C" w:rsidRDefault="00000000">
      <w:pPr>
        <w:pStyle w:val="FirstParagraph"/>
      </w:pPr>
      <w:r>
        <w:t>SP-7.18.1 Text: “The [Party], pursuant to Article 87.2, declares the provisional application of the provisions there listed, effective from the date of signature, within its constitutional authority, and notifies the Depositary accordingly.”</w:t>
      </w:r>
    </w:p>
    <w:p w14:paraId="6B442E95" w14:textId="77777777" w:rsidR="00180E7C" w:rsidRDefault="00000000">
      <w:r>
        <w:br w:type="page"/>
      </w:r>
    </w:p>
    <w:p w14:paraId="31BC09E2" w14:textId="77777777" w:rsidR="00180E7C" w:rsidRDefault="00000000">
      <w:pPr>
        <w:pStyle w:val="Heading1"/>
      </w:pPr>
      <w:bookmarkStart w:id="938" w:name="Xfc0a6b216e40f1a716d23ee196030854c2b37b7"/>
      <w:bookmarkStart w:id="939" w:name="_Toc237843189"/>
      <w:bookmarkEnd w:id="918"/>
      <w:bookmarkEnd w:id="937"/>
      <w:r>
        <w:lastRenderedPageBreak/>
        <w:t>SUPPLEMENTARY PROTOCOL SP-8: CRISIS RESPONSE PLAYBOOKS</w:t>
      </w:r>
      <w:bookmarkEnd w:id="939"/>
    </w:p>
    <w:p w14:paraId="15D3F168" w14:textId="77777777" w:rsidR="00180E7C" w:rsidRDefault="00000000">
      <w:pPr>
        <w:pStyle w:val="Heading2"/>
      </w:pPr>
      <w:bookmarkStart w:id="940" w:name="sp-8.1-purpose"/>
      <w:r>
        <w:t>SP-8.1 Purpose</w:t>
      </w:r>
    </w:p>
    <w:p w14:paraId="7EE0CF23" w14:textId="77777777" w:rsidR="00180E7C" w:rsidRDefault="00000000">
      <w:pPr>
        <w:pStyle w:val="FirstParagraph"/>
      </w:pPr>
      <w:r>
        <w:t>SP-8.1.1 These playbooks rehearse the architecture against the ten most dangerous contingencies. Each playbook states: the scenario, the automatic responses, the organ actions, the timelines, and the restoration pathway. The playbooks train the system before reality tests it; the treaty organs conduct two playbook exercises annually.</w:t>
      </w:r>
    </w:p>
    <w:p w14:paraId="11775FF0" w14:textId="77777777" w:rsidR="00180E7C" w:rsidRDefault="00000000">
      <w:pPr>
        <w:pStyle w:val="Heading2"/>
      </w:pPr>
      <w:bookmarkStart w:id="941" w:name="X631357625fe9a6f28271c2fcb23c1c70c9773df"/>
      <w:bookmarkEnd w:id="940"/>
      <w:r>
        <w:t>SP-8.2 Playbook 1: Localized Naval Exchange</w:t>
      </w:r>
    </w:p>
    <w:p w14:paraId="2BA83528" w14:textId="77777777" w:rsidR="00180E7C" w:rsidRDefault="00000000">
      <w:pPr>
        <w:pStyle w:val="FirstParagraph"/>
      </w:pPr>
      <w:r>
        <w:t>SP-8.2.1 Scenario: warning shots escalate to a brief exchange between a United States destroyer and IRGC fast attack craft near the corridor system; no casualties; both disengage.</w:t>
      </w:r>
    </w:p>
    <w:p w14:paraId="6F0C177F" w14:textId="77777777" w:rsidR="00180E7C" w:rsidRDefault="00000000">
      <w:pPr>
        <w:pStyle w:val="BodyText"/>
      </w:pPr>
      <w:r>
        <w:t>Response chain: the exchange registers as Level 4 within minutes (radar, acoustic, data-link records); stand-down orders execute in the area; the Anomaly Response Playbook convenes the emergency conference within 30 minutes; both commands confirm disengagement; the Emergency Session convenes within 12 hours; the joint holding statement issues within 8 hours; JMC fact-finding reports within 72 hours; demerit assessment per Category 1.4; Tier 1 step-back at most; the corridor system operates throughout without interruption; earn-back completes the cycle. The architecture absorbs the shock; the peace holds.</w:t>
      </w:r>
    </w:p>
    <w:p w14:paraId="3DEE466B" w14:textId="77777777" w:rsidR="00180E7C" w:rsidRDefault="00000000">
      <w:pPr>
        <w:pStyle w:val="Heading2"/>
      </w:pPr>
      <w:bookmarkStart w:id="942" w:name="Xf0ef96f710dbf0cd9c0fd22e70cfdda03a8d7ad"/>
      <w:bookmarkEnd w:id="941"/>
      <w:r>
        <w:t>SP-8.3 Playbook 2: Militia Rocket Event in Iraq</w:t>
      </w:r>
    </w:p>
    <w:p w14:paraId="79104445" w14:textId="77777777" w:rsidR="00180E7C" w:rsidRDefault="00000000">
      <w:pPr>
        <w:pStyle w:val="FirstParagraph"/>
      </w:pPr>
      <w:r>
        <w:t>SP-8.3.1 Scenario: rockets impact near a United States facility in Iraq; attribution unclear.</w:t>
      </w:r>
    </w:p>
    <w:p w14:paraId="0017FD43" w14:textId="77777777" w:rsidR="00180E7C" w:rsidRDefault="00000000">
      <w:pPr>
        <w:pStyle w:val="BodyText"/>
      </w:pPr>
      <w:r>
        <w:t>Response chain: casualty and damage assessment; the convergent-evidence standard applies before any attribution; the JMC and Iraqi authorities share evidence through the Iraq Liaison; if attribution establishes a Party-linked channel, the claim procedure runs with Annex D Category 7 consequences; the United States confines any defensive response to the immediate necessity under Article 18.3.1 and notifies the Emergency Session; no retaliation proceeds against Iran proper on ambiguous evidence; the playbook’s discipline prevents a militia’s spark from becoming a state war.</w:t>
      </w:r>
    </w:p>
    <w:p w14:paraId="335B9FEC" w14:textId="77777777" w:rsidR="00180E7C" w:rsidRDefault="00000000">
      <w:pPr>
        <w:pStyle w:val="Heading2"/>
      </w:pPr>
      <w:bookmarkStart w:id="943" w:name="Xdef5a9bc91660ba6499f00bdc7bed7c60145f9f"/>
      <w:bookmarkEnd w:id="942"/>
      <w:r>
        <w:t>SP-8.4 Playbook 3: Down-Blending Cadence Slip</w:t>
      </w:r>
    </w:p>
    <w:p w14:paraId="5D12FD7F" w14:textId="77777777" w:rsidR="00180E7C" w:rsidRDefault="00000000">
      <w:pPr>
        <w:pStyle w:val="FirstParagraph"/>
      </w:pPr>
      <w:r>
        <w:t>SP-8.4.1 Scenario: equipment failure idles the facility for three weeks mid-campaign.</w:t>
      </w:r>
    </w:p>
    <w:p w14:paraId="3C93D3AB" w14:textId="77777777" w:rsidR="00180E7C" w:rsidRDefault="00000000">
      <w:pPr>
        <w:pStyle w:val="BodyText"/>
      </w:pPr>
      <w:r>
        <w:t>Response chain: safety stoppage logged; the Campaign Management Board assesses; the cadence adjustment files with the JMC; spare equipment sources through the Joint Disposition Fund; the synchronization engine notes the slip; the 30-day unexplained threshold approaches but the explained status prevents Tier escalation; the Annex G phase steps tied to the affected batch certificates note revised dates; transparency prevents suspicion from filling the information vacuum.</w:t>
      </w:r>
    </w:p>
    <w:p w14:paraId="0E2C1B7E" w14:textId="77777777" w:rsidR="00180E7C" w:rsidRDefault="00000000">
      <w:pPr>
        <w:pStyle w:val="Heading2"/>
      </w:pPr>
      <w:bookmarkStart w:id="944" w:name="X4d7125ab1e67c7e9bbfe5f412317fb78d6e169b"/>
      <w:bookmarkEnd w:id="943"/>
      <w:r>
        <w:lastRenderedPageBreak/>
        <w:t>SP-8.5 Playbook 4: Access Refusal at a Military Site</w:t>
      </w:r>
    </w:p>
    <w:p w14:paraId="4D27787B" w14:textId="77777777" w:rsidR="00180E7C" w:rsidRDefault="00000000">
      <w:pPr>
        <w:pStyle w:val="FirstParagraph"/>
      </w:pPr>
      <w:r>
        <w:t>SP-8.5.1 Scenario: the IAEA requests access to a sensitive military complex; the 72-hour timeline passes without access.</w:t>
      </w:r>
    </w:p>
    <w:p w14:paraId="7E45DA00" w14:textId="77777777" w:rsidR="00180E7C" w:rsidRDefault="00000000">
      <w:pPr>
        <w:pStyle w:val="BodyText"/>
      </w:pPr>
      <w:r>
        <w:t>Response chain: Level 4 registration at timeline expiry; Tier 3 review activates; executive consultation within 24 hours; the managed access menu offers the face-saving resolution (shrouding, selective sampling); the HCC session within 72 hours; if access occurs within the following 7 days, demerit per Category 4.5 and Tier resolution; if refusal persists, Category 4.6 and the claim procedure escalates toward Material Breach review territory; the architecture treats the event as the verification system’s hardest test and answers it with process, not panic.</w:t>
      </w:r>
    </w:p>
    <w:p w14:paraId="58C9319A" w14:textId="77777777" w:rsidR="00180E7C" w:rsidRDefault="00000000">
      <w:pPr>
        <w:pStyle w:val="Heading2"/>
      </w:pPr>
      <w:bookmarkStart w:id="945" w:name="X1e7354968deeb34f65aa724851a9ec2d7473d38"/>
      <w:bookmarkEnd w:id="944"/>
      <w:r>
        <w:t>SP-8.6 Playbook 5: Hardliner Political Offensive</w:t>
      </w:r>
    </w:p>
    <w:p w14:paraId="3980C7AC" w14:textId="77777777" w:rsidR="00180E7C" w:rsidRDefault="00000000">
      <w:pPr>
        <w:pStyle w:val="FirstParagraph"/>
      </w:pPr>
      <w:r>
        <w:t>SP-8.6.1 Scenario: a hardline majlis faction moves legislation to repudiate the Treaty; a United States primary campaign features repudiation rhetoric.</w:t>
      </w:r>
    </w:p>
    <w:p w14:paraId="1C78EC73" w14:textId="77777777" w:rsidR="00180E7C" w:rsidRDefault="00000000">
      <w:pPr>
        <w:pStyle w:val="BodyText"/>
      </w:pPr>
      <w:r>
        <w:t>Response chain: the continuity mechanisms engage; the HCC continuity consultation convenes; the Joint Communication Cell issues the factual record of benefits delivered; the Facilitating States engage both capitals diplomatically; the statute-locked termination architecture and the escrow’s independence demonstrate that the Treaty does not rest on any single political actor; the Treaty rides out the storm exactly as designed.</w:t>
      </w:r>
    </w:p>
    <w:p w14:paraId="6613BEE2" w14:textId="77777777" w:rsidR="00180E7C" w:rsidRDefault="00000000">
      <w:pPr>
        <w:pStyle w:val="Heading2"/>
      </w:pPr>
      <w:bookmarkStart w:id="946" w:name="sp-8.7-playbook-6-corridor-dark-vessel"/>
      <w:bookmarkEnd w:id="945"/>
      <w:r>
        <w:t>SP-8.7 Playbook 6: Corridor Dark Vessel</w:t>
      </w:r>
    </w:p>
    <w:p w14:paraId="1E8ECC67" w14:textId="77777777" w:rsidR="00180E7C" w:rsidRDefault="00000000">
      <w:pPr>
        <w:pStyle w:val="FirstParagraph"/>
      </w:pPr>
      <w:r>
        <w:t>SP-8.7.1 Scenario: a tanker runs the inbound corridor dark, ignoring MOC calls.</w:t>
      </w:r>
    </w:p>
    <w:p w14:paraId="67445F43" w14:textId="77777777" w:rsidR="00180E7C" w:rsidRDefault="00000000">
      <w:pPr>
        <w:pStyle w:val="BodyText"/>
      </w:pPr>
      <w:r>
        <w:t>Response chain: the Verification Cell logs dark-mode sailing; the interdiction protocol assesses indicators; if Level 4 elements converge (dark mode plus manifest fraud or evasion pattern), the twin-key authorization executes; the designated Iranian asset interdicts under Cell observation; flag state notified within 4 hours; detention review available within 48 hours; the make-good rule applies if the interdiction fails protocol tests; lawful transit continues throughout, demonstrating the system protects the many by disciplining the one.</w:t>
      </w:r>
    </w:p>
    <w:p w14:paraId="450770FF" w14:textId="77777777" w:rsidR="00180E7C" w:rsidRDefault="00000000">
      <w:pPr>
        <w:pStyle w:val="Heading2"/>
      </w:pPr>
      <w:bookmarkStart w:id="947" w:name="X857c7bfa56efff632926ab75c0b704474f88f7a"/>
      <w:bookmarkEnd w:id="946"/>
      <w:r>
        <w:t>SP-8.8 Playbook 7: Cyber Intrusion into Verification Systems</w:t>
      </w:r>
    </w:p>
    <w:p w14:paraId="4986B071" w14:textId="77777777" w:rsidR="00180E7C" w:rsidRDefault="00000000">
      <w:pPr>
        <w:pStyle w:val="FirstParagraph"/>
      </w:pPr>
      <w:r>
        <w:t>SP-8.8.1 Scenario: intrusion detected against an SDR node.</w:t>
      </w:r>
    </w:p>
    <w:p w14:paraId="4F2BB5AB" w14:textId="77777777" w:rsidR="00180E7C" w:rsidRDefault="00000000">
      <w:pPr>
        <w:pStyle w:val="BodyText"/>
      </w:pPr>
      <w:r>
        <w:t>Response chain: the Joint Cyber Review Cell activates; the distributed architecture isolates the node; consensus validation confirms data integrity (the ledger’s design prevents silent alteration); forensic examination runs; attribution per convergent standard; if attributed to a Party, Category 8.3 demerit (10 points, one step from petition threshold) and Tier 3 review; the redundancy design means verification never goes blind.</w:t>
      </w:r>
    </w:p>
    <w:p w14:paraId="5AE53A0F" w14:textId="77777777" w:rsidR="00180E7C" w:rsidRDefault="00000000">
      <w:pPr>
        <w:pStyle w:val="Heading2"/>
      </w:pPr>
      <w:bookmarkStart w:id="948" w:name="X46bb0526a8ba5a62d93ca14b0c16529d63304a1"/>
      <w:bookmarkEnd w:id="947"/>
      <w:r>
        <w:lastRenderedPageBreak/>
        <w:t>SP-8.9 Playbook 8: Third-Party Strike on Iranian Territory</w:t>
      </w:r>
    </w:p>
    <w:p w14:paraId="26F14298" w14:textId="77777777" w:rsidR="00180E7C" w:rsidRDefault="00000000">
      <w:pPr>
        <w:pStyle w:val="FirstParagraph"/>
      </w:pPr>
      <w:r>
        <w:t>SP-8.9.1 Scenario: a third state strikes Iranian targets; Iran demands response under the Treaty; the region trembles.</w:t>
      </w:r>
    </w:p>
    <w:p w14:paraId="10947F56" w14:textId="77777777" w:rsidR="00180E7C" w:rsidRDefault="00000000">
      <w:pPr>
        <w:pStyle w:val="BodyText"/>
      </w:pPr>
      <w:r>
        <w:t>Response chain: the Treaty governs the bilateral relationship; the strike is not a Treaty breach by the United States unless attribution establishes facilitation (Category under Article 2.1.5 analysis); the HCC Emergency Session convenes on Iran’s call; the United States engages to prevent escalation drawing in the Parties; the Guarantor Matrix convenes; the architecture’s purpose in this contingency: keep the bilateral peace insulated from regional fire, and keep the nuclear verification regime intact through it.</w:t>
      </w:r>
    </w:p>
    <w:p w14:paraId="2BE5CFF9" w14:textId="77777777" w:rsidR="00180E7C" w:rsidRDefault="00000000">
      <w:pPr>
        <w:pStyle w:val="Heading2"/>
      </w:pPr>
      <w:bookmarkStart w:id="949" w:name="X3c16df59bccf8c7cab82598b0fcbd87c0acaeab"/>
      <w:bookmarkEnd w:id="948"/>
      <w:r>
        <w:t>SP-8.10 Playbook 9: Escrow Settlement Failure</w:t>
      </w:r>
    </w:p>
    <w:p w14:paraId="2A68531C" w14:textId="77777777" w:rsidR="00180E7C" w:rsidRDefault="00000000">
      <w:pPr>
        <w:pStyle w:val="FirstParagraph"/>
      </w:pPr>
      <w:r>
        <w:t>SP-8.10.1 Scenario: a holding institution fails to execute a release instruction on value date.</w:t>
      </w:r>
    </w:p>
    <w:p w14:paraId="7F490FDE" w14:textId="77777777" w:rsidR="00180E7C" w:rsidRDefault="00000000">
      <w:pPr>
        <w:pStyle w:val="BodyText"/>
      </w:pPr>
      <w:r>
        <w:t>Response chain: the Escrow Agent escalates within 24 hours; the Technical Dispute Hold isolates the affected amount; the Parties jointly engage the holding jurisdiction; alternate routing activates through the settlement banks of the Registry; demerit assessment applies only if the failure traces to a Party’s interference; the two-pool design contains the damage to one tranche.</w:t>
      </w:r>
    </w:p>
    <w:p w14:paraId="30F2A86B" w14:textId="77777777" w:rsidR="00180E7C" w:rsidRDefault="00000000">
      <w:pPr>
        <w:pStyle w:val="Heading2"/>
      </w:pPr>
      <w:bookmarkStart w:id="950" w:name="Xa0246d3eea8f7e6138b78ee4adc847698ea4c8a"/>
      <w:bookmarkEnd w:id="949"/>
      <w:r>
        <w:t>SP-8.11 Playbook 10: Resumption of General Hostilities (The Boundary Case)</w:t>
      </w:r>
    </w:p>
    <w:p w14:paraId="6833D295" w14:textId="77777777" w:rsidR="00180E7C" w:rsidRDefault="00000000">
      <w:pPr>
        <w:pStyle w:val="FirstParagraph"/>
      </w:pPr>
      <w:r>
        <w:t>SP-8.11.1 Scenario: worst case: sustained strikes resume between the Parties.</w:t>
      </w:r>
    </w:p>
    <w:p w14:paraId="2722836F" w14:textId="77777777" w:rsidR="00180E7C" w:rsidRDefault="00000000">
      <w:pPr>
        <w:pStyle w:val="BodyText"/>
      </w:pPr>
      <w:r>
        <w:t>Response chain: Material Breach under Article 69.6.1(a); the Emergency Session and Guarantor Matrix convene at principal level within hours; the permanent provisions hold regardless (non-aggression’s normative weight, the nuclear undertakings, the humanitarian firewall); the humanitarian architecture operates at full surge; the Security Council receives the determination; and the re-entry pathway of Article 75.4 stands open from the first hour, because the architecture’s design philosophy holds even here: exclusion ends nothing; return restores everything.</w:t>
      </w:r>
    </w:p>
    <w:p w14:paraId="721902FA" w14:textId="77777777" w:rsidR="00180E7C" w:rsidRDefault="00000000">
      <w:r>
        <w:br w:type="page"/>
      </w:r>
    </w:p>
    <w:p w14:paraId="44941FDD" w14:textId="77777777" w:rsidR="00180E7C" w:rsidRDefault="00000000">
      <w:pPr>
        <w:pStyle w:val="Heading1"/>
      </w:pPr>
      <w:bookmarkStart w:id="951" w:name="X3b7c5fe8c78f63eb279cfd4bb11a4f93886234e"/>
      <w:bookmarkStart w:id="952" w:name="_Toc237843190"/>
      <w:bookmarkEnd w:id="938"/>
      <w:bookmarkEnd w:id="950"/>
      <w:r>
        <w:lastRenderedPageBreak/>
        <w:t>SUPPLEMENTARY PROTOCOL SP-9: TRAVAUX DIGEST AND ARTICLE-BY-ARTICLE COMMENTARY</w:t>
      </w:r>
      <w:bookmarkEnd w:id="952"/>
    </w:p>
    <w:p w14:paraId="0197429F" w14:textId="77777777" w:rsidR="00180E7C" w:rsidRDefault="00000000">
      <w:pPr>
        <w:pStyle w:val="Heading2"/>
      </w:pPr>
      <w:bookmarkStart w:id="953" w:name="sp-9.1-status-and-use"/>
      <w:r>
        <w:t>SP-9.1 Status and Use</w:t>
      </w:r>
    </w:p>
    <w:p w14:paraId="22E37F5E" w14:textId="77777777" w:rsidR="00180E7C" w:rsidRDefault="00000000">
      <w:pPr>
        <w:pStyle w:val="FirstParagraph"/>
      </w:pPr>
      <w:r>
        <w:t>SP-9.1.1 This Protocol constitutes the agreed interpretive commentary of the negotiating conference, deposited with the travaux per Annex R, Part 7. Treaty organs and tribunals use it as an authoritative guide to the intent of each provision. It binds no Party beyond the Treaty text, and it interprets, never amends.</w:t>
      </w:r>
    </w:p>
    <w:p w14:paraId="0C99F612" w14:textId="77777777" w:rsidR="00180E7C" w:rsidRDefault="00000000">
      <w:pPr>
        <w:pStyle w:val="Heading2"/>
      </w:pPr>
      <w:bookmarkStart w:id="954" w:name="X8c314827940a811318b17c78d248abf4a8fa5aa"/>
      <w:bookmarkEnd w:id="953"/>
      <w:r>
        <w:t>SP-9.2 Commentary on the Preamble and Article 0</w:t>
      </w:r>
    </w:p>
    <w:p w14:paraId="0981C302" w14:textId="77777777" w:rsidR="00180E7C" w:rsidRDefault="00000000">
      <w:pPr>
        <w:pStyle w:val="FirstParagraph"/>
      </w:pPr>
      <w:r>
        <w:t>SP-9.2.1 The Preamble records the war’s costs deliberately: both delegations insisted that the instrument begin from the shared acknowledgment of loss, because the peace rests on the recognition that the war injured both nations and that neither achieved through force what this Treaty achieves through architecture.</w:t>
      </w:r>
    </w:p>
    <w:p w14:paraId="5222D0DF" w14:textId="77777777" w:rsidR="00180E7C" w:rsidRDefault="00000000">
      <w:pPr>
        <w:pStyle w:val="BodyText"/>
      </w:pPr>
      <w:r>
        <w:t>SP-9.2.2 Article 0.2.2 (red-line integrity): the conference’s methodological breakthrough. Early rounds attempted to negotiate red lines against each other and produced deadlock. The Islamabad plenary adopted the structural method: where red lines collide, redesign the issue’s shape. The five recorded collisions and their resolutions appear in Annex Q.3.3.</w:t>
      </w:r>
    </w:p>
    <w:p w14:paraId="1CB3D27E" w14:textId="77777777" w:rsidR="00180E7C" w:rsidRDefault="00000000">
      <w:pPr>
        <w:pStyle w:val="BodyText"/>
      </w:pPr>
      <w:r>
        <w:t>SP-9.2.3 Article 0.2.4 (proportionality): the delegations studied the collapse dynamics of prior agreements and concluded that binary enforcement produces binary outcomes. The Cothrom principle entered the text here as the Treaty’s immune system.</w:t>
      </w:r>
    </w:p>
    <w:p w14:paraId="399EF4E7" w14:textId="77777777" w:rsidR="00180E7C" w:rsidRDefault="00000000">
      <w:pPr>
        <w:pStyle w:val="Heading2"/>
      </w:pPr>
      <w:bookmarkStart w:id="955" w:name="sp-9.3-commentary-on-title-i"/>
      <w:bookmarkEnd w:id="954"/>
      <w:r>
        <w:t>SP-9.3 Commentary on Title I</w:t>
      </w:r>
    </w:p>
    <w:p w14:paraId="2226268C" w14:textId="77777777" w:rsidR="00180E7C" w:rsidRDefault="00000000">
      <w:pPr>
        <w:pStyle w:val="FirstParagraph"/>
      </w:pPr>
      <w:r>
        <w:t>SP-9.3.1 Article 1: the ceasefire’s comprehensiveness (six domains) reflects the war’s actual geography: the delegations catalogued every front on which the conflict burned and assigned each a cessation mechanism. The 24-hour blockade dissolution timing synchronized against corridor activation so that no hour exists in which both closure regimes operate or neither does.</w:t>
      </w:r>
    </w:p>
    <w:p w14:paraId="2CA1A087" w14:textId="77777777" w:rsidR="00180E7C" w:rsidRDefault="00000000">
      <w:pPr>
        <w:pStyle w:val="BodyText"/>
      </w:pPr>
      <w:r>
        <w:t>SP-9.3.2 Article 2: the exhaustive enumeration protects both Parties from definitional creep, the historical accelerant of ceasefire collapse. The assimilation rule permits the architecture to absorb novel weapons and methods without reopening the text.</w:t>
      </w:r>
    </w:p>
    <w:p w14:paraId="4F982273" w14:textId="77777777" w:rsidR="00180E7C" w:rsidRDefault="00000000">
      <w:pPr>
        <w:pStyle w:val="BodyText"/>
      </w:pPr>
      <w:r>
        <w:t>SP-9.3.3 Article 3: the recognition language took fourteen drafting sessions. The final formula recognizes states and governments as they are, renounces forcible change, and explicitly declines to endorse domestic arrangements, allowing both governments to present recognition without ideological surrender.</w:t>
      </w:r>
    </w:p>
    <w:p w14:paraId="1A6E7397" w14:textId="77777777" w:rsidR="00180E7C" w:rsidRDefault="00000000">
      <w:pPr>
        <w:pStyle w:val="BodyText"/>
      </w:pPr>
      <w:r>
        <w:t>SP-9.3.4 Article 4.6: the structured self-defense clause preserves Article 51 Charter rights while surrounding their exercise with notification, confinement, and immediate machinery, so that the exception cannot swallow the rule.</w:t>
      </w:r>
    </w:p>
    <w:p w14:paraId="1A552B38" w14:textId="77777777" w:rsidR="00180E7C" w:rsidRDefault="00000000">
      <w:pPr>
        <w:pStyle w:val="BodyText"/>
      </w:pPr>
      <w:r>
        <w:lastRenderedPageBreak/>
        <w:t>SP-9.3.5 Article 5: the two-stage embassy track reflects the security assessments of both services; the eighteen-month horizon balances normalization’s momentum against its sensitivities.</w:t>
      </w:r>
    </w:p>
    <w:p w14:paraId="5067C222" w14:textId="77777777" w:rsidR="00180E7C" w:rsidRDefault="00000000">
      <w:pPr>
        <w:pStyle w:val="BodyText"/>
      </w:pPr>
      <w:r>
        <w:t>SP-9.3.6 Article 6: leadership security responds to the registered Iranian position regarding threats against the Supreme Leader and the reciprocal United States concern; the article personalizes nothing and protects the office-holders of both states equally.</w:t>
      </w:r>
    </w:p>
    <w:p w14:paraId="378F746F" w14:textId="77777777" w:rsidR="00180E7C" w:rsidRDefault="00000000">
      <w:pPr>
        <w:pStyle w:val="BodyText"/>
      </w:pPr>
      <w:r>
        <w:t>SP-9.3.7 Article 7: the proxy article’s careful construction (termination of material flows, preservation of political participation, state-channeled transformation) records the conference’s conclusion that proxy structures dissolve only through the states that host them, never through external diktat.</w:t>
      </w:r>
    </w:p>
    <w:p w14:paraId="15729740" w14:textId="77777777" w:rsidR="00180E7C" w:rsidRDefault="00000000">
      <w:pPr>
        <w:pStyle w:val="BodyText"/>
      </w:pPr>
      <w:r>
        <w:t>SP-9.3.8 Article 9: the humanitarian firewall’s placement in Title I signals its foundational status; the conference rejected locating it in a technical annex precisely so that no one could call it technical.</w:t>
      </w:r>
    </w:p>
    <w:p w14:paraId="68212C51" w14:textId="77777777" w:rsidR="00180E7C" w:rsidRDefault="00000000">
      <w:pPr>
        <w:pStyle w:val="BodyText"/>
      </w:pPr>
      <w:r>
        <w:t>SP-9.3.9 Article 12: the anti-capitulation pledge (12.1.2) answers the domestic politics of both capitals: each government survived the war politically, and the Treaty denies both the temptation to market the peace as victory over the other.</w:t>
      </w:r>
    </w:p>
    <w:p w14:paraId="5BAE16DC" w14:textId="77777777" w:rsidR="00180E7C" w:rsidRDefault="00000000">
      <w:pPr>
        <w:pStyle w:val="Heading2"/>
      </w:pPr>
      <w:bookmarkStart w:id="956" w:name="sp-9.4-commentary-on-title-ii"/>
      <w:bookmarkEnd w:id="955"/>
      <w:r>
        <w:t>SP-9.4 Commentary on Title II</w:t>
      </w:r>
    </w:p>
    <w:p w14:paraId="40AFE44B" w14:textId="77777777" w:rsidR="00180E7C" w:rsidRDefault="00000000">
      <w:pPr>
        <w:pStyle w:val="FirstParagraph"/>
      </w:pPr>
      <w:r>
        <w:t>SP-9.4.1 Article 16: the rebalancing ratios emerged from the Joint Chiefs-level technical talks: symmetrical restoration of peacetime posture, with the carrier ceiling and the littoral stand-down band as the reciprocal anchors.</w:t>
      </w:r>
    </w:p>
    <w:p w14:paraId="36D5DA14" w14:textId="77777777" w:rsidR="00180E7C" w:rsidRDefault="00000000">
      <w:pPr>
        <w:pStyle w:val="BodyText"/>
      </w:pPr>
      <w:r>
        <w:t>SP-9.4.2 Article 17: buffer geometry follows the corridor system rather than political lines, embodying the functional principle: safety spaces serve navigation, not sovereignty claims.</w:t>
      </w:r>
    </w:p>
    <w:p w14:paraId="451BFA05" w14:textId="77777777" w:rsidR="00180E7C" w:rsidRDefault="00000000">
      <w:pPr>
        <w:pStyle w:val="BodyText"/>
      </w:pPr>
      <w:r>
        <w:t>SP-9.4.3 Article 18: the ROE codification adopts the incidents-at-sea tradition and extends it: the conference treated the 2026 war’s spark incidents as case studies in what unwritten restraint fails to prevent.</w:t>
      </w:r>
    </w:p>
    <w:p w14:paraId="5D5379F7" w14:textId="77777777" w:rsidR="00180E7C" w:rsidRDefault="00000000">
      <w:pPr>
        <w:pStyle w:val="BodyText"/>
      </w:pPr>
      <w:r>
        <w:t>SP-9.4.4 Article 20.4: mine clearance assigns execution to Iran with international support, honoring both Iran’s insistence on sovereign execution and the international community’s need for certified safety; the United States intelligence delivery obligation balances the ledger.</w:t>
      </w:r>
    </w:p>
    <w:p w14:paraId="667AE500" w14:textId="77777777" w:rsidR="00180E7C" w:rsidRDefault="00000000">
      <w:pPr>
        <w:pStyle w:val="BodyText"/>
      </w:pPr>
      <w:r>
        <w:t>SP-9.4.5 Article 21: the missile article records the conference’s most creative impasse-break: a verified stand-down delivering the security outcome now, a dialogue building toward codification later, and an explicit preservation of both underlying positions, so neither capital registers a concession.</w:t>
      </w:r>
    </w:p>
    <w:p w14:paraId="13B01CE6" w14:textId="77777777" w:rsidR="00180E7C" w:rsidRDefault="00000000">
      <w:pPr>
        <w:pStyle w:val="BodyText"/>
      </w:pPr>
      <w:r>
        <w:t>SP-9.4.6 Article 22: the cyber article protects above all the verification systems themselves, the Treaty’s eyes; interference with them ranks among the highest demerit categories.</w:t>
      </w:r>
    </w:p>
    <w:p w14:paraId="66516C9C" w14:textId="77777777" w:rsidR="00180E7C" w:rsidRDefault="00000000">
      <w:pPr>
        <w:pStyle w:val="BodyText"/>
      </w:pPr>
      <w:r>
        <w:t>SP-9.4.7 Article 26: the Guarantor Matrix’s design (presence, verification, engagement; no automatic military commitment) reflects the Facilitating States’ own registered limits, stated at the plenary and respected in the text.</w:t>
      </w:r>
    </w:p>
    <w:p w14:paraId="5CC07A55" w14:textId="77777777" w:rsidR="00180E7C" w:rsidRDefault="00000000">
      <w:pPr>
        <w:pStyle w:val="BodyText"/>
      </w:pPr>
      <w:r>
        <w:lastRenderedPageBreak/>
        <w:t>SP-9.4.8 Article 29: the circuit breakers (29.2) execute without political direction, because the conference’s incident analysis showed that the first two hours decide whether an incident becomes a war.</w:t>
      </w:r>
    </w:p>
    <w:p w14:paraId="5F21EAAA" w14:textId="77777777" w:rsidR="00180E7C" w:rsidRDefault="00000000">
      <w:pPr>
        <w:pStyle w:val="Heading2"/>
      </w:pPr>
      <w:bookmarkStart w:id="957" w:name="sp-9.5-commentary-on-title-iii"/>
      <w:bookmarkEnd w:id="956"/>
      <w:r>
        <w:t>SP-9.5 Commentary on Title III</w:t>
      </w:r>
    </w:p>
    <w:p w14:paraId="33346927" w14:textId="77777777" w:rsidR="00180E7C" w:rsidRDefault="00000000">
      <w:pPr>
        <w:pStyle w:val="FirstParagraph"/>
      </w:pPr>
      <w:r>
        <w:t>SP-9.5.1 Article 31: the Authority’s twin-key design answers the question that defeated earlier drafts: who controls the Strait? The answer: no one alone, ever. Oman chairs because the region trusts Omani neutrality; Iran co-chairs because the Strait’s northern shore is Iran’s; the architecture makes the two facts one system.</w:t>
      </w:r>
    </w:p>
    <w:p w14:paraId="7CB2DE7F" w14:textId="77777777" w:rsidR="00180E7C" w:rsidRDefault="00000000">
      <w:pPr>
        <w:pStyle w:val="BodyText"/>
      </w:pPr>
      <w:r>
        <w:t>SP-9.5.2 Article 31.2: the incorporation clause records that the coastal-state draft, completed at deputy-minister level and transmitted for the Iranian leadership’s final authorization, enters this Treaty whole; the comprehensive settlement delivers the approval that the bilateral track awaited.</w:t>
      </w:r>
    </w:p>
    <w:p w14:paraId="750EAC77" w14:textId="77777777" w:rsidR="00180E7C" w:rsidRDefault="00000000">
      <w:pPr>
        <w:pStyle w:val="BodyText"/>
      </w:pPr>
      <w:r>
        <w:t>SP-9.5.3 Article 32: the four-corridor geometry derives from the coastal-state draft’s agreed coordinates, adjusted through the hydrographic review; the asymmetric operational roles (Iran inbound, Oman outbound) embody the draft’s core bargain.</w:t>
      </w:r>
    </w:p>
    <w:p w14:paraId="4EFB34A9" w14:textId="77777777" w:rsidR="00180E7C" w:rsidRDefault="00000000">
      <w:pPr>
        <w:pStyle w:val="BodyText"/>
      </w:pPr>
      <w:r>
        <w:t>SP-9.5.4 Article 34.2 (non-suspension): the strongest sentence in the Title, drafted against the memory of 2026: the Strait never closes again, to anyone, for anything, beyond the six-hour safety stoppage discipline.</w:t>
      </w:r>
    </w:p>
    <w:p w14:paraId="162012BC" w14:textId="77777777" w:rsidR="00180E7C" w:rsidRDefault="00000000">
      <w:pPr>
        <w:pStyle w:val="BodyText"/>
      </w:pPr>
      <w:r>
        <w:t>SP-9.5.5 Article 35: the functional principle disengages navigation from sovereignty adjudication, permitting Iran’s recognized administrative role and Oman’s coordinating role to coexist with every state’s legal positions untouched.</w:t>
      </w:r>
    </w:p>
    <w:p w14:paraId="677B79E1" w14:textId="77777777" w:rsidR="00180E7C" w:rsidRDefault="00000000">
      <w:pPr>
        <w:pStyle w:val="BodyText"/>
      </w:pPr>
      <w:r>
        <w:t>SP-9.5.6 Article 36.4: the interdiction twin-key transforms the IRGC constraint question from a sovereignty fight into a procedure: the IRGC Navy operates inside the protocol, retaining real interdiction capacity for real contraband, never unilateral authority.</w:t>
      </w:r>
    </w:p>
    <w:p w14:paraId="06FFA6CD" w14:textId="77777777" w:rsidR="00180E7C" w:rsidRDefault="00000000">
      <w:pPr>
        <w:pStyle w:val="BodyText"/>
      </w:pPr>
      <w:r>
        <w:t>SP-9.5.7 Article 37: the free-transit-plus-services model threads the two registered positions (no tolls; recognized revenue role) through the Malacca precedent: passage free, services paid, both audited.</w:t>
      </w:r>
    </w:p>
    <w:p w14:paraId="18AEB5D4" w14:textId="77777777" w:rsidR="00180E7C" w:rsidRDefault="00000000">
      <w:pPr>
        <w:pStyle w:val="BodyText"/>
      </w:pPr>
      <w:r>
        <w:t>SP-9.5.8 Article 45: the three-tier panels with twin-key composition extend the governance philosophy into adjudication: no dispute resolves by one state’s unilateral judgment.</w:t>
      </w:r>
    </w:p>
    <w:p w14:paraId="01825811" w14:textId="77777777" w:rsidR="00180E7C" w:rsidRDefault="00000000">
      <w:pPr>
        <w:pStyle w:val="Heading2"/>
      </w:pPr>
      <w:bookmarkStart w:id="958" w:name="sp-9.6-commentary-on-title-iv"/>
      <w:bookmarkEnd w:id="957"/>
      <w:r>
        <w:t>SP-9.6 Commentary on Title IV</w:t>
      </w:r>
    </w:p>
    <w:p w14:paraId="007933AF" w14:textId="77777777" w:rsidR="00180E7C" w:rsidRDefault="00000000">
      <w:pPr>
        <w:pStyle w:val="FirstParagraph"/>
      </w:pPr>
      <w:r>
        <w:t>SP-9.6.1 Article 46: statute-locked termination answers the central lesson of 2018: an executive-waiver peace dies with an election; a statutory peace survives it. The Iranian delegation stated the requirement; the United States delegation ultimately agreed that durability serves both.</w:t>
      </w:r>
    </w:p>
    <w:p w14:paraId="44C07A32" w14:textId="77777777" w:rsidR="00180E7C" w:rsidRDefault="00000000">
      <w:pPr>
        <w:pStyle w:val="BodyText"/>
      </w:pPr>
      <w:r>
        <w:t>SP-9.6.2 Article 47: the half-at-EIF structure honors the Iranian position that early tangible relief anchors the process and the United States position that release links to verified steps: EIF itself constitutes the first verified package, so both statements describe the same event.</w:t>
      </w:r>
    </w:p>
    <w:p w14:paraId="271CA94A" w14:textId="77777777" w:rsidR="00180E7C" w:rsidRDefault="00000000">
      <w:pPr>
        <w:pStyle w:val="BodyText"/>
      </w:pPr>
      <w:r>
        <w:lastRenderedPageBreak/>
        <w:t>SP-9.6.3 Article 48: the oil guarantee’s payment protection ended the receivables-security dispute that had blocked the June framework’s implementation.</w:t>
      </w:r>
    </w:p>
    <w:p w14:paraId="1197544D" w14:textId="77777777" w:rsidR="00180E7C" w:rsidRDefault="00000000">
      <w:pPr>
        <w:pStyle w:val="BodyText"/>
      </w:pPr>
      <w:r>
        <w:t>SP-9.6.4 Article 52: the RDF’s Iran-led governance with international fiduciary standards balances ownership against confidence; the United States non-contribution registered and accommodated through the facilitation-value accounting, which the conference’s economists documented at multiples of the fund target.</w:t>
      </w:r>
    </w:p>
    <w:p w14:paraId="7589CE55" w14:textId="77777777" w:rsidR="00180E7C" w:rsidRDefault="00000000">
      <w:pPr>
        <w:pStyle w:val="BodyText"/>
      </w:pPr>
      <w:r>
        <w:t>SP-9.6.5 Article 55.2: the Over-Compliance Register answers the sanctions architecture’s longest shadow: banks that fear ghosts. Naming the phenomenon and tracking it publicly proved, in the conference’s judgment, the only cure.</w:t>
      </w:r>
    </w:p>
    <w:p w14:paraId="42BD9435" w14:textId="77777777" w:rsidR="00180E7C" w:rsidRDefault="00000000">
      <w:pPr>
        <w:pStyle w:val="BodyText"/>
      </w:pPr>
      <w:r>
        <w:t>SP-9.6.6 Article 60.2: the explicit burial of snapback (“proportionate breathing replaces binary collapse”) records the Treaty’s philosophical signature.</w:t>
      </w:r>
    </w:p>
    <w:p w14:paraId="7DEB7C82" w14:textId="77777777" w:rsidR="00180E7C" w:rsidRDefault="00000000">
      <w:pPr>
        <w:pStyle w:val="Heading2"/>
      </w:pPr>
      <w:bookmarkStart w:id="959" w:name="sp-9.7-commentary-on-title-v"/>
      <w:bookmarkEnd w:id="958"/>
      <w:r>
        <w:t>SP-9.7 Commentary on Title V</w:t>
      </w:r>
    </w:p>
    <w:p w14:paraId="4E147D76" w14:textId="77777777" w:rsidR="00180E7C" w:rsidRDefault="00000000">
      <w:pPr>
        <w:pStyle w:val="FirstParagraph"/>
      </w:pPr>
      <w:r>
        <w:t>SP-9.7.1 Article 61: the nuclear article’s architecture (zero stockpile above 3.67 percent, in-Iran down-blending, title retention, permanent floor) constitutes the Treaty’s centerpiece: the file closes through physics and verification, not through trust, tribute, or export. The conference record shows both delegations arriving at the same sentence from opposite red lines.</w:t>
      </w:r>
    </w:p>
    <w:p w14:paraId="031E09FD" w14:textId="77777777" w:rsidR="00180E7C" w:rsidRDefault="00000000">
      <w:pPr>
        <w:pStyle w:val="BodyText"/>
      </w:pPr>
      <w:r>
        <w:t>SP-9.7.2 Article 61.6: the quarterly published breakout computation makes the twelve-month floor a public fact rather than a classified estimate, enlisting global scrutiny as a verification layer.</w:t>
      </w:r>
    </w:p>
    <w:p w14:paraId="3271D486" w14:textId="77777777" w:rsidR="00180E7C" w:rsidRDefault="00000000">
      <w:pPr>
        <w:pStyle w:val="BodyText"/>
      </w:pPr>
      <w:r>
        <w:t>SP-9.7.3 Article 62.4: the anytime access protocol’s genius lies in its assignment of the verification-objective certification to the IAEA alone, while managed access handles sensitivity: access never refuses, techniques negotiate, verification completes.</w:t>
      </w:r>
    </w:p>
    <w:p w14:paraId="53F2F990" w14:textId="77777777" w:rsidR="00180E7C" w:rsidRDefault="00000000">
      <w:pPr>
        <w:pStyle w:val="BodyText"/>
      </w:pPr>
      <w:r>
        <w:t>SP-9.7.4 Article 65.2: the compensation resolution declines state tribute in both directions while delivering restoration through the fund and the claims commission; the conference judged this the single most delicate political construction in the Treaty.</w:t>
      </w:r>
    </w:p>
    <w:p w14:paraId="2B5CF4D6" w14:textId="77777777" w:rsidR="00180E7C" w:rsidRDefault="00000000">
      <w:pPr>
        <w:pStyle w:val="BodyText"/>
      </w:pPr>
      <w:r>
        <w:t>SP-9.7.5 Article 67: the Cothrom Engine’s reciprocity (both Parties verify, both invest, both recover) distinguishes this Treaty from every predecessor monitoring regime.</w:t>
      </w:r>
    </w:p>
    <w:p w14:paraId="28298252" w14:textId="77777777" w:rsidR="00180E7C" w:rsidRDefault="00000000">
      <w:pPr>
        <w:pStyle w:val="BodyText"/>
      </w:pPr>
      <w:r>
        <w:t>SP-9.7.6 Article 69.6: the Material Breach list’s exhaustiveness protects the Treaty from escalation-by-definition; even breach proceedings preserve the firewall and the re-entry pathway.</w:t>
      </w:r>
    </w:p>
    <w:p w14:paraId="5B794FB1" w14:textId="77777777" w:rsidR="00180E7C" w:rsidRDefault="00000000">
      <w:pPr>
        <w:pStyle w:val="BodyText"/>
      </w:pPr>
      <w:r>
        <w:t>SP-9.7.7 Article 75.2: the permanence clause’s five provisions form the Treaty’s constitutional core, drafted to outlast every government that signed it.</w:t>
      </w:r>
    </w:p>
    <w:p w14:paraId="57F31337" w14:textId="77777777" w:rsidR="00180E7C" w:rsidRDefault="00000000">
      <w:pPr>
        <w:pStyle w:val="Heading2"/>
      </w:pPr>
      <w:bookmarkStart w:id="960" w:name="sp-9.8-commentary-on-titles-vi-and-vii"/>
      <w:bookmarkEnd w:id="959"/>
      <w:r>
        <w:t>SP-9.8 Commentary on Titles VI and VII</w:t>
      </w:r>
    </w:p>
    <w:p w14:paraId="2334FD9F" w14:textId="77777777" w:rsidR="00180E7C" w:rsidRDefault="00000000">
      <w:pPr>
        <w:pStyle w:val="FirstParagraph"/>
      </w:pPr>
      <w:r>
        <w:t>SP-9.8.1 Article 76: the parallel-instrument design (binding but separate) records the Lebanon file’s central lesson: linkage without contamination, synchronization without hostage-taking.</w:t>
      </w:r>
    </w:p>
    <w:p w14:paraId="42F29208" w14:textId="77777777" w:rsidR="00180E7C" w:rsidRDefault="00000000">
      <w:pPr>
        <w:pStyle w:val="BodyText"/>
      </w:pPr>
      <w:r>
        <w:lastRenderedPageBreak/>
        <w:t>SP-9.8.2 Article 81: the Israel protocol’s structure (non-binding on Israel, outcomes delivered as verified facts, parallel assurance registered) answers the conference’s hardest regional question: how to address a non-party’s existential concerns without granting it a veto over the peace of two sovereigns.</w:t>
      </w:r>
    </w:p>
    <w:p w14:paraId="6ED90B81" w14:textId="77777777" w:rsidR="00180E7C" w:rsidRDefault="00000000">
      <w:pPr>
        <w:pStyle w:val="BodyText"/>
      </w:pPr>
      <w:r>
        <w:t>SP-9.8.3 Article 84: the exchange architecture invests in the only guarantee that ultimately matters: two peoples who know each other too well to be marched back to war cheaply.</w:t>
      </w:r>
    </w:p>
    <w:p w14:paraId="179B4276" w14:textId="77777777" w:rsidR="00180E7C" w:rsidRDefault="00000000">
      <w:pPr>
        <w:pStyle w:val="BodyText"/>
      </w:pPr>
      <w:r>
        <w:t>SP-9.8.4 Article 87.4: provisional organ stand-up before EIF reflects the conference’s operational creed: peace machinery runs before it is legal, or it never becomes legal.</w:t>
      </w:r>
    </w:p>
    <w:p w14:paraId="3A51603D" w14:textId="77777777" w:rsidR="00180E7C" w:rsidRDefault="00000000">
      <w:r>
        <w:br w:type="page"/>
      </w:r>
    </w:p>
    <w:p w14:paraId="5EE5E6EA" w14:textId="77777777" w:rsidR="00180E7C" w:rsidRDefault="00000000">
      <w:pPr>
        <w:pStyle w:val="Heading1"/>
      </w:pPr>
      <w:bookmarkStart w:id="961" w:name="X7627d271aaef5af9ddc610e84f824476946147a"/>
      <w:bookmarkStart w:id="962" w:name="_Toc237843191"/>
      <w:bookmarkEnd w:id="951"/>
      <w:bookmarkEnd w:id="960"/>
      <w:r>
        <w:lastRenderedPageBreak/>
        <w:t>SUPPLEMENTARY PROTOCOL SP-10: THE FIRST-YEAR OPERATIONAL CALENDAR</w:t>
      </w:r>
      <w:bookmarkEnd w:id="962"/>
    </w:p>
    <w:p w14:paraId="34D88848" w14:textId="77777777" w:rsidR="00180E7C" w:rsidRDefault="00000000">
      <w:pPr>
        <w:pStyle w:val="Heading2"/>
      </w:pPr>
      <w:bookmarkStart w:id="963" w:name="sp-10.1-purpose"/>
      <w:r>
        <w:t>SP-10.1 Purpose</w:t>
      </w:r>
    </w:p>
    <w:p w14:paraId="71F113DC" w14:textId="77777777" w:rsidR="00180E7C" w:rsidRDefault="00000000">
      <w:pPr>
        <w:pStyle w:val="FirstParagraph"/>
      </w:pPr>
      <w:r>
        <w:t>SP-10.1.1 This calendar lays the first year flat, month by month, so that every organ, ministry, and observer reads the same sequence. It consolidates the deadlines scattered across the Treaty into one operational view. Dates anchor to Day 0 (EIF).</w:t>
      </w:r>
    </w:p>
    <w:p w14:paraId="4893D9BB" w14:textId="77777777" w:rsidR="00180E7C" w:rsidRDefault="00000000">
      <w:pPr>
        <w:pStyle w:val="Heading2"/>
      </w:pPr>
      <w:bookmarkStart w:id="964" w:name="sp-10.2-month-1-days-0-30"/>
      <w:bookmarkEnd w:id="963"/>
      <w:r>
        <w:t>SP-10.2 Month 1 (Days 0-30)</w:t>
      </w:r>
    </w:p>
    <w:p w14:paraId="6B14A9AE" w14:textId="77777777" w:rsidR="00180E7C" w:rsidRDefault="00000000">
      <w:pPr>
        <w:pStyle w:val="FirstParagraph"/>
      </w:pPr>
      <w:r>
        <w:t>Week 1: ceasefire permanent; blockade dissolved; transit restrictions dissolved; interim corridors open; hotlines live; Phase I sanctions instruments execute; Pool A instruction (12 billion); damaged-site access begins; baseline declarations filed (Day 14); JOCs operational (Day 14); mine survey starts; United States mine intelligence delivered (Day 14).</w:t>
      </w:r>
    </w:p>
    <w:p w14:paraId="12BE74BF" w14:textId="77777777" w:rsidR="00180E7C" w:rsidRDefault="00000000">
      <w:pPr>
        <w:pStyle w:val="BodyText"/>
      </w:pPr>
      <w:r>
        <w:t>Week 2-4: JMC watch floors at full staffing; escrow settlement confirmed; mine clearance Phase 2; detainee release completes (Day 30); first Daily Bulletins and weekly summaries publish; Hormuz Authority interim secretariat seated in Muscat; Phase I closeout review (Day 30).</w:t>
      </w:r>
    </w:p>
    <w:p w14:paraId="2F9172AB" w14:textId="77777777" w:rsidR="00180E7C" w:rsidRDefault="00000000">
      <w:pPr>
        <w:pStyle w:val="Heading2"/>
      </w:pPr>
      <w:bookmarkStart w:id="965" w:name="sp-10.3-month-2-days-31-60"/>
      <w:bookmarkEnd w:id="964"/>
      <w:r>
        <w:t>SP-10.3 Month 2 (Days 31-60)</w:t>
      </w:r>
    </w:p>
    <w:p w14:paraId="79E8D532" w14:textId="77777777" w:rsidR="00180E7C" w:rsidRDefault="00000000">
      <w:pPr>
        <w:pStyle w:val="FirstParagraph"/>
      </w:pPr>
      <w:r>
        <w:t>Mine clearance certification and final corridor activation (target Day 60); Verified Services Catalog soft launch; Verification Cells deploy to all three stations; Missile Dialogue convenes (Day 60); proxy domain first declarations cycle; RSCSC inaugural session; implementing legislation progresses in both legislatures; initial nuclear verification campaign completes (Day 60).</w:t>
      </w:r>
    </w:p>
    <w:p w14:paraId="7447DF83" w14:textId="77777777" w:rsidR="00180E7C" w:rsidRDefault="00000000">
      <w:pPr>
        <w:pStyle w:val="Heading2"/>
      </w:pPr>
      <w:bookmarkStart w:id="966" w:name="sp-10.4-month-3-days-61-90"/>
      <w:bookmarkEnd w:id="965"/>
      <w:r>
        <w:t>SP-10.4 Month 3 (Days 61-90)</w:t>
      </w:r>
    </w:p>
    <w:p w14:paraId="0456AAA4" w14:textId="77777777" w:rsidR="00180E7C" w:rsidRDefault="00000000">
      <w:pPr>
        <w:pStyle w:val="FirstParagraph"/>
      </w:pPr>
      <w:r>
        <w:t>Down-Blending Facility commissioning (Day 90); Tehran Reconstruction Pledging Conference (by Day 90); embassy upgrade stage one; banking comfort package drafting; LAF build-up program launch; Lebanon withdrawal phase one completes; Rules of Transit handbook first edition publishes.</w:t>
      </w:r>
    </w:p>
    <w:p w14:paraId="0BDD0769" w14:textId="77777777" w:rsidR="00180E7C" w:rsidRDefault="00000000">
      <w:pPr>
        <w:pStyle w:val="Heading2"/>
      </w:pPr>
      <w:bookmarkStart w:id="967" w:name="sp-10.5-month-4-days-91-120"/>
      <w:bookmarkEnd w:id="966"/>
      <w:r>
        <w:t>SP-10.5 Month 4 (Days 91-120)</w:t>
      </w:r>
    </w:p>
    <w:p w14:paraId="3971F29B" w14:textId="77777777" w:rsidR="00180E7C" w:rsidRDefault="00000000">
      <w:pPr>
        <w:pStyle w:val="FirstParagraph"/>
      </w:pPr>
      <w:r>
        <w:t>Batch 1 down-blends (Days 91-111) and certifies; Phase II terminations execute on certificate (CBI, banks, SWIFT, energy); ratification completion target (Day 120); contribution program opens; first quarterly public dashboard publishes; PMD answers file (Day 120).</w:t>
      </w:r>
    </w:p>
    <w:p w14:paraId="6374E545" w14:textId="77777777" w:rsidR="00180E7C" w:rsidRDefault="00000000">
      <w:pPr>
        <w:pStyle w:val="Heading2"/>
      </w:pPr>
      <w:bookmarkStart w:id="968" w:name="sp-10.6-months-5-6-days-121-180"/>
      <w:bookmarkEnd w:id="967"/>
      <w:r>
        <w:t>SP-10.6 Months 5-6 (Days 121-180)</w:t>
      </w:r>
    </w:p>
    <w:p w14:paraId="168C746A" w14:textId="77777777" w:rsidR="00180E7C" w:rsidRDefault="00000000">
      <w:pPr>
        <w:pStyle w:val="FirstParagraph"/>
      </w:pPr>
      <w:r>
        <w:t xml:space="preserve">Batches 2-4 complete (through Day 174); Phase II energy and investment steps execute; posture Tranche 1 completes (Day 150); IRGC Stage One review initiates (Day 180); PMD </w:t>
      </w:r>
      <w:r>
        <w:lastRenderedPageBreak/>
        <w:t>managed access completes (Day 180); Lebanon cantonment arrangements advance; first review of corridor rules operations.</w:t>
      </w:r>
    </w:p>
    <w:p w14:paraId="255AD303" w14:textId="77777777" w:rsidR="00180E7C" w:rsidRDefault="00000000">
      <w:pPr>
        <w:pStyle w:val="Heading2"/>
      </w:pPr>
      <w:bookmarkStart w:id="969" w:name="sp-10.7-months-7-9-days-181-270"/>
      <w:bookmarkEnd w:id="968"/>
      <w:r>
        <w:t>SP-10.7 Months 7-9 (Days 181-270)</w:t>
      </w:r>
    </w:p>
    <w:p w14:paraId="285DDF07" w14:textId="77777777" w:rsidR="00180E7C" w:rsidRDefault="00000000">
      <w:pPr>
        <w:pStyle w:val="FirstParagraph"/>
      </w:pPr>
      <w:r>
        <w:t>Batches 5-8 complete (through Day 258); Phase III terminations execute (primary, secondary statutes); damaged-site accounting closure (Day 240); posture Tranche 2; IRGC FTO revocation completes within statutory window; RDF first projects disburse; Lebanon reconstruction first tranche.</w:t>
      </w:r>
    </w:p>
    <w:p w14:paraId="3441C737" w14:textId="77777777" w:rsidR="00180E7C" w:rsidRDefault="00000000">
      <w:pPr>
        <w:pStyle w:val="Heading2"/>
      </w:pPr>
      <w:bookmarkStart w:id="970" w:name="sp-10.8-months-10-12-days-271-365"/>
      <w:bookmarkEnd w:id="969"/>
      <w:r>
        <w:t>SP-10.8 Months 10-12 (Days 271-365)</w:t>
      </w:r>
    </w:p>
    <w:p w14:paraId="5A84613F" w14:textId="77777777" w:rsidR="00180E7C" w:rsidRDefault="00000000">
      <w:pPr>
        <w:pStyle w:val="FirstParagraph"/>
      </w:pPr>
      <w:r>
        <w:t>PMD closure assessment to the Board (by Day 365); Board closure of censure resolutions; intermediate campaign advances; Fordow conversion engineering underway; first annual reports publish (JMC, Authority, EMB, RDF, humanitarian desk); first review conference of organs; the Treaty’s first EIF anniversary affirmations exchange (Article 4 affirmation, permanence watch).</w:t>
      </w:r>
    </w:p>
    <w:p w14:paraId="239386AE" w14:textId="77777777" w:rsidR="00180E7C" w:rsidRDefault="00000000">
      <w:pPr>
        <w:pStyle w:val="Heading2"/>
      </w:pPr>
      <w:bookmarkStart w:id="971" w:name="sp-10.9-the-calendar-discipline"/>
      <w:bookmarkEnd w:id="970"/>
      <w:r>
        <w:t>SP-10.9 The Calendar Discipline</w:t>
      </w:r>
    </w:p>
    <w:p w14:paraId="6DA27E0D" w14:textId="77777777" w:rsidR="00180E7C" w:rsidRDefault="00000000">
      <w:pPr>
        <w:pStyle w:val="FirstParagraph"/>
      </w:pPr>
      <w:r>
        <w:t>SP-10.9.1 The Swiss Facilitator publishes the calendar’s live version with weekly status markings (complete, on track, at risk, slipped-with-explanation). The calendar never sleeps: a slipped item carries its explanation and its recovery plan in public view, because the architecture trusts daylight more than it trusts reassurance.</w:t>
      </w:r>
    </w:p>
    <w:p w14:paraId="0DCAA572" w14:textId="77777777" w:rsidR="00180E7C" w:rsidRDefault="00000000">
      <w:r>
        <w:br w:type="page"/>
      </w:r>
    </w:p>
    <w:p w14:paraId="3239CF78" w14:textId="77777777" w:rsidR="00180E7C" w:rsidRDefault="00000000">
      <w:pPr>
        <w:pStyle w:val="Heading1"/>
      </w:pPr>
      <w:bookmarkStart w:id="972" w:name="X4535228e6e2babbeb4a651e12525cc56e0f923a"/>
      <w:bookmarkStart w:id="973" w:name="_Toc237843192"/>
      <w:bookmarkEnd w:id="961"/>
      <w:bookmarkEnd w:id="971"/>
      <w:r>
        <w:lastRenderedPageBreak/>
        <w:t>SUPPLEMENTARY PROTOCOL SP-11: ORGAN CHARTERS AND REPORTING TEMPLATES</w:t>
      </w:r>
      <w:bookmarkEnd w:id="973"/>
    </w:p>
    <w:p w14:paraId="6ED90C40" w14:textId="77777777" w:rsidR="00180E7C" w:rsidRDefault="00000000">
      <w:pPr>
        <w:pStyle w:val="Heading2"/>
      </w:pPr>
      <w:bookmarkStart w:id="974" w:name="Xfaf6976c400f14c64a3c89fd5a40050f9aa9cc7"/>
      <w:r>
        <w:t>SP-11.1 Charter of the High Contracting Council</w:t>
      </w:r>
    </w:p>
    <w:p w14:paraId="17B7F567" w14:textId="77777777" w:rsidR="00180E7C" w:rsidRDefault="00000000">
      <w:pPr>
        <w:pStyle w:val="Heading3"/>
      </w:pPr>
      <w:bookmarkStart w:id="975" w:name="sp-11.1.1-composition-and-attendance"/>
      <w:r>
        <w:t>SP-11.1.1 Composition and Attendance</w:t>
      </w:r>
    </w:p>
    <w:p w14:paraId="074E3787" w14:textId="77777777" w:rsidR="00180E7C" w:rsidRDefault="00000000">
      <w:pPr>
        <w:pStyle w:val="FirstParagraph"/>
      </w:pPr>
      <w:r>
        <w:t>SP-11.1.1.1 Members: the Minister of Foreign Affairs of each Party (or designated minister-level representative). Chair: the Swiss Facilitator’s designated senior diplomat, without vote. Attendance quorum: both Parties. Sessions valid only with both members present or formally represented by their standing deputies.</w:t>
      </w:r>
    </w:p>
    <w:p w14:paraId="5EB4F7FA" w14:textId="77777777" w:rsidR="00180E7C" w:rsidRDefault="00000000">
      <w:pPr>
        <w:pStyle w:val="Heading3"/>
      </w:pPr>
      <w:bookmarkStart w:id="976" w:name="sp-11.1.2-meetings"/>
      <w:bookmarkEnd w:id="975"/>
      <w:r>
        <w:t>SP-11.1.2 Meetings</w:t>
      </w:r>
    </w:p>
    <w:p w14:paraId="5F9A2C07" w14:textId="77777777" w:rsidR="00180E7C" w:rsidRDefault="00000000">
      <w:pPr>
        <w:pStyle w:val="FirstParagraph"/>
      </w:pPr>
      <w:r>
        <w:t>SP-11.1.2.1 Regular sessions: monthly, Geneva, two days. Agenda closes seven days before session; either member adds items until 48 hours before. Emergency Sessions per Article 29. Decisions by consensus; the chair never votes; the record of decisions enters the SDR within 24 hours.</w:t>
      </w:r>
    </w:p>
    <w:p w14:paraId="3897EC33" w14:textId="77777777" w:rsidR="00180E7C" w:rsidRDefault="00000000">
      <w:pPr>
        <w:pStyle w:val="Heading3"/>
      </w:pPr>
      <w:bookmarkStart w:id="977" w:name="sp-11.1.3-committees"/>
      <w:bookmarkEnd w:id="976"/>
      <w:r>
        <w:t>SP-11.1.3 Committees</w:t>
      </w:r>
    </w:p>
    <w:p w14:paraId="374D2A55" w14:textId="77777777" w:rsidR="00180E7C" w:rsidRDefault="00000000">
      <w:pPr>
        <w:pStyle w:val="FirstParagraph"/>
      </w:pPr>
      <w:r>
        <w:t>SP-11.1.3.1 Standing committees of the HCC: the Synchronization Committee (phase gates and timeline); the Budget and Cost-Sharing Committee; the Interpretation Committee (preparing interpretive decisions); the Continuity Committee (succession and contingency readiness). Each committee meets monthly ahead of the HCC session and reports into it.</w:t>
      </w:r>
    </w:p>
    <w:p w14:paraId="265DD57F" w14:textId="77777777" w:rsidR="00180E7C" w:rsidRDefault="00000000">
      <w:pPr>
        <w:pStyle w:val="Heading2"/>
      </w:pPr>
      <w:bookmarkStart w:id="978" w:name="Xa0ac0ca18b942b3162e8a13285104afeeccf90d"/>
      <w:bookmarkEnd w:id="974"/>
      <w:bookmarkEnd w:id="977"/>
      <w:r>
        <w:t>SP-11.2 Charter of the Joint Monitoring Cell</w:t>
      </w:r>
    </w:p>
    <w:p w14:paraId="78D44213" w14:textId="77777777" w:rsidR="00180E7C" w:rsidRDefault="00000000">
      <w:pPr>
        <w:pStyle w:val="Heading3"/>
      </w:pPr>
      <w:bookmarkStart w:id="979" w:name="sp-11.2.1-organizational-table"/>
      <w:r>
        <w:t>SP-11.2.1 Organizational Table</w:t>
      </w:r>
    </w:p>
    <w:p w14:paraId="01F7C40C" w14:textId="77777777" w:rsidR="00180E7C" w:rsidRDefault="00000000">
      <w:pPr>
        <w:pStyle w:val="FirstParagraph"/>
      </w:pPr>
      <w:r>
        <w:t>SP-11.2.1.1 Director (Swiss-nominated); two Deputy Directors (one per Party); six domain sub-cells (ceasefire, nuclear interface, maritime interface, economic interface, cyber, data integrity); the Engine Operations Center; the analysis branch; the field operations branch (inspection teams); the administration branch. Total establishment: 52 professionals plus support.</w:t>
      </w:r>
    </w:p>
    <w:p w14:paraId="1928BEA1" w14:textId="77777777" w:rsidR="00180E7C" w:rsidRDefault="00000000">
      <w:pPr>
        <w:pStyle w:val="Heading3"/>
      </w:pPr>
      <w:bookmarkStart w:id="980" w:name="sp-11.2.2-authorities-and-limits"/>
      <w:bookmarkEnd w:id="979"/>
      <w:r>
        <w:t>SP-11.2.2 Authorities and Limits</w:t>
      </w:r>
    </w:p>
    <w:p w14:paraId="4B25D7CB" w14:textId="77777777" w:rsidR="00180E7C" w:rsidRDefault="00000000">
      <w:pPr>
        <w:pStyle w:val="FirstParagraph"/>
      </w:pPr>
      <w:r>
        <w:t>SP-11.2.2.1 The JMC certifies, inspects, monitors, reports, and operates the Engine. The JMC holds no power to amend schedules, waive obligations, or adjudicate disputes. Its certifications rest on objective data; its annual audit by the Third-Party Expert Pool reviews certification integrity.</w:t>
      </w:r>
    </w:p>
    <w:p w14:paraId="05D46529" w14:textId="77777777" w:rsidR="00180E7C" w:rsidRDefault="00000000">
      <w:pPr>
        <w:pStyle w:val="Heading3"/>
      </w:pPr>
      <w:bookmarkStart w:id="981" w:name="sp-11.2.3-personnel-rules"/>
      <w:bookmarkEnd w:id="980"/>
      <w:r>
        <w:t>SP-11.2.3 Personnel Rules</w:t>
      </w:r>
    </w:p>
    <w:p w14:paraId="40398447" w14:textId="77777777" w:rsidR="00180E7C" w:rsidRDefault="00000000">
      <w:pPr>
        <w:pStyle w:val="FirstParagraph"/>
      </w:pPr>
      <w:r>
        <w:t>SP-11.2.3.1 Neutral staff: international civil service conditions, oath of office, immunity per Article 71, prohibition on instruction-taking, post-service confidentiality. Party-nominated staff: secondment terms, professional objectivity duty, the ombudsman channel for improper-instruction complaints.</w:t>
      </w:r>
    </w:p>
    <w:p w14:paraId="79945BF9" w14:textId="77777777" w:rsidR="00180E7C" w:rsidRDefault="00000000">
      <w:pPr>
        <w:pStyle w:val="Heading2"/>
      </w:pPr>
      <w:bookmarkStart w:id="982" w:name="X3d1b7dfa194850ccd5709a890757715e9806043"/>
      <w:bookmarkEnd w:id="978"/>
      <w:bookmarkEnd w:id="981"/>
      <w:r>
        <w:lastRenderedPageBreak/>
        <w:t>SP-11.3 Rules of Procedure of the Hormuz Authority Council</w:t>
      </w:r>
    </w:p>
    <w:p w14:paraId="4B996AE6" w14:textId="77777777" w:rsidR="00180E7C" w:rsidRDefault="00000000">
      <w:pPr>
        <w:pStyle w:val="Heading3"/>
      </w:pPr>
      <w:bookmarkStart w:id="983" w:name="sp-11.3.1-sessions"/>
      <w:r>
        <w:t>SP-11.3.1 Sessions</w:t>
      </w:r>
    </w:p>
    <w:p w14:paraId="57A6D4BE" w14:textId="77777777" w:rsidR="00180E7C" w:rsidRDefault="00000000">
      <w:pPr>
        <w:pStyle w:val="FirstParagraph"/>
      </w:pPr>
      <w:r>
        <w:t>SP-11.3.1.1 Regular sessions quarterly in Muscat; extraordinary sessions at the call of Chair or Co-Chair within seven days. Agenda by the Secretary-General with Chair and Co-Chair concurrence. Decisions per the Category rules of Annex B, Section 5, recorded with the twin-key attestation where applicable.</w:t>
      </w:r>
    </w:p>
    <w:p w14:paraId="363C5909" w14:textId="77777777" w:rsidR="00180E7C" w:rsidRDefault="00000000">
      <w:pPr>
        <w:pStyle w:val="Heading3"/>
      </w:pPr>
      <w:bookmarkStart w:id="984" w:name="sp-11.3.2-working-groups"/>
      <w:bookmarkEnd w:id="983"/>
      <w:r>
        <w:t>SP-11.3.2 Working Groups</w:t>
      </w:r>
    </w:p>
    <w:p w14:paraId="44308A35" w14:textId="77777777" w:rsidR="00180E7C" w:rsidRDefault="00000000">
      <w:pPr>
        <w:pStyle w:val="FirstParagraph"/>
      </w:pPr>
      <w:r>
        <w:t>SP-11.3.2.1 Standing working groups: Navigation and Corridors; Environment; Fees and Finance; Data and Systems; User Relations. Each group meets monthly and reports to the Council session.</w:t>
      </w:r>
    </w:p>
    <w:p w14:paraId="1532E83A" w14:textId="77777777" w:rsidR="00180E7C" w:rsidRDefault="00000000">
      <w:pPr>
        <w:pStyle w:val="Heading2"/>
      </w:pPr>
      <w:bookmarkStart w:id="985" w:name="Xf34e70b7e038f516a4346c3ec378d4555aafcaa"/>
      <w:bookmarkEnd w:id="982"/>
      <w:bookmarkEnd w:id="984"/>
      <w:r>
        <w:t>SP-11.4 Financial Regulations of the Authority</w:t>
      </w:r>
    </w:p>
    <w:p w14:paraId="5D03ABCC" w14:textId="77777777" w:rsidR="00180E7C" w:rsidRDefault="00000000">
      <w:pPr>
        <w:pStyle w:val="FirstParagraph"/>
      </w:pPr>
      <w:r>
        <w:t>SP-11.4.1 Budget preparation (Secretariat proposal, Council adoption); allotment control; procurement (thresholds: open competition above 100,000 dollars; three quotations between 10,000 and 100,000; petty procurement below); payment controls (dual signature); the audit cycle; the anti-fraud rule with personal liability for officers certifying false documents; publication duties.</w:t>
      </w:r>
    </w:p>
    <w:p w14:paraId="70E289D2" w14:textId="77777777" w:rsidR="00180E7C" w:rsidRDefault="00000000">
      <w:pPr>
        <w:pStyle w:val="Heading2"/>
      </w:pPr>
      <w:bookmarkStart w:id="986" w:name="X57fa7caa877ad90aa86b178524c46fed01bd3e4"/>
      <w:bookmarkEnd w:id="985"/>
      <w:r>
        <w:t>SP-11.5 RDF Procurement Manual (Summary Charter)</w:t>
      </w:r>
    </w:p>
    <w:p w14:paraId="3DCE3FE4" w14:textId="77777777" w:rsidR="00180E7C" w:rsidRDefault="00000000">
      <w:pPr>
        <w:pStyle w:val="FirstParagraph"/>
      </w:pPr>
      <w:r>
        <w:t>SP-11.5.1 Procurement principles: value for money, transparency, competition, Iranian enterprise preference mechanisms within international standards. Methods: international competitive bidding for major works; national competition for mid-size; framework agreements for recurrent goods. Complaints: the independent procurement review panel with 21-day determination. Disclosure: award publication within 14 days.</w:t>
      </w:r>
    </w:p>
    <w:p w14:paraId="2C75D862" w14:textId="77777777" w:rsidR="00180E7C" w:rsidRDefault="00000000">
      <w:pPr>
        <w:pStyle w:val="Heading2"/>
      </w:pPr>
      <w:bookmarkStart w:id="987" w:name="sp-11.6-the-reporting-templates"/>
      <w:bookmarkEnd w:id="986"/>
      <w:r>
        <w:t>SP-11.6 The Reporting Templates</w:t>
      </w:r>
    </w:p>
    <w:p w14:paraId="3FFAF72D" w14:textId="77777777" w:rsidR="00180E7C" w:rsidRDefault="00000000">
      <w:pPr>
        <w:pStyle w:val="Heading3"/>
      </w:pPr>
      <w:bookmarkStart w:id="988" w:name="sp-11.6.1-daily-situation-report-jocmoc"/>
      <w:r>
        <w:t>SP-11.6.1 Daily Situation Report (JOC/MOC)</w:t>
      </w:r>
    </w:p>
    <w:p w14:paraId="19E94F71" w14:textId="77777777" w:rsidR="00180E7C" w:rsidRDefault="00000000">
      <w:pPr>
        <w:pStyle w:val="FirstParagraph"/>
      </w:pPr>
      <w:r>
        <w:t>Sections: operational picture summary; transits and movements; incidents (none by default, stated expressly); anomalies; exercise notices; next-24-hours outlook. Length: two pages. Distribution: commands, JMC, HCC deputies.</w:t>
      </w:r>
    </w:p>
    <w:p w14:paraId="26997094" w14:textId="77777777" w:rsidR="00180E7C" w:rsidRDefault="00000000">
      <w:pPr>
        <w:pStyle w:val="Heading3"/>
      </w:pPr>
      <w:bookmarkStart w:id="989" w:name="Xd69c143afb6f582407a39a85daa4cd542e7be58"/>
      <w:bookmarkEnd w:id="988"/>
      <w:r>
        <w:t>SP-11.6.2 Weekly Compliance Summary (JMC/Cells)</w:t>
      </w:r>
    </w:p>
    <w:p w14:paraId="67809F07" w14:textId="77777777" w:rsidR="00180E7C" w:rsidRDefault="00000000">
      <w:pPr>
        <w:pStyle w:val="FirstParagraph"/>
      </w:pPr>
      <w:r>
        <w:t>Sections: benchmark status board; anomaly queue aging; claim docket status; demerit register delta; step-back and earn-back actions; certification pipeline. Length: six pages. Distribution: HCC, Guarantor Matrix.</w:t>
      </w:r>
    </w:p>
    <w:p w14:paraId="4C61B166" w14:textId="77777777" w:rsidR="00180E7C" w:rsidRDefault="00000000">
      <w:pPr>
        <w:pStyle w:val="Heading3"/>
      </w:pPr>
      <w:bookmarkStart w:id="990" w:name="Xd2c65a039a469f9c2732e4062ba2f1237f0d6f7"/>
      <w:bookmarkEnd w:id="989"/>
      <w:r>
        <w:t>SP-11.6.3 Monthly Compliance Report (per domain)</w:t>
      </w:r>
    </w:p>
    <w:p w14:paraId="5ADF786F" w14:textId="77777777" w:rsidR="00180E7C" w:rsidRDefault="00000000">
      <w:pPr>
        <w:pStyle w:val="FirstParagraph"/>
      </w:pPr>
      <w:r>
        <w:t xml:space="preserve">Sections: obligation-by-obligation status against the benchmark register; data quality report; verification activities performed; findings and classifications; trend analysis; </w:t>
      </w:r>
      <w:r>
        <w:lastRenderedPageBreak/>
        <w:t>recommendations. Length: twenty to forty pages. Distribution: HCC, Parties’ ministries, Depositary (annual consolidation).</w:t>
      </w:r>
    </w:p>
    <w:p w14:paraId="4A1C271F" w14:textId="77777777" w:rsidR="00180E7C" w:rsidRDefault="00000000">
      <w:pPr>
        <w:pStyle w:val="Heading3"/>
      </w:pPr>
      <w:bookmarkStart w:id="991" w:name="sp-11.6.4-quarterly-public-dashboard"/>
      <w:bookmarkEnd w:id="990"/>
      <w:r>
        <w:t>SP-11.6.4 Quarterly Public Dashboard</w:t>
      </w:r>
    </w:p>
    <w:p w14:paraId="3515A036" w14:textId="77777777" w:rsidR="00180E7C" w:rsidRDefault="00000000">
      <w:pPr>
        <w:pStyle w:val="FirstParagraph"/>
      </w:pPr>
      <w:r>
        <w:t>Sections: corridor traffic and safety statistics; ceasefire status (zero-incident streak); nuclear disposition progress bars (batches, inventory, breakout floor value); sanctions termination progress; escrow flows summary; demerit and earn-back summary. Public web publication, both languages.</w:t>
      </w:r>
    </w:p>
    <w:p w14:paraId="19B00A31" w14:textId="77777777" w:rsidR="00180E7C" w:rsidRDefault="00000000">
      <w:pPr>
        <w:pStyle w:val="Heading3"/>
      </w:pPr>
      <w:bookmarkStart w:id="992" w:name="sp-11.6.5-annual-comprehensive-report"/>
      <w:bookmarkEnd w:id="991"/>
      <w:r>
        <w:t>SP-11.6.5 Annual Comprehensive Report</w:t>
      </w:r>
    </w:p>
    <w:p w14:paraId="1183B3B9" w14:textId="77777777" w:rsidR="00180E7C" w:rsidRDefault="00000000">
      <w:pPr>
        <w:pStyle w:val="FirstParagraph"/>
      </w:pPr>
      <w:r>
        <w:t>Sections: full-year verification record per Title; organ activity reports; financial statements; dispute statistics; permanence watch; outlook and recommendations. Distribution: Parties, Guarantor Matrix, Security Council through the Depositary, public summary.</w:t>
      </w:r>
    </w:p>
    <w:p w14:paraId="04928359" w14:textId="77777777" w:rsidR="00180E7C" w:rsidRDefault="00000000">
      <w:pPr>
        <w:pStyle w:val="Heading2"/>
      </w:pPr>
      <w:bookmarkStart w:id="993" w:name="sp-11.7-the-data-governance-charter"/>
      <w:bookmarkEnd w:id="987"/>
      <w:bookmarkEnd w:id="992"/>
      <w:r>
        <w:t>SP-11.7 The Data Governance Charter</w:t>
      </w:r>
    </w:p>
    <w:p w14:paraId="03C59739" w14:textId="77777777" w:rsidR="00180E7C" w:rsidRDefault="00000000">
      <w:pPr>
        <w:pStyle w:val="FirstParagraph"/>
      </w:pPr>
      <w:r>
        <w:t>SP-11.7.1 Registry node operations (uptime 99.9 percent target, disaster recovery, key management); access control matrices per classification level; the declassification review program; the forensic audit interface; the incident response plan for data events; the annual data governance audit.</w:t>
      </w:r>
    </w:p>
    <w:p w14:paraId="4E47076D" w14:textId="77777777" w:rsidR="00180E7C" w:rsidRDefault="00000000">
      <w:r>
        <w:br w:type="page"/>
      </w:r>
    </w:p>
    <w:p w14:paraId="15F4B066" w14:textId="77777777" w:rsidR="00180E7C" w:rsidRDefault="00000000">
      <w:pPr>
        <w:pStyle w:val="Heading1"/>
      </w:pPr>
      <w:bookmarkStart w:id="994" w:name="Xe55b67c2d0468db1f1f8b4ab62a119bd74c1007"/>
      <w:bookmarkStart w:id="995" w:name="_Toc237843193"/>
      <w:bookmarkEnd w:id="972"/>
      <w:bookmarkEnd w:id="993"/>
      <w:r>
        <w:lastRenderedPageBreak/>
        <w:t>SUPPLEMENTARY PROTOCOL SP-12: REGIONAL PROTOCOLS: DETAILED OPERATING SCHEDULES</w:t>
      </w:r>
      <w:bookmarkEnd w:id="995"/>
    </w:p>
    <w:p w14:paraId="671FFDB0" w14:textId="77777777" w:rsidR="00180E7C" w:rsidRDefault="00000000">
      <w:pPr>
        <w:pStyle w:val="Heading2"/>
      </w:pPr>
      <w:bookmarkStart w:id="996" w:name="sp-12.1-lebanon-file-detailed-schedules"/>
      <w:r>
        <w:t>SP-12.1 Lebanon File: Detailed Schedules</w:t>
      </w:r>
    </w:p>
    <w:p w14:paraId="51543176" w14:textId="77777777" w:rsidR="00180E7C" w:rsidRDefault="00000000">
      <w:pPr>
        <w:pStyle w:val="Heading3"/>
      </w:pPr>
      <w:bookmarkStart w:id="997" w:name="X8a2e261578bcf215b6a6f96d948e6d3a5a5ad00"/>
      <w:r>
        <w:t>SP-12.1.1 Table: Blue Line Withdrawal Phases</w:t>
      </w:r>
    </w:p>
    <w:tbl>
      <w:tblPr>
        <w:tblStyle w:val="Table"/>
        <w:tblW w:w="5000" w:type="pct"/>
        <w:tblLook w:val="0020" w:firstRow="1" w:lastRow="0" w:firstColumn="0" w:lastColumn="0" w:noHBand="0" w:noVBand="0"/>
      </w:tblPr>
      <w:tblGrid>
        <w:gridCol w:w="824"/>
        <w:gridCol w:w="1223"/>
        <w:gridCol w:w="4578"/>
        <w:gridCol w:w="2951"/>
      </w:tblGrid>
      <w:tr w:rsidR="00180E7C" w14:paraId="0A5784E7"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5FA649E" w14:textId="77777777" w:rsidR="00180E7C" w:rsidRDefault="00000000">
            <w:pPr>
              <w:pStyle w:val="Compact"/>
            </w:pPr>
            <w:r>
              <w:t>Phase</w:t>
            </w:r>
          </w:p>
        </w:tc>
        <w:tc>
          <w:tcPr>
            <w:tcW w:w="0" w:type="auto"/>
          </w:tcPr>
          <w:p w14:paraId="11F2D8B1" w14:textId="77777777" w:rsidR="00180E7C" w:rsidRDefault="00000000">
            <w:pPr>
              <w:pStyle w:val="Compact"/>
            </w:pPr>
            <w:r>
              <w:t>Window</w:t>
            </w:r>
          </w:p>
        </w:tc>
        <w:tc>
          <w:tcPr>
            <w:tcW w:w="0" w:type="auto"/>
          </w:tcPr>
          <w:p w14:paraId="2C6FC93B" w14:textId="77777777" w:rsidR="00180E7C" w:rsidRDefault="00000000">
            <w:pPr>
              <w:pStyle w:val="Compact"/>
            </w:pPr>
            <w:r>
              <w:t>Action</w:t>
            </w:r>
          </w:p>
        </w:tc>
        <w:tc>
          <w:tcPr>
            <w:tcW w:w="0" w:type="auto"/>
          </w:tcPr>
          <w:p w14:paraId="5787A87C" w14:textId="77777777" w:rsidR="00180E7C" w:rsidRDefault="00000000">
            <w:pPr>
              <w:pStyle w:val="Compact"/>
            </w:pPr>
            <w:r>
              <w:t>Verification</w:t>
            </w:r>
          </w:p>
        </w:tc>
      </w:tr>
      <w:tr w:rsidR="00180E7C" w14:paraId="7FA098A8" w14:textId="77777777">
        <w:tc>
          <w:tcPr>
            <w:tcW w:w="0" w:type="auto"/>
          </w:tcPr>
          <w:p w14:paraId="5A923BF4" w14:textId="77777777" w:rsidR="00180E7C" w:rsidRDefault="00000000">
            <w:pPr>
              <w:pStyle w:val="Compact"/>
            </w:pPr>
            <w:r>
              <w:t>1</w:t>
            </w:r>
          </w:p>
        </w:tc>
        <w:tc>
          <w:tcPr>
            <w:tcW w:w="0" w:type="auto"/>
          </w:tcPr>
          <w:p w14:paraId="3712D5A9" w14:textId="77777777" w:rsidR="00180E7C" w:rsidRDefault="00000000">
            <w:pPr>
              <w:pStyle w:val="Compact"/>
            </w:pPr>
            <w:r>
              <w:t>Days 0-30</w:t>
            </w:r>
          </w:p>
        </w:tc>
        <w:tc>
          <w:tcPr>
            <w:tcW w:w="0" w:type="auto"/>
          </w:tcPr>
          <w:p w14:paraId="689B7BF3" w14:textId="77777777" w:rsidR="00180E7C" w:rsidRDefault="00000000">
            <w:pPr>
              <w:pStyle w:val="Compact"/>
            </w:pPr>
            <w:r>
              <w:t>Vacation of forward re-entered positions; heavy equipment withdrawal</w:t>
            </w:r>
          </w:p>
        </w:tc>
        <w:tc>
          <w:tcPr>
            <w:tcW w:w="0" w:type="auto"/>
          </w:tcPr>
          <w:p w14:paraId="2FEF0507" w14:textId="77777777" w:rsidR="00180E7C" w:rsidRDefault="00000000">
            <w:pPr>
              <w:pStyle w:val="Compact"/>
            </w:pPr>
            <w:r>
              <w:t>UNIFIL observation posts, tripartite patrols</w:t>
            </w:r>
          </w:p>
        </w:tc>
      </w:tr>
      <w:tr w:rsidR="00180E7C" w14:paraId="1EA68B18" w14:textId="77777777">
        <w:tc>
          <w:tcPr>
            <w:tcW w:w="0" w:type="auto"/>
          </w:tcPr>
          <w:p w14:paraId="4F0D714C" w14:textId="77777777" w:rsidR="00180E7C" w:rsidRDefault="00000000">
            <w:pPr>
              <w:pStyle w:val="Compact"/>
            </w:pPr>
            <w:r>
              <w:t>2</w:t>
            </w:r>
          </w:p>
        </w:tc>
        <w:tc>
          <w:tcPr>
            <w:tcW w:w="0" w:type="auto"/>
          </w:tcPr>
          <w:p w14:paraId="51C04BA6" w14:textId="77777777" w:rsidR="00180E7C" w:rsidRDefault="00000000">
            <w:pPr>
              <w:pStyle w:val="Compact"/>
            </w:pPr>
            <w:r>
              <w:t>Days 31-60</w:t>
            </w:r>
          </w:p>
        </w:tc>
        <w:tc>
          <w:tcPr>
            <w:tcW w:w="0" w:type="auto"/>
          </w:tcPr>
          <w:p w14:paraId="5922ED61" w14:textId="77777777" w:rsidR="00180E7C" w:rsidRDefault="00000000">
            <w:pPr>
              <w:pStyle w:val="Compact"/>
            </w:pPr>
            <w:r>
              <w:t>Vacation of remaining re-entered positions; LAF assumption of vacated points</w:t>
            </w:r>
          </w:p>
        </w:tc>
        <w:tc>
          <w:tcPr>
            <w:tcW w:w="0" w:type="auto"/>
          </w:tcPr>
          <w:p w14:paraId="2BF9866B" w14:textId="77777777" w:rsidR="00180E7C" w:rsidRDefault="00000000">
            <w:pPr>
              <w:pStyle w:val="Compact"/>
            </w:pPr>
            <w:r>
              <w:t>Tripartite joint inspection</w:t>
            </w:r>
          </w:p>
        </w:tc>
      </w:tr>
      <w:tr w:rsidR="00180E7C" w14:paraId="4820CF4B" w14:textId="77777777">
        <w:tc>
          <w:tcPr>
            <w:tcW w:w="0" w:type="auto"/>
          </w:tcPr>
          <w:p w14:paraId="7632D17C" w14:textId="77777777" w:rsidR="00180E7C" w:rsidRDefault="00000000">
            <w:pPr>
              <w:pStyle w:val="Compact"/>
            </w:pPr>
            <w:r>
              <w:t>3</w:t>
            </w:r>
          </w:p>
        </w:tc>
        <w:tc>
          <w:tcPr>
            <w:tcW w:w="0" w:type="auto"/>
          </w:tcPr>
          <w:p w14:paraId="169B83FA" w14:textId="77777777" w:rsidR="00180E7C" w:rsidRDefault="00000000">
            <w:pPr>
              <w:pStyle w:val="Compact"/>
            </w:pPr>
            <w:r>
              <w:t>Days 61-90</w:t>
            </w:r>
          </w:p>
        </w:tc>
        <w:tc>
          <w:tcPr>
            <w:tcW w:w="0" w:type="auto"/>
          </w:tcPr>
          <w:p w14:paraId="6722C018" w14:textId="77777777" w:rsidR="00180E7C" w:rsidRDefault="00000000">
            <w:pPr>
              <w:pStyle w:val="Compact"/>
            </w:pPr>
            <w:r>
              <w:t>Demining of position areas; full LAF southern coverage pattern</w:t>
            </w:r>
          </w:p>
        </w:tc>
        <w:tc>
          <w:tcPr>
            <w:tcW w:w="0" w:type="auto"/>
          </w:tcPr>
          <w:p w14:paraId="3B30545A" w14:textId="77777777" w:rsidR="00180E7C" w:rsidRDefault="00000000">
            <w:pPr>
              <w:pStyle w:val="Compact"/>
            </w:pPr>
            <w:r>
              <w:t>UNMAS support, tripartite certification</w:t>
            </w:r>
          </w:p>
        </w:tc>
      </w:tr>
    </w:tbl>
    <w:p w14:paraId="2DBD5ED7" w14:textId="77777777" w:rsidR="00180E7C" w:rsidRDefault="00000000">
      <w:pPr>
        <w:pStyle w:val="Heading3"/>
      </w:pPr>
      <w:bookmarkStart w:id="998" w:name="sp-12.1.2-table-laf-capability-build-up"/>
      <w:bookmarkEnd w:id="997"/>
      <w:r>
        <w:t>SP-12.1.2 Table: LAF Capability Build-Up</w:t>
      </w:r>
    </w:p>
    <w:tbl>
      <w:tblPr>
        <w:tblStyle w:val="Table"/>
        <w:tblW w:w="5000" w:type="pct"/>
        <w:tblLook w:val="0020" w:firstRow="1" w:lastRow="0" w:firstColumn="0" w:lastColumn="0" w:noHBand="0" w:noVBand="0"/>
      </w:tblPr>
      <w:tblGrid>
        <w:gridCol w:w="1064"/>
        <w:gridCol w:w="1389"/>
        <w:gridCol w:w="4370"/>
        <w:gridCol w:w="2753"/>
      </w:tblGrid>
      <w:tr w:rsidR="00180E7C" w14:paraId="7F9C187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4EC3BD7" w14:textId="77777777" w:rsidR="00180E7C" w:rsidRDefault="00000000">
            <w:pPr>
              <w:pStyle w:val="Compact"/>
            </w:pPr>
            <w:r>
              <w:t>Tranche</w:t>
            </w:r>
          </w:p>
        </w:tc>
        <w:tc>
          <w:tcPr>
            <w:tcW w:w="0" w:type="auto"/>
          </w:tcPr>
          <w:p w14:paraId="05C089DD" w14:textId="77777777" w:rsidR="00180E7C" w:rsidRDefault="00000000">
            <w:pPr>
              <w:pStyle w:val="Compact"/>
            </w:pPr>
            <w:r>
              <w:t>Window</w:t>
            </w:r>
          </w:p>
        </w:tc>
        <w:tc>
          <w:tcPr>
            <w:tcW w:w="0" w:type="auto"/>
          </w:tcPr>
          <w:p w14:paraId="4675A632" w14:textId="77777777" w:rsidR="00180E7C" w:rsidRDefault="00000000">
            <w:pPr>
              <w:pStyle w:val="Compact"/>
            </w:pPr>
            <w:r>
              <w:t>Package</w:t>
            </w:r>
          </w:p>
        </w:tc>
        <w:tc>
          <w:tcPr>
            <w:tcW w:w="0" w:type="auto"/>
          </w:tcPr>
          <w:p w14:paraId="2A75ADDF" w14:textId="77777777" w:rsidR="00180E7C" w:rsidRDefault="00000000">
            <w:pPr>
              <w:pStyle w:val="Compact"/>
            </w:pPr>
            <w:r>
              <w:t>Financing</w:t>
            </w:r>
          </w:p>
        </w:tc>
      </w:tr>
      <w:tr w:rsidR="00180E7C" w14:paraId="74D17EF7" w14:textId="77777777">
        <w:tc>
          <w:tcPr>
            <w:tcW w:w="0" w:type="auto"/>
          </w:tcPr>
          <w:p w14:paraId="22630F2E" w14:textId="77777777" w:rsidR="00180E7C" w:rsidRDefault="00000000">
            <w:pPr>
              <w:pStyle w:val="Compact"/>
            </w:pPr>
            <w:r>
              <w:t>1</w:t>
            </w:r>
          </w:p>
        </w:tc>
        <w:tc>
          <w:tcPr>
            <w:tcW w:w="0" w:type="auto"/>
          </w:tcPr>
          <w:p w14:paraId="4D4A270F" w14:textId="77777777" w:rsidR="00180E7C" w:rsidRDefault="00000000">
            <w:pPr>
              <w:pStyle w:val="Compact"/>
            </w:pPr>
            <w:r>
              <w:t>Months 1-6</w:t>
            </w:r>
          </w:p>
        </w:tc>
        <w:tc>
          <w:tcPr>
            <w:tcW w:w="0" w:type="auto"/>
          </w:tcPr>
          <w:p w14:paraId="30C95200" w14:textId="77777777" w:rsidR="00180E7C" w:rsidRDefault="00000000">
            <w:pPr>
              <w:pStyle w:val="Compact"/>
            </w:pPr>
            <w:r>
              <w:t>Two border observation battalions; sensors; communications</w:t>
            </w:r>
          </w:p>
        </w:tc>
        <w:tc>
          <w:tcPr>
            <w:tcW w:w="0" w:type="auto"/>
          </w:tcPr>
          <w:p w14:paraId="365BA4E4" w14:textId="77777777" w:rsidR="00180E7C" w:rsidRDefault="00000000">
            <w:pPr>
              <w:pStyle w:val="Compact"/>
            </w:pPr>
            <w:r>
              <w:t>RDF Lebanon envelope</w:t>
            </w:r>
          </w:p>
        </w:tc>
      </w:tr>
      <w:tr w:rsidR="00180E7C" w14:paraId="21068A9C" w14:textId="77777777">
        <w:tc>
          <w:tcPr>
            <w:tcW w:w="0" w:type="auto"/>
          </w:tcPr>
          <w:p w14:paraId="2400B627" w14:textId="77777777" w:rsidR="00180E7C" w:rsidRDefault="00000000">
            <w:pPr>
              <w:pStyle w:val="Compact"/>
            </w:pPr>
            <w:r>
              <w:t>2</w:t>
            </w:r>
          </w:p>
        </w:tc>
        <w:tc>
          <w:tcPr>
            <w:tcW w:w="0" w:type="auto"/>
          </w:tcPr>
          <w:p w14:paraId="4A58C9B6" w14:textId="77777777" w:rsidR="00180E7C" w:rsidRDefault="00000000">
            <w:pPr>
              <w:pStyle w:val="Compact"/>
            </w:pPr>
            <w:r>
              <w:t>Months 7-12</w:t>
            </w:r>
          </w:p>
        </w:tc>
        <w:tc>
          <w:tcPr>
            <w:tcW w:w="0" w:type="auto"/>
          </w:tcPr>
          <w:p w14:paraId="4B3F3943" w14:textId="77777777" w:rsidR="00180E7C" w:rsidRDefault="00000000">
            <w:pPr>
              <w:pStyle w:val="Compact"/>
            </w:pPr>
            <w:r>
              <w:t>Two further battalions; logistics and barracks</w:t>
            </w:r>
          </w:p>
        </w:tc>
        <w:tc>
          <w:tcPr>
            <w:tcW w:w="0" w:type="auto"/>
          </w:tcPr>
          <w:p w14:paraId="538499A1" w14:textId="77777777" w:rsidR="00180E7C" w:rsidRDefault="00000000">
            <w:pPr>
              <w:pStyle w:val="Compact"/>
            </w:pPr>
            <w:r>
              <w:t>RDF envelope</w:t>
            </w:r>
          </w:p>
        </w:tc>
      </w:tr>
      <w:tr w:rsidR="00180E7C" w14:paraId="2F9DDEAA" w14:textId="77777777">
        <w:tc>
          <w:tcPr>
            <w:tcW w:w="0" w:type="auto"/>
          </w:tcPr>
          <w:p w14:paraId="13004357" w14:textId="77777777" w:rsidR="00180E7C" w:rsidRDefault="00000000">
            <w:pPr>
              <w:pStyle w:val="Compact"/>
            </w:pPr>
            <w:r>
              <w:t>3</w:t>
            </w:r>
          </w:p>
        </w:tc>
        <w:tc>
          <w:tcPr>
            <w:tcW w:w="0" w:type="auto"/>
          </w:tcPr>
          <w:p w14:paraId="0C240AB8" w14:textId="77777777" w:rsidR="00180E7C" w:rsidRDefault="00000000">
            <w:pPr>
              <w:pStyle w:val="Compact"/>
            </w:pPr>
            <w:r>
              <w:t>Months 13-24</w:t>
            </w:r>
          </w:p>
        </w:tc>
        <w:tc>
          <w:tcPr>
            <w:tcW w:w="0" w:type="auto"/>
          </w:tcPr>
          <w:p w14:paraId="5DBBEB77" w14:textId="77777777" w:rsidR="00180E7C" w:rsidRDefault="00000000">
            <w:pPr>
              <w:pStyle w:val="Compact"/>
            </w:pPr>
            <w:r>
              <w:t>Sustainment, training systems, joint coordination center</w:t>
            </w:r>
          </w:p>
        </w:tc>
        <w:tc>
          <w:tcPr>
            <w:tcW w:w="0" w:type="auto"/>
          </w:tcPr>
          <w:p w14:paraId="0D451E08" w14:textId="77777777" w:rsidR="00180E7C" w:rsidRDefault="00000000">
            <w:pPr>
              <w:pStyle w:val="Compact"/>
            </w:pPr>
            <w:r>
              <w:t>RDF envelope plus bilateral programs</w:t>
            </w:r>
          </w:p>
        </w:tc>
      </w:tr>
    </w:tbl>
    <w:p w14:paraId="5673FDB8" w14:textId="77777777" w:rsidR="00180E7C" w:rsidRDefault="00000000">
      <w:pPr>
        <w:pStyle w:val="Heading3"/>
      </w:pPr>
      <w:bookmarkStart w:id="999" w:name="Xd9fb95d1e3e2446e13353bc1a13d47d43b46e8b"/>
      <w:bookmarkEnd w:id="998"/>
      <w:r>
        <w:t>SP-12.1.3 The Cantonment Framework Parameters</w:t>
      </w:r>
    </w:p>
    <w:p w14:paraId="3AD94D24" w14:textId="77777777" w:rsidR="00180E7C" w:rsidRDefault="00000000">
      <w:pPr>
        <w:pStyle w:val="FirstParagraph"/>
      </w:pPr>
      <w:r>
        <w:t>SP-12.1.3.1 The Lebanese national dialogue’s cantonment arrangements, when concluded, register with the tripartite mechanism: inventory categories, cantonment sites, supervision arrangements, verification access, and the review cadence. The Treaty records the framework parameters without dictating Lebanese outcomes: heavy weapons south of the Litani under LAF-supervised arrangements; the state’s monopoly on legitimate force as the declared objective of the Lebanese process.</w:t>
      </w:r>
    </w:p>
    <w:p w14:paraId="3D713AFD" w14:textId="77777777" w:rsidR="00180E7C" w:rsidRDefault="00000000">
      <w:pPr>
        <w:pStyle w:val="Heading2"/>
      </w:pPr>
      <w:bookmarkStart w:id="1000" w:name="sp-12.2-yemen-file-detailed-schedules"/>
      <w:bookmarkEnd w:id="996"/>
      <w:bookmarkEnd w:id="999"/>
      <w:r>
        <w:t>SP-12.2 Yemen File: Detailed Schedules</w:t>
      </w:r>
    </w:p>
    <w:p w14:paraId="3BF0DEBE" w14:textId="77777777" w:rsidR="00180E7C" w:rsidRDefault="00000000">
      <w:pPr>
        <w:pStyle w:val="Heading3"/>
      </w:pPr>
      <w:bookmarkStart w:id="1001" w:name="sp-12.2.1-the-support-matrix"/>
      <w:r>
        <w:t>SP-12.2.1 The Support Matrix</w:t>
      </w:r>
    </w:p>
    <w:tbl>
      <w:tblPr>
        <w:tblStyle w:val="Table"/>
        <w:tblW w:w="5000" w:type="pct"/>
        <w:tblLook w:val="0020" w:firstRow="1" w:lastRow="0" w:firstColumn="0" w:lastColumn="0" w:noHBand="0" w:noVBand="0"/>
      </w:tblPr>
      <w:tblGrid>
        <w:gridCol w:w="1997"/>
        <w:gridCol w:w="2265"/>
        <w:gridCol w:w="2996"/>
        <w:gridCol w:w="2318"/>
      </w:tblGrid>
      <w:tr w:rsidR="00180E7C" w14:paraId="30BA3487"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29DE8E8" w14:textId="77777777" w:rsidR="00180E7C" w:rsidRDefault="00000000">
            <w:pPr>
              <w:pStyle w:val="Compact"/>
            </w:pPr>
            <w:r>
              <w:t>Track</w:t>
            </w:r>
          </w:p>
        </w:tc>
        <w:tc>
          <w:tcPr>
            <w:tcW w:w="0" w:type="auto"/>
          </w:tcPr>
          <w:p w14:paraId="1EFCC381" w14:textId="77777777" w:rsidR="00180E7C" w:rsidRDefault="00000000">
            <w:pPr>
              <w:pStyle w:val="Compact"/>
            </w:pPr>
            <w:r>
              <w:t>United States Role</w:t>
            </w:r>
          </w:p>
        </w:tc>
        <w:tc>
          <w:tcPr>
            <w:tcW w:w="0" w:type="auto"/>
          </w:tcPr>
          <w:p w14:paraId="61E500AE" w14:textId="77777777" w:rsidR="00180E7C" w:rsidRDefault="00000000">
            <w:pPr>
              <w:pStyle w:val="Compact"/>
            </w:pPr>
            <w:r>
              <w:t>Iranian Role</w:t>
            </w:r>
          </w:p>
        </w:tc>
        <w:tc>
          <w:tcPr>
            <w:tcW w:w="0" w:type="auto"/>
          </w:tcPr>
          <w:p w14:paraId="295804BB" w14:textId="77777777" w:rsidR="00180E7C" w:rsidRDefault="00000000">
            <w:pPr>
              <w:pStyle w:val="Compact"/>
            </w:pPr>
            <w:r>
              <w:t>Regional Role</w:t>
            </w:r>
          </w:p>
        </w:tc>
      </w:tr>
      <w:tr w:rsidR="00180E7C" w14:paraId="1761EF54" w14:textId="77777777">
        <w:tc>
          <w:tcPr>
            <w:tcW w:w="0" w:type="auto"/>
          </w:tcPr>
          <w:p w14:paraId="727DFA87" w14:textId="77777777" w:rsidR="00180E7C" w:rsidRDefault="00000000">
            <w:pPr>
              <w:pStyle w:val="Compact"/>
            </w:pPr>
            <w:r>
              <w:t>Ceasefire diplomacy</w:t>
            </w:r>
          </w:p>
        </w:tc>
        <w:tc>
          <w:tcPr>
            <w:tcW w:w="0" w:type="auto"/>
          </w:tcPr>
          <w:p w14:paraId="660104ED" w14:textId="77777777" w:rsidR="00180E7C" w:rsidRDefault="00000000">
            <w:pPr>
              <w:pStyle w:val="Compact"/>
            </w:pPr>
            <w:r>
              <w:t>Security Council backing</w:t>
            </w:r>
          </w:p>
        </w:tc>
        <w:tc>
          <w:tcPr>
            <w:tcW w:w="0" w:type="auto"/>
          </w:tcPr>
          <w:p w14:paraId="5026E9EA" w14:textId="77777777" w:rsidR="00180E7C" w:rsidRDefault="00000000">
            <w:pPr>
              <w:pStyle w:val="Compact"/>
            </w:pPr>
            <w:r>
              <w:t>Constructive engagement with Sanaa channels</w:t>
            </w:r>
          </w:p>
        </w:tc>
        <w:tc>
          <w:tcPr>
            <w:tcW w:w="0" w:type="auto"/>
          </w:tcPr>
          <w:p w14:paraId="7FE88C79" w14:textId="77777777" w:rsidR="00180E7C" w:rsidRDefault="00000000">
            <w:pPr>
              <w:pStyle w:val="Compact"/>
            </w:pPr>
            <w:r>
              <w:t>Oman, Saudi facilitation</w:t>
            </w:r>
          </w:p>
        </w:tc>
      </w:tr>
      <w:tr w:rsidR="00180E7C" w14:paraId="2A2174DB" w14:textId="77777777">
        <w:tc>
          <w:tcPr>
            <w:tcW w:w="0" w:type="auto"/>
          </w:tcPr>
          <w:p w14:paraId="23271640" w14:textId="77777777" w:rsidR="00180E7C" w:rsidRDefault="00000000">
            <w:pPr>
              <w:pStyle w:val="Compact"/>
            </w:pPr>
            <w:r>
              <w:t>Humanitarian</w:t>
            </w:r>
          </w:p>
        </w:tc>
        <w:tc>
          <w:tcPr>
            <w:tcW w:w="0" w:type="auto"/>
          </w:tcPr>
          <w:p w14:paraId="2D8D5996" w14:textId="77777777" w:rsidR="00180E7C" w:rsidRDefault="00000000">
            <w:pPr>
              <w:pStyle w:val="Compact"/>
            </w:pPr>
            <w:r>
              <w:t>Funding surge, channel operation</w:t>
            </w:r>
          </w:p>
        </w:tc>
        <w:tc>
          <w:tcPr>
            <w:tcW w:w="0" w:type="auto"/>
          </w:tcPr>
          <w:p w14:paraId="22B29C25" w14:textId="77777777" w:rsidR="00180E7C" w:rsidRDefault="00000000">
            <w:pPr>
              <w:pStyle w:val="Compact"/>
            </w:pPr>
            <w:r>
              <w:t>Access facilitation</w:t>
            </w:r>
          </w:p>
        </w:tc>
        <w:tc>
          <w:tcPr>
            <w:tcW w:w="0" w:type="auto"/>
          </w:tcPr>
          <w:p w14:paraId="391D0A50" w14:textId="77777777" w:rsidR="00180E7C" w:rsidRDefault="00000000">
            <w:pPr>
              <w:pStyle w:val="Compact"/>
            </w:pPr>
            <w:r>
              <w:t>United Nations agencies</w:t>
            </w:r>
          </w:p>
        </w:tc>
      </w:tr>
      <w:tr w:rsidR="00180E7C" w14:paraId="019269EB" w14:textId="77777777">
        <w:tc>
          <w:tcPr>
            <w:tcW w:w="0" w:type="auto"/>
          </w:tcPr>
          <w:p w14:paraId="608CCE92" w14:textId="77777777" w:rsidR="00180E7C" w:rsidRDefault="00000000">
            <w:pPr>
              <w:pStyle w:val="Compact"/>
            </w:pPr>
            <w:r>
              <w:t>Red Sea</w:t>
            </w:r>
          </w:p>
        </w:tc>
        <w:tc>
          <w:tcPr>
            <w:tcW w:w="0" w:type="auto"/>
          </w:tcPr>
          <w:p w14:paraId="14DDAF27" w14:textId="77777777" w:rsidR="00180E7C" w:rsidRDefault="00000000">
            <w:pPr>
              <w:pStyle w:val="Compact"/>
            </w:pPr>
            <w:r>
              <w:t>Maritime security transition</w:t>
            </w:r>
          </w:p>
        </w:tc>
        <w:tc>
          <w:tcPr>
            <w:tcW w:w="0" w:type="auto"/>
          </w:tcPr>
          <w:p w14:paraId="1795252A" w14:textId="77777777" w:rsidR="00180E7C" w:rsidRDefault="00000000">
            <w:pPr>
              <w:pStyle w:val="Compact"/>
            </w:pPr>
            <w:r>
              <w:t>Weapons flow termination (verified)</w:t>
            </w:r>
          </w:p>
        </w:tc>
        <w:tc>
          <w:tcPr>
            <w:tcW w:w="0" w:type="auto"/>
          </w:tcPr>
          <w:p w14:paraId="4FBF865C" w14:textId="77777777" w:rsidR="00180E7C" w:rsidRDefault="00000000">
            <w:pPr>
              <w:pStyle w:val="Compact"/>
            </w:pPr>
            <w:r>
              <w:t>Coastal-state cooperative model</w:t>
            </w:r>
          </w:p>
        </w:tc>
      </w:tr>
      <w:tr w:rsidR="00180E7C" w14:paraId="7789A985" w14:textId="77777777">
        <w:tc>
          <w:tcPr>
            <w:tcW w:w="0" w:type="auto"/>
          </w:tcPr>
          <w:p w14:paraId="68F5FE76" w14:textId="77777777" w:rsidR="00180E7C" w:rsidRDefault="00000000">
            <w:pPr>
              <w:pStyle w:val="Compact"/>
            </w:pPr>
            <w:r>
              <w:lastRenderedPageBreak/>
              <w:t>Reconstruction</w:t>
            </w:r>
          </w:p>
        </w:tc>
        <w:tc>
          <w:tcPr>
            <w:tcW w:w="0" w:type="auto"/>
          </w:tcPr>
          <w:p w14:paraId="402FE782" w14:textId="77777777" w:rsidR="00180E7C" w:rsidRDefault="00000000">
            <w:pPr>
              <w:pStyle w:val="Compact"/>
            </w:pPr>
            <w:r>
              <w:t>IFI support</w:t>
            </w:r>
          </w:p>
        </w:tc>
        <w:tc>
          <w:tcPr>
            <w:tcW w:w="0" w:type="auto"/>
          </w:tcPr>
          <w:p w14:paraId="08D14816" w14:textId="77777777" w:rsidR="00180E7C" w:rsidRDefault="00000000">
            <w:pPr>
              <w:pStyle w:val="Compact"/>
            </w:pPr>
            <w:r>
              <w:t>Non-interference</w:t>
            </w:r>
          </w:p>
        </w:tc>
        <w:tc>
          <w:tcPr>
            <w:tcW w:w="0" w:type="auto"/>
          </w:tcPr>
          <w:p w14:paraId="5FC73002" w14:textId="77777777" w:rsidR="00180E7C" w:rsidRDefault="00000000">
            <w:pPr>
              <w:pStyle w:val="Compact"/>
            </w:pPr>
            <w:r>
              <w:t>RDF Yemen track</w:t>
            </w:r>
          </w:p>
        </w:tc>
      </w:tr>
    </w:tbl>
    <w:p w14:paraId="773949A0" w14:textId="77777777" w:rsidR="00180E7C" w:rsidRDefault="00000000">
      <w:pPr>
        <w:pStyle w:val="Heading2"/>
      </w:pPr>
      <w:bookmarkStart w:id="1002" w:name="sp-12.3-iraq-file-detailed-schedules"/>
      <w:bookmarkEnd w:id="1000"/>
      <w:bookmarkEnd w:id="1001"/>
      <w:r>
        <w:t>SP-12.3 Iraq File: Detailed Schedules</w:t>
      </w:r>
    </w:p>
    <w:p w14:paraId="6BCA7822" w14:textId="77777777" w:rsidR="00180E7C" w:rsidRDefault="00000000">
      <w:pPr>
        <w:pStyle w:val="Heading3"/>
      </w:pPr>
      <w:bookmarkStart w:id="1003" w:name="X2f508821d813e7596a8619616b7cf8071a2bdc1"/>
      <w:r>
        <w:t>SP-12.3.1 The Integration Roadmap Milestones</w:t>
      </w:r>
    </w:p>
    <w:tbl>
      <w:tblPr>
        <w:tblStyle w:val="Table"/>
        <w:tblW w:w="5000" w:type="pct"/>
        <w:tblLook w:val="0020" w:firstRow="1" w:lastRow="0" w:firstColumn="0" w:lastColumn="0" w:noHBand="0" w:noVBand="0"/>
      </w:tblPr>
      <w:tblGrid>
        <w:gridCol w:w="4143"/>
        <w:gridCol w:w="2759"/>
        <w:gridCol w:w="2674"/>
      </w:tblGrid>
      <w:tr w:rsidR="00180E7C" w14:paraId="03A304F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16F97AD" w14:textId="77777777" w:rsidR="00180E7C" w:rsidRDefault="00000000">
            <w:pPr>
              <w:pStyle w:val="Compact"/>
            </w:pPr>
            <w:r>
              <w:t>Milestone</w:t>
            </w:r>
          </w:p>
        </w:tc>
        <w:tc>
          <w:tcPr>
            <w:tcW w:w="0" w:type="auto"/>
          </w:tcPr>
          <w:p w14:paraId="411AB445" w14:textId="77777777" w:rsidR="00180E7C" w:rsidRDefault="00000000">
            <w:pPr>
              <w:pStyle w:val="Compact"/>
            </w:pPr>
            <w:r>
              <w:t>Design Authority</w:t>
            </w:r>
          </w:p>
        </w:tc>
        <w:tc>
          <w:tcPr>
            <w:tcW w:w="0" w:type="auto"/>
          </w:tcPr>
          <w:p w14:paraId="38828E8A" w14:textId="77777777" w:rsidR="00180E7C" w:rsidRDefault="00000000">
            <w:pPr>
              <w:pStyle w:val="Compact"/>
            </w:pPr>
            <w:r>
              <w:t>International Support</w:t>
            </w:r>
          </w:p>
        </w:tc>
      </w:tr>
      <w:tr w:rsidR="00180E7C" w14:paraId="2755F8E4" w14:textId="77777777">
        <w:tc>
          <w:tcPr>
            <w:tcW w:w="0" w:type="auto"/>
          </w:tcPr>
          <w:p w14:paraId="20019653" w14:textId="77777777" w:rsidR="00180E7C" w:rsidRDefault="00000000">
            <w:pPr>
              <w:pStyle w:val="Compact"/>
            </w:pPr>
            <w:r>
              <w:t>Inventory declarations</w:t>
            </w:r>
          </w:p>
        </w:tc>
        <w:tc>
          <w:tcPr>
            <w:tcW w:w="0" w:type="auto"/>
          </w:tcPr>
          <w:p w14:paraId="77F0C2E5" w14:textId="77777777" w:rsidR="00180E7C" w:rsidRDefault="00000000">
            <w:pPr>
              <w:pStyle w:val="Compact"/>
            </w:pPr>
            <w:r>
              <w:t>Iraqi government</w:t>
            </w:r>
          </w:p>
        </w:tc>
        <w:tc>
          <w:tcPr>
            <w:tcW w:w="0" w:type="auto"/>
          </w:tcPr>
          <w:p w14:paraId="6A71B5BD" w14:textId="77777777" w:rsidR="00180E7C" w:rsidRDefault="00000000">
            <w:pPr>
              <w:pStyle w:val="Compact"/>
            </w:pPr>
            <w:r>
              <w:t>Technical assistance</w:t>
            </w:r>
          </w:p>
        </w:tc>
      </w:tr>
      <w:tr w:rsidR="00180E7C" w14:paraId="2F899449" w14:textId="77777777">
        <w:tc>
          <w:tcPr>
            <w:tcW w:w="0" w:type="auto"/>
          </w:tcPr>
          <w:p w14:paraId="283A0584" w14:textId="77777777" w:rsidR="00180E7C" w:rsidRDefault="00000000">
            <w:pPr>
              <w:pStyle w:val="Compact"/>
            </w:pPr>
            <w:r>
              <w:t>Heavy weapons registration</w:t>
            </w:r>
          </w:p>
        </w:tc>
        <w:tc>
          <w:tcPr>
            <w:tcW w:w="0" w:type="auto"/>
          </w:tcPr>
          <w:p w14:paraId="54F265C1" w14:textId="77777777" w:rsidR="00180E7C" w:rsidRDefault="00000000">
            <w:pPr>
              <w:pStyle w:val="Compact"/>
            </w:pPr>
            <w:r>
              <w:t>Iraqi government</w:t>
            </w:r>
          </w:p>
        </w:tc>
        <w:tc>
          <w:tcPr>
            <w:tcW w:w="0" w:type="auto"/>
          </w:tcPr>
          <w:p w14:paraId="72367DEB" w14:textId="77777777" w:rsidR="00180E7C" w:rsidRDefault="00000000">
            <w:pPr>
              <w:pStyle w:val="Compact"/>
            </w:pPr>
            <w:r>
              <w:t>Monitoring interface</w:t>
            </w:r>
          </w:p>
        </w:tc>
      </w:tr>
      <w:tr w:rsidR="00180E7C" w14:paraId="376DE366" w14:textId="77777777">
        <w:tc>
          <w:tcPr>
            <w:tcW w:w="0" w:type="auto"/>
          </w:tcPr>
          <w:p w14:paraId="4C0A8E5C" w14:textId="77777777" w:rsidR="00180E7C" w:rsidRDefault="00000000">
            <w:pPr>
              <w:pStyle w:val="Compact"/>
            </w:pPr>
            <w:r>
              <w:t>Integration into state structures</w:t>
            </w:r>
          </w:p>
        </w:tc>
        <w:tc>
          <w:tcPr>
            <w:tcW w:w="0" w:type="auto"/>
          </w:tcPr>
          <w:p w14:paraId="4C043118" w14:textId="77777777" w:rsidR="00180E7C" w:rsidRDefault="00000000">
            <w:pPr>
              <w:pStyle w:val="Compact"/>
            </w:pPr>
            <w:r>
              <w:t>Iraqi government</w:t>
            </w:r>
          </w:p>
        </w:tc>
        <w:tc>
          <w:tcPr>
            <w:tcW w:w="0" w:type="auto"/>
          </w:tcPr>
          <w:p w14:paraId="57DC3F1B" w14:textId="77777777" w:rsidR="00180E7C" w:rsidRDefault="00000000">
            <w:pPr>
              <w:pStyle w:val="Compact"/>
            </w:pPr>
            <w:r>
              <w:t>RDSF financing</w:t>
            </w:r>
          </w:p>
        </w:tc>
      </w:tr>
      <w:tr w:rsidR="00180E7C" w14:paraId="42BC3EF4" w14:textId="77777777">
        <w:tc>
          <w:tcPr>
            <w:tcW w:w="0" w:type="auto"/>
          </w:tcPr>
          <w:p w14:paraId="0DB98BD0" w14:textId="77777777" w:rsidR="00180E7C" w:rsidRDefault="00000000">
            <w:pPr>
              <w:pStyle w:val="Compact"/>
            </w:pPr>
            <w:r>
              <w:t>Demobilization with reintegration packages</w:t>
            </w:r>
          </w:p>
        </w:tc>
        <w:tc>
          <w:tcPr>
            <w:tcW w:w="0" w:type="auto"/>
          </w:tcPr>
          <w:p w14:paraId="2235502E" w14:textId="77777777" w:rsidR="00180E7C" w:rsidRDefault="00000000">
            <w:pPr>
              <w:pStyle w:val="Compact"/>
            </w:pPr>
            <w:r>
              <w:t>Iraqi government</w:t>
            </w:r>
          </w:p>
        </w:tc>
        <w:tc>
          <w:tcPr>
            <w:tcW w:w="0" w:type="auto"/>
          </w:tcPr>
          <w:p w14:paraId="7251AF3A" w14:textId="77777777" w:rsidR="00180E7C" w:rsidRDefault="00000000">
            <w:pPr>
              <w:pStyle w:val="Compact"/>
            </w:pPr>
            <w:r>
              <w:t>RDSF vocational programs</w:t>
            </w:r>
          </w:p>
        </w:tc>
      </w:tr>
      <w:tr w:rsidR="00180E7C" w14:paraId="40A47AB9" w14:textId="77777777">
        <w:tc>
          <w:tcPr>
            <w:tcW w:w="0" w:type="auto"/>
          </w:tcPr>
          <w:p w14:paraId="4AC7EC49" w14:textId="77777777" w:rsidR="00180E7C" w:rsidRDefault="00000000">
            <w:pPr>
              <w:pStyle w:val="Compact"/>
            </w:pPr>
            <w:r>
              <w:t>Parliamentary participation framework</w:t>
            </w:r>
          </w:p>
        </w:tc>
        <w:tc>
          <w:tcPr>
            <w:tcW w:w="0" w:type="auto"/>
          </w:tcPr>
          <w:p w14:paraId="72C07798" w14:textId="77777777" w:rsidR="00180E7C" w:rsidRDefault="00000000">
            <w:pPr>
              <w:pStyle w:val="Compact"/>
            </w:pPr>
            <w:r>
              <w:t>Iraqi constitutional process</w:t>
            </w:r>
          </w:p>
        </w:tc>
        <w:tc>
          <w:tcPr>
            <w:tcW w:w="0" w:type="auto"/>
          </w:tcPr>
          <w:p w14:paraId="5CB90292" w14:textId="77777777" w:rsidR="00180E7C" w:rsidRDefault="00000000">
            <w:pPr>
              <w:pStyle w:val="Compact"/>
            </w:pPr>
            <w:r>
              <w:t>Good offices on request</w:t>
            </w:r>
          </w:p>
        </w:tc>
      </w:tr>
    </w:tbl>
    <w:p w14:paraId="0104E354" w14:textId="77777777" w:rsidR="00180E7C" w:rsidRDefault="00000000">
      <w:pPr>
        <w:pStyle w:val="Heading2"/>
      </w:pPr>
      <w:bookmarkStart w:id="1004" w:name="sp-12.4-syria-file-detailed-schedules"/>
      <w:bookmarkEnd w:id="1002"/>
      <w:bookmarkEnd w:id="1003"/>
      <w:r>
        <w:t>SP-12.4 Syria File: Detailed Schedules</w:t>
      </w:r>
    </w:p>
    <w:p w14:paraId="3391B202" w14:textId="77777777" w:rsidR="00180E7C" w:rsidRDefault="00000000">
      <w:pPr>
        <w:pStyle w:val="Heading3"/>
      </w:pPr>
      <w:bookmarkStart w:id="1005" w:name="X3bf9df7e180f372def90c6e1e545997884a3c77"/>
      <w:r>
        <w:t>SP-12.4.1 Table L-5 Detail: Advisory Drawdown</w:t>
      </w:r>
    </w:p>
    <w:tbl>
      <w:tblPr>
        <w:tblStyle w:val="Table"/>
        <w:tblW w:w="5000" w:type="pct"/>
        <w:tblLook w:val="0020" w:firstRow="1" w:lastRow="0" w:firstColumn="0" w:lastColumn="0" w:noHBand="0" w:noVBand="0"/>
      </w:tblPr>
      <w:tblGrid>
        <w:gridCol w:w="823"/>
        <w:gridCol w:w="1384"/>
        <w:gridCol w:w="4222"/>
        <w:gridCol w:w="3147"/>
      </w:tblGrid>
      <w:tr w:rsidR="00180E7C" w14:paraId="1F7198D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766BBCF" w14:textId="77777777" w:rsidR="00180E7C" w:rsidRDefault="00000000">
            <w:pPr>
              <w:pStyle w:val="Compact"/>
            </w:pPr>
            <w:r>
              <w:t>Phase</w:t>
            </w:r>
          </w:p>
        </w:tc>
        <w:tc>
          <w:tcPr>
            <w:tcW w:w="0" w:type="auto"/>
          </w:tcPr>
          <w:p w14:paraId="3B3FEBAC" w14:textId="77777777" w:rsidR="00180E7C" w:rsidRDefault="00000000">
            <w:pPr>
              <w:pStyle w:val="Compact"/>
            </w:pPr>
            <w:r>
              <w:t>Window</w:t>
            </w:r>
          </w:p>
        </w:tc>
        <w:tc>
          <w:tcPr>
            <w:tcW w:w="0" w:type="auto"/>
          </w:tcPr>
          <w:p w14:paraId="1E410445" w14:textId="77777777" w:rsidR="00180E7C" w:rsidRDefault="00000000">
            <w:pPr>
              <w:pStyle w:val="Compact"/>
            </w:pPr>
            <w:r>
              <w:t>Ceiling</w:t>
            </w:r>
          </w:p>
        </w:tc>
        <w:tc>
          <w:tcPr>
            <w:tcW w:w="0" w:type="auto"/>
          </w:tcPr>
          <w:p w14:paraId="3F4D9C4A" w14:textId="77777777" w:rsidR="00180E7C" w:rsidRDefault="00000000">
            <w:pPr>
              <w:pStyle w:val="Compact"/>
            </w:pPr>
            <w:r>
              <w:t>Verification</w:t>
            </w:r>
          </w:p>
        </w:tc>
      </w:tr>
      <w:tr w:rsidR="00180E7C" w14:paraId="329A5124" w14:textId="77777777">
        <w:tc>
          <w:tcPr>
            <w:tcW w:w="0" w:type="auto"/>
          </w:tcPr>
          <w:p w14:paraId="6400BD9A" w14:textId="77777777" w:rsidR="00180E7C" w:rsidRDefault="00000000">
            <w:pPr>
              <w:pStyle w:val="Compact"/>
            </w:pPr>
            <w:r>
              <w:t>1</w:t>
            </w:r>
          </w:p>
        </w:tc>
        <w:tc>
          <w:tcPr>
            <w:tcW w:w="0" w:type="auto"/>
          </w:tcPr>
          <w:p w14:paraId="0B76ACD1" w14:textId="77777777" w:rsidR="00180E7C" w:rsidRDefault="00000000">
            <w:pPr>
              <w:pStyle w:val="Compact"/>
            </w:pPr>
            <w:r>
              <w:t>Days 0-180</w:t>
            </w:r>
          </w:p>
        </w:tc>
        <w:tc>
          <w:tcPr>
            <w:tcW w:w="0" w:type="auto"/>
          </w:tcPr>
          <w:p w14:paraId="62D088AB" w14:textId="77777777" w:rsidR="00180E7C" w:rsidRDefault="00000000">
            <w:pPr>
              <w:pStyle w:val="Compact"/>
            </w:pPr>
            <w:r>
              <w:t>Consolidation at declared locations; field advisers withdrawn</w:t>
            </w:r>
          </w:p>
        </w:tc>
        <w:tc>
          <w:tcPr>
            <w:tcW w:w="0" w:type="auto"/>
          </w:tcPr>
          <w:p w14:paraId="7517F18B" w14:textId="77777777" w:rsidR="00180E7C" w:rsidRDefault="00000000">
            <w:pPr>
              <w:pStyle w:val="Compact"/>
            </w:pPr>
            <w:r>
              <w:t>Declarations plus monitoring concordance</w:t>
            </w:r>
          </w:p>
        </w:tc>
      </w:tr>
      <w:tr w:rsidR="00180E7C" w14:paraId="7DABC821" w14:textId="77777777">
        <w:tc>
          <w:tcPr>
            <w:tcW w:w="0" w:type="auto"/>
          </w:tcPr>
          <w:p w14:paraId="65279E6E" w14:textId="77777777" w:rsidR="00180E7C" w:rsidRDefault="00000000">
            <w:pPr>
              <w:pStyle w:val="Compact"/>
            </w:pPr>
            <w:r>
              <w:t>2</w:t>
            </w:r>
          </w:p>
        </w:tc>
        <w:tc>
          <w:tcPr>
            <w:tcW w:w="0" w:type="auto"/>
          </w:tcPr>
          <w:p w14:paraId="3BF5BF52" w14:textId="77777777" w:rsidR="00180E7C" w:rsidRDefault="00000000">
            <w:pPr>
              <w:pStyle w:val="Compact"/>
            </w:pPr>
            <w:r>
              <w:t>Days 181-365</w:t>
            </w:r>
          </w:p>
        </w:tc>
        <w:tc>
          <w:tcPr>
            <w:tcW w:w="0" w:type="auto"/>
          </w:tcPr>
          <w:p w14:paraId="5DB99311" w14:textId="77777777" w:rsidR="00180E7C" w:rsidRDefault="00000000">
            <w:pPr>
              <w:pStyle w:val="Compact"/>
            </w:pPr>
            <w:r>
              <w:t>Residual advisory mission at agreed level</w:t>
            </w:r>
          </w:p>
        </w:tc>
        <w:tc>
          <w:tcPr>
            <w:tcW w:w="0" w:type="auto"/>
          </w:tcPr>
          <w:p w14:paraId="334BCAB1" w14:textId="77777777" w:rsidR="00180E7C" w:rsidRDefault="00000000">
            <w:pPr>
              <w:pStyle w:val="Compact"/>
            </w:pPr>
            <w:r>
              <w:t>Semi-annual declarations</w:t>
            </w:r>
          </w:p>
        </w:tc>
      </w:tr>
      <w:tr w:rsidR="00180E7C" w14:paraId="16F6A942" w14:textId="77777777">
        <w:tc>
          <w:tcPr>
            <w:tcW w:w="0" w:type="auto"/>
          </w:tcPr>
          <w:p w14:paraId="4229A667" w14:textId="77777777" w:rsidR="00180E7C" w:rsidRDefault="00000000">
            <w:pPr>
              <w:pStyle w:val="Compact"/>
            </w:pPr>
            <w:r>
              <w:t>3</w:t>
            </w:r>
          </w:p>
        </w:tc>
        <w:tc>
          <w:tcPr>
            <w:tcW w:w="0" w:type="auto"/>
          </w:tcPr>
          <w:p w14:paraId="52E1A68B" w14:textId="77777777" w:rsidR="00180E7C" w:rsidRDefault="00000000">
            <w:pPr>
              <w:pStyle w:val="Compact"/>
            </w:pPr>
            <w:r>
              <w:t>Days 366-540</w:t>
            </w:r>
          </w:p>
        </w:tc>
        <w:tc>
          <w:tcPr>
            <w:tcW w:w="0" w:type="auto"/>
          </w:tcPr>
          <w:p w14:paraId="35BEF644" w14:textId="77777777" w:rsidR="00180E7C" w:rsidRDefault="00000000">
            <w:pPr>
              <w:pStyle w:val="Compact"/>
            </w:pPr>
            <w:r>
              <w:t>Steady state, declared and verified</w:t>
            </w:r>
          </w:p>
        </w:tc>
        <w:tc>
          <w:tcPr>
            <w:tcW w:w="0" w:type="auto"/>
          </w:tcPr>
          <w:p w14:paraId="79FA6B63" w14:textId="77777777" w:rsidR="00180E7C" w:rsidRDefault="00000000">
            <w:pPr>
              <w:pStyle w:val="Compact"/>
            </w:pPr>
            <w:r>
              <w:t>Standing declarations regime</w:t>
            </w:r>
          </w:p>
        </w:tc>
      </w:tr>
    </w:tbl>
    <w:p w14:paraId="0FC7F8DC" w14:textId="77777777" w:rsidR="00180E7C" w:rsidRDefault="00000000">
      <w:pPr>
        <w:pStyle w:val="Heading2"/>
      </w:pPr>
      <w:bookmarkStart w:id="1006" w:name="sp-12.5-the-palestine-file-parameters"/>
      <w:bookmarkEnd w:id="1004"/>
      <w:bookmarkEnd w:id="1005"/>
      <w:r>
        <w:t>SP-12.5 The Palestine File Parameters</w:t>
      </w:r>
    </w:p>
    <w:p w14:paraId="05A2C606" w14:textId="77777777" w:rsidR="00180E7C" w:rsidRDefault="00000000">
      <w:pPr>
        <w:pStyle w:val="FirstParagraph"/>
      </w:pPr>
      <w:r>
        <w:t>SP-12.5.1 The Treaty records: support for the United Nations and regional mediation tracks; the humanitarian surge; the verified termination of weapons flows; and the explicit reservation of the political file to the Palestinian and regional processes, in which this Treaty claims no role.</w:t>
      </w:r>
    </w:p>
    <w:p w14:paraId="50938D33" w14:textId="77777777" w:rsidR="00180E7C" w:rsidRDefault="00000000">
      <w:r>
        <w:br w:type="page"/>
      </w:r>
    </w:p>
    <w:p w14:paraId="479CC022" w14:textId="77777777" w:rsidR="00180E7C" w:rsidRDefault="00000000">
      <w:pPr>
        <w:pStyle w:val="Heading1"/>
      </w:pPr>
      <w:bookmarkStart w:id="1007" w:name="Xa909ca52c4d70c15a90b0ff3a4d4b24f96a6953"/>
      <w:bookmarkStart w:id="1008" w:name="_Toc237843194"/>
      <w:bookmarkEnd w:id="994"/>
      <w:bookmarkEnd w:id="1006"/>
      <w:r>
        <w:lastRenderedPageBreak/>
        <w:t>SUPPLEMENTARY PROTOCOL SP-13: ECONOMIC TECHNICAL SCHEDULES AND THE RDF PROJECT PIPELINE</w:t>
      </w:r>
      <w:bookmarkEnd w:id="1008"/>
    </w:p>
    <w:p w14:paraId="6383B3B0" w14:textId="77777777" w:rsidR="00180E7C" w:rsidRDefault="00000000">
      <w:pPr>
        <w:pStyle w:val="Heading2"/>
      </w:pPr>
      <w:bookmarkStart w:id="1009" w:name="sp-13.1-licensing-procedures-detail"/>
      <w:r>
        <w:t>SP-13.1 Licensing Procedures Detail</w:t>
      </w:r>
    </w:p>
    <w:p w14:paraId="4E9150E3" w14:textId="77777777" w:rsidR="00180E7C" w:rsidRDefault="00000000">
      <w:pPr>
        <w:pStyle w:val="Heading3"/>
      </w:pPr>
      <w:bookmarkStart w:id="1010" w:name="sp-13.1.1-the-standing-authorizations"/>
      <w:r>
        <w:t>SP-13.1.1 The Standing Authorizations</w:t>
      </w:r>
    </w:p>
    <w:p w14:paraId="37D8E829" w14:textId="77777777" w:rsidR="00180E7C" w:rsidRDefault="00000000">
      <w:pPr>
        <w:pStyle w:val="FirstParagraph"/>
      </w:pPr>
      <w:r>
        <w:t>SP-13.1.1.1 From the dates of their respective phases, the following operate as standing general authorizations: GL-A (maritime and insurance), GL-B (civil aviation), GL-C (financial messaging), GL-D (energy trade), GL-E (humanitarian, from EIF, permanent), GL-F (civil technology sectors of Table G-7), GL-G (aviation fleet renewal). Each authorization publishes with its full text, its scope notes, and its FAQ.</w:t>
      </w:r>
    </w:p>
    <w:p w14:paraId="174F429E" w14:textId="77777777" w:rsidR="00180E7C" w:rsidRDefault="00000000">
      <w:pPr>
        <w:pStyle w:val="Heading3"/>
      </w:pPr>
      <w:bookmarkStart w:id="1011" w:name="sp-13.1.2-specific-license-track"/>
      <w:bookmarkEnd w:id="1010"/>
      <w:r>
        <w:t>SP-13.1.2 Specific License Track</w:t>
      </w:r>
    </w:p>
    <w:p w14:paraId="56BB5315" w14:textId="77777777" w:rsidR="00180E7C" w:rsidRDefault="00000000">
      <w:pPr>
        <w:pStyle w:val="FirstParagraph"/>
      </w:pPr>
      <w:r>
        <w:t>SP-13.1.2.1 Transactions outside general authorizations process through the specific license track: standard 60-day determination; the 14-day expedited track for humanitarian-adjacent and safety-critical applications; the Joint Technical Review Panel for classification disputes; quarterly publication of processing statistics (approval rates, timelines).</w:t>
      </w:r>
    </w:p>
    <w:p w14:paraId="6B6F227F" w14:textId="77777777" w:rsidR="00180E7C" w:rsidRDefault="00000000">
      <w:pPr>
        <w:pStyle w:val="Heading2"/>
      </w:pPr>
      <w:bookmarkStart w:id="1012" w:name="sp-13.2-sectoral-trade-schedules"/>
      <w:bookmarkEnd w:id="1009"/>
      <w:bookmarkEnd w:id="1011"/>
      <w:r>
        <w:t>SP-13.2 Sectoral Trade Schedules</w:t>
      </w:r>
    </w:p>
    <w:p w14:paraId="218B421F" w14:textId="77777777" w:rsidR="00180E7C" w:rsidRDefault="00000000">
      <w:pPr>
        <w:pStyle w:val="Heading3"/>
      </w:pPr>
      <w:bookmarkStart w:id="1013" w:name="sp-13.2.1-energy-trade"/>
      <w:r>
        <w:t>SP-13.2.1 Energy Trade</w:t>
      </w:r>
    </w:p>
    <w:p w14:paraId="76746CF6" w14:textId="77777777" w:rsidR="00180E7C" w:rsidRDefault="00000000">
      <w:pPr>
        <w:pStyle w:val="FirstParagraph"/>
      </w:pPr>
      <w:r>
        <w:t>SP-13.2.1.1 Crude and condensate: unrestricted volumes; payment in any currency; the receivables protection of Annex H.8. Petrochemicals: unrestricted. Refinery equipment and catalysts: general authorization. Technical services: unrestricted with the export-control interface for listed dual-use items.</w:t>
      </w:r>
    </w:p>
    <w:p w14:paraId="6B850111" w14:textId="77777777" w:rsidR="00180E7C" w:rsidRDefault="00000000">
      <w:pPr>
        <w:pStyle w:val="Heading3"/>
      </w:pPr>
      <w:bookmarkStart w:id="1014" w:name="sp-13.2.2-agriculture-and-food"/>
      <w:bookmarkEnd w:id="1013"/>
      <w:r>
        <w:t>SP-13.2.2 Agriculture and Food</w:t>
      </w:r>
    </w:p>
    <w:p w14:paraId="6886D200" w14:textId="77777777" w:rsidR="00180E7C" w:rsidRDefault="00000000">
      <w:pPr>
        <w:pStyle w:val="FirstParagraph"/>
      </w:pPr>
      <w:r>
        <w:t>SP-13.2.2.1 Food trade operates under the humanitarian general authorization with expedited customs; agricultural machinery and inputs under GL-F; the sanitary-phytosanitary working group aligns inspection certificates within 12 months.</w:t>
      </w:r>
    </w:p>
    <w:p w14:paraId="17332856" w14:textId="77777777" w:rsidR="00180E7C" w:rsidRDefault="00000000">
      <w:pPr>
        <w:pStyle w:val="Heading3"/>
      </w:pPr>
      <w:bookmarkStart w:id="1015" w:name="sp-13.2.3-health-and-pharmaceuticals"/>
      <w:bookmarkEnd w:id="1014"/>
      <w:r>
        <w:t>SP-13.2.3 Health and Pharmaceuticals</w:t>
      </w:r>
    </w:p>
    <w:p w14:paraId="209F3905" w14:textId="77777777" w:rsidR="00180E7C" w:rsidRDefault="00000000">
      <w:pPr>
        <w:pStyle w:val="FirstParagraph"/>
      </w:pPr>
      <w:r>
        <w:t>SP-13.2.3.1 Medicines, active ingredients, medical devices, and production equipment: permanent humanitarian authorization; the regulatory cooperation track aligns pharmacopeia standards; the patent transition of Annex G.15 protects access.</w:t>
      </w:r>
    </w:p>
    <w:p w14:paraId="175B3D20" w14:textId="77777777" w:rsidR="00180E7C" w:rsidRDefault="00000000">
      <w:pPr>
        <w:pStyle w:val="Heading3"/>
      </w:pPr>
      <w:bookmarkStart w:id="1016" w:name="sp-13.2.4-manufacturing-and-industrial"/>
      <w:bookmarkEnd w:id="1015"/>
      <w:r>
        <w:t>SP-13.2.4 Manufacturing and Industrial</w:t>
      </w:r>
    </w:p>
    <w:p w14:paraId="2244B2F8" w14:textId="77777777" w:rsidR="00180E7C" w:rsidRDefault="00000000">
      <w:pPr>
        <w:pStyle w:val="FirstParagraph"/>
      </w:pPr>
      <w:r>
        <w:t>SP-13.2.4.1 Machinery, machine tools, industrial software (non-listed): general authorization; listed dual-use items through the specific track with the 60-day standard.</w:t>
      </w:r>
    </w:p>
    <w:p w14:paraId="40928C5D" w14:textId="77777777" w:rsidR="00180E7C" w:rsidRDefault="00000000">
      <w:pPr>
        <w:pStyle w:val="Heading3"/>
      </w:pPr>
      <w:bookmarkStart w:id="1017" w:name="sp-13.2.5-transportation-and-aviation"/>
      <w:bookmarkEnd w:id="1016"/>
      <w:r>
        <w:lastRenderedPageBreak/>
        <w:t>SP-13.2.5 Transportation and Aviation</w:t>
      </w:r>
    </w:p>
    <w:p w14:paraId="511FB56F" w14:textId="77777777" w:rsidR="00180E7C" w:rsidRDefault="00000000">
      <w:pPr>
        <w:pStyle w:val="FirstParagraph"/>
      </w:pPr>
      <w:r>
        <w:t>SP-13.2.5.1 Aircraft, engines, parts, maintenance, training, and air traffic management modernization: GL-G standing authorization; the fleet renewal program of Table G-9 proceeds as commercial transactions under the authorization.</w:t>
      </w:r>
    </w:p>
    <w:p w14:paraId="48804182" w14:textId="77777777" w:rsidR="00180E7C" w:rsidRDefault="00000000">
      <w:pPr>
        <w:pStyle w:val="Heading2"/>
      </w:pPr>
      <w:bookmarkStart w:id="1018" w:name="X3db33e4ac2e6fee6375a3df9a618c4204a9b7d9"/>
      <w:bookmarkEnd w:id="1012"/>
      <w:bookmarkEnd w:id="1017"/>
      <w:r>
        <w:t>SP-13.3 The RDF Project Pipeline (First Tranche)</w:t>
      </w:r>
    </w:p>
    <w:p w14:paraId="7B5DFE6D" w14:textId="77777777" w:rsidR="00180E7C" w:rsidRDefault="00000000">
      <w:pPr>
        <w:pStyle w:val="Heading3"/>
      </w:pPr>
      <w:bookmarkStart w:id="1019" w:name="sp-13.3.1-energy-sector"/>
      <w:r>
        <w:t>SP-13.3.1 Energy Sector</w:t>
      </w:r>
    </w:p>
    <w:tbl>
      <w:tblPr>
        <w:tblStyle w:val="Table"/>
        <w:tblW w:w="5000" w:type="pct"/>
        <w:tblLook w:val="0020" w:firstRow="1" w:lastRow="0" w:firstColumn="0" w:lastColumn="0" w:noHBand="0" w:noVBand="0"/>
      </w:tblPr>
      <w:tblGrid>
        <w:gridCol w:w="947"/>
        <w:gridCol w:w="6050"/>
        <w:gridCol w:w="2579"/>
      </w:tblGrid>
      <w:tr w:rsidR="00180E7C" w14:paraId="3AFCFF5A"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FF69282" w14:textId="77777777" w:rsidR="00180E7C" w:rsidRDefault="00000000">
            <w:pPr>
              <w:pStyle w:val="Compact"/>
            </w:pPr>
            <w:r>
              <w:t>Project</w:t>
            </w:r>
          </w:p>
        </w:tc>
        <w:tc>
          <w:tcPr>
            <w:tcW w:w="0" w:type="auto"/>
          </w:tcPr>
          <w:p w14:paraId="115F6942" w14:textId="77777777" w:rsidR="00180E7C" w:rsidRDefault="00000000">
            <w:pPr>
              <w:pStyle w:val="Compact"/>
            </w:pPr>
            <w:r>
              <w:t>Description</w:t>
            </w:r>
          </w:p>
        </w:tc>
        <w:tc>
          <w:tcPr>
            <w:tcW w:w="0" w:type="auto"/>
          </w:tcPr>
          <w:p w14:paraId="1455CF43" w14:textId="77777777" w:rsidR="00180E7C" w:rsidRDefault="00000000">
            <w:pPr>
              <w:pStyle w:val="Compact"/>
            </w:pPr>
            <w:r>
              <w:t>Indicative Cost (USD bn)</w:t>
            </w:r>
          </w:p>
        </w:tc>
      </w:tr>
      <w:tr w:rsidR="00180E7C" w14:paraId="2E3C35EA" w14:textId="77777777">
        <w:tc>
          <w:tcPr>
            <w:tcW w:w="0" w:type="auto"/>
          </w:tcPr>
          <w:p w14:paraId="16DCFA83" w14:textId="77777777" w:rsidR="00180E7C" w:rsidRDefault="00000000">
            <w:pPr>
              <w:pStyle w:val="Compact"/>
            </w:pPr>
            <w:r>
              <w:t>E-1</w:t>
            </w:r>
          </w:p>
        </w:tc>
        <w:tc>
          <w:tcPr>
            <w:tcW w:w="0" w:type="auto"/>
          </w:tcPr>
          <w:p w14:paraId="36832CC3" w14:textId="77777777" w:rsidR="00180E7C" w:rsidRDefault="00000000">
            <w:pPr>
              <w:pStyle w:val="Compact"/>
            </w:pPr>
            <w:r>
              <w:t>South Pars gas processing rehabilitation and flare elimination</w:t>
            </w:r>
          </w:p>
        </w:tc>
        <w:tc>
          <w:tcPr>
            <w:tcW w:w="0" w:type="auto"/>
          </w:tcPr>
          <w:p w14:paraId="6158FF04" w14:textId="77777777" w:rsidR="00180E7C" w:rsidRDefault="00000000">
            <w:pPr>
              <w:pStyle w:val="Compact"/>
            </w:pPr>
            <w:r>
              <w:t>6.5</w:t>
            </w:r>
          </w:p>
        </w:tc>
      </w:tr>
      <w:tr w:rsidR="00180E7C" w14:paraId="705DB4A4" w14:textId="77777777">
        <w:tc>
          <w:tcPr>
            <w:tcW w:w="0" w:type="auto"/>
          </w:tcPr>
          <w:p w14:paraId="56ED1657" w14:textId="77777777" w:rsidR="00180E7C" w:rsidRDefault="00000000">
            <w:pPr>
              <w:pStyle w:val="Compact"/>
            </w:pPr>
            <w:r>
              <w:t>E-2</w:t>
            </w:r>
          </w:p>
        </w:tc>
        <w:tc>
          <w:tcPr>
            <w:tcW w:w="0" w:type="auto"/>
          </w:tcPr>
          <w:p w14:paraId="607EFA9E" w14:textId="77777777" w:rsidR="00180E7C" w:rsidRDefault="00000000">
            <w:pPr>
              <w:pStyle w:val="Compact"/>
            </w:pPr>
            <w:r>
              <w:t>Abadan refinery modernization</w:t>
            </w:r>
          </w:p>
        </w:tc>
        <w:tc>
          <w:tcPr>
            <w:tcW w:w="0" w:type="auto"/>
          </w:tcPr>
          <w:p w14:paraId="026178A3" w14:textId="77777777" w:rsidR="00180E7C" w:rsidRDefault="00000000">
            <w:pPr>
              <w:pStyle w:val="Compact"/>
            </w:pPr>
            <w:r>
              <w:t>4.0</w:t>
            </w:r>
          </w:p>
        </w:tc>
      </w:tr>
      <w:tr w:rsidR="00180E7C" w14:paraId="5F914699" w14:textId="77777777">
        <w:tc>
          <w:tcPr>
            <w:tcW w:w="0" w:type="auto"/>
          </w:tcPr>
          <w:p w14:paraId="55E7F6F5" w14:textId="77777777" w:rsidR="00180E7C" w:rsidRDefault="00000000">
            <w:pPr>
              <w:pStyle w:val="Compact"/>
            </w:pPr>
            <w:r>
              <w:t>E-3</w:t>
            </w:r>
          </w:p>
        </w:tc>
        <w:tc>
          <w:tcPr>
            <w:tcW w:w="0" w:type="auto"/>
          </w:tcPr>
          <w:p w14:paraId="3EF9FDD4" w14:textId="77777777" w:rsidR="00180E7C" w:rsidRDefault="00000000">
            <w:pPr>
              <w:pStyle w:val="Compact"/>
            </w:pPr>
            <w:r>
              <w:t>Upstream integrity program, aging fields</w:t>
            </w:r>
          </w:p>
        </w:tc>
        <w:tc>
          <w:tcPr>
            <w:tcW w:w="0" w:type="auto"/>
          </w:tcPr>
          <w:p w14:paraId="178B8C47" w14:textId="77777777" w:rsidR="00180E7C" w:rsidRDefault="00000000">
            <w:pPr>
              <w:pStyle w:val="Compact"/>
            </w:pPr>
            <w:r>
              <w:t>8.0</w:t>
            </w:r>
          </w:p>
        </w:tc>
      </w:tr>
      <w:tr w:rsidR="00180E7C" w14:paraId="42B8FA3B" w14:textId="77777777">
        <w:tc>
          <w:tcPr>
            <w:tcW w:w="0" w:type="auto"/>
          </w:tcPr>
          <w:p w14:paraId="634E4E5F" w14:textId="77777777" w:rsidR="00180E7C" w:rsidRDefault="00000000">
            <w:pPr>
              <w:pStyle w:val="Compact"/>
            </w:pPr>
            <w:r>
              <w:t>E-4</w:t>
            </w:r>
          </w:p>
        </w:tc>
        <w:tc>
          <w:tcPr>
            <w:tcW w:w="0" w:type="auto"/>
          </w:tcPr>
          <w:p w14:paraId="4E2176D7" w14:textId="77777777" w:rsidR="00180E7C" w:rsidRDefault="00000000">
            <w:pPr>
              <w:pStyle w:val="Compact"/>
            </w:pPr>
            <w:r>
              <w:t>Petrochemical complex rehabilitation, Mahshahr</w:t>
            </w:r>
          </w:p>
        </w:tc>
        <w:tc>
          <w:tcPr>
            <w:tcW w:w="0" w:type="auto"/>
          </w:tcPr>
          <w:p w14:paraId="74D8F842" w14:textId="77777777" w:rsidR="00180E7C" w:rsidRDefault="00000000">
            <w:pPr>
              <w:pStyle w:val="Compact"/>
            </w:pPr>
            <w:r>
              <w:t>3.5</w:t>
            </w:r>
          </w:p>
        </w:tc>
      </w:tr>
      <w:tr w:rsidR="00180E7C" w14:paraId="4A8722DC" w14:textId="77777777">
        <w:tc>
          <w:tcPr>
            <w:tcW w:w="0" w:type="auto"/>
          </w:tcPr>
          <w:p w14:paraId="4D6485D2" w14:textId="77777777" w:rsidR="00180E7C" w:rsidRDefault="00000000">
            <w:pPr>
              <w:pStyle w:val="Compact"/>
            </w:pPr>
            <w:r>
              <w:t>E-5</w:t>
            </w:r>
          </w:p>
        </w:tc>
        <w:tc>
          <w:tcPr>
            <w:tcW w:w="0" w:type="auto"/>
          </w:tcPr>
          <w:p w14:paraId="246EA1B5" w14:textId="77777777" w:rsidR="00180E7C" w:rsidRDefault="00000000">
            <w:pPr>
              <w:pStyle w:val="Compact"/>
            </w:pPr>
            <w:r>
              <w:t>Renewable build-out, 5 GW solar and wind first phase</w:t>
            </w:r>
          </w:p>
        </w:tc>
        <w:tc>
          <w:tcPr>
            <w:tcW w:w="0" w:type="auto"/>
          </w:tcPr>
          <w:p w14:paraId="433E5D1E" w14:textId="77777777" w:rsidR="00180E7C" w:rsidRDefault="00000000">
            <w:pPr>
              <w:pStyle w:val="Compact"/>
            </w:pPr>
            <w:r>
              <w:t>5.0</w:t>
            </w:r>
          </w:p>
        </w:tc>
      </w:tr>
      <w:tr w:rsidR="00180E7C" w14:paraId="08C6839D" w14:textId="77777777">
        <w:tc>
          <w:tcPr>
            <w:tcW w:w="0" w:type="auto"/>
          </w:tcPr>
          <w:p w14:paraId="3D513F65" w14:textId="77777777" w:rsidR="00180E7C" w:rsidRDefault="00000000">
            <w:pPr>
              <w:pStyle w:val="Compact"/>
            </w:pPr>
            <w:r>
              <w:t>E-6</w:t>
            </w:r>
          </w:p>
        </w:tc>
        <w:tc>
          <w:tcPr>
            <w:tcW w:w="0" w:type="auto"/>
          </w:tcPr>
          <w:p w14:paraId="70F9C7A0" w14:textId="77777777" w:rsidR="00180E7C" w:rsidRDefault="00000000">
            <w:pPr>
              <w:pStyle w:val="Compact"/>
            </w:pPr>
            <w:r>
              <w:t>Grid rehabilitation and loss reduction</w:t>
            </w:r>
          </w:p>
        </w:tc>
        <w:tc>
          <w:tcPr>
            <w:tcW w:w="0" w:type="auto"/>
          </w:tcPr>
          <w:p w14:paraId="396C3F55" w14:textId="77777777" w:rsidR="00180E7C" w:rsidRDefault="00000000">
            <w:pPr>
              <w:pStyle w:val="Compact"/>
            </w:pPr>
            <w:r>
              <w:t>4.5</w:t>
            </w:r>
          </w:p>
        </w:tc>
      </w:tr>
    </w:tbl>
    <w:p w14:paraId="42B3C872" w14:textId="77777777" w:rsidR="00180E7C" w:rsidRDefault="00000000">
      <w:pPr>
        <w:pStyle w:val="Heading3"/>
      </w:pPr>
      <w:bookmarkStart w:id="1020" w:name="sp-13.3.2-water-sector"/>
      <w:bookmarkEnd w:id="1019"/>
      <w:r>
        <w:t>SP-13.3.2 Water Sector</w:t>
      </w:r>
    </w:p>
    <w:tbl>
      <w:tblPr>
        <w:tblStyle w:val="Table"/>
        <w:tblW w:w="5000" w:type="pct"/>
        <w:tblLook w:val="0020" w:firstRow="1" w:lastRow="0" w:firstColumn="0" w:lastColumn="0" w:noHBand="0" w:noVBand="0"/>
      </w:tblPr>
      <w:tblGrid>
        <w:gridCol w:w="947"/>
        <w:gridCol w:w="6228"/>
        <w:gridCol w:w="2401"/>
      </w:tblGrid>
      <w:tr w:rsidR="00180E7C" w14:paraId="06484401"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061D8FEA" w14:textId="77777777" w:rsidR="00180E7C" w:rsidRDefault="00000000">
            <w:pPr>
              <w:pStyle w:val="Compact"/>
            </w:pPr>
            <w:r>
              <w:t>Project</w:t>
            </w:r>
          </w:p>
        </w:tc>
        <w:tc>
          <w:tcPr>
            <w:tcW w:w="0" w:type="auto"/>
          </w:tcPr>
          <w:p w14:paraId="3726B6F6" w14:textId="77777777" w:rsidR="00180E7C" w:rsidRDefault="00000000">
            <w:pPr>
              <w:pStyle w:val="Compact"/>
            </w:pPr>
            <w:r>
              <w:t>Description</w:t>
            </w:r>
          </w:p>
        </w:tc>
        <w:tc>
          <w:tcPr>
            <w:tcW w:w="0" w:type="auto"/>
          </w:tcPr>
          <w:p w14:paraId="6345C29F" w14:textId="77777777" w:rsidR="00180E7C" w:rsidRDefault="00000000">
            <w:pPr>
              <w:pStyle w:val="Compact"/>
            </w:pPr>
            <w:r>
              <w:t>Indicative Cost (USD bn)</w:t>
            </w:r>
          </w:p>
        </w:tc>
      </w:tr>
      <w:tr w:rsidR="00180E7C" w14:paraId="498A7246" w14:textId="77777777">
        <w:tc>
          <w:tcPr>
            <w:tcW w:w="0" w:type="auto"/>
          </w:tcPr>
          <w:p w14:paraId="1D657F9B" w14:textId="77777777" w:rsidR="00180E7C" w:rsidRDefault="00000000">
            <w:pPr>
              <w:pStyle w:val="Compact"/>
            </w:pPr>
            <w:r>
              <w:t>W-1</w:t>
            </w:r>
          </w:p>
        </w:tc>
        <w:tc>
          <w:tcPr>
            <w:tcW w:w="0" w:type="auto"/>
          </w:tcPr>
          <w:p w14:paraId="59DD1B59" w14:textId="77777777" w:rsidR="00180E7C" w:rsidRDefault="00000000">
            <w:pPr>
              <w:pStyle w:val="Compact"/>
            </w:pPr>
            <w:r>
              <w:t>Desalination program, southern coast, 1.5 million cubic meters per day</w:t>
            </w:r>
          </w:p>
        </w:tc>
        <w:tc>
          <w:tcPr>
            <w:tcW w:w="0" w:type="auto"/>
          </w:tcPr>
          <w:p w14:paraId="126F0E76" w14:textId="77777777" w:rsidR="00180E7C" w:rsidRDefault="00000000">
            <w:pPr>
              <w:pStyle w:val="Compact"/>
            </w:pPr>
            <w:r>
              <w:t>7.0</w:t>
            </w:r>
          </w:p>
        </w:tc>
      </w:tr>
      <w:tr w:rsidR="00180E7C" w14:paraId="3EE7D1BA" w14:textId="77777777">
        <w:tc>
          <w:tcPr>
            <w:tcW w:w="0" w:type="auto"/>
          </w:tcPr>
          <w:p w14:paraId="5F4EC41D" w14:textId="77777777" w:rsidR="00180E7C" w:rsidRDefault="00000000">
            <w:pPr>
              <w:pStyle w:val="Compact"/>
            </w:pPr>
            <w:r>
              <w:t>W-2</w:t>
            </w:r>
          </w:p>
        </w:tc>
        <w:tc>
          <w:tcPr>
            <w:tcW w:w="0" w:type="auto"/>
          </w:tcPr>
          <w:p w14:paraId="6BC680D2" w14:textId="77777777" w:rsidR="00180E7C" w:rsidRDefault="00000000">
            <w:pPr>
              <w:pStyle w:val="Compact"/>
            </w:pPr>
            <w:r>
              <w:t>Urban water loss reduction, ten cities</w:t>
            </w:r>
          </w:p>
        </w:tc>
        <w:tc>
          <w:tcPr>
            <w:tcW w:w="0" w:type="auto"/>
          </w:tcPr>
          <w:p w14:paraId="3948F4E5" w14:textId="77777777" w:rsidR="00180E7C" w:rsidRDefault="00000000">
            <w:pPr>
              <w:pStyle w:val="Compact"/>
            </w:pPr>
            <w:r>
              <w:t>3.0</w:t>
            </w:r>
          </w:p>
        </w:tc>
      </w:tr>
      <w:tr w:rsidR="00180E7C" w14:paraId="537ED583" w14:textId="77777777">
        <w:tc>
          <w:tcPr>
            <w:tcW w:w="0" w:type="auto"/>
          </w:tcPr>
          <w:p w14:paraId="5E65B2EC" w14:textId="77777777" w:rsidR="00180E7C" w:rsidRDefault="00000000">
            <w:pPr>
              <w:pStyle w:val="Compact"/>
            </w:pPr>
            <w:r>
              <w:t>W-3</w:t>
            </w:r>
          </w:p>
        </w:tc>
        <w:tc>
          <w:tcPr>
            <w:tcW w:w="0" w:type="auto"/>
          </w:tcPr>
          <w:p w14:paraId="7E8DE637" w14:textId="77777777" w:rsidR="00180E7C" w:rsidRDefault="00000000">
            <w:pPr>
              <w:pStyle w:val="Compact"/>
            </w:pPr>
            <w:r>
              <w:t>Irrigation efficiency modernization</w:t>
            </w:r>
          </w:p>
        </w:tc>
        <w:tc>
          <w:tcPr>
            <w:tcW w:w="0" w:type="auto"/>
          </w:tcPr>
          <w:p w14:paraId="24C5CE0F" w14:textId="77777777" w:rsidR="00180E7C" w:rsidRDefault="00000000">
            <w:pPr>
              <w:pStyle w:val="Compact"/>
            </w:pPr>
            <w:r>
              <w:t>4.0</w:t>
            </w:r>
          </w:p>
        </w:tc>
      </w:tr>
      <w:tr w:rsidR="00180E7C" w14:paraId="735B092D" w14:textId="77777777">
        <w:tc>
          <w:tcPr>
            <w:tcW w:w="0" w:type="auto"/>
          </w:tcPr>
          <w:p w14:paraId="43D1E80B" w14:textId="77777777" w:rsidR="00180E7C" w:rsidRDefault="00000000">
            <w:pPr>
              <w:pStyle w:val="Compact"/>
            </w:pPr>
            <w:r>
              <w:t>W-4</w:t>
            </w:r>
          </w:p>
        </w:tc>
        <w:tc>
          <w:tcPr>
            <w:tcW w:w="0" w:type="auto"/>
          </w:tcPr>
          <w:p w14:paraId="66BFC596" w14:textId="77777777" w:rsidR="00180E7C" w:rsidRDefault="00000000">
            <w:pPr>
              <w:pStyle w:val="Compact"/>
            </w:pPr>
            <w:r>
              <w:t>Wastewater treatment and reuse, major metros</w:t>
            </w:r>
          </w:p>
        </w:tc>
        <w:tc>
          <w:tcPr>
            <w:tcW w:w="0" w:type="auto"/>
          </w:tcPr>
          <w:p w14:paraId="660BF24B" w14:textId="77777777" w:rsidR="00180E7C" w:rsidRDefault="00000000">
            <w:pPr>
              <w:pStyle w:val="Compact"/>
            </w:pPr>
            <w:r>
              <w:t>3.5</w:t>
            </w:r>
          </w:p>
        </w:tc>
      </w:tr>
      <w:tr w:rsidR="00180E7C" w14:paraId="5137BB4A" w14:textId="77777777">
        <w:tc>
          <w:tcPr>
            <w:tcW w:w="0" w:type="auto"/>
          </w:tcPr>
          <w:p w14:paraId="067BECB3" w14:textId="77777777" w:rsidR="00180E7C" w:rsidRDefault="00000000">
            <w:pPr>
              <w:pStyle w:val="Compact"/>
            </w:pPr>
            <w:r>
              <w:t>W-5</w:t>
            </w:r>
          </w:p>
        </w:tc>
        <w:tc>
          <w:tcPr>
            <w:tcW w:w="0" w:type="auto"/>
          </w:tcPr>
          <w:p w14:paraId="5B34517D" w14:textId="77777777" w:rsidR="00180E7C" w:rsidRDefault="00000000">
            <w:pPr>
              <w:pStyle w:val="Compact"/>
            </w:pPr>
            <w:r>
              <w:t>Transboundary water monitoring with neighbors</w:t>
            </w:r>
          </w:p>
        </w:tc>
        <w:tc>
          <w:tcPr>
            <w:tcW w:w="0" w:type="auto"/>
          </w:tcPr>
          <w:p w14:paraId="012706AD" w14:textId="77777777" w:rsidR="00180E7C" w:rsidRDefault="00000000">
            <w:pPr>
              <w:pStyle w:val="Compact"/>
            </w:pPr>
            <w:r>
              <w:t>0.5</w:t>
            </w:r>
          </w:p>
        </w:tc>
      </w:tr>
    </w:tbl>
    <w:p w14:paraId="6218F8AC" w14:textId="77777777" w:rsidR="00180E7C" w:rsidRDefault="00000000">
      <w:pPr>
        <w:pStyle w:val="Heading3"/>
      </w:pPr>
      <w:bookmarkStart w:id="1021" w:name="sp-13.3.3-transportation-and-logistics"/>
      <w:bookmarkEnd w:id="1020"/>
      <w:r>
        <w:t>SP-13.3.3 Transportation and Logistics</w:t>
      </w:r>
    </w:p>
    <w:tbl>
      <w:tblPr>
        <w:tblStyle w:val="Table"/>
        <w:tblW w:w="0" w:type="auto"/>
        <w:tblLook w:val="0020" w:firstRow="1" w:lastRow="0" w:firstColumn="0" w:lastColumn="0" w:noHBand="0" w:noVBand="0"/>
      </w:tblPr>
      <w:tblGrid>
        <w:gridCol w:w="947"/>
        <w:gridCol w:w="5725"/>
        <w:gridCol w:w="2724"/>
      </w:tblGrid>
      <w:tr w:rsidR="00180E7C" w14:paraId="7C1D588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308CE46" w14:textId="77777777" w:rsidR="00180E7C" w:rsidRDefault="00000000">
            <w:pPr>
              <w:pStyle w:val="Compact"/>
            </w:pPr>
            <w:r>
              <w:t>Project</w:t>
            </w:r>
          </w:p>
        </w:tc>
        <w:tc>
          <w:tcPr>
            <w:tcW w:w="0" w:type="auto"/>
          </w:tcPr>
          <w:p w14:paraId="33DE53EF" w14:textId="77777777" w:rsidR="00180E7C" w:rsidRDefault="00000000">
            <w:pPr>
              <w:pStyle w:val="Compact"/>
            </w:pPr>
            <w:r>
              <w:t>Description</w:t>
            </w:r>
          </w:p>
        </w:tc>
        <w:tc>
          <w:tcPr>
            <w:tcW w:w="0" w:type="auto"/>
          </w:tcPr>
          <w:p w14:paraId="7346BF14" w14:textId="77777777" w:rsidR="00180E7C" w:rsidRDefault="00000000">
            <w:pPr>
              <w:pStyle w:val="Compact"/>
            </w:pPr>
            <w:r>
              <w:t>Indicative Cost (USD bn)</w:t>
            </w:r>
          </w:p>
        </w:tc>
      </w:tr>
      <w:tr w:rsidR="00180E7C" w14:paraId="153F210A" w14:textId="77777777">
        <w:tc>
          <w:tcPr>
            <w:tcW w:w="0" w:type="auto"/>
          </w:tcPr>
          <w:p w14:paraId="0CD9189F" w14:textId="77777777" w:rsidR="00180E7C" w:rsidRDefault="00000000">
            <w:pPr>
              <w:pStyle w:val="Compact"/>
            </w:pPr>
            <w:r>
              <w:t>T-1</w:t>
            </w:r>
          </w:p>
        </w:tc>
        <w:tc>
          <w:tcPr>
            <w:tcW w:w="0" w:type="auto"/>
          </w:tcPr>
          <w:p w14:paraId="7F923172" w14:textId="77777777" w:rsidR="00180E7C" w:rsidRDefault="00000000">
            <w:pPr>
              <w:pStyle w:val="Compact"/>
            </w:pPr>
            <w:r>
              <w:t>Chabahar port expansion and free zone infrastructure</w:t>
            </w:r>
          </w:p>
        </w:tc>
        <w:tc>
          <w:tcPr>
            <w:tcW w:w="0" w:type="auto"/>
          </w:tcPr>
          <w:p w14:paraId="267FF0A1" w14:textId="77777777" w:rsidR="00180E7C" w:rsidRDefault="00000000">
            <w:pPr>
              <w:pStyle w:val="Compact"/>
            </w:pPr>
            <w:r>
              <w:t>4.0</w:t>
            </w:r>
          </w:p>
        </w:tc>
      </w:tr>
      <w:tr w:rsidR="00180E7C" w14:paraId="01855786" w14:textId="77777777">
        <w:tc>
          <w:tcPr>
            <w:tcW w:w="0" w:type="auto"/>
          </w:tcPr>
          <w:p w14:paraId="31E33A3A" w14:textId="77777777" w:rsidR="00180E7C" w:rsidRDefault="00000000">
            <w:pPr>
              <w:pStyle w:val="Compact"/>
            </w:pPr>
            <w:r>
              <w:t>T-2</w:t>
            </w:r>
          </w:p>
        </w:tc>
        <w:tc>
          <w:tcPr>
            <w:tcW w:w="0" w:type="auto"/>
          </w:tcPr>
          <w:p w14:paraId="753D8262" w14:textId="77777777" w:rsidR="00180E7C" w:rsidRDefault="00000000">
            <w:pPr>
              <w:pStyle w:val="Compact"/>
            </w:pPr>
            <w:r>
              <w:t>INSTC rail segments completion</w:t>
            </w:r>
          </w:p>
        </w:tc>
        <w:tc>
          <w:tcPr>
            <w:tcW w:w="0" w:type="auto"/>
          </w:tcPr>
          <w:p w14:paraId="53BFD619" w14:textId="77777777" w:rsidR="00180E7C" w:rsidRDefault="00000000">
            <w:pPr>
              <w:pStyle w:val="Compact"/>
            </w:pPr>
            <w:r>
              <w:t>6.0</w:t>
            </w:r>
          </w:p>
        </w:tc>
      </w:tr>
      <w:tr w:rsidR="00180E7C" w14:paraId="2E6D8047" w14:textId="77777777">
        <w:tc>
          <w:tcPr>
            <w:tcW w:w="0" w:type="auto"/>
          </w:tcPr>
          <w:p w14:paraId="737B6C5E" w14:textId="77777777" w:rsidR="00180E7C" w:rsidRDefault="00000000">
            <w:pPr>
              <w:pStyle w:val="Compact"/>
            </w:pPr>
            <w:r>
              <w:t>T-3</w:t>
            </w:r>
          </w:p>
        </w:tc>
        <w:tc>
          <w:tcPr>
            <w:tcW w:w="0" w:type="auto"/>
          </w:tcPr>
          <w:p w14:paraId="60F9574C" w14:textId="77777777" w:rsidR="00180E7C" w:rsidRDefault="00000000">
            <w:pPr>
              <w:pStyle w:val="Compact"/>
            </w:pPr>
            <w:r>
              <w:t>Tehran-Mashhad rail electrification</w:t>
            </w:r>
          </w:p>
        </w:tc>
        <w:tc>
          <w:tcPr>
            <w:tcW w:w="0" w:type="auto"/>
          </w:tcPr>
          <w:p w14:paraId="5896DB72" w14:textId="77777777" w:rsidR="00180E7C" w:rsidRDefault="00000000">
            <w:pPr>
              <w:pStyle w:val="Compact"/>
            </w:pPr>
            <w:r>
              <w:t>3.5</w:t>
            </w:r>
          </w:p>
        </w:tc>
      </w:tr>
      <w:tr w:rsidR="00180E7C" w14:paraId="491B3FBA" w14:textId="77777777">
        <w:tc>
          <w:tcPr>
            <w:tcW w:w="0" w:type="auto"/>
          </w:tcPr>
          <w:p w14:paraId="39DEF1CB" w14:textId="77777777" w:rsidR="00180E7C" w:rsidRDefault="00000000">
            <w:pPr>
              <w:pStyle w:val="Compact"/>
            </w:pPr>
            <w:r>
              <w:t>T-4</w:t>
            </w:r>
          </w:p>
        </w:tc>
        <w:tc>
          <w:tcPr>
            <w:tcW w:w="0" w:type="auto"/>
          </w:tcPr>
          <w:p w14:paraId="38EED5F5" w14:textId="77777777" w:rsidR="00180E7C" w:rsidRDefault="00000000">
            <w:pPr>
              <w:pStyle w:val="Compact"/>
            </w:pPr>
            <w:r>
              <w:t>Highway safety and reconstruction program</w:t>
            </w:r>
          </w:p>
        </w:tc>
        <w:tc>
          <w:tcPr>
            <w:tcW w:w="0" w:type="auto"/>
          </w:tcPr>
          <w:p w14:paraId="3D92F058" w14:textId="77777777" w:rsidR="00180E7C" w:rsidRDefault="00000000">
            <w:pPr>
              <w:pStyle w:val="Compact"/>
            </w:pPr>
            <w:r>
              <w:t>4.0</w:t>
            </w:r>
          </w:p>
        </w:tc>
      </w:tr>
      <w:tr w:rsidR="00180E7C" w14:paraId="58D33FD8" w14:textId="77777777">
        <w:tc>
          <w:tcPr>
            <w:tcW w:w="0" w:type="auto"/>
          </w:tcPr>
          <w:p w14:paraId="3568A1A8" w14:textId="77777777" w:rsidR="00180E7C" w:rsidRDefault="00000000">
            <w:pPr>
              <w:pStyle w:val="Compact"/>
            </w:pPr>
            <w:r>
              <w:t>T-5</w:t>
            </w:r>
          </w:p>
        </w:tc>
        <w:tc>
          <w:tcPr>
            <w:tcW w:w="0" w:type="auto"/>
          </w:tcPr>
          <w:p w14:paraId="0A0E70C4" w14:textId="77777777" w:rsidR="00180E7C" w:rsidRDefault="00000000">
            <w:pPr>
              <w:pStyle w:val="Compact"/>
            </w:pPr>
            <w:r>
              <w:t>Airport rehabilitation, war-affected facilities</w:t>
            </w:r>
          </w:p>
        </w:tc>
        <w:tc>
          <w:tcPr>
            <w:tcW w:w="0" w:type="auto"/>
          </w:tcPr>
          <w:p w14:paraId="6708D4A9" w14:textId="77777777" w:rsidR="00180E7C" w:rsidRDefault="00000000">
            <w:pPr>
              <w:pStyle w:val="Compact"/>
            </w:pPr>
            <w:r>
              <w:t>2.5</w:t>
            </w:r>
          </w:p>
        </w:tc>
      </w:tr>
    </w:tbl>
    <w:p w14:paraId="3B452340" w14:textId="77777777" w:rsidR="00180E7C" w:rsidRDefault="00000000">
      <w:pPr>
        <w:pStyle w:val="Heading3"/>
      </w:pPr>
      <w:bookmarkStart w:id="1022" w:name="sp-13.3.4-housing-health-education"/>
      <w:bookmarkEnd w:id="1021"/>
      <w:r>
        <w:t>SP-13.3.4 Housing, Health, Education</w:t>
      </w:r>
    </w:p>
    <w:tbl>
      <w:tblPr>
        <w:tblStyle w:val="Table"/>
        <w:tblW w:w="0" w:type="auto"/>
        <w:tblLook w:val="0020" w:firstRow="1" w:lastRow="0" w:firstColumn="0" w:lastColumn="0" w:noHBand="0" w:noVBand="0"/>
      </w:tblPr>
      <w:tblGrid>
        <w:gridCol w:w="947"/>
        <w:gridCol w:w="5094"/>
        <w:gridCol w:w="2724"/>
      </w:tblGrid>
      <w:tr w:rsidR="00180E7C" w14:paraId="09B59076"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66629A9" w14:textId="77777777" w:rsidR="00180E7C" w:rsidRDefault="00000000">
            <w:pPr>
              <w:pStyle w:val="Compact"/>
            </w:pPr>
            <w:r>
              <w:t>Project</w:t>
            </w:r>
          </w:p>
        </w:tc>
        <w:tc>
          <w:tcPr>
            <w:tcW w:w="0" w:type="auto"/>
          </w:tcPr>
          <w:p w14:paraId="7859294F" w14:textId="77777777" w:rsidR="00180E7C" w:rsidRDefault="00000000">
            <w:pPr>
              <w:pStyle w:val="Compact"/>
            </w:pPr>
            <w:r>
              <w:t>Description</w:t>
            </w:r>
          </w:p>
        </w:tc>
        <w:tc>
          <w:tcPr>
            <w:tcW w:w="0" w:type="auto"/>
          </w:tcPr>
          <w:p w14:paraId="0F92B1A4" w14:textId="77777777" w:rsidR="00180E7C" w:rsidRDefault="00000000">
            <w:pPr>
              <w:pStyle w:val="Compact"/>
            </w:pPr>
            <w:r>
              <w:t>Indicative Cost (USD bn)</w:t>
            </w:r>
          </w:p>
        </w:tc>
      </w:tr>
      <w:tr w:rsidR="00180E7C" w14:paraId="36BB6E6B" w14:textId="77777777">
        <w:tc>
          <w:tcPr>
            <w:tcW w:w="0" w:type="auto"/>
          </w:tcPr>
          <w:p w14:paraId="1573B4F8" w14:textId="77777777" w:rsidR="00180E7C" w:rsidRDefault="00000000">
            <w:pPr>
              <w:pStyle w:val="Compact"/>
            </w:pPr>
            <w:r>
              <w:t>H-1</w:t>
            </w:r>
          </w:p>
        </w:tc>
        <w:tc>
          <w:tcPr>
            <w:tcW w:w="0" w:type="auto"/>
          </w:tcPr>
          <w:p w14:paraId="12F2471E" w14:textId="77777777" w:rsidR="00180E7C" w:rsidRDefault="00000000">
            <w:pPr>
              <w:pStyle w:val="Compact"/>
            </w:pPr>
            <w:r>
              <w:t>War-damaged housing reconstruction</w:t>
            </w:r>
          </w:p>
        </w:tc>
        <w:tc>
          <w:tcPr>
            <w:tcW w:w="0" w:type="auto"/>
          </w:tcPr>
          <w:p w14:paraId="739F0623" w14:textId="77777777" w:rsidR="00180E7C" w:rsidRDefault="00000000">
            <w:pPr>
              <w:pStyle w:val="Compact"/>
            </w:pPr>
            <w:r>
              <w:t>8.0</w:t>
            </w:r>
          </w:p>
        </w:tc>
      </w:tr>
      <w:tr w:rsidR="00180E7C" w14:paraId="5AE7EB22" w14:textId="77777777">
        <w:tc>
          <w:tcPr>
            <w:tcW w:w="0" w:type="auto"/>
          </w:tcPr>
          <w:p w14:paraId="4F87C288" w14:textId="77777777" w:rsidR="00180E7C" w:rsidRDefault="00000000">
            <w:pPr>
              <w:pStyle w:val="Compact"/>
            </w:pPr>
            <w:r>
              <w:t>H-2</w:t>
            </w:r>
          </w:p>
        </w:tc>
        <w:tc>
          <w:tcPr>
            <w:tcW w:w="0" w:type="auto"/>
          </w:tcPr>
          <w:p w14:paraId="263EB612" w14:textId="77777777" w:rsidR="00180E7C" w:rsidRDefault="00000000">
            <w:pPr>
              <w:pStyle w:val="Compact"/>
            </w:pPr>
            <w:r>
              <w:t>Urban renewal pilot, three cities</w:t>
            </w:r>
          </w:p>
        </w:tc>
        <w:tc>
          <w:tcPr>
            <w:tcW w:w="0" w:type="auto"/>
          </w:tcPr>
          <w:p w14:paraId="4EDBA223" w14:textId="77777777" w:rsidR="00180E7C" w:rsidRDefault="00000000">
            <w:pPr>
              <w:pStyle w:val="Compact"/>
            </w:pPr>
            <w:r>
              <w:t>3.0</w:t>
            </w:r>
          </w:p>
        </w:tc>
      </w:tr>
      <w:tr w:rsidR="00180E7C" w14:paraId="02D52D1A" w14:textId="77777777">
        <w:tc>
          <w:tcPr>
            <w:tcW w:w="0" w:type="auto"/>
          </w:tcPr>
          <w:p w14:paraId="0E347010" w14:textId="77777777" w:rsidR="00180E7C" w:rsidRDefault="00000000">
            <w:pPr>
              <w:pStyle w:val="Compact"/>
            </w:pPr>
            <w:r>
              <w:lastRenderedPageBreak/>
              <w:t>M-1</w:t>
            </w:r>
          </w:p>
        </w:tc>
        <w:tc>
          <w:tcPr>
            <w:tcW w:w="0" w:type="auto"/>
          </w:tcPr>
          <w:p w14:paraId="0CBBE132" w14:textId="77777777" w:rsidR="00180E7C" w:rsidRDefault="00000000">
            <w:pPr>
              <w:pStyle w:val="Compact"/>
            </w:pPr>
            <w:r>
              <w:t>Hospital reconstruction and equipment</w:t>
            </w:r>
          </w:p>
        </w:tc>
        <w:tc>
          <w:tcPr>
            <w:tcW w:w="0" w:type="auto"/>
          </w:tcPr>
          <w:p w14:paraId="1EBAE44D" w14:textId="77777777" w:rsidR="00180E7C" w:rsidRDefault="00000000">
            <w:pPr>
              <w:pStyle w:val="Compact"/>
            </w:pPr>
            <w:r>
              <w:t>5.0</w:t>
            </w:r>
          </w:p>
        </w:tc>
      </w:tr>
      <w:tr w:rsidR="00180E7C" w14:paraId="6B75BA0A" w14:textId="77777777">
        <w:tc>
          <w:tcPr>
            <w:tcW w:w="0" w:type="auto"/>
          </w:tcPr>
          <w:p w14:paraId="472FEABA" w14:textId="77777777" w:rsidR="00180E7C" w:rsidRDefault="00000000">
            <w:pPr>
              <w:pStyle w:val="Compact"/>
            </w:pPr>
            <w:r>
              <w:t>M-2</w:t>
            </w:r>
          </w:p>
        </w:tc>
        <w:tc>
          <w:tcPr>
            <w:tcW w:w="0" w:type="auto"/>
          </w:tcPr>
          <w:p w14:paraId="144CC8D4" w14:textId="77777777" w:rsidR="00180E7C" w:rsidRDefault="00000000">
            <w:pPr>
              <w:pStyle w:val="Compact"/>
            </w:pPr>
            <w:r>
              <w:t>Primary care network modernization</w:t>
            </w:r>
          </w:p>
        </w:tc>
        <w:tc>
          <w:tcPr>
            <w:tcW w:w="0" w:type="auto"/>
          </w:tcPr>
          <w:p w14:paraId="60C11CAB" w14:textId="77777777" w:rsidR="00180E7C" w:rsidRDefault="00000000">
            <w:pPr>
              <w:pStyle w:val="Compact"/>
            </w:pPr>
            <w:r>
              <w:t>2.5</w:t>
            </w:r>
          </w:p>
        </w:tc>
      </w:tr>
      <w:tr w:rsidR="00180E7C" w14:paraId="47D51135" w14:textId="77777777">
        <w:tc>
          <w:tcPr>
            <w:tcW w:w="0" w:type="auto"/>
          </w:tcPr>
          <w:p w14:paraId="1E6EFD62" w14:textId="77777777" w:rsidR="00180E7C" w:rsidRDefault="00000000">
            <w:pPr>
              <w:pStyle w:val="Compact"/>
            </w:pPr>
            <w:r>
              <w:t>S-1</w:t>
            </w:r>
          </w:p>
        </w:tc>
        <w:tc>
          <w:tcPr>
            <w:tcW w:w="0" w:type="auto"/>
          </w:tcPr>
          <w:p w14:paraId="22FB53DF" w14:textId="77777777" w:rsidR="00180E7C" w:rsidRDefault="00000000">
            <w:pPr>
              <w:pStyle w:val="Compact"/>
            </w:pPr>
            <w:r>
              <w:t>School reconstruction and digital infrastructure</w:t>
            </w:r>
          </w:p>
        </w:tc>
        <w:tc>
          <w:tcPr>
            <w:tcW w:w="0" w:type="auto"/>
          </w:tcPr>
          <w:p w14:paraId="1ECD5F7D" w14:textId="77777777" w:rsidR="00180E7C" w:rsidRDefault="00000000">
            <w:pPr>
              <w:pStyle w:val="Compact"/>
            </w:pPr>
            <w:r>
              <w:t>3.0</w:t>
            </w:r>
          </w:p>
        </w:tc>
      </w:tr>
    </w:tbl>
    <w:p w14:paraId="5401ED14" w14:textId="77777777" w:rsidR="00180E7C" w:rsidRDefault="00000000">
      <w:pPr>
        <w:pStyle w:val="Heading3"/>
      </w:pPr>
      <w:bookmarkStart w:id="1023" w:name="sp-13.3.5-environment-and-demobilization"/>
      <w:bookmarkEnd w:id="1022"/>
      <w:r>
        <w:t>SP-13.3.5 Environment and Demobilization</w:t>
      </w:r>
    </w:p>
    <w:tbl>
      <w:tblPr>
        <w:tblStyle w:val="Table"/>
        <w:tblW w:w="0" w:type="auto"/>
        <w:tblLook w:val="0020" w:firstRow="1" w:lastRow="0" w:firstColumn="0" w:lastColumn="0" w:noHBand="0" w:noVBand="0"/>
      </w:tblPr>
      <w:tblGrid>
        <w:gridCol w:w="947"/>
        <w:gridCol w:w="5109"/>
        <w:gridCol w:w="2724"/>
      </w:tblGrid>
      <w:tr w:rsidR="00180E7C" w14:paraId="0165D721"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8F0F566" w14:textId="77777777" w:rsidR="00180E7C" w:rsidRDefault="00000000">
            <w:pPr>
              <w:pStyle w:val="Compact"/>
            </w:pPr>
            <w:r>
              <w:t>Project</w:t>
            </w:r>
          </w:p>
        </w:tc>
        <w:tc>
          <w:tcPr>
            <w:tcW w:w="0" w:type="auto"/>
          </w:tcPr>
          <w:p w14:paraId="7F0341C9" w14:textId="77777777" w:rsidR="00180E7C" w:rsidRDefault="00000000">
            <w:pPr>
              <w:pStyle w:val="Compact"/>
            </w:pPr>
            <w:r>
              <w:t>Description</w:t>
            </w:r>
          </w:p>
        </w:tc>
        <w:tc>
          <w:tcPr>
            <w:tcW w:w="0" w:type="auto"/>
          </w:tcPr>
          <w:p w14:paraId="3AFFC643" w14:textId="77777777" w:rsidR="00180E7C" w:rsidRDefault="00000000">
            <w:pPr>
              <w:pStyle w:val="Compact"/>
            </w:pPr>
            <w:r>
              <w:t>Indicative Cost (USD bn)</w:t>
            </w:r>
          </w:p>
        </w:tc>
      </w:tr>
      <w:tr w:rsidR="00180E7C" w14:paraId="1FF4BAD2" w14:textId="77777777">
        <w:tc>
          <w:tcPr>
            <w:tcW w:w="0" w:type="auto"/>
          </w:tcPr>
          <w:p w14:paraId="3AFAB7D9" w14:textId="77777777" w:rsidR="00180E7C" w:rsidRDefault="00000000">
            <w:pPr>
              <w:pStyle w:val="Compact"/>
            </w:pPr>
            <w:r>
              <w:t>V-1</w:t>
            </w:r>
          </w:p>
        </w:tc>
        <w:tc>
          <w:tcPr>
            <w:tcW w:w="0" w:type="auto"/>
          </w:tcPr>
          <w:p w14:paraId="3F6BD5C7" w14:textId="77777777" w:rsidR="00180E7C" w:rsidRDefault="00000000">
            <w:pPr>
              <w:pStyle w:val="Compact"/>
            </w:pPr>
            <w:r>
              <w:t>Dust storm source-area restoration</w:t>
            </w:r>
          </w:p>
        </w:tc>
        <w:tc>
          <w:tcPr>
            <w:tcW w:w="0" w:type="auto"/>
          </w:tcPr>
          <w:p w14:paraId="26F4FF59" w14:textId="77777777" w:rsidR="00180E7C" w:rsidRDefault="00000000">
            <w:pPr>
              <w:pStyle w:val="Compact"/>
            </w:pPr>
            <w:r>
              <w:t>2.0</w:t>
            </w:r>
          </w:p>
        </w:tc>
      </w:tr>
      <w:tr w:rsidR="00180E7C" w14:paraId="6979FEB2" w14:textId="77777777">
        <w:tc>
          <w:tcPr>
            <w:tcW w:w="0" w:type="auto"/>
          </w:tcPr>
          <w:p w14:paraId="0AAFDAB1" w14:textId="77777777" w:rsidR="00180E7C" w:rsidRDefault="00000000">
            <w:pPr>
              <w:pStyle w:val="Compact"/>
            </w:pPr>
            <w:r>
              <w:t>V-2</w:t>
            </w:r>
          </w:p>
        </w:tc>
        <w:tc>
          <w:tcPr>
            <w:tcW w:w="0" w:type="auto"/>
          </w:tcPr>
          <w:p w14:paraId="176567F5" w14:textId="77777777" w:rsidR="00180E7C" w:rsidRDefault="00000000">
            <w:pPr>
              <w:pStyle w:val="Compact"/>
            </w:pPr>
            <w:r>
              <w:t>Wetland restoration, Shadegan and Hur al-Azim</w:t>
            </w:r>
          </w:p>
        </w:tc>
        <w:tc>
          <w:tcPr>
            <w:tcW w:w="0" w:type="auto"/>
          </w:tcPr>
          <w:p w14:paraId="2851E990" w14:textId="77777777" w:rsidR="00180E7C" w:rsidRDefault="00000000">
            <w:pPr>
              <w:pStyle w:val="Compact"/>
            </w:pPr>
            <w:r>
              <w:t>1.5</w:t>
            </w:r>
          </w:p>
        </w:tc>
      </w:tr>
      <w:tr w:rsidR="00180E7C" w14:paraId="698CF6CD" w14:textId="77777777">
        <w:tc>
          <w:tcPr>
            <w:tcW w:w="0" w:type="auto"/>
          </w:tcPr>
          <w:p w14:paraId="082CD426" w14:textId="77777777" w:rsidR="00180E7C" w:rsidRDefault="00000000">
            <w:pPr>
              <w:pStyle w:val="Compact"/>
            </w:pPr>
            <w:r>
              <w:t>D-1</w:t>
            </w:r>
          </w:p>
        </w:tc>
        <w:tc>
          <w:tcPr>
            <w:tcW w:w="0" w:type="auto"/>
          </w:tcPr>
          <w:p w14:paraId="3AD37558" w14:textId="77777777" w:rsidR="00180E7C" w:rsidRDefault="00000000">
            <w:pPr>
              <w:pStyle w:val="Compact"/>
            </w:pPr>
            <w:r>
              <w:t>Regional demobilization support programs</w:t>
            </w:r>
          </w:p>
        </w:tc>
        <w:tc>
          <w:tcPr>
            <w:tcW w:w="0" w:type="auto"/>
          </w:tcPr>
          <w:p w14:paraId="5D498C01" w14:textId="77777777" w:rsidR="00180E7C" w:rsidRDefault="00000000">
            <w:pPr>
              <w:pStyle w:val="Compact"/>
            </w:pPr>
            <w:r>
              <w:t>3.0</w:t>
            </w:r>
          </w:p>
        </w:tc>
      </w:tr>
      <w:tr w:rsidR="00180E7C" w14:paraId="2A77A939" w14:textId="77777777">
        <w:tc>
          <w:tcPr>
            <w:tcW w:w="0" w:type="auto"/>
          </w:tcPr>
          <w:p w14:paraId="5FE4FAA6" w14:textId="77777777" w:rsidR="00180E7C" w:rsidRDefault="00000000">
            <w:pPr>
              <w:pStyle w:val="Compact"/>
            </w:pPr>
            <w:r>
              <w:t>D-2</w:t>
            </w:r>
          </w:p>
        </w:tc>
        <w:tc>
          <w:tcPr>
            <w:tcW w:w="0" w:type="auto"/>
          </w:tcPr>
          <w:p w14:paraId="6E70ACE3" w14:textId="77777777" w:rsidR="00180E7C" w:rsidRDefault="00000000">
            <w:pPr>
              <w:pStyle w:val="Compact"/>
            </w:pPr>
            <w:r>
              <w:t>War veteran and disability services</w:t>
            </w:r>
          </w:p>
        </w:tc>
        <w:tc>
          <w:tcPr>
            <w:tcW w:w="0" w:type="auto"/>
          </w:tcPr>
          <w:p w14:paraId="73A56098" w14:textId="77777777" w:rsidR="00180E7C" w:rsidRDefault="00000000">
            <w:pPr>
              <w:pStyle w:val="Compact"/>
            </w:pPr>
            <w:r>
              <w:t>1.5</w:t>
            </w:r>
          </w:p>
        </w:tc>
      </w:tr>
    </w:tbl>
    <w:p w14:paraId="4BA3A8E0" w14:textId="77777777" w:rsidR="00180E7C" w:rsidRDefault="00000000">
      <w:pPr>
        <w:pStyle w:val="BodyText"/>
      </w:pPr>
      <w:r>
        <w:t>SP-13.3.6 The pipeline totals approximately 95 billion dollars of first-tranche projects against the 300 billion ten-year mobilization, with subsequent tranches prepared through the annual priorities process.</w:t>
      </w:r>
    </w:p>
    <w:p w14:paraId="609289EA" w14:textId="77777777" w:rsidR="00180E7C" w:rsidRDefault="00000000">
      <w:pPr>
        <w:pStyle w:val="Heading2"/>
      </w:pPr>
      <w:bookmarkStart w:id="1024" w:name="X4c5dfde80bf39b4a88306f8ba7027d41bb8a439"/>
      <w:bookmarkEnd w:id="1018"/>
      <w:bookmarkEnd w:id="1023"/>
      <w:r>
        <w:t>SP-13.4 The Banking Access Index Methodology</w:t>
      </w:r>
    </w:p>
    <w:p w14:paraId="70C1CF77" w14:textId="77777777" w:rsidR="00180E7C" w:rsidRDefault="00000000">
      <w:pPr>
        <w:pStyle w:val="FirstParagraph"/>
      </w:pPr>
      <w:r>
        <w:t>SP-13.4.1 The EMB computes the quarterly index from: active correspondent relationships count; SWIFT traffic volumes; trade finance issuance; settlement times; and declined-transaction rates. The index publishes with methodology notes, giving markets an objective normalization gauge.</w:t>
      </w:r>
    </w:p>
    <w:p w14:paraId="5640F2ED" w14:textId="77777777" w:rsidR="00180E7C" w:rsidRDefault="00000000">
      <w:r>
        <w:br w:type="page"/>
      </w:r>
    </w:p>
    <w:p w14:paraId="14B4611E" w14:textId="77777777" w:rsidR="00180E7C" w:rsidRDefault="00000000">
      <w:pPr>
        <w:pStyle w:val="Heading1"/>
      </w:pPr>
      <w:bookmarkStart w:id="1025" w:name="X98b4751df329a040f66303bc8cc6aedde63ad7f"/>
      <w:bookmarkStart w:id="1026" w:name="_Toc237843195"/>
      <w:bookmarkEnd w:id="1007"/>
      <w:bookmarkEnd w:id="1024"/>
      <w:r>
        <w:lastRenderedPageBreak/>
        <w:t>SUPPLEMENTARY PROTOCOL SP-14: NUCLEAR FACILITY PROFILES AND VERIFICATION ARRANGEMENTS</w:t>
      </w:r>
      <w:bookmarkEnd w:id="1026"/>
    </w:p>
    <w:p w14:paraId="66FE6867" w14:textId="77777777" w:rsidR="00180E7C" w:rsidRDefault="00000000">
      <w:pPr>
        <w:pStyle w:val="Heading2"/>
      </w:pPr>
      <w:bookmarkStart w:id="1027" w:name="sp-14.1-natanz-enrichment-complex"/>
      <w:r>
        <w:t>SP-14.1 Natanz Enrichment Complex</w:t>
      </w:r>
    </w:p>
    <w:p w14:paraId="48F83393" w14:textId="77777777" w:rsidR="00180E7C" w:rsidRDefault="00000000">
      <w:pPr>
        <w:pStyle w:val="FirstParagraph"/>
      </w:pPr>
      <w:r>
        <w:t>SP-14.1.1 Status under the Treaty: Iran’s single operating enrichment site, within the 5,060 IR-1 ceiling and 3.67 percent assay cap. Verification: continuous IAEA resident presence (4 inspectors); unattended enrichment monitoring with online assay measurement; cascade hall surveillance; feed and product station seals; the Uranium Ledger interface at every material movement. The 2025 strike damage areas: recovery per Annex F.5, then status per the recovery closure report.</w:t>
      </w:r>
    </w:p>
    <w:p w14:paraId="74DF676A" w14:textId="77777777" w:rsidR="00180E7C" w:rsidRDefault="00000000">
      <w:pPr>
        <w:pStyle w:val="Heading2"/>
      </w:pPr>
      <w:bookmarkStart w:id="1028" w:name="sp-14.2-isfahan-complex"/>
      <w:bookmarkEnd w:id="1027"/>
      <w:r>
        <w:t>SP-14.2 Isfahan Complex</w:t>
      </w:r>
    </w:p>
    <w:p w14:paraId="398F459E" w14:textId="77777777" w:rsidR="00180E7C" w:rsidRDefault="00000000">
      <w:pPr>
        <w:pStyle w:val="FirstParagraph"/>
      </w:pPr>
      <w:r>
        <w:t>SP-14.2.1 Functions under the Treaty: the Down-Blending Facility; the conversion lines; the fuel fabrication pathway; the dual-key monitored storage halls (advanced centrifuges, components, sealed product). Verification: continuous resident presence (4 inspectors); 24/7 coverage of down-blending; continuous storage surveillance; the tunnel complex under the declared storage protocol with routine access. The tunnel sectors damaged in 2025: recovery operations then incorporation into the declared storage regime.</w:t>
      </w:r>
    </w:p>
    <w:p w14:paraId="486E9ED5" w14:textId="77777777" w:rsidR="00180E7C" w:rsidRDefault="00000000">
      <w:pPr>
        <w:pStyle w:val="Heading2"/>
      </w:pPr>
      <w:bookmarkStart w:id="1029" w:name="sp-14.3-fordow"/>
      <w:bookmarkEnd w:id="1028"/>
      <w:r>
        <w:t>SP-14.3 Fordow</w:t>
      </w:r>
    </w:p>
    <w:p w14:paraId="56D02273" w14:textId="77777777" w:rsidR="00180E7C" w:rsidRDefault="00000000">
      <w:pPr>
        <w:pStyle w:val="FirstParagraph"/>
      </w:pPr>
      <w:r>
        <w:t>SP-14.3.1 End-state: the Fordow International Center for Stable Isotope Science. Conversion milestones: centrifuge removal (Month 12); engineering conversion (Month 24); international governance board seated (Month 18). Verification: continuous resident presence (2 inspectors) as a standing condition of the Center’s operation; no uranium enters the site; isotope production lines under safeguards.</w:t>
      </w:r>
    </w:p>
    <w:p w14:paraId="09C68426" w14:textId="77777777" w:rsidR="00180E7C" w:rsidRDefault="00000000">
      <w:pPr>
        <w:pStyle w:val="Heading2"/>
      </w:pPr>
      <w:bookmarkStart w:id="1030" w:name="sp-14.4-arak"/>
      <w:bookmarkEnd w:id="1029"/>
      <w:r>
        <w:t>SP-14.4 Arak</w:t>
      </w:r>
    </w:p>
    <w:p w14:paraId="1FC86EA3" w14:textId="77777777" w:rsidR="00180E7C" w:rsidRDefault="00000000">
      <w:pPr>
        <w:pStyle w:val="FirstParagraph"/>
      </w:pPr>
      <w:r>
        <w:t>SP-14.4.1 Status: operation with the redesigned core; plutonium output below 1 kg per year in spent fuel; original core components rendered unusable and verified so. Verification: resident presence (2 inspectors); annual design verification; operating records review; spent fuel accountancy.</w:t>
      </w:r>
    </w:p>
    <w:p w14:paraId="67492BF8" w14:textId="77777777" w:rsidR="00180E7C" w:rsidRDefault="00000000">
      <w:pPr>
        <w:pStyle w:val="Heading2"/>
      </w:pPr>
      <w:bookmarkStart w:id="1031" w:name="sp-14.5-bushehr"/>
      <w:bookmarkEnd w:id="1030"/>
      <w:r>
        <w:t>SP-14.5 Bushehr</w:t>
      </w:r>
    </w:p>
    <w:p w14:paraId="7D28B13E" w14:textId="77777777" w:rsidR="00180E7C" w:rsidRDefault="00000000">
      <w:pPr>
        <w:pStyle w:val="FirstParagraph"/>
      </w:pPr>
      <w:r>
        <w:t>SP-14.5.1 Status: power reactor operations continue with international fuel supply; unit completion supported under international safety oversight; spent fuel returns to supplier. Verification: standard power reactor safeguards; the interface with the Permitted Inventory accounting (Bushehr operates on imported fuel, outside the domestic cap).</w:t>
      </w:r>
    </w:p>
    <w:p w14:paraId="1D2483CC" w14:textId="77777777" w:rsidR="00180E7C" w:rsidRDefault="00000000">
      <w:pPr>
        <w:pStyle w:val="Heading2"/>
      </w:pPr>
      <w:bookmarkStart w:id="1032" w:name="sp-14.6-tehran-research-reactor"/>
      <w:bookmarkEnd w:id="1031"/>
      <w:r>
        <w:t>SP-14.6 Tehran Research Reactor</w:t>
      </w:r>
    </w:p>
    <w:p w14:paraId="1CE0EEB8" w14:textId="77777777" w:rsidR="00180E7C" w:rsidRDefault="00000000">
      <w:pPr>
        <w:pStyle w:val="FirstParagraph"/>
      </w:pPr>
      <w:r>
        <w:t xml:space="preserve">SP-14.6.1 Status: medical isotope production continues; fuel from the domestic fabrication pathway at 3.67 percent within the Permitted Inventory accounting, or imported </w:t>
      </w:r>
      <w:r>
        <w:lastRenderedPageBreak/>
        <w:t>assemblies. Verification: research reactor safeguards; fuel fabrication line monitoring at Isfahan.</w:t>
      </w:r>
    </w:p>
    <w:p w14:paraId="7C32D8DD" w14:textId="77777777" w:rsidR="00180E7C" w:rsidRDefault="00000000">
      <w:pPr>
        <w:pStyle w:val="Heading2"/>
      </w:pPr>
      <w:bookmarkStart w:id="1033" w:name="sp-14.7-mines-mills-and-conversion"/>
      <w:bookmarkEnd w:id="1032"/>
      <w:r>
        <w:t>SP-14.7 Mines, Mills, and Conversion</w:t>
      </w:r>
    </w:p>
    <w:p w14:paraId="45B69630" w14:textId="77777777" w:rsidR="00180E7C" w:rsidRDefault="00000000">
      <w:pPr>
        <w:pStyle w:val="FirstParagraph"/>
      </w:pPr>
      <w:r>
        <w:t>SP-14.7.1 Status: uranium mining and milling continue as civil source activity under safeguards reporting; the conversion infrastructure at Isfahan operates within the disposition architecture (diluent production for the campaign has priority). Verification: standard safeguards reporting and complementary access under the Additional Protocol.</w:t>
      </w:r>
    </w:p>
    <w:p w14:paraId="08AC8BAE" w14:textId="77777777" w:rsidR="00180E7C" w:rsidRDefault="00000000">
      <w:pPr>
        <w:pStyle w:val="Heading2"/>
      </w:pPr>
      <w:bookmarkStart w:id="1034" w:name="sp-14.8-the-aggregated-picture"/>
      <w:bookmarkEnd w:id="1033"/>
      <w:r>
        <w:t>SP-14.8 The Aggregated Picture</w:t>
      </w:r>
    </w:p>
    <w:p w14:paraId="5E773653" w14:textId="77777777" w:rsidR="00180E7C" w:rsidRDefault="00000000">
      <w:pPr>
        <w:pStyle w:val="FirstParagraph"/>
      </w:pPr>
      <w:r>
        <w:t>SP-14.8.1 The facility ensemble, post-disposition: one capped enrichment site, one disposition-and-storage complex, one converted isotope center, one redesigned reactor, one power station on imported fuel, one research reactor on capped fuel, and civil source facilities, all under continuous or standing verification. The IAEA’s quarterly computation translates this physical picture into the published breakout floor, and the picture holds it at twelve months permanently.</w:t>
      </w:r>
    </w:p>
    <w:p w14:paraId="1E6BFD20" w14:textId="77777777" w:rsidR="00180E7C" w:rsidRDefault="00000000">
      <w:r>
        <w:br w:type="page"/>
      </w:r>
    </w:p>
    <w:p w14:paraId="2FDA687A" w14:textId="77777777" w:rsidR="00180E7C" w:rsidRDefault="00000000">
      <w:pPr>
        <w:pStyle w:val="Heading1"/>
      </w:pPr>
      <w:bookmarkStart w:id="1035" w:name="Xa974c11983978b5bffc0a661f3bf72a11014094"/>
      <w:bookmarkStart w:id="1036" w:name="_Toc237843196"/>
      <w:bookmarkEnd w:id="1025"/>
      <w:bookmarkEnd w:id="1034"/>
      <w:r>
        <w:lastRenderedPageBreak/>
        <w:t>SUPPLEMENTARY PROTOCOL SP-15: THE HORMUZ AUTHORITY FIRST-YEAR WORK PROGRAM</w:t>
      </w:r>
      <w:bookmarkEnd w:id="1036"/>
    </w:p>
    <w:p w14:paraId="68E6DE78" w14:textId="77777777" w:rsidR="00180E7C" w:rsidRDefault="00000000">
      <w:pPr>
        <w:pStyle w:val="Heading2"/>
      </w:pPr>
      <w:bookmarkStart w:id="1037" w:name="sp-15.1-quarter-1"/>
      <w:r>
        <w:t>SP-15.1 Quarter 1</w:t>
      </w:r>
    </w:p>
    <w:p w14:paraId="7BF18CBD" w14:textId="77777777" w:rsidR="00180E7C" w:rsidRDefault="00000000">
      <w:pPr>
        <w:pStyle w:val="FirstParagraph"/>
      </w:pPr>
      <w:r>
        <w:t>SP-15.1.1 Stand up the interim secretariat; publish Notice to Mariners No. 1 and the interim routing handbook; activate the MOC watch floor; launch the billing system in shadow mode; complete staff recruitment for Cells; host the first User Conference preparatory meeting; begin the ecological baseline survey.</w:t>
      </w:r>
    </w:p>
    <w:p w14:paraId="7CB1251E" w14:textId="77777777" w:rsidR="00180E7C" w:rsidRDefault="00000000">
      <w:pPr>
        <w:pStyle w:val="Heading2"/>
      </w:pPr>
      <w:bookmarkStart w:id="1038" w:name="sp-15.2-quarter-2"/>
      <w:bookmarkEnd w:id="1037"/>
      <w:r>
        <w:t>SP-15.2 Quarter 2</w:t>
      </w:r>
    </w:p>
    <w:p w14:paraId="32E9F6D8" w14:textId="77777777" w:rsidR="00180E7C" w:rsidRDefault="00000000">
      <w:pPr>
        <w:pStyle w:val="FirstParagraph"/>
      </w:pPr>
      <w:r>
        <w:t>SP-15.2.1 Final corridor activation upon mine clearance certification; Catalog commercial launch; contribution program enrollment drive; IMO routing system filing; the first quarterly accounts publication; SAR full operational capability declaration; the first joint spill drill at Tier 2.</w:t>
      </w:r>
    </w:p>
    <w:p w14:paraId="54AF9B8D" w14:textId="77777777" w:rsidR="00180E7C" w:rsidRDefault="00000000">
      <w:pPr>
        <w:pStyle w:val="Heading2"/>
      </w:pPr>
      <w:bookmarkStart w:id="1039" w:name="sp-15.3-quarter-3"/>
      <w:bookmarkEnd w:id="1038"/>
      <w:r>
        <w:t>SP-15.3 Quarter 3</w:t>
      </w:r>
    </w:p>
    <w:p w14:paraId="6FEF5D51" w14:textId="77777777" w:rsidR="00180E7C" w:rsidRDefault="00000000">
      <w:pPr>
        <w:pStyle w:val="FirstParagraph"/>
      </w:pPr>
      <w:r>
        <w:t>SP-15.3.1 Dispute panels at full strength; first detention review exercises; IHO chart editions; the green standard certification program opens; the seafarer desk reaches full service; data portal public launch.</w:t>
      </w:r>
    </w:p>
    <w:p w14:paraId="4CDBD83F" w14:textId="77777777" w:rsidR="00180E7C" w:rsidRDefault="00000000">
      <w:pPr>
        <w:pStyle w:val="Heading2"/>
      </w:pPr>
      <w:bookmarkStart w:id="1040" w:name="sp-15.4-quarter-4"/>
      <w:bookmarkEnd w:id="1039"/>
      <w:r>
        <w:t>SP-15.4 Quarter 4</w:t>
      </w:r>
    </w:p>
    <w:p w14:paraId="2903D16A" w14:textId="77777777" w:rsidR="00180E7C" w:rsidRDefault="00000000">
      <w:pPr>
        <w:pStyle w:val="FirstParagraph"/>
      </w:pPr>
      <w:r>
        <w:t>SP-15.4.1 First annual report preparation; first User Conference (annual session) with the service quality review; budget preparation for biennium two; the governance review cycle’s first annual review; accession conversations with interested littoral states.</w:t>
      </w:r>
    </w:p>
    <w:p w14:paraId="128591E6" w14:textId="77777777" w:rsidR="00180E7C" w:rsidRDefault="00000000">
      <w:pPr>
        <w:pStyle w:val="Heading1"/>
      </w:pPr>
      <w:bookmarkStart w:id="1041" w:name="Xe78741f0c12b403f0168316526ccfdc51c2a281"/>
      <w:bookmarkStart w:id="1042" w:name="_Toc237843197"/>
      <w:bookmarkEnd w:id="1035"/>
      <w:bookmarkEnd w:id="1040"/>
      <w:r>
        <w:t>SUPPLEMENTARY PROTOCOL SP-16: VERIFICATION METHOD HARMONIZATION NOTE</w:t>
      </w:r>
      <w:bookmarkEnd w:id="1042"/>
    </w:p>
    <w:p w14:paraId="293AD57C" w14:textId="77777777" w:rsidR="00180E7C" w:rsidRDefault="00000000">
      <w:pPr>
        <w:pStyle w:val="Heading2"/>
      </w:pPr>
      <w:bookmarkStart w:id="1043" w:name="Xe61346260b23c0929edf30efbf387e54d72d002"/>
      <w:r>
        <w:t>SP-16.1 The Method Question in the Negotiations</w:t>
      </w:r>
    </w:p>
    <w:p w14:paraId="511CC0F9" w14:textId="77777777" w:rsidR="00180E7C" w:rsidRDefault="00000000">
      <w:pPr>
        <w:pStyle w:val="FirstParagraph"/>
      </w:pPr>
      <w:r>
        <w:t>SP-16.1.1 The conference examined several verification architectures from the technical track: adversarial claim-verification designs, proportional compliance engines, alignment protocols emphasizing mutual narrative consistency, and hardline snapback models. The plenary adopted the Cothrom Method as the single unified engine because it alone combines: adversarial rigor in claim handling; proportional, reversible consequences; guaranteed earn-back; data symmetry; and the explicit rejection of binary collapse dynamics.</w:t>
      </w:r>
    </w:p>
    <w:p w14:paraId="572402DF" w14:textId="77777777" w:rsidR="00180E7C" w:rsidRDefault="00000000">
      <w:pPr>
        <w:pStyle w:val="Heading2"/>
      </w:pPr>
      <w:bookmarkStart w:id="1044" w:name="sp-16.2-harmonization-rules"/>
      <w:bookmarkEnd w:id="1043"/>
      <w:r>
        <w:t>SP-16.2 Harmonization Rules</w:t>
      </w:r>
    </w:p>
    <w:p w14:paraId="1B8F0CDD" w14:textId="77777777" w:rsidR="00180E7C" w:rsidRDefault="00000000">
      <w:pPr>
        <w:pStyle w:val="FirstParagraph"/>
      </w:pPr>
      <w:r>
        <w:t xml:space="preserve">SP-16.2.1 Where any prior framework document of the negotiation record employs a verification concept at variance with the Cothrom Method, the Cothrom Method governs as </w:t>
      </w:r>
      <w:r>
        <w:lastRenderedPageBreak/>
        <w:t>Treaty law. Elements of other designs survive only as absorbed into Annexes C, D, and E. No parallel or competing verification mechanism operates between the Parties; the Engine is the single channel, preventing forum shopping and contradictory determinations.</w:t>
      </w:r>
    </w:p>
    <w:p w14:paraId="59ED4AAF" w14:textId="77777777" w:rsidR="00180E7C" w:rsidRDefault="00000000">
      <w:pPr>
        <w:pStyle w:val="Heading2"/>
      </w:pPr>
      <w:bookmarkStart w:id="1045" w:name="sp-16.3-the-alignment-function"/>
      <w:bookmarkEnd w:id="1044"/>
      <w:r>
        <w:t>SP-16.3 The Alignment Function</w:t>
      </w:r>
    </w:p>
    <w:p w14:paraId="7F56F197" w14:textId="77777777" w:rsidR="00180E7C" w:rsidRDefault="00000000">
      <w:pPr>
        <w:pStyle w:val="FirstParagraph"/>
      </w:pPr>
      <w:r>
        <w:t>SP-16.3.1 The narrative-alignment function that alternative protocols proposed survives in operational form within the Joint Communication Cell (Article 12) and the joint milestone announcement system: the Parties align their public accounts of shared events through a single factual record, while the Engine handles the technical record. Alignment of stories serves peace; alignment of facts serves truth; the Treaty assigns each to its proper organ.</w:t>
      </w:r>
    </w:p>
    <w:p w14:paraId="457F1BC6" w14:textId="77777777" w:rsidR="00180E7C" w:rsidRDefault="00000000">
      <w:r>
        <w:br w:type="page"/>
      </w:r>
    </w:p>
    <w:p w14:paraId="385966C1" w14:textId="77777777" w:rsidR="00180E7C" w:rsidRDefault="00000000">
      <w:pPr>
        <w:pStyle w:val="Heading1"/>
      </w:pPr>
      <w:bookmarkStart w:id="1046" w:name="Xbb5c279af79ababf9b08a5803922a8ed2f5d977"/>
      <w:bookmarkStart w:id="1047" w:name="_Toc237843198"/>
      <w:bookmarkEnd w:id="1041"/>
      <w:bookmarkEnd w:id="1045"/>
      <w:r>
        <w:lastRenderedPageBreak/>
        <w:t>SUPPLEMENTARY PROTOCOL SP-17: THE CONSOLIDATION YEARS (YEAR 2 TO YEAR 5 OUTLOOK)</w:t>
      </w:r>
      <w:bookmarkEnd w:id="1047"/>
    </w:p>
    <w:p w14:paraId="58C7BC33" w14:textId="77777777" w:rsidR="00180E7C" w:rsidRDefault="00000000">
      <w:pPr>
        <w:pStyle w:val="Heading2"/>
      </w:pPr>
      <w:bookmarkStart w:id="1048" w:name="sp-17.1-year-2"/>
      <w:r>
        <w:t>SP-17.1 Year 2</w:t>
      </w:r>
    </w:p>
    <w:p w14:paraId="018BD250" w14:textId="77777777" w:rsidR="00180E7C" w:rsidRDefault="00000000">
      <w:pPr>
        <w:pStyle w:val="FirstParagraph"/>
      </w:pPr>
      <w:r>
        <w:t>SP-17.1.1 Intermediate assay campaign completion and Permitted Inventory steady state; Fordow Center operational; residual sanctions measures terminate; IFI normalization completes; preferential trade framework negotiation concludes; the corridor system processes its first full calendar year at scale; the Authority’s biennium two budget; the regional arms control track produces its first instrument draft.</w:t>
      </w:r>
    </w:p>
    <w:p w14:paraId="6C0FFC1C" w14:textId="77777777" w:rsidR="00180E7C" w:rsidRDefault="00000000">
      <w:pPr>
        <w:pStyle w:val="Heading2"/>
      </w:pPr>
      <w:bookmarkStart w:id="1049" w:name="sp-17.2-year-3"/>
      <w:bookmarkEnd w:id="1048"/>
      <w:r>
        <w:t>SP-17.2 Year 3</w:t>
      </w:r>
    </w:p>
    <w:p w14:paraId="3C47AF17" w14:textId="77777777" w:rsidR="00180E7C" w:rsidRDefault="00000000">
      <w:pPr>
        <w:pStyle w:val="FirstParagraph"/>
      </w:pPr>
      <w:r>
        <w:t>SP-17.2.1 Embassies at full strength; the RDF at peak disbursement; Lebanon architecture at steady state with LAF coverage complete; the RSCSC adopts the regional non-aggression declaration’s implementing instruments; FATF normalization target date; the first comprehensive review of the Cothrom Engine by the Third-Party Expert Pool.</w:t>
      </w:r>
    </w:p>
    <w:p w14:paraId="2514E08C" w14:textId="77777777" w:rsidR="00180E7C" w:rsidRDefault="00000000">
      <w:pPr>
        <w:pStyle w:val="Heading2"/>
      </w:pPr>
      <w:bookmarkStart w:id="1050" w:name="sp-17.3-year-4"/>
      <w:bookmarkEnd w:id="1049"/>
      <w:r>
        <w:t>SP-17.3 Year 4</w:t>
      </w:r>
    </w:p>
    <w:p w14:paraId="2CF71082" w14:textId="77777777" w:rsidR="00180E7C" w:rsidRDefault="00000000">
      <w:pPr>
        <w:pStyle w:val="FirstParagraph"/>
      </w:pPr>
      <w:r>
        <w:t>SP-17.3.1 Investment flows reach the normalization benchmark of the EMB index; the environmental program’s first measurable outcomes (dust storm frequency indicators, wetland recovery); the exchange Foundation at full program; the regional refugee return programs at scale.</w:t>
      </w:r>
    </w:p>
    <w:p w14:paraId="1D41272B" w14:textId="77777777" w:rsidR="00180E7C" w:rsidRDefault="00000000">
      <w:pPr>
        <w:pStyle w:val="Heading2"/>
      </w:pPr>
      <w:bookmarkStart w:id="1051" w:name="sp-17.4-year-5"/>
      <w:bookmarkEnd w:id="1050"/>
      <w:r>
        <w:t>SP-17.4 Year 5</w:t>
      </w:r>
    </w:p>
    <w:p w14:paraId="67884B39" w14:textId="77777777" w:rsidR="00180E7C" w:rsidRDefault="00000000">
      <w:pPr>
        <w:pStyle w:val="FirstParagraph"/>
      </w:pPr>
      <w:r>
        <w:t>SP-17.4.1 The five-year review conference (Article 75.3): full architecture assessment; permanence confirmation; strengthening adjustments by consensus; the second-term mandate decisions for organs and office-holders; the Treaty’s transition from implementation to maturity, with the verification architecture reduced to its efficient steady-state footprint and the political relationship standing on its own normalized foundations.</w:t>
      </w:r>
    </w:p>
    <w:p w14:paraId="72BAC928" w14:textId="77777777" w:rsidR="00180E7C" w:rsidRDefault="00000000">
      <w:r>
        <w:br w:type="page"/>
      </w:r>
    </w:p>
    <w:p w14:paraId="02C4029D" w14:textId="77777777" w:rsidR="00180E7C" w:rsidRDefault="00000000">
      <w:pPr>
        <w:pStyle w:val="Heading1"/>
      </w:pPr>
      <w:bookmarkStart w:id="1052" w:name="Xd6b7f679c8ff3629a20639766362383ab2aea49"/>
      <w:bookmarkStart w:id="1053" w:name="_Toc237843199"/>
      <w:bookmarkEnd w:id="1046"/>
      <w:bookmarkEnd w:id="1051"/>
      <w:r>
        <w:lastRenderedPageBreak/>
        <w:t>SUPPLEMENTARY PROTOCOL SP-18: RECORD OF CONSOLIDATION: HOW THE ARCHITECTURE ASSEMBLED</w:t>
      </w:r>
      <w:bookmarkEnd w:id="1053"/>
    </w:p>
    <w:p w14:paraId="34A4F6E9" w14:textId="77777777" w:rsidR="00180E7C" w:rsidRDefault="00000000">
      <w:pPr>
        <w:pStyle w:val="Heading2"/>
      </w:pPr>
      <w:bookmarkStart w:id="1054" w:name="sp-18.1-purpose"/>
      <w:r>
        <w:t>SP-18.1 Purpose</w:t>
      </w:r>
    </w:p>
    <w:p w14:paraId="37A11320" w14:textId="77777777" w:rsidR="00180E7C" w:rsidRDefault="00000000">
      <w:pPr>
        <w:pStyle w:val="FirstParagraph"/>
      </w:pPr>
      <w:r>
        <w:t>SP-18.1.1 This Protocol records, for the treaty’s users and for history, how the final architecture assembled from the negotiating track’s working documents. The conference produced dozens of frameworks, drafts, and annexes across 2026; this Treaty consolidates them. The record shows where each strand entered the fabric.</w:t>
      </w:r>
    </w:p>
    <w:p w14:paraId="3967923C" w14:textId="77777777" w:rsidR="00180E7C" w:rsidRDefault="00000000">
      <w:pPr>
        <w:pStyle w:val="Heading2"/>
      </w:pPr>
      <w:bookmarkStart w:id="1055" w:name="X34c448f625cb4163c1b999fadc1d2a4a0163712"/>
      <w:bookmarkEnd w:id="1054"/>
      <w:r>
        <w:t>SP-18.2 The Ceasefire and Stabilization Strand</w:t>
      </w:r>
    </w:p>
    <w:p w14:paraId="5561D8F1" w14:textId="77777777" w:rsidR="00180E7C" w:rsidRDefault="00000000">
      <w:pPr>
        <w:pStyle w:val="FirstParagraph"/>
      </w:pPr>
      <w:r>
        <w:t>SP-18.2.1 The stabilization strand ran through the provisional frameworks of the spring and summer of 2026: the interim ceasefire instruments, the provisional steps architecture with its demerit innovation, and the phased stabilization accords. Their contributions to this Treaty: the phased gate logic (now Annex P), the demerit point concept (now Annex D), the step-back and earn-back engine (now Annex E), and the discipline of objective, calendar-backed sequencing.</w:t>
      </w:r>
    </w:p>
    <w:p w14:paraId="25CC8AE4" w14:textId="77777777" w:rsidR="00180E7C" w:rsidRDefault="00000000">
      <w:pPr>
        <w:pStyle w:val="Heading2"/>
      </w:pPr>
      <w:bookmarkStart w:id="1056" w:name="sp-18.3-the-hormuz-strand"/>
      <w:bookmarkEnd w:id="1055"/>
      <w:r>
        <w:t>SP-18.3 The Hormuz Strand</w:t>
      </w:r>
    </w:p>
    <w:p w14:paraId="32F9118A" w14:textId="77777777" w:rsidR="00180E7C" w:rsidRDefault="00000000">
      <w:pPr>
        <w:pStyle w:val="FirstParagraph"/>
      </w:pPr>
      <w:r>
        <w:t>SP-18.3.1 The maritime strand produced the richest document set: the bilateral corridor understandings, the stewardship charters, the navigation treaties, the humanitarian maritime frameworks, and finally the joint Oman-Iran governance draft transmitted for final leadership approval. Their contributions: the corridor geometry and interim routing (Annex B), the coastal-state twin-key governance (Article 31), the voluntary services revenue model on the Malacca precedent (Article 37), the navigation safety and deconfliction protocol (Annex J), the transit fee catalog discipline (Annex B.9), the confidence-building measures (Titles II and III), and the humanitarian asset and mariner protections (Annex M).</w:t>
      </w:r>
    </w:p>
    <w:p w14:paraId="1822A444" w14:textId="77777777" w:rsidR="00180E7C" w:rsidRDefault="00000000">
      <w:pPr>
        <w:pStyle w:val="Heading2"/>
      </w:pPr>
      <w:bookmarkStart w:id="1057" w:name="sp-18.4-the-nuclear-strand"/>
      <w:bookmarkEnd w:id="1056"/>
      <w:r>
        <w:t>SP-18.4 The Nuclear Strand</w:t>
      </w:r>
    </w:p>
    <w:p w14:paraId="040482F9" w14:textId="77777777" w:rsidR="00180E7C" w:rsidRDefault="00000000">
      <w:pPr>
        <w:pStyle w:val="FirstParagraph"/>
      </w:pPr>
      <w:r>
        <w:t>SP-18.4.1 The nuclear strand produced the disposition pathway studies, the escrow and dual-key custody designs, the batch-splitting concepts, and the creative disposition menu (twenty-five pathways examined, from traceability ledgers to industrial conversion). Their contributions: the in-Iran down-blending campaign (Article 61.2, Annex F), the Uranium Ledger (Article 61.4), the dual-key storage (Annex F.8), the irreversibility classification (Annex F.9), and the Joint Disposition Fund (Annex F.9.4).</w:t>
      </w:r>
    </w:p>
    <w:p w14:paraId="3C213BC3" w14:textId="77777777" w:rsidR="00180E7C" w:rsidRDefault="00000000">
      <w:pPr>
        <w:pStyle w:val="Heading2"/>
      </w:pPr>
      <w:bookmarkStart w:id="1058" w:name="sp-18.5-the-economic-strand"/>
      <w:bookmarkEnd w:id="1057"/>
      <w:r>
        <w:t>SP-18.5 The Economic Strand</w:t>
      </w:r>
    </w:p>
    <w:p w14:paraId="61FE6F3F" w14:textId="77777777" w:rsidR="00180E7C" w:rsidRDefault="00000000">
      <w:pPr>
        <w:pStyle w:val="FirstParagraph"/>
      </w:pPr>
      <w:r>
        <w:t>SP-18.5.1 The economic strand produced the sanctions relief compliance annexes, the two-pool synchronized disbursement designs, the escrow release mechanics, and the reconstruction fund protocols. Their contributions: the phase-locked termination schedule (Annex G), the Two-Pool Mechanism (Annex H), the RDF Governance Charter (Annex I), and the over-compliance discipline (Article 55.2).</w:t>
      </w:r>
    </w:p>
    <w:p w14:paraId="78FEA1B2" w14:textId="77777777" w:rsidR="00180E7C" w:rsidRDefault="00000000">
      <w:pPr>
        <w:pStyle w:val="Heading2"/>
      </w:pPr>
      <w:bookmarkStart w:id="1059" w:name="sp-18.6-the-verification-strand"/>
      <w:bookmarkEnd w:id="1058"/>
      <w:r>
        <w:lastRenderedPageBreak/>
        <w:t>SP-18.6 The Verification Strand</w:t>
      </w:r>
    </w:p>
    <w:p w14:paraId="5B8E1363" w14:textId="77777777" w:rsidR="00180E7C" w:rsidRDefault="00000000">
      <w:pPr>
        <w:pStyle w:val="FirstParagraph"/>
      </w:pPr>
      <w:r>
        <w:t>SP-18.6.1 The verification strand produced the adversarial claim-verification architectures, the proportional compliance engines, the alignment protocols, and the hardened implementation-testing designs. The conference integrated them into the Cothrom Method (Annex C, SP-16), which the plenary adopted as the single engine, retiring competing designs per the harmonization rules.</w:t>
      </w:r>
    </w:p>
    <w:p w14:paraId="748AA231" w14:textId="77777777" w:rsidR="00180E7C" w:rsidRDefault="00000000">
      <w:pPr>
        <w:pStyle w:val="Heading2"/>
      </w:pPr>
      <w:bookmarkStart w:id="1060" w:name="sp-18.7-the-regional-strand"/>
      <w:bookmarkEnd w:id="1059"/>
      <w:r>
        <w:t>SP-18.7 The Regional Strand</w:t>
      </w:r>
    </w:p>
    <w:p w14:paraId="057D1ADB" w14:textId="77777777" w:rsidR="00180E7C" w:rsidRDefault="00000000">
      <w:pPr>
        <w:pStyle w:val="FirstParagraph"/>
      </w:pPr>
      <w:r>
        <w:t>SP-18.7.1 The regional strand produced the Lebanon linkage protocols, the non-state actor frameworks, the parallel binding ceasefire designs, and the regional charter drafts. Their contributions: the parallel-instrument discipline (Article 76.1.1), the Lebanese sovereign track (Annex L, Part Three), the border monitoring architecture (Annex L, Section 7), and the RSCSC outer layer (Article 8).</w:t>
      </w:r>
    </w:p>
    <w:p w14:paraId="2B7BEA26" w14:textId="77777777" w:rsidR="00180E7C" w:rsidRDefault="00000000">
      <w:pPr>
        <w:pStyle w:val="Heading2"/>
      </w:pPr>
      <w:bookmarkStart w:id="1061" w:name="Xbee2096b5f13298e56fa63dbc8ce807880e516e"/>
      <w:bookmarkEnd w:id="1060"/>
      <w:r>
        <w:t>SP-18.8 The Governance and Continuity Strand</w:t>
      </w:r>
    </w:p>
    <w:p w14:paraId="4BD27C2F" w14:textId="77777777" w:rsidR="00180E7C" w:rsidRDefault="00000000">
      <w:pPr>
        <w:pStyle w:val="FirstParagraph"/>
      </w:pPr>
      <w:r>
        <w:t>SP-18.8.1 The continuity strand produced the institutional continuity annexes, the state-to-state commitment designs, the guarantor matrix protocols, and the deadlock-breaking mechanisms. Their contributions: the continuity and succession machinery (Article 15, Annex N), the phase-gate deadlock fallbacks (Annex P.9), and the Guarantor Matrix itself (Article 26, Annex N).</w:t>
      </w:r>
    </w:p>
    <w:p w14:paraId="64F302BF" w14:textId="77777777" w:rsidR="00180E7C" w:rsidRDefault="00000000">
      <w:pPr>
        <w:pStyle w:val="Heading2"/>
      </w:pPr>
      <w:bookmarkStart w:id="1062" w:name="sp-18.9-the-methodological-strand"/>
      <w:bookmarkEnd w:id="1061"/>
      <w:r>
        <w:t>SP-18.9 The Methodological Strand</w:t>
      </w:r>
    </w:p>
    <w:p w14:paraId="59BD33E6" w14:textId="77777777" w:rsidR="00180E7C" w:rsidRDefault="00000000">
      <w:pPr>
        <w:pStyle w:val="FirstParagraph"/>
      </w:pPr>
      <w:r>
        <w:t>SP-18.9.1 The drafting strand produced the present-tense sovereign drafting matrix, the mutual architecture framing rule, and the mechanical enforcement discipline. This Treaty adopted that drafting law in full: every clause of the final instrument complies with it, and the compliance note records the convention at the front of the document.</w:t>
      </w:r>
    </w:p>
    <w:p w14:paraId="4A7CE894" w14:textId="77777777" w:rsidR="00180E7C" w:rsidRDefault="00000000">
      <w:r>
        <w:br w:type="page"/>
      </w:r>
    </w:p>
    <w:p w14:paraId="34F3506E" w14:textId="77777777" w:rsidR="00180E7C" w:rsidRDefault="00000000">
      <w:pPr>
        <w:pStyle w:val="Heading1"/>
      </w:pPr>
      <w:bookmarkStart w:id="1063" w:name="X430b2dda86188f9609e305cce84e87c236fb4cd"/>
      <w:bookmarkStart w:id="1064" w:name="_Toc237843200"/>
      <w:bookmarkEnd w:id="1052"/>
      <w:bookmarkEnd w:id="1062"/>
      <w:r>
        <w:lastRenderedPageBreak/>
        <w:t>SUPPLEMENTARY PROTOCOL SP-19: ORGAN DEPLOYMENT AND STAFFING PLANS</w:t>
      </w:r>
      <w:bookmarkEnd w:id="1064"/>
    </w:p>
    <w:p w14:paraId="75615D8E" w14:textId="77777777" w:rsidR="00180E7C" w:rsidRDefault="00000000">
      <w:pPr>
        <w:pStyle w:val="Heading2"/>
      </w:pPr>
      <w:bookmarkStart w:id="1065" w:name="sp-19.1-deployment-sequence"/>
      <w:r>
        <w:t>SP-19.1 Deployment Sequence</w:t>
      </w:r>
    </w:p>
    <w:p w14:paraId="334F095F" w14:textId="77777777" w:rsidR="00180E7C" w:rsidRDefault="00000000">
      <w:pPr>
        <w:pStyle w:val="FirstParagraph"/>
      </w:pPr>
      <w:r>
        <w:t>SP-19.1.1 Treaty organs deploy in the sequence of Annex P: interim secretariats from signature; full staffing against the phase gates. The deployment plan below fixes the establishments.</w:t>
      </w:r>
    </w:p>
    <w:p w14:paraId="7A2753DB" w14:textId="77777777" w:rsidR="00180E7C" w:rsidRDefault="00000000">
      <w:pPr>
        <w:pStyle w:val="Heading2"/>
      </w:pPr>
      <w:bookmarkStart w:id="1066" w:name="sp-19.2-establishment-tables"/>
      <w:bookmarkEnd w:id="1065"/>
      <w:r>
        <w:t>SP-19.2 Establishment Tables</w:t>
      </w:r>
    </w:p>
    <w:tbl>
      <w:tblPr>
        <w:tblStyle w:val="Table"/>
        <w:tblW w:w="5000" w:type="pct"/>
        <w:tblLook w:val="0020" w:firstRow="1" w:lastRow="0" w:firstColumn="0" w:lastColumn="0" w:noHBand="0" w:noVBand="0"/>
      </w:tblPr>
      <w:tblGrid>
        <w:gridCol w:w="2334"/>
        <w:gridCol w:w="1801"/>
        <w:gridCol w:w="2347"/>
        <w:gridCol w:w="1797"/>
        <w:gridCol w:w="1297"/>
      </w:tblGrid>
      <w:tr w:rsidR="00180E7C" w14:paraId="3ACCB35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1C8EA4D" w14:textId="77777777" w:rsidR="00180E7C" w:rsidRDefault="00000000">
            <w:pPr>
              <w:pStyle w:val="Compact"/>
            </w:pPr>
            <w:r>
              <w:t>Organ</w:t>
            </w:r>
          </w:p>
        </w:tc>
        <w:tc>
          <w:tcPr>
            <w:tcW w:w="0" w:type="auto"/>
          </w:tcPr>
          <w:p w14:paraId="23D15BA0" w14:textId="77777777" w:rsidR="00180E7C" w:rsidRDefault="00000000">
            <w:pPr>
              <w:pStyle w:val="Compact"/>
            </w:pPr>
            <w:r>
              <w:t>Location</w:t>
            </w:r>
          </w:p>
        </w:tc>
        <w:tc>
          <w:tcPr>
            <w:tcW w:w="0" w:type="auto"/>
          </w:tcPr>
          <w:p w14:paraId="31B4BFD3" w14:textId="77777777" w:rsidR="00180E7C" w:rsidRDefault="00000000">
            <w:pPr>
              <w:pStyle w:val="Compact"/>
            </w:pPr>
            <w:r>
              <w:t>Establishment</w:t>
            </w:r>
          </w:p>
        </w:tc>
        <w:tc>
          <w:tcPr>
            <w:tcW w:w="0" w:type="auto"/>
          </w:tcPr>
          <w:p w14:paraId="7E2FCC0D" w14:textId="77777777" w:rsidR="00180E7C" w:rsidRDefault="00000000">
            <w:pPr>
              <w:pStyle w:val="Compact"/>
            </w:pPr>
            <w:r>
              <w:t>Initial Deployment</w:t>
            </w:r>
          </w:p>
        </w:tc>
        <w:tc>
          <w:tcPr>
            <w:tcW w:w="0" w:type="auto"/>
          </w:tcPr>
          <w:p w14:paraId="0AB41D17" w14:textId="77777777" w:rsidR="00180E7C" w:rsidRDefault="00000000">
            <w:pPr>
              <w:pStyle w:val="Compact"/>
            </w:pPr>
            <w:r>
              <w:t>Full Strength</w:t>
            </w:r>
          </w:p>
        </w:tc>
      </w:tr>
      <w:tr w:rsidR="00180E7C" w14:paraId="21633451" w14:textId="77777777">
        <w:tc>
          <w:tcPr>
            <w:tcW w:w="0" w:type="auto"/>
          </w:tcPr>
          <w:p w14:paraId="5A086B4A" w14:textId="77777777" w:rsidR="00180E7C" w:rsidRDefault="00000000">
            <w:pPr>
              <w:pStyle w:val="Compact"/>
            </w:pPr>
            <w:r>
              <w:t>HCC Secretariat</w:t>
            </w:r>
          </w:p>
        </w:tc>
        <w:tc>
          <w:tcPr>
            <w:tcW w:w="0" w:type="auto"/>
          </w:tcPr>
          <w:p w14:paraId="1008E48E" w14:textId="77777777" w:rsidR="00180E7C" w:rsidRDefault="00000000">
            <w:pPr>
              <w:pStyle w:val="Compact"/>
            </w:pPr>
            <w:r>
              <w:t>Geneva</w:t>
            </w:r>
          </w:p>
        </w:tc>
        <w:tc>
          <w:tcPr>
            <w:tcW w:w="0" w:type="auto"/>
          </w:tcPr>
          <w:p w14:paraId="4034D9ED" w14:textId="77777777" w:rsidR="00180E7C" w:rsidRDefault="00000000">
            <w:pPr>
              <w:pStyle w:val="Compact"/>
            </w:pPr>
            <w:r>
              <w:t>18</w:t>
            </w:r>
          </w:p>
        </w:tc>
        <w:tc>
          <w:tcPr>
            <w:tcW w:w="0" w:type="auto"/>
          </w:tcPr>
          <w:p w14:paraId="469937BB" w14:textId="77777777" w:rsidR="00180E7C" w:rsidRDefault="00000000">
            <w:pPr>
              <w:pStyle w:val="Compact"/>
            </w:pPr>
            <w:r>
              <w:t>Signature</w:t>
            </w:r>
          </w:p>
        </w:tc>
        <w:tc>
          <w:tcPr>
            <w:tcW w:w="0" w:type="auto"/>
          </w:tcPr>
          <w:p w14:paraId="7EFBEA94" w14:textId="77777777" w:rsidR="00180E7C" w:rsidRDefault="00000000">
            <w:pPr>
              <w:pStyle w:val="Compact"/>
            </w:pPr>
            <w:r>
              <w:t>Day 60</w:t>
            </w:r>
          </w:p>
        </w:tc>
      </w:tr>
      <w:tr w:rsidR="00180E7C" w14:paraId="3C6E0354" w14:textId="77777777">
        <w:tc>
          <w:tcPr>
            <w:tcW w:w="0" w:type="auto"/>
          </w:tcPr>
          <w:p w14:paraId="75DAC756" w14:textId="77777777" w:rsidR="00180E7C" w:rsidRDefault="00000000">
            <w:pPr>
              <w:pStyle w:val="Compact"/>
            </w:pPr>
            <w:r>
              <w:t>JMC</w:t>
            </w:r>
          </w:p>
        </w:tc>
        <w:tc>
          <w:tcPr>
            <w:tcW w:w="0" w:type="auto"/>
          </w:tcPr>
          <w:p w14:paraId="651E2C1F" w14:textId="77777777" w:rsidR="00180E7C" w:rsidRDefault="00000000">
            <w:pPr>
              <w:pStyle w:val="Compact"/>
            </w:pPr>
            <w:r>
              <w:t>Muscat / Doha</w:t>
            </w:r>
          </w:p>
        </w:tc>
        <w:tc>
          <w:tcPr>
            <w:tcW w:w="0" w:type="auto"/>
          </w:tcPr>
          <w:p w14:paraId="518F8118" w14:textId="77777777" w:rsidR="00180E7C" w:rsidRDefault="00000000">
            <w:pPr>
              <w:pStyle w:val="Compact"/>
            </w:pPr>
            <w:r>
              <w:t>52 professional + 30 support</w:t>
            </w:r>
          </w:p>
        </w:tc>
        <w:tc>
          <w:tcPr>
            <w:tcW w:w="0" w:type="auto"/>
          </w:tcPr>
          <w:p w14:paraId="09585BC6" w14:textId="77777777" w:rsidR="00180E7C" w:rsidRDefault="00000000">
            <w:pPr>
              <w:pStyle w:val="Compact"/>
            </w:pPr>
            <w:r>
              <w:t>Day 7</w:t>
            </w:r>
          </w:p>
        </w:tc>
        <w:tc>
          <w:tcPr>
            <w:tcW w:w="0" w:type="auto"/>
          </w:tcPr>
          <w:p w14:paraId="1DC57D8B" w14:textId="77777777" w:rsidR="00180E7C" w:rsidRDefault="00000000">
            <w:pPr>
              <w:pStyle w:val="Compact"/>
            </w:pPr>
            <w:r>
              <w:t>Day 60</w:t>
            </w:r>
          </w:p>
        </w:tc>
      </w:tr>
      <w:tr w:rsidR="00180E7C" w14:paraId="4E92C67A" w14:textId="77777777">
        <w:tc>
          <w:tcPr>
            <w:tcW w:w="0" w:type="auto"/>
          </w:tcPr>
          <w:p w14:paraId="63829271" w14:textId="77777777" w:rsidR="00180E7C" w:rsidRDefault="00000000">
            <w:pPr>
              <w:pStyle w:val="Compact"/>
            </w:pPr>
            <w:r>
              <w:t>JOC-Muscat</w:t>
            </w:r>
          </w:p>
        </w:tc>
        <w:tc>
          <w:tcPr>
            <w:tcW w:w="0" w:type="auto"/>
          </w:tcPr>
          <w:p w14:paraId="2338EC98" w14:textId="77777777" w:rsidR="00180E7C" w:rsidRDefault="00000000">
            <w:pPr>
              <w:pStyle w:val="Compact"/>
            </w:pPr>
            <w:r>
              <w:t>Muscat</w:t>
            </w:r>
          </w:p>
        </w:tc>
        <w:tc>
          <w:tcPr>
            <w:tcW w:w="0" w:type="auto"/>
          </w:tcPr>
          <w:p w14:paraId="59D93A24" w14:textId="77777777" w:rsidR="00180E7C" w:rsidRDefault="00000000">
            <w:pPr>
              <w:pStyle w:val="Compact"/>
            </w:pPr>
            <w:r>
              <w:t>40</w:t>
            </w:r>
          </w:p>
        </w:tc>
        <w:tc>
          <w:tcPr>
            <w:tcW w:w="0" w:type="auto"/>
          </w:tcPr>
          <w:p w14:paraId="7D985662" w14:textId="77777777" w:rsidR="00180E7C" w:rsidRDefault="00000000">
            <w:pPr>
              <w:pStyle w:val="Compact"/>
            </w:pPr>
            <w:r>
              <w:t>Day 14</w:t>
            </w:r>
          </w:p>
        </w:tc>
        <w:tc>
          <w:tcPr>
            <w:tcW w:w="0" w:type="auto"/>
          </w:tcPr>
          <w:p w14:paraId="5836EF9A" w14:textId="77777777" w:rsidR="00180E7C" w:rsidRDefault="00000000">
            <w:pPr>
              <w:pStyle w:val="Compact"/>
            </w:pPr>
            <w:r>
              <w:t>Day 30</w:t>
            </w:r>
          </w:p>
        </w:tc>
      </w:tr>
      <w:tr w:rsidR="00180E7C" w14:paraId="76AD87D0" w14:textId="77777777">
        <w:tc>
          <w:tcPr>
            <w:tcW w:w="0" w:type="auto"/>
          </w:tcPr>
          <w:p w14:paraId="6FD526DC" w14:textId="77777777" w:rsidR="00180E7C" w:rsidRDefault="00000000">
            <w:pPr>
              <w:pStyle w:val="Compact"/>
            </w:pPr>
            <w:r>
              <w:t>JOC-Doha</w:t>
            </w:r>
          </w:p>
        </w:tc>
        <w:tc>
          <w:tcPr>
            <w:tcW w:w="0" w:type="auto"/>
          </w:tcPr>
          <w:p w14:paraId="5F40BF61" w14:textId="77777777" w:rsidR="00180E7C" w:rsidRDefault="00000000">
            <w:pPr>
              <w:pStyle w:val="Compact"/>
            </w:pPr>
            <w:r>
              <w:t>Doha</w:t>
            </w:r>
          </w:p>
        </w:tc>
        <w:tc>
          <w:tcPr>
            <w:tcW w:w="0" w:type="auto"/>
          </w:tcPr>
          <w:p w14:paraId="51FAD703" w14:textId="77777777" w:rsidR="00180E7C" w:rsidRDefault="00000000">
            <w:pPr>
              <w:pStyle w:val="Compact"/>
            </w:pPr>
            <w:r>
              <w:t>36</w:t>
            </w:r>
          </w:p>
        </w:tc>
        <w:tc>
          <w:tcPr>
            <w:tcW w:w="0" w:type="auto"/>
          </w:tcPr>
          <w:p w14:paraId="1F1761B6" w14:textId="77777777" w:rsidR="00180E7C" w:rsidRDefault="00000000">
            <w:pPr>
              <w:pStyle w:val="Compact"/>
            </w:pPr>
            <w:r>
              <w:t>Day 14</w:t>
            </w:r>
          </w:p>
        </w:tc>
        <w:tc>
          <w:tcPr>
            <w:tcW w:w="0" w:type="auto"/>
          </w:tcPr>
          <w:p w14:paraId="5F0C51DE" w14:textId="77777777" w:rsidR="00180E7C" w:rsidRDefault="00000000">
            <w:pPr>
              <w:pStyle w:val="Compact"/>
            </w:pPr>
            <w:r>
              <w:t>Day 30</w:t>
            </w:r>
          </w:p>
        </w:tc>
      </w:tr>
      <w:tr w:rsidR="00180E7C" w14:paraId="53009775" w14:textId="77777777">
        <w:tc>
          <w:tcPr>
            <w:tcW w:w="0" w:type="auto"/>
          </w:tcPr>
          <w:p w14:paraId="7A40326A" w14:textId="77777777" w:rsidR="00180E7C" w:rsidRDefault="00000000">
            <w:pPr>
              <w:pStyle w:val="Compact"/>
            </w:pPr>
            <w:r>
              <w:t>Authority Secretariat</w:t>
            </w:r>
          </w:p>
        </w:tc>
        <w:tc>
          <w:tcPr>
            <w:tcW w:w="0" w:type="auto"/>
          </w:tcPr>
          <w:p w14:paraId="0BDB1674" w14:textId="77777777" w:rsidR="00180E7C" w:rsidRDefault="00000000">
            <w:pPr>
              <w:pStyle w:val="Compact"/>
            </w:pPr>
            <w:r>
              <w:t>Muscat</w:t>
            </w:r>
          </w:p>
        </w:tc>
        <w:tc>
          <w:tcPr>
            <w:tcW w:w="0" w:type="auto"/>
          </w:tcPr>
          <w:p w14:paraId="6EF9230D" w14:textId="77777777" w:rsidR="00180E7C" w:rsidRDefault="00000000">
            <w:pPr>
              <w:pStyle w:val="Compact"/>
            </w:pPr>
            <w:r>
              <w:t>42</w:t>
            </w:r>
          </w:p>
        </w:tc>
        <w:tc>
          <w:tcPr>
            <w:tcW w:w="0" w:type="auto"/>
          </w:tcPr>
          <w:p w14:paraId="66C28B6D" w14:textId="77777777" w:rsidR="00180E7C" w:rsidRDefault="00000000">
            <w:pPr>
              <w:pStyle w:val="Compact"/>
            </w:pPr>
            <w:r>
              <w:t>Signature (interim)</w:t>
            </w:r>
          </w:p>
        </w:tc>
        <w:tc>
          <w:tcPr>
            <w:tcW w:w="0" w:type="auto"/>
          </w:tcPr>
          <w:p w14:paraId="506BCF68" w14:textId="77777777" w:rsidR="00180E7C" w:rsidRDefault="00000000">
            <w:pPr>
              <w:pStyle w:val="Compact"/>
            </w:pPr>
            <w:r>
              <w:t>Day 90</w:t>
            </w:r>
          </w:p>
        </w:tc>
      </w:tr>
      <w:tr w:rsidR="00180E7C" w14:paraId="588B42C2" w14:textId="77777777">
        <w:tc>
          <w:tcPr>
            <w:tcW w:w="0" w:type="auto"/>
          </w:tcPr>
          <w:p w14:paraId="58BF32B4" w14:textId="77777777" w:rsidR="00180E7C" w:rsidRDefault="00000000">
            <w:pPr>
              <w:pStyle w:val="Compact"/>
            </w:pPr>
            <w:r>
              <w:t>MOC</w:t>
            </w:r>
          </w:p>
        </w:tc>
        <w:tc>
          <w:tcPr>
            <w:tcW w:w="0" w:type="auto"/>
          </w:tcPr>
          <w:p w14:paraId="3A08FD01" w14:textId="77777777" w:rsidR="00180E7C" w:rsidRDefault="00000000">
            <w:pPr>
              <w:pStyle w:val="Compact"/>
            </w:pPr>
            <w:r>
              <w:t>Bandar Abbas</w:t>
            </w:r>
          </w:p>
        </w:tc>
        <w:tc>
          <w:tcPr>
            <w:tcW w:w="0" w:type="auto"/>
          </w:tcPr>
          <w:p w14:paraId="05DEF27F" w14:textId="77777777" w:rsidR="00180E7C" w:rsidRDefault="00000000">
            <w:pPr>
              <w:pStyle w:val="Compact"/>
            </w:pPr>
            <w:r>
              <w:t>30 watch + 12 support</w:t>
            </w:r>
          </w:p>
        </w:tc>
        <w:tc>
          <w:tcPr>
            <w:tcW w:w="0" w:type="auto"/>
          </w:tcPr>
          <w:p w14:paraId="5509B186" w14:textId="77777777" w:rsidR="00180E7C" w:rsidRDefault="00000000">
            <w:pPr>
              <w:pStyle w:val="Compact"/>
            </w:pPr>
            <w:r>
              <w:t>Day 14</w:t>
            </w:r>
          </w:p>
        </w:tc>
        <w:tc>
          <w:tcPr>
            <w:tcW w:w="0" w:type="auto"/>
          </w:tcPr>
          <w:p w14:paraId="6FEC5524" w14:textId="77777777" w:rsidR="00180E7C" w:rsidRDefault="00000000">
            <w:pPr>
              <w:pStyle w:val="Compact"/>
            </w:pPr>
            <w:r>
              <w:t>Day 60</w:t>
            </w:r>
          </w:p>
        </w:tc>
      </w:tr>
      <w:tr w:rsidR="00180E7C" w14:paraId="4BB8BE6C" w14:textId="77777777">
        <w:tc>
          <w:tcPr>
            <w:tcW w:w="0" w:type="auto"/>
          </w:tcPr>
          <w:p w14:paraId="718CEFE7" w14:textId="77777777" w:rsidR="00180E7C" w:rsidRDefault="00000000">
            <w:pPr>
              <w:pStyle w:val="Compact"/>
            </w:pPr>
            <w:r>
              <w:t>Verification Cells</w:t>
            </w:r>
          </w:p>
        </w:tc>
        <w:tc>
          <w:tcPr>
            <w:tcW w:w="0" w:type="auto"/>
          </w:tcPr>
          <w:p w14:paraId="46DC728B" w14:textId="77777777" w:rsidR="00180E7C" w:rsidRDefault="00000000">
            <w:pPr>
              <w:pStyle w:val="Compact"/>
            </w:pPr>
            <w:r>
              <w:t>Three stations</w:t>
            </w:r>
          </w:p>
        </w:tc>
        <w:tc>
          <w:tcPr>
            <w:tcW w:w="0" w:type="auto"/>
          </w:tcPr>
          <w:p w14:paraId="122321A1" w14:textId="77777777" w:rsidR="00180E7C" w:rsidRDefault="00000000">
            <w:pPr>
              <w:pStyle w:val="Compact"/>
            </w:pPr>
            <w:r>
              <w:t>36</w:t>
            </w:r>
          </w:p>
        </w:tc>
        <w:tc>
          <w:tcPr>
            <w:tcW w:w="0" w:type="auto"/>
          </w:tcPr>
          <w:p w14:paraId="68CDDCE0" w14:textId="77777777" w:rsidR="00180E7C" w:rsidRDefault="00000000">
            <w:pPr>
              <w:pStyle w:val="Compact"/>
            </w:pPr>
            <w:r>
              <w:t>Day 30</w:t>
            </w:r>
          </w:p>
        </w:tc>
        <w:tc>
          <w:tcPr>
            <w:tcW w:w="0" w:type="auto"/>
          </w:tcPr>
          <w:p w14:paraId="3C9F70D7" w14:textId="77777777" w:rsidR="00180E7C" w:rsidRDefault="00000000">
            <w:pPr>
              <w:pStyle w:val="Compact"/>
            </w:pPr>
            <w:r>
              <w:t>Day 60</w:t>
            </w:r>
          </w:p>
        </w:tc>
      </w:tr>
      <w:tr w:rsidR="00180E7C" w14:paraId="305D51B2" w14:textId="77777777">
        <w:tc>
          <w:tcPr>
            <w:tcW w:w="0" w:type="auto"/>
          </w:tcPr>
          <w:p w14:paraId="096E18AB" w14:textId="77777777" w:rsidR="00180E7C" w:rsidRDefault="00000000">
            <w:pPr>
              <w:pStyle w:val="Compact"/>
            </w:pPr>
            <w:r>
              <w:t>EMB</w:t>
            </w:r>
          </w:p>
        </w:tc>
        <w:tc>
          <w:tcPr>
            <w:tcW w:w="0" w:type="auto"/>
          </w:tcPr>
          <w:p w14:paraId="5FB50D05" w14:textId="77777777" w:rsidR="00180E7C" w:rsidRDefault="00000000">
            <w:pPr>
              <w:pStyle w:val="Compact"/>
            </w:pPr>
            <w:r>
              <w:t>Geneva / Tehran liaison</w:t>
            </w:r>
          </w:p>
        </w:tc>
        <w:tc>
          <w:tcPr>
            <w:tcW w:w="0" w:type="auto"/>
          </w:tcPr>
          <w:p w14:paraId="3FC15BCC" w14:textId="77777777" w:rsidR="00180E7C" w:rsidRDefault="00000000">
            <w:pPr>
              <w:pStyle w:val="Compact"/>
            </w:pPr>
            <w:r>
              <w:t>16</w:t>
            </w:r>
          </w:p>
        </w:tc>
        <w:tc>
          <w:tcPr>
            <w:tcW w:w="0" w:type="auto"/>
          </w:tcPr>
          <w:p w14:paraId="77EB78EC" w14:textId="77777777" w:rsidR="00180E7C" w:rsidRDefault="00000000">
            <w:pPr>
              <w:pStyle w:val="Compact"/>
            </w:pPr>
            <w:r>
              <w:t>Day 30</w:t>
            </w:r>
          </w:p>
        </w:tc>
        <w:tc>
          <w:tcPr>
            <w:tcW w:w="0" w:type="auto"/>
          </w:tcPr>
          <w:p w14:paraId="1F8AF171" w14:textId="77777777" w:rsidR="00180E7C" w:rsidRDefault="00000000">
            <w:pPr>
              <w:pStyle w:val="Compact"/>
            </w:pPr>
            <w:r>
              <w:t>Day 90</w:t>
            </w:r>
          </w:p>
        </w:tc>
      </w:tr>
      <w:tr w:rsidR="00180E7C" w14:paraId="1DA682BC" w14:textId="77777777">
        <w:tc>
          <w:tcPr>
            <w:tcW w:w="0" w:type="auto"/>
          </w:tcPr>
          <w:p w14:paraId="0713E4BF" w14:textId="77777777" w:rsidR="00180E7C" w:rsidRDefault="00000000">
            <w:pPr>
              <w:pStyle w:val="Compact"/>
            </w:pPr>
            <w:r>
              <w:t>RDF Secretariat</w:t>
            </w:r>
          </w:p>
        </w:tc>
        <w:tc>
          <w:tcPr>
            <w:tcW w:w="0" w:type="auto"/>
          </w:tcPr>
          <w:p w14:paraId="213B2704" w14:textId="77777777" w:rsidR="00180E7C" w:rsidRDefault="00000000">
            <w:pPr>
              <w:pStyle w:val="Compact"/>
            </w:pPr>
            <w:r>
              <w:t>Tehran</w:t>
            </w:r>
          </w:p>
        </w:tc>
        <w:tc>
          <w:tcPr>
            <w:tcW w:w="0" w:type="auto"/>
          </w:tcPr>
          <w:p w14:paraId="75547DB2" w14:textId="77777777" w:rsidR="00180E7C" w:rsidRDefault="00000000">
            <w:pPr>
              <w:pStyle w:val="Compact"/>
            </w:pPr>
            <w:r>
              <w:t>120</w:t>
            </w:r>
          </w:p>
        </w:tc>
        <w:tc>
          <w:tcPr>
            <w:tcW w:w="0" w:type="auto"/>
          </w:tcPr>
          <w:p w14:paraId="45670D2D" w14:textId="77777777" w:rsidR="00180E7C" w:rsidRDefault="00000000">
            <w:pPr>
              <w:pStyle w:val="Compact"/>
            </w:pPr>
            <w:r>
              <w:t>Day 60</w:t>
            </w:r>
          </w:p>
        </w:tc>
        <w:tc>
          <w:tcPr>
            <w:tcW w:w="0" w:type="auto"/>
          </w:tcPr>
          <w:p w14:paraId="1D714666" w14:textId="77777777" w:rsidR="00180E7C" w:rsidRDefault="00000000">
            <w:pPr>
              <w:pStyle w:val="Compact"/>
            </w:pPr>
            <w:r>
              <w:t>Day 180</w:t>
            </w:r>
          </w:p>
        </w:tc>
      </w:tr>
      <w:tr w:rsidR="00180E7C" w14:paraId="4B78617E" w14:textId="77777777">
        <w:tc>
          <w:tcPr>
            <w:tcW w:w="0" w:type="auto"/>
          </w:tcPr>
          <w:p w14:paraId="17F22B4F" w14:textId="77777777" w:rsidR="00180E7C" w:rsidRDefault="00000000">
            <w:pPr>
              <w:pStyle w:val="Compact"/>
            </w:pPr>
            <w:r>
              <w:t>Escrow Operations</w:t>
            </w:r>
          </w:p>
        </w:tc>
        <w:tc>
          <w:tcPr>
            <w:tcW w:w="0" w:type="auto"/>
          </w:tcPr>
          <w:p w14:paraId="40743457" w14:textId="77777777" w:rsidR="00180E7C" w:rsidRDefault="00000000">
            <w:pPr>
              <w:pStyle w:val="Compact"/>
            </w:pPr>
            <w:r>
              <w:t>Bern</w:t>
            </w:r>
          </w:p>
        </w:tc>
        <w:tc>
          <w:tcPr>
            <w:tcW w:w="0" w:type="auto"/>
          </w:tcPr>
          <w:p w14:paraId="4508C1C0" w14:textId="77777777" w:rsidR="00180E7C" w:rsidRDefault="00000000">
            <w:pPr>
              <w:pStyle w:val="Compact"/>
            </w:pPr>
            <w:r>
              <w:t>12</w:t>
            </w:r>
          </w:p>
        </w:tc>
        <w:tc>
          <w:tcPr>
            <w:tcW w:w="0" w:type="auto"/>
          </w:tcPr>
          <w:p w14:paraId="7BFDBBE9" w14:textId="77777777" w:rsidR="00180E7C" w:rsidRDefault="00000000">
            <w:pPr>
              <w:pStyle w:val="Compact"/>
            </w:pPr>
            <w:r>
              <w:t>Signature</w:t>
            </w:r>
          </w:p>
        </w:tc>
        <w:tc>
          <w:tcPr>
            <w:tcW w:w="0" w:type="auto"/>
          </w:tcPr>
          <w:p w14:paraId="501EDFB1" w14:textId="77777777" w:rsidR="00180E7C" w:rsidRDefault="00000000">
            <w:pPr>
              <w:pStyle w:val="Compact"/>
            </w:pPr>
            <w:r>
              <w:t>Day 30</w:t>
            </w:r>
          </w:p>
        </w:tc>
      </w:tr>
      <w:tr w:rsidR="00180E7C" w14:paraId="7910534E" w14:textId="77777777">
        <w:tc>
          <w:tcPr>
            <w:tcW w:w="0" w:type="auto"/>
          </w:tcPr>
          <w:p w14:paraId="6440F098" w14:textId="77777777" w:rsidR="00180E7C" w:rsidRDefault="00000000">
            <w:pPr>
              <w:pStyle w:val="Compact"/>
            </w:pPr>
            <w:r>
              <w:t>Claims Commission</w:t>
            </w:r>
          </w:p>
        </w:tc>
        <w:tc>
          <w:tcPr>
            <w:tcW w:w="0" w:type="auto"/>
          </w:tcPr>
          <w:p w14:paraId="2A5ADE8C" w14:textId="77777777" w:rsidR="00180E7C" w:rsidRDefault="00000000">
            <w:pPr>
              <w:pStyle w:val="Compact"/>
            </w:pPr>
            <w:r>
              <w:t>The Hague</w:t>
            </w:r>
          </w:p>
        </w:tc>
        <w:tc>
          <w:tcPr>
            <w:tcW w:w="0" w:type="auto"/>
          </w:tcPr>
          <w:p w14:paraId="7B1866D7" w14:textId="77777777" w:rsidR="00180E7C" w:rsidRDefault="00000000">
            <w:pPr>
              <w:pStyle w:val="Compact"/>
            </w:pPr>
            <w:r>
              <w:t>24</w:t>
            </w:r>
          </w:p>
        </w:tc>
        <w:tc>
          <w:tcPr>
            <w:tcW w:w="0" w:type="auto"/>
          </w:tcPr>
          <w:p w14:paraId="722E38F8" w14:textId="77777777" w:rsidR="00180E7C" w:rsidRDefault="00000000">
            <w:pPr>
              <w:pStyle w:val="Compact"/>
            </w:pPr>
            <w:r>
              <w:t>Day 90</w:t>
            </w:r>
          </w:p>
        </w:tc>
        <w:tc>
          <w:tcPr>
            <w:tcW w:w="0" w:type="auto"/>
          </w:tcPr>
          <w:p w14:paraId="724C6D77" w14:textId="77777777" w:rsidR="00180E7C" w:rsidRDefault="00000000">
            <w:pPr>
              <w:pStyle w:val="Compact"/>
            </w:pPr>
            <w:r>
              <w:t>Day 180</w:t>
            </w:r>
          </w:p>
        </w:tc>
      </w:tr>
      <w:tr w:rsidR="00180E7C" w14:paraId="2DF35FE2" w14:textId="77777777">
        <w:tc>
          <w:tcPr>
            <w:tcW w:w="0" w:type="auto"/>
          </w:tcPr>
          <w:p w14:paraId="0258D8E4" w14:textId="77777777" w:rsidR="00180E7C" w:rsidRDefault="00000000">
            <w:pPr>
              <w:pStyle w:val="Compact"/>
            </w:pPr>
            <w:r>
              <w:t>Missing Persons Commission</w:t>
            </w:r>
          </w:p>
        </w:tc>
        <w:tc>
          <w:tcPr>
            <w:tcW w:w="0" w:type="auto"/>
          </w:tcPr>
          <w:p w14:paraId="2585588E" w14:textId="77777777" w:rsidR="00180E7C" w:rsidRDefault="00000000">
            <w:pPr>
              <w:pStyle w:val="Compact"/>
            </w:pPr>
            <w:r>
              <w:t>Geneva / field</w:t>
            </w:r>
          </w:p>
        </w:tc>
        <w:tc>
          <w:tcPr>
            <w:tcW w:w="0" w:type="auto"/>
          </w:tcPr>
          <w:p w14:paraId="07A2FC22" w14:textId="77777777" w:rsidR="00180E7C" w:rsidRDefault="00000000">
            <w:pPr>
              <w:pStyle w:val="Compact"/>
            </w:pPr>
            <w:r>
              <w:t>18</w:t>
            </w:r>
          </w:p>
        </w:tc>
        <w:tc>
          <w:tcPr>
            <w:tcW w:w="0" w:type="auto"/>
          </w:tcPr>
          <w:p w14:paraId="12AF65D8" w14:textId="77777777" w:rsidR="00180E7C" w:rsidRDefault="00000000">
            <w:pPr>
              <w:pStyle w:val="Compact"/>
            </w:pPr>
            <w:r>
              <w:t>Day 30</w:t>
            </w:r>
          </w:p>
        </w:tc>
        <w:tc>
          <w:tcPr>
            <w:tcW w:w="0" w:type="auto"/>
          </w:tcPr>
          <w:p w14:paraId="6DE2B980" w14:textId="77777777" w:rsidR="00180E7C" w:rsidRDefault="00000000">
            <w:pPr>
              <w:pStyle w:val="Compact"/>
            </w:pPr>
            <w:r>
              <w:t>Day 90</w:t>
            </w:r>
          </w:p>
        </w:tc>
      </w:tr>
      <w:tr w:rsidR="00180E7C" w14:paraId="27945D6E" w14:textId="77777777">
        <w:tc>
          <w:tcPr>
            <w:tcW w:w="0" w:type="auto"/>
          </w:tcPr>
          <w:p w14:paraId="6CB228A8" w14:textId="77777777" w:rsidR="00180E7C" w:rsidRDefault="00000000">
            <w:pPr>
              <w:pStyle w:val="Compact"/>
            </w:pPr>
            <w:r>
              <w:t>Humanitarian Desk</w:t>
            </w:r>
          </w:p>
        </w:tc>
        <w:tc>
          <w:tcPr>
            <w:tcW w:w="0" w:type="auto"/>
          </w:tcPr>
          <w:p w14:paraId="09CEA0C8" w14:textId="77777777" w:rsidR="00180E7C" w:rsidRDefault="00000000">
            <w:pPr>
              <w:pStyle w:val="Compact"/>
            </w:pPr>
            <w:r>
              <w:t>Muscat / Tehran</w:t>
            </w:r>
          </w:p>
        </w:tc>
        <w:tc>
          <w:tcPr>
            <w:tcW w:w="0" w:type="auto"/>
          </w:tcPr>
          <w:p w14:paraId="56FAD3EC" w14:textId="77777777" w:rsidR="00180E7C" w:rsidRDefault="00000000">
            <w:pPr>
              <w:pStyle w:val="Compact"/>
            </w:pPr>
            <w:r>
              <w:t>10</w:t>
            </w:r>
          </w:p>
        </w:tc>
        <w:tc>
          <w:tcPr>
            <w:tcW w:w="0" w:type="auto"/>
          </w:tcPr>
          <w:p w14:paraId="6FA0F892" w14:textId="77777777" w:rsidR="00180E7C" w:rsidRDefault="00000000">
            <w:pPr>
              <w:pStyle w:val="Compact"/>
            </w:pPr>
            <w:r>
              <w:t>Day 7</w:t>
            </w:r>
          </w:p>
        </w:tc>
        <w:tc>
          <w:tcPr>
            <w:tcW w:w="0" w:type="auto"/>
          </w:tcPr>
          <w:p w14:paraId="0D6CF234" w14:textId="77777777" w:rsidR="00180E7C" w:rsidRDefault="00000000">
            <w:pPr>
              <w:pStyle w:val="Compact"/>
            </w:pPr>
            <w:r>
              <w:t>Day 30</w:t>
            </w:r>
          </w:p>
        </w:tc>
      </w:tr>
    </w:tbl>
    <w:p w14:paraId="01D102B5" w14:textId="77777777" w:rsidR="00180E7C" w:rsidRDefault="00000000">
      <w:pPr>
        <w:pStyle w:val="Heading2"/>
      </w:pPr>
      <w:bookmarkStart w:id="1067" w:name="sp-19.3-premises-and-security"/>
      <w:bookmarkEnd w:id="1066"/>
      <w:r>
        <w:t>SP-19.3 Premises and Security</w:t>
      </w:r>
    </w:p>
    <w:p w14:paraId="4A6180A4" w14:textId="77777777" w:rsidR="00180E7C" w:rsidRDefault="00000000">
      <w:pPr>
        <w:pStyle w:val="FirstParagraph"/>
      </w:pPr>
      <w:r>
        <w:t>SP-19.3.1 Host states provide premises and perimeter security per the headquarters and status agreements; internal security of treaty premises rests with the organ; the inviolability of treaty premises, archives, and communications holds under the status agreements of Annex N.5.</w:t>
      </w:r>
    </w:p>
    <w:p w14:paraId="1990F7D6" w14:textId="77777777" w:rsidR="00180E7C" w:rsidRDefault="00000000">
      <w:pPr>
        <w:pStyle w:val="Heading2"/>
      </w:pPr>
      <w:bookmarkStart w:id="1068" w:name="sp-19.4-training-and-accreditation"/>
      <w:bookmarkEnd w:id="1067"/>
      <w:r>
        <w:t>SP-19.4 Training and Accreditation</w:t>
      </w:r>
    </w:p>
    <w:p w14:paraId="69809891" w14:textId="77777777" w:rsidR="00180E7C" w:rsidRDefault="00000000">
      <w:pPr>
        <w:pStyle w:val="FirstParagraph"/>
      </w:pPr>
      <w:r>
        <w:t xml:space="preserve">SP-19.4.1 All verification personnel complete the accreditation program: the method curriculum (Cothrom Engine, anomaly handling, evidence standards), the domain </w:t>
      </w:r>
      <w:r>
        <w:lastRenderedPageBreak/>
        <w:t>curriculum (nuclear, maritime, economic, cyber), the field safety curriculum, and the neutrality and confidentiality undertakings. The Swiss Facilitator administers accreditation for neutrals; the JMC administers it for Party-nominated staff.</w:t>
      </w:r>
    </w:p>
    <w:p w14:paraId="0569EBFD" w14:textId="77777777" w:rsidR="00180E7C" w:rsidRDefault="00000000">
      <w:r>
        <w:br w:type="page"/>
      </w:r>
    </w:p>
    <w:p w14:paraId="4B8EFF4F" w14:textId="77777777" w:rsidR="00180E7C" w:rsidRDefault="00000000">
      <w:pPr>
        <w:pStyle w:val="Heading1"/>
      </w:pPr>
      <w:bookmarkStart w:id="1069" w:name="Xd4a2c005ffaa547d9608c5c32c3b46ca7b3ec46"/>
      <w:bookmarkStart w:id="1070" w:name="_Toc237843201"/>
      <w:bookmarkEnd w:id="1063"/>
      <w:bookmarkEnd w:id="1068"/>
      <w:r>
        <w:lastRenderedPageBreak/>
        <w:t>SUPPLEMENTARY PROTOCOL SP-20: MARITIME TRAFFIC, SAFETY TARGETS, AND SERVICE STANDARDS</w:t>
      </w:r>
      <w:bookmarkEnd w:id="1070"/>
    </w:p>
    <w:p w14:paraId="47E54E98" w14:textId="77777777" w:rsidR="00180E7C" w:rsidRDefault="00000000">
      <w:pPr>
        <w:pStyle w:val="Heading2"/>
      </w:pPr>
      <w:bookmarkStart w:id="1071" w:name="sp-20.1-traffic-baseline-and-capacity"/>
      <w:r>
        <w:t>SP-20.1 Traffic Baseline and Capacity</w:t>
      </w:r>
    </w:p>
    <w:p w14:paraId="4304EF57" w14:textId="77777777" w:rsidR="00180E7C" w:rsidRDefault="00000000">
      <w:pPr>
        <w:pStyle w:val="FirstParagraph"/>
      </w:pPr>
      <w:r>
        <w:t>SP-20.1.1 Pre-war baseline: approximately one-fifth of global traded oil and a substantial share of global liquefied natural gas transited the Strait, with tanker movements numbering in the tens of thousands annually across all classes. The corridor system dimensions for full restoration of pre-war throughput within Quarter 2 of operation, with design capacity twenty percent above baseline peak.</w:t>
      </w:r>
    </w:p>
    <w:p w14:paraId="2F5EB971" w14:textId="77777777" w:rsidR="00180E7C" w:rsidRDefault="00000000">
      <w:pPr>
        <w:pStyle w:val="Heading2"/>
      </w:pPr>
      <w:bookmarkStart w:id="1072" w:name="sp-20.2-safety-targets"/>
      <w:bookmarkEnd w:id="1071"/>
      <w:r>
        <w:t>SP-20.2 Safety Targets</w:t>
      </w:r>
    </w:p>
    <w:tbl>
      <w:tblPr>
        <w:tblStyle w:val="Table"/>
        <w:tblW w:w="5000" w:type="pct"/>
        <w:tblLook w:val="0020" w:firstRow="1" w:lastRow="0" w:firstColumn="0" w:lastColumn="0" w:noHBand="0" w:noVBand="0"/>
      </w:tblPr>
      <w:tblGrid>
        <w:gridCol w:w="4791"/>
        <w:gridCol w:w="4785"/>
      </w:tblGrid>
      <w:tr w:rsidR="00180E7C" w14:paraId="7D7263EF"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FFCFFE9" w14:textId="77777777" w:rsidR="00180E7C" w:rsidRDefault="00000000">
            <w:pPr>
              <w:pStyle w:val="Compact"/>
            </w:pPr>
            <w:r>
              <w:t>Indicator</w:t>
            </w:r>
          </w:p>
        </w:tc>
        <w:tc>
          <w:tcPr>
            <w:tcW w:w="0" w:type="auto"/>
          </w:tcPr>
          <w:p w14:paraId="07F28203" w14:textId="77777777" w:rsidR="00180E7C" w:rsidRDefault="00000000">
            <w:pPr>
              <w:pStyle w:val="Compact"/>
            </w:pPr>
            <w:r>
              <w:t>Target</w:t>
            </w:r>
          </w:p>
        </w:tc>
      </w:tr>
      <w:tr w:rsidR="00180E7C" w14:paraId="1CCA5F6E" w14:textId="77777777">
        <w:tc>
          <w:tcPr>
            <w:tcW w:w="0" w:type="auto"/>
          </w:tcPr>
          <w:p w14:paraId="2870C688" w14:textId="77777777" w:rsidR="00180E7C" w:rsidRDefault="00000000">
            <w:pPr>
              <w:pStyle w:val="Compact"/>
            </w:pPr>
            <w:r>
              <w:t>Navigational casualties per 1,000 transits</w:t>
            </w:r>
          </w:p>
        </w:tc>
        <w:tc>
          <w:tcPr>
            <w:tcW w:w="0" w:type="auto"/>
          </w:tcPr>
          <w:p w14:paraId="097D08E1" w14:textId="77777777" w:rsidR="00180E7C" w:rsidRDefault="00000000">
            <w:pPr>
              <w:pStyle w:val="Compact"/>
            </w:pPr>
            <w:r>
              <w:t>Below 0.5</w:t>
            </w:r>
          </w:p>
        </w:tc>
      </w:tr>
      <w:tr w:rsidR="00180E7C" w14:paraId="3B0FE4BA" w14:textId="77777777">
        <w:tc>
          <w:tcPr>
            <w:tcW w:w="0" w:type="auto"/>
          </w:tcPr>
          <w:p w14:paraId="1ABBC193" w14:textId="77777777" w:rsidR="00180E7C" w:rsidRDefault="00000000">
            <w:pPr>
              <w:pStyle w:val="Compact"/>
            </w:pPr>
            <w:r>
              <w:t>Collision incidents in corridors</w:t>
            </w:r>
          </w:p>
        </w:tc>
        <w:tc>
          <w:tcPr>
            <w:tcW w:w="0" w:type="auto"/>
          </w:tcPr>
          <w:p w14:paraId="2FFDEA3D" w14:textId="77777777" w:rsidR="00180E7C" w:rsidRDefault="00000000">
            <w:pPr>
              <w:pStyle w:val="Compact"/>
            </w:pPr>
            <w:r>
              <w:t>Zero</w:t>
            </w:r>
          </w:p>
        </w:tc>
      </w:tr>
      <w:tr w:rsidR="00180E7C" w14:paraId="4CFB31DE" w14:textId="77777777">
        <w:tc>
          <w:tcPr>
            <w:tcW w:w="0" w:type="auto"/>
          </w:tcPr>
          <w:p w14:paraId="6BC680BE" w14:textId="77777777" w:rsidR="00180E7C" w:rsidRDefault="00000000">
            <w:pPr>
              <w:pStyle w:val="Compact"/>
            </w:pPr>
            <w:r>
              <w:t>Dark-mode violations detected</w:t>
            </w:r>
          </w:p>
        </w:tc>
        <w:tc>
          <w:tcPr>
            <w:tcW w:w="0" w:type="auto"/>
          </w:tcPr>
          <w:p w14:paraId="3945FCAC" w14:textId="77777777" w:rsidR="00180E7C" w:rsidRDefault="00000000">
            <w:pPr>
              <w:pStyle w:val="Compact"/>
            </w:pPr>
            <w:r>
              <w:t>100 percent detection, enforcement per protocol</w:t>
            </w:r>
          </w:p>
        </w:tc>
      </w:tr>
      <w:tr w:rsidR="00180E7C" w14:paraId="722E2039" w14:textId="77777777">
        <w:tc>
          <w:tcPr>
            <w:tcW w:w="0" w:type="auto"/>
          </w:tcPr>
          <w:p w14:paraId="5BB4F441" w14:textId="77777777" w:rsidR="00180E7C" w:rsidRDefault="00000000">
            <w:pPr>
              <w:pStyle w:val="Compact"/>
            </w:pPr>
            <w:r>
              <w:t>SAR response: helicopter on scene</w:t>
            </w:r>
          </w:p>
        </w:tc>
        <w:tc>
          <w:tcPr>
            <w:tcW w:w="0" w:type="auto"/>
          </w:tcPr>
          <w:p w14:paraId="480B3CF3" w14:textId="77777777" w:rsidR="00180E7C" w:rsidRDefault="00000000">
            <w:pPr>
              <w:pStyle w:val="Compact"/>
            </w:pPr>
            <w:r>
              <w:t>Within 90 minutes, 95 percent of cases</w:t>
            </w:r>
          </w:p>
        </w:tc>
      </w:tr>
      <w:tr w:rsidR="00180E7C" w14:paraId="037F37BB" w14:textId="77777777">
        <w:tc>
          <w:tcPr>
            <w:tcW w:w="0" w:type="auto"/>
          </w:tcPr>
          <w:p w14:paraId="6E9724C3" w14:textId="77777777" w:rsidR="00180E7C" w:rsidRDefault="00000000">
            <w:pPr>
              <w:pStyle w:val="Compact"/>
            </w:pPr>
            <w:r>
              <w:t>Spill Tier 1 response</w:t>
            </w:r>
          </w:p>
        </w:tc>
        <w:tc>
          <w:tcPr>
            <w:tcW w:w="0" w:type="auto"/>
          </w:tcPr>
          <w:p w14:paraId="376A48FF" w14:textId="77777777" w:rsidR="00180E7C" w:rsidRDefault="00000000">
            <w:pPr>
              <w:pStyle w:val="Compact"/>
            </w:pPr>
            <w:r>
              <w:t>Within 4 hours, 100 percent of cases</w:t>
            </w:r>
          </w:p>
        </w:tc>
      </w:tr>
      <w:tr w:rsidR="00180E7C" w14:paraId="6F5B83F4" w14:textId="77777777">
        <w:tc>
          <w:tcPr>
            <w:tcW w:w="0" w:type="auto"/>
          </w:tcPr>
          <w:p w14:paraId="4289B349" w14:textId="77777777" w:rsidR="00180E7C" w:rsidRDefault="00000000">
            <w:pPr>
              <w:pStyle w:val="Compact"/>
            </w:pPr>
            <w:r>
              <w:t>Transit delay attributable to Authority processes</w:t>
            </w:r>
          </w:p>
        </w:tc>
        <w:tc>
          <w:tcPr>
            <w:tcW w:w="0" w:type="auto"/>
          </w:tcPr>
          <w:p w14:paraId="37AFD3C2" w14:textId="77777777" w:rsidR="00180E7C" w:rsidRDefault="00000000">
            <w:pPr>
              <w:pStyle w:val="Compact"/>
            </w:pPr>
            <w:r>
              <w:t>Below 30 minutes average</w:t>
            </w:r>
          </w:p>
        </w:tc>
      </w:tr>
    </w:tbl>
    <w:p w14:paraId="24E2169D" w14:textId="77777777" w:rsidR="00180E7C" w:rsidRDefault="00000000">
      <w:pPr>
        <w:pStyle w:val="Heading2"/>
      </w:pPr>
      <w:bookmarkStart w:id="1073" w:name="sp-20.3-service-standards"/>
      <w:bookmarkEnd w:id="1072"/>
      <w:r>
        <w:t>SP-20.3 Service Standards</w:t>
      </w:r>
    </w:p>
    <w:p w14:paraId="108A38F7" w14:textId="77777777" w:rsidR="00180E7C" w:rsidRDefault="00000000">
      <w:pPr>
        <w:pStyle w:val="FirstParagraph"/>
      </w:pPr>
      <w:r>
        <w:t>SP-20.3.1 The Authority publishes service standards: filing acknowledgment within 30 minutes; pilot availability per booking window; billing accuracy above 99.5 percent; complaint resolution within 14 days; detention review convening within 48 hours. The User Conference scores performance annually; scores publish.</w:t>
      </w:r>
    </w:p>
    <w:p w14:paraId="21B80A7D" w14:textId="77777777" w:rsidR="00180E7C" w:rsidRDefault="00000000">
      <w:pPr>
        <w:pStyle w:val="Heading2"/>
      </w:pPr>
      <w:bookmarkStart w:id="1074" w:name="sp-20.4-the-insurance-interface"/>
      <w:bookmarkEnd w:id="1073"/>
      <w:r>
        <w:t>SP-20.4 The Insurance Interface</w:t>
      </w:r>
    </w:p>
    <w:p w14:paraId="2C771E13" w14:textId="77777777" w:rsidR="00180E7C" w:rsidRDefault="00000000">
      <w:pPr>
        <w:pStyle w:val="FirstParagraph"/>
      </w:pPr>
      <w:r>
        <w:t>SP-20.4.1 The Authority maintains the underwriters’ liaison: war-risk premium normalization tracking, safety certification documentation for underwriters, and the quarterly insurance market briefing. The war-risk premium trajectory serves as the market’s verdict on the peace, and the EMB includes it in the public dashboard.</w:t>
      </w:r>
    </w:p>
    <w:p w14:paraId="70C98F5F" w14:textId="77777777" w:rsidR="00180E7C" w:rsidRDefault="00000000">
      <w:r>
        <w:br w:type="page"/>
      </w:r>
    </w:p>
    <w:p w14:paraId="7F8E32DC" w14:textId="77777777" w:rsidR="00180E7C" w:rsidRDefault="00000000">
      <w:pPr>
        <w:pStyle w:val="Heading1"/>
      </w:pPr>
      <w:bookmarkStart w:id="1075" w:name="Xbb3b34a0b413d6d7ceb350a3238eae8621791be"/>
      <w:bookmarkStart w:id="1076" w:name="_Toc237843202"/>
      <w:bookmarkEnd w:id="1069"/>
      <w:bookmarkEnd w:id="1074"/>
      <w:r>
        <w:lastRenderedPageBreak/>
        <w:t>ADDENDUM TO ANNEX C: TECHNICAL SCHEDULES (NON-CLASSIFIED SUMMARY LEVEL)</w:t>
      </w:r>
      <w:bookmarkEnd w:id="1076"/>
    </w:p>
    <w:p w14:paraId="0D420BCD" w14:textId="77777777" w:rsidR="00180E7C" w:rsidRDefault="00000000">
      <w:pPr>
        <w:pStyle w:val="Heading2"/>
      </w:pPr>
      <w:bookmarkStart w:id="1077" w:name="ac.1-sensor-architecture-summary"/>
      <w:r>
        <w:t>AC.1 Sensor Architecture Summary</w:t>
      </w:r>
    </w:p>
    <w:p w14:paraId="39CB5DE9" w14:textId="77777777" w:rsidR="00180E7C" w:rsidRDefault="00000000">
      <w:pPr>
        <w:pStyle w:val="FirstParagraph"/>
      </w:pPr>
      <w:r>
        <w:t>AC.1.1 Coastal radar: the integrated picture draws on the coastal radar chains of both coastal states, fused at the MOC with identical latency to both. Corridor sensor layer: gate sensors at corridor entry and exit points (C1-W1, C1-W4, C2-W1, C2-W4), buffer boundary sensors, and the offshore platform suite. Underwater domain: hydroacoustic monitoring at the corridor approaches for mine and subsurface anomaly detection. Seismic stations: supporting the nuclear test monitoring interface.</w:t>
      </w:r>
    </w:p>
    <w:p w14:paraId="49DE9474" w14:textId="77777777" w:rsidR="00180E7C" w:rsidRDefault="00000000">
      <w:pPr>
        <w:pStyle w:val="BodyText"/>
      </w:pPr>
      <w:r>
        <w:t>AC.1.2 Satellite layer: contribution agreements provide synthetic aperture radar and electro-optical coverage at not fewer than four passes daily over the Governance Area and daily over the declared nuclear facilities, with 24-hour latency or better; surge tasking available within 6 hours for Level 3 or Level 4 events.</w:t>
      </w:r>
    </w:p>
    <w:p w14:paraId="7AF1F3B0" w14:textId="77777777" w:rsidR="00180E7C" w:rsidRDefault="00000000">
      <w:pPr>
        <w:pStyle w:val="Heading2"/>
      </w:pPr>
      <w:bookmarkStart w:id="1078" w:name="ac.2-alert-thresholds-summary"/>
      <w:bookmarkEnd w:id="1077"/>
      <w:r>
        <w:t>AC.2 Alert Thresholds Summary</w:t>
      </w:r>
    </w:p>
    <w:p w14:paraId="2F1EA711" w14:textId="77777777" w:rsidR="00180E7C" w:rsidRDefault="00000000">
      <w:pPr>
        <w:pStyle w:val="FirstParagraph"/>
      </w:pPr>
      <w:r>
        <w:t>AC.2.1 Maritime: corridor boundary deviation beyond 0.3 nautical mile (Level 2); AIS silence beyond 10 minutes within the Governance Area (Level 3 for tankers, Level 2 otherwise); unauthorized buffer corridor entry (Level 3); speed exceedance beyond 2 knots over regime (Level 2).</w:t>
      </w:r>
    </w:p>
    <w:p w14:paraId="45FC0207" w14:textId="77777777" w:rsidR="00180E7C" w:rsidRDefault="00000000">
      <w:pPr>
        <w:pStyle w:val="BodyText"/>
      </w:pPr>
      <w:r>
        <w:t>AC.2.2 Nuclear interface: unattended monitoring data gap beyond 4 hours (Level 3); enrichment measurement above 3.67 percent at any product point (Level 4, immediate); seal event without inspector attendance (Level 3); Ledger update delay beyond 4 hours (Level 2, demerit per Category 4.1).</w:t>
      </w:r>
    </w:p>
    <w:p w14:paraId="6FE6B1FD" w14:textId="77777777" w:rsidR="00180E7C" w:rsidRDefault="00000000">
      <w:pPr>
        <w:pStyle w:val="BodyText"/>
      </w:pPr>
      <w:r>
        <w:t>AC.2.3 Military: fire-control radar lock-on (Level 3); approach distance breach (Level 2); unnotified movement above thresholds (Level 2, pattern Level 3); exercise outside notified boxes (Level 3).</w:t>
      </w:r>
    </w:p>
    <w:p w14:paraId="004722E3" w14:textId="77777777" w:rsidR="00180E7C" w:rsidRDefault="00000000">
      <w:pPr>
        <w:pStyle w:val="Heading2"/>
      </w:pPr>
      <w:bookmarkStart w:id="1079" w:name="ac.3-the-exercise-and-drill-program"/>
      <w:bookmarkEnd w:id="1078"/>
      <w:r>
        <w:t>AC.3 The Exercise and Drill Program</w:t>
      </w:r>
    </w:p>
    <w:p w14:paraId="44120833" w14:textId="77777777" w:rsidR="00180E7C" w:rsidRDefault="00000000">
      <w:pPr>
        <w:pStyle w:val="FirstParagraph"/>
      </w:pPr>
      <w:r>
        <w:t>AC.3.1 The JMC runs the annual exercise program: two playbook exercises (SP-8), one continuity drill (SP-1.12), one data-integrity red team exercise, and one full-chain communications test, with after-action reports entering the technical update cycle.</w:t>
      </w:r>
    </w:p>
    <w:p w14:paraId="02D16D0A" w14:textId="77777777" w:rsidR="00180E7C" w:rsidRDefault="00000000">
      <w:pPr>
        <w:pStyle w:val="Heading1"/>
      </w:pPr>
      <w:bookmarkStart w:id="1080" w:name="X5d526c5731a5f3273454060f2c0ad40432d58c7"/>
      <w:bookmarkStart w:id="1081" w:name="_Toc237843203"/>
      <w:bookmarkEnd w:id="1075"/>
      <w:bookmarkEnd w:id="1079"/>
      <w:r>
        <w:t>ADDENDUM TO ANNEX F: CAMPAIGN ENGINEERING DETAIL AND RISK REGISTER</w:t>
      </w:r>
      <w:bookmarkEnd w:id="1081"/>
    </w:p>
    <w:p w14:paraId="3750D8B3" w14:textId="77777777" w:rsidR="00180E7C" w:rsidRDefault="00000000">
      <w:pPr>
        <w:pStyle w:val="Heading2"/>
      </w:pPr>
      <w:bookmarkStart w:id="1082" w:name="af.1-campaign-engineering"/>
      <w:r>
        <w:t>AF.1 Campaign Engineering</w:t>
      </w:r>
    </w:p>
    <w:p w14:paraId="33960A1F" w14:textId="77777777" w:rsidR="00180E7C" w:rsidRDefault="00000000">
      <w:pPr>
        <w:pStyle w:val="FirstParagraph"/>
      </w:pPr>
      <w:r>
        <w:t xml:space="preserve">AF.1.1 Feed handling: 60 percent material in UF6 form transfers from storage to the facility under seal, in transport containers logged per container. Blending: continuous blending </w:t>
      </w:r>
      <w:r>
        <w:lastRenderedPageBreak/>
        <w:t>trains with mass flow control at feed and diluent points; the blend ratio computed per batch to guarantee product at or below 0.711 percent with margin (target product 0.65 percent nominal). Product handling: product UF6 fills product cylinders, assays confirm by online monitor and laboratory sample, cylinders seal and transfer to the product halls.</w:t>
      </w:r>
    </w:p>
    <w:p w14:paraId="1E0F0F7F" w14:textId="77777777" w:rsidR="00180E7C" w:rsidRDefault="00000000">
      <w:pPr>
        <w:pStyle w:val="BodyText"/>
      </w:pPr>
      <w:r>
        <w:t>AF.1.2 Diluent logistics: the campaign requires approximately 12 tonnes of natural-equivalent diluent for the 440 kilogram campaign at full dilution; declared domestic stock covers the requirement with margin; import supplementation stands licensed if needed.</w:t>
      </w:r>
    </w:p>
    <w:p w14:paraId="42D23282" w14:textId="77777777" w:rsidR="00180E7C" w:rsidRDefault="00000000">
      <w:pPr>
        <w:pStyle w:val="BodyText"/>
      </w:pPr>
      <w:r>
        <w:t>AF.1.3 Throughput: the facility’s design throughput supports one 55 kilogram batch per 21 days with maintenance margin; parallel trains provide redundancy against single-train outages.</w:t>
      </w:r>
    </w:p>
    <w:p w14:paraId="14E887FC" w14:textId="77777777" w:rsidR="00180E7C" w:rsidRDefault="00000000">
      <w:pPr>
        <w:pStyle w:val="Heading2"/>
      </w:pPr>
      <w:bookmarkStart w:id="1083" w:name="af.2-campaign-risk-register"/>
      <w:bookmarkEnd w:id="1082"/>
      <w:r>
        <w:t>AF.2 Campaign Risk Register</w:t>
      </w:r>
    </w:p>
    <w:tbl>
      <w:tblPr>
        <w:tblStyle w:val="Table"/>
        <w:tblW w:w="5000" w:type="pct"/>
        <w:tblLook w:val="0020" w:firstRow="1" w:lastRow="0" w:firstColumn="0" w:lastColumn="0" w:noHBand="0" w:noVBand="0"/>
      </w:tblPr>
      <w:tblGrid>
        <w:gridCol w:w="2756"/>
        <w:gridCol w:w="1307"/>
        <w:gridCol w:w="5513"/>
      </w:tblGrid>
      <w:tr w:rsidR="00180E7C" w14:paraId="54A7FF7C"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7B59175" w14:textId="77777777" w:rsidR="00180E7C" w:rsidRDefault="00000000">
            <w:pPr>
              <w:pStyle w:val="Compact"/>
            </w:pPr>
            <w:r>
              <w:t>Risk</w:t>
            </w:r>
          </w:p>
        </w:tc>
        <w:tc>
          <w:tcPr>
            <w:tcW w:w="0" w:type="auto"/>
          </w:tcPr>
          <w:p w14:paraId="4B9A1736" w14:textId="77777777" w:rsidR="00180E7C" w:rsidRDefault="00000000">
            <w:pPr>
              <w:pStyle w:val="Compact"/>
            </w:pPr>
            <w:r>
              <w:t>Likelihood</w:t>
            </w:r>
          </w:p>
        </w:tc>
        <w:tc>
          <w:tcPr>
            <w:tcW w:w="0" w:type="auto"/>
          </w:tcPr>
          <w:p w14:paraId="7179470F" w14:textId="77777777" w:rsidR="00180E7C" w:rsidRDefault="00000000">
            <w:pPr>
              <w:pStyle w:val="Compact"/>
            </w:pPr>
            <w:r>
              <w:t>Mitigation</w:t>
            </w:r>
          </w:p>
        </w:tc>
      </w:tr>
      <w:tr w:rsidR="00180E7C" w14:paraId="55297876" w14:textId="77777777">
        <w:tc>
          <w:tcPr>
            <w:tcW w:w="0" w:type="auto"/>
          </w:tcPr>
          <w:p w14:paraId="4C012DC2" w14:textId="77777777" w:rsidR="00180E7C" w:rsidRDefault="00000000">
            <w:pPr>
              <w:pStyle w:val="Compact"/>
            </w:pPr>
            <w:r>
              <w:t>Equipment failure</w:t>
            </w:r>
          </w:p>
        </w:tc>
        <w:tc>
          <w:tcPr>
            <w:tcW w:w="0" w:type="auto"/>
          </w:tcPr>
          <w:p w14:paraId="64455307" w14:textId="77777777" w:rsidR="00180E7C" w:rsidRDefault="00000000">
            <w:pPr>
              <w:pStyle w:val="Compact"/>
            </w:pPr>
            <w:r>
              <w:t>Medium</w:t>
            </w:r>
          </w:p>
        </w:tc>
        <w:tc>
          <w:tcPr>
            <w:tcW w:w="0" w:type="auto"/>
          </w:tcPr>
          <w:p w14:paraId="528F0E6E" w14:textId="77777777" w:rsidR="00180E7C" w:rsidRDefault="00000000">
            <w:pPr>
              <w:pStyle w:val="Compact"/>
            </w:pPr>
            <w:r>
              <w:t>Redundant trains; Joint Disposition Fund spares; explained-slip protocol</w:t>
            </w:r>
          </w:p>
        </w:tc>
      </w:tr>
      <w:tr w:rsidR="00180E7C" w14:paraId="49D2F96C" w14:textId="77777777">
        <w:tc>
          <w:tcPr>
            <w:tcW w:w="0" w:type="auto"/>
          </w:tcPr>
          <w:p w14:paraId="32FF334A" w14:textId="77777777" w:rsidR="00180E7C" w:rsidRDefault="00000000">
            <w:pPr>
              <w:pStyle w:val="Compact"/>
            </w:pPr>
            <w:r>
              <w:t>Diluent logistics delay</w:t>
            </w:r>
          </w:p>
        </w:tc>
        <w:tc>
          <w:tcPr>
            <w:tcW w:w="0" w:type="auto"/>
          </w:tcPr>
          <w:p w14:paraId="035F715B" w14:textId="77777777" w:rsidR="00180E7C" w:rsidRDefault="00000000">
            <w:pPr>
              <w:pStyle w:val="Compact"/>
            </w:pPr>
            <w:r>
              <w:t>Low</w:t>
            </w:r>
          </w:p>
        </w:tc>
        <w:tc>
          <w:tcPr>
            <w:tcW w:w="0" w:type="auto"/>
          </w:tcPr>
          <w:p w14:paraId="7F8C70DE" w14:textId="77777777" w:rsidR="00180E7C" w:rsidRDefault="00000000">
            <w:pPr>
              <w:pStyle w:val="Compact"/>
            </w:pPr>
            <w:r>
              <w:t>Domestic stock margin; licensed import channel</w:t>
            </w:r>
          </w:p>
        </w:tc>
      </w:tr>
      <w:tr w:rsidR="00180E7C" w14:paraId="52A53C2F" w14:textId="77777777">
        <w:tc>
          <w:tcPr>
            <w:tcW w:w="0" w:type="auto"/>
          </w:tcPr>
          <w:p w14:paraId="3DB778FB" w14:textId="77777777" w:rsidR="00180E7C" w:rsidRDefault="00000000">
            <w:pPr>
              <w:pStyle w:val="Compact"/>
            </w:pPr>
            <w:r>
              <w:t>Recovery finding exceeds estimate</w:t>
            </w:r>
          </w:p>
        </w:tc>
        <w:tc>
          <w:tcPr>
            <w:tcW w:w="0" w:type="auto"/>
          </w:tcPr>
          <w:p w14:paraId="42A8F95E" w14:textId="77777777" w:rsidR="00180E7C" w:rsidRDefault="00000000">
            <w:pPr>
              <w:pStyle w:val="Compact"/>
            </w:pPr>
            <w:r>
              <w:t>Medium</w:t>
            </w:r>
          </w:p>
        </w:tc>
        <w:tc>
          <w:tcPr>
            <w:tcW w:w="0" w:type="auto"/>
          </w:tcPr>
          <w:p w14:paraId="6773703A" w14:textId="77777777" w:rsidR="00180E7C" w:rsidRDefault="00000000">
            <w:pPr>
              <w:pStyle w:val="Compact"/>
            </w:pPr>
            <w:r>
              <w:t>Ledger absorbs quantities; campaign adjusts batch counts with IAEA concurrence</w:t>
            </w:r>
          </w:p>
        </w:tc>
      </w:tr>
      <w:tr w:rsidR="00180E7C" w14:paraId="2E3B7332" w14:textId="77777777">
        <w:tc>
          <w:tcPr>
            <w:tcW w:w="0" w:type="auto"/>
          </w:tcPr>
          <w:p w14:paraId="2802AC1F" w14:textId="77777777" w:rsidR="00180E7C" w:rsidRDefault="00000000">
            <w:pPr>
              <w:pStyle w:val="Compact"/>
            </w:pPr>
            <w:r>
              <w:t>Personnel safety event</w:t>
            </w:r>
          </w:p>
        </w:tc>
        <w:tc>
          <w:tcPr>
            <w:tcW w:w="0" w:type="auto"/>
          </w:tcPr>
          <w:p w14:paraId="0991DAF6" w14:textId="77777777" w:rsidR="00180E7C" w:rsidRDefault="00000000">
            <w:pPr>
              <w:pStyle w:val="Compact"/>
            </w:pPr>
            <w:r>
              <w:t>Low</w:t>
            </w:r>
          </w:p>
        </w:tc>
        <w:tc>
          <w:tcPr>
            <w:tcW w:w="0" w:type="auto"/>
          </w:tcPr>
          <w:p w14:paraId="3B89BD99" w14:textId="77777777" w:rsidR="00180E7C" w:rsidRDefault="00000000">
            <w:pPr>
              <w:pStyle w:val="Compact"/>
            </w:pPr>
            <w:r>
              <w:t>IAEA safety standards; stoppage protocol without cadence penalty</w:t>
            </w:r>
          </w:p>
        </w:tc>
      </w:tr>
      <w:tr w:rsidR="00180E7C" w14:paraId="21D5AB9A" w14:textId="77777777">
        <w:tc>
          <w:tcPr>
            <w:tcW w:w="0" w:type="auto"/>
          </w:tcPr>
          <w:p w14:paraId="39BF0C1F" w14:textId="77777777" w:rsidR="00180E7C" w:rsidRDefault="00000000">
            <w:pPr>
              <w:pStyle w:val="Compact"/>
            </w:pPr>
            <w:r>
              <w:t>Data system outage</w:t>
            </w:r>
          </w:p>
        </w:tc>
        <w:tc>
          <w:tcPr>
            <w:tcW w:w="0" w:type="auto"/>
          </w:tcPr>
          <w:p w14:paraId="7140DB9F" w14:textId="77777777" w:rsidR="00180E7C" w:rsidRDefault="00000000">
            <w:pPr>
              <w:pStyle w:val="Compact"/>
            </w:pPr>
            <w:r>
              <w:t>Low</w:t>
            </w:r>
          </w:p>
        </w:tc>
        <w:tc>
          <w:tcPr>
            <w:tcW w:w="0" w:type="auto"/>
          </w:tcPr>
          <w:p w14:paraId="60366536" w14:textId="77777777" w:rsidR="00180E7C" w:rsidRDefault="00000000">
            <w:pPr>
              <w:pStyle w:val="Compact"/>
            </w:pPr>
            <w:r>
              <w:t>Redundant transmission; 72-hour rule distinguishes failure from interference</w:t>
            </w:r>
          </w:p>
        </w:tc>
      </w:tr>
      <w:tr w:rsidR="00180E7C" w14:paraId="5DE1A63C" w14:textId="77777777">
        <w:tc>
          <w:tcPr>
            <w:tcW w:w="0" w:type="auto"/>
          </w:tcPr>
          <w:p w14:paraId="1D24E467" w14:textId="77777777" w:rsidR="00180E7C" w:rsidRDefault="00000000">
            <w:pPr>
              <w:pStyle w:val="Compact"/>
            </w:pPr>
            <w:r>
              <w:t>Political interference</w:t>
            </w:r>
          </w:p>
        </w:tc>
        <w:tc>
          <w:tcPr>
            <w:tcW w:w="0" w:type="auto"/>
          </w:tcPr>
          <w:p w14:paraId="2B5AF266" w14:textId="77777777" w:rsidR="00180E7C" w:rsidRDefault="00000000">
            <w:pPr>
              <w:pStyle w:val="Compact"/>
            </w:pPr>
            <w:r>
              <w:t>Managed</w:t>
            </w:r>
          </w:p>
        </w:tc>
        <w:tc>
          <w:tcPr>
            <w:tcW w:w="0" w:type="auto"/>
          </w:tcPr>
          <w:p w14:paraId="5B12089F" w14:textId="77777777" w:rsidR="00180E7C" w:rsidRDefault="00000000">
            <w:pPr>
              <w:pStyle w:val="Compact"/>
            </w:pPr>
            <w:r>
              <w:t>Continuous presence; publication discipline; demerit architecture</w:t>
            </w:r>
          </w:p>
        </w:tc>
      </w:tr>
    </w:tbl>
    <w:p w14:paraId="34B329E8" w14:textId="77777777" w:rsidR="00180E7C" w:rsidRDefault="00000000">
      <w:pPr>
        <w:pStyle w:val="Heading2"/>
      </w:pPr>
      <w:bookmarkStart w:id="1084" w:name="af.3-the-post-campaign-steady-state"/>
      <w:bookmarkEnd w:id="1083"/>
      <w:r>
        <w:t>AF.3 The Post-Campaign Steady State</w:t>
      </w:r>
    </w:p>
    <w:p w14:paraId="585B8884" w14:textId="77777777" w:rsidR="00180E7C" w:rsidRDefault="00000000">
      <w:pPr>
        <w:pStyle w:val="FirstParagraph"/>
      </w:pPr>
      <w:r>
        <w:t>AF.3.1 After Batch 8 and the intermediate campaign: the facility transitions to standby disposition capability (maintained, inspectable, available for any future disposition need), the storage halls continue under dual-key, and the steady-state verification regime of Article 62 operates permanently.</w:t>
      </w:r>
    </w:p>
    <w:p w14:paraId="4A91049F" w14:textId="77777777" w:rsidR="00180E7C" w:rsidRDefault="00000000">
      <w:pPr>
        <w:pStyle w:val="Heading1"/>
      </w:pPr>
      <w:bookmarkStart w:id="1085" w:name="Xda8873d008da6ad3f237f0105a2c32372714f0e"/>
      <w:bookmarkStart w:id="1086" w:name="_Toc237843204"/>
      <w:bookmarkEnd w:id="1080"/>
      <w:bookmarkEnd w:id="1084"/>
      <w:r>
        <w:t>ADDENDUM TO ANNEX G: MEASURE-BY-MEASURE TERMINATION ENUMERATION</w:t>
      </w:r>
      <w:bookmarkEnd w:id="1086"/>
    </w:p>
    <w:p w14:paraId="386B2B58" w14:textId="77777777" w:rsidR="00180E7C" w:rsidRDefault="00000000">
      <w:pPr>
        <w:pStyle w:val="Heading2"/>
      </w:pPr>
      <w:bookmarkStart w:id="1087" w:name="ag.1-enumeration-method"/>
      <w:r>
        <w:t>AG.1 Enumeration Method</w:t>
      </w:r>
    </w:p>
    <w:p w14:paraId="026A91CF" w14:textId="77777777" w:rsidR="00180E7C" w:rsidRDefault="00000000">
      <w:pPr>
        <w:pStyle w:val="FirstParagraph"/>
      </w:pPr>
      <w:r>
        <w:t>AG.1.1 Schedule G-1’s full enumeration resides in the Registry’s legal annex, cataloging every measure by its instrument citation. The clusters below fix the categories and the statutory anchors so that no measure escapes the termination architecture through ambiguity.</w:t>
      </w:r>
    </w:p>
    <w:p w14:paraId="4D686693" w14:textId="77777777" w:rsidR="00180E7C" w:rsidRDefault="00000000">
      <w:pPr>
        <w:pStyle w:val="Heading2"/>
      </w:pPr>
      <w:bookmarkStart w:id="1088" w:name="ag.2-cluster-table"/>
      <w:bookmarkEnd w:id="1087"/>
      <w:r>
        <w:lastRenderedPageBreak/>
        <w:t>AG.2 Cluster Table</w:t>
      </w:r>
    </w:p>
    <w:tbl>
      <w:tblPr>
        <w:tblStyle w:val="Table"/>
        <w:tblW w:w="5000" w:type="pct"/>
        <w:tblLook w:val="0020" w:firstRow="1" w:lastRow="0" w:firstColumn="0" w:lastColumn="0" w:noHBand="0" w:noVBand="0"/>
      </w:tblPr>
      <w:tblGrid>
        <w:gridCol w:w="2961"/>
        <w:gridCol w:w="4549"/>
        <w:gridCol w:w="2066"/>
      </w:tblGrid>
      <w:tr w:rsidR="00180E7C" w14:paraId="259300C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933EDF8" w14:textId="77777777" w:rsidR="00180E7C" w:rsidRDefault="00000000">
            <w:pPr>
              <w:pStyle w:val="Compact"/>
            </w:pPr>
            <w:r>
              <w:t>Cluster</w:t>
            </w:r>
          </w:p>
        </w:tc>
        <w:tc>
          <w:tcPr>
            <w:tcW w:w="0" w:type="auto"/>
          </w:tcPr>
          <w:p w14:paraId="183D2866" w14:textId="77777777" w:rsidR="00180E7C" w:rsidRDefault="00000000">
            <w:pPr>
              <w:pStyle w:val="Compact"/>
            </w:pPr>
            <w:r>
              <w:t>Content Anchor</w:t>
            </w:r>
          </w:p>
        </w:tc>
        <w:tc>
          <w:tcPr>
            <w:tcW w:w="0" w:type="auto"/>
          </w:tcPr>
          <w:p w14:paraId="7D439AB5" w14:textId="77777777" w:rsidR="00180E7C" w:rsidRDefault="00000000">
            <w:pPr>
              <w:pStyle w:val="Compact"/>
            </w:pPr>
            <w:r>
              <w:t>Phase</w:t>
            </w:r>
          </w:p>
        </w:tc>
      </w:tr>
      <w:tr w:rsidR="00180E7C" w14:paraId="437783B3" w14:textId="77777777">
        <w:tc>
          <w:tcPr>
            <w:tcW w:w="0" w:type="auto"/>
          </w:tcPr>
          <w:p w14:paraId="13927372" w14:textId="77777777" w:rsidR="00180E7C" w:rsidRDefault="00000000">
            <w:pPr>
              <w:pStyle w:val="Compact"/>
            </w:pPr>
            <w:r>
              <w:t>Comprehensive embargo instruments</w:t>
            </w:r>
          </w:p>
        </w:tc>
        <w:tc>
          <w:tcPr>
            <w:tcW w:w="0" w:type="auto"/>
          </w:tcPr>
          <w:p w14:paraId="74638E04" w14:textId="77777777" w:rsidR="00180E7C" w:rsidRDefault="00000000">
            <w:pPr>
              <w:pStyle w:val="Compact"/>
            </w:pPr>
            <w:r>
              <w:t>The trade and transaction prohibitions affecting Iran generally</w:t>
            </w:r>
          </w:p>
        </w:tc>
        <w:tc>
          <w:tcPr>
            <w:tcW w:w="0" w:type="auto"/>
          </w:tcPr>
          <w:p w14:paraId="2A4C12BC" w14:textId="77777777" w:rsidR="00180E7C" w:rsidRDefault="00000000">
            <w:pPr>
              <w:pStyle w:val="Compact"/>
            </w:pPr>
            <w:r>
              <w:t>II-III</w:t>
            </w:r>
          </w:p>
        </w:tc>
      </w:tr>
      <w:tr w:rsidR="00180E7C" w14:paraId="61836904" w14:textId="77777777">
        <w:tc>
          <w:tcPr>
            <w:tcW w:w="0" w:type="auto"/>
          </w:tcPr>
          <w:p w14:paraId="5B0435DA" w14:textId="77777777" w:rsidR="00180E7C" w:rsidRDefault="00000000">
            <w:pPr>
              <w:pStyle w:val="Compact"/>
            </w:pPr>
            <w:r>
              <w:t>Financial sector measures</w:t>
            </w:r>
          </w:p>
        </w:tc>
        <w:tc>
          <w:tcPr>
            <w:tcW w:w="0" w:type="auto"/>
          </w:tcPr>
          <w:p w14:paraId="4B92E581" w14:textId="77777777" w:rsidR="00180E7C" w:rsidRDefault="00000000">
            <w:pPr>
              <w:pStyle w:val="Compact"/>
            </w:pPr>
            <w:r>
              <w:t>Central Bank and commercial bank restrictions; messaging restrictions</w:t>
            </w:r>
          </w:p>
        </w:tc>
        <w:tc>
          <w:tcPr>
            <w:tcW w:w="0" w:type="auto"/>
          </w:tcPr>
          <w:p w14:paraId="5D7B629F" w14:textId="77777777" w:rsidR="00180E7C" w:rsidRDefault="00000000">
            <w:pPr>
              <w:pStyle w:val="Compact"/>
            </w:pPr>
            <w:r>
              <w:t>II</w:t>
            </w:r>
          </w:p>
        </w:tc>
      </w:tr>
      <w:tr w:rsidR="00180E7C" w14:paraId="4AC7EFFF" w14:textId="77777777">
        <w:tc>
          <w:tcPr>
            <w:tcW w:w="0" w:type="auto"/>
          </w:tcPr>
          <w:p w14:paraId="0960B6F1" w14:textId="77777777" w:rsidR="00180E7C" w:rsidRDefault="00000000">
            <w:pPr>
              <w:pStyle w:val="Compact"/>
            </w:pPr>
            <w:r>
              <w:t>Secondary sanctions</w:t>
            </w:r>
          </w:p>
        </w:tc>
        <w:tc>
          <w:tcPr>
            <w:tcW w:w="0" w:type="auto"/>
          </w:tcPr>
          <w:p w14:paraId="5E56F206" w14:textId="77777777" w:rsidR="00180E7C" w:rsidRDefault="00000000">
            <w:pPr>
              <w:pStyle w:val="Compact"/>
            </w:pPr>
            <w:r>
              <w:t>Third-country exposure for Iran transactions</w:t>
            </w:r>
          </w:p>
        </w:tc>
        <w:tc>
          <w:tcPr>
            <w:tcW w:w="0" w:type="auto"/>
          </w:tcPr>
          <w:p w14:paraId="488FAC0B" w14:textId="77777777" w:rsidR="00180E7C" w:rsidRDefault="00000000">
            <w:pPr>
              <w:pStyle w:val="Compact"/>
            </w:pPr>
            <w:r>
              <w:t>III</w:t>
            </w:r>
          </w:p>
        </w:tc>
      </w:tr>
      <w:tr w:rsidR="00180E7C" w14:paraId="0269F5FB" w14:textId="77777777">
        <w:tc>
          <w:tcPr>
            <w:tcW w:w="0" w:type="auto"/>
          </w:tcPr>
          <w:p w14:paraId="734EE6D8" w14:textId="77777777" w:rsidR="00180E7C" w:rsidRDefault="00000000">
            <w:pPr>
              <w:pStyle w:val="Compact"/>
            </w:pPr>
            <w:r>
              <w:t>Energy measures</w:t>
            </w:r>
          </w:p>
        </w:tc>
        <w:tc>
          <w:tcPr>
            <w:tcW w:w="0" w:type="auto"/>
          </w:tcPr>
          <w:p w14:paraId="34FAEB2C" w14:textId="77777777" w:rsidR="00180E7C" w:rsidRDefault="00000000">
            <w:pPr>
              <w:pStyle w:val="Compact"/>
            </w:pPr>
            <w:r>
              <w:t>Petroleum purchase, investment, and service restrictions</w:t>
            </w:r>
          </w:p>
        </w:tc>
        <w:tc>
          <w:tcPr>
            <w:tcW w:w="0" w:type="auto"/>
          </w:tcPr>
          <w:p w14:paraId="191CD6D2" w14:textId="77777777" w:rsidR="00180E7C" w:rsidRDefault="00000000">
            <w:pPr>
              <w:pStyle w:val="Compact"/>
            </w:pPr>
            <w:r>
              <w:t>II</w:t>
            </w:r>
          </w:p>
        </w:tc>
      </w:tr>
      <w:tr w:rsidR="00180E7C" w14:paraId="6C359D28" w14:textId="77777777">
        <w:tc>
          <w:tcPr>
            <w:tcW w:w="0" w:type="auto"/>
          </w:tcPr>
          <w:p w14:paraId="360E60CC" w14:textId="77777777" w:rsidR="00180E7C" w:rsidRDefault="00000000">
            <w:pPr>
              <w:pStyle w:val="Compact"/>
            </w:pPr>
            <w:r>
              <w:t>Shipping and insurance</w:t>
            </w:r>
          </w:p>
        </w:tc>
        <w:tc>
          <w:tcPr>
            <w:tcW w:w="0" w:type="auto"/>
          </w:tcPr>
          <w:p w14:paraId="60A437F1" w14:textId="77777777" w:rsidR="00180E7C" w:rsidRDefault="00000000">
            <w:pPr>
              <w:pStyle w:val="Compact"/>
            </w:pPr>
            <w:r>
              <w:t>Vessel, P&amp;I, classification, port restrictions</w:t>
            </w:r>
          </w:p>
        </w:tc>
        <w:tc>
          <w:tcPr>
            <w:tcW w:w="0" w:type="auto"/>
          </w:tcPr>
          <w:p w14:paraId="1703147C" w14:textId="77777777" w:rsidR="00180E7C" w:rsidRDefault="00000000">
            <w:pPr>
              <w:pStyle w:val="Compact"/>
            </w:pPr>
            <w:r>
              <w:t>I</w:t>
            </w:r>
          </w:p>
        </w:tc>
      </w:tr>
      <w:tr w:rsidR="00180E7C" w14:paraId="26D0B62A" w14:textId="77777777">
        <w:tc>
          <w:tcPr>
            <w:tcW w:w="0" w:type="auto"/>
          </w:tcPr>
          <w:p w14:paraId="5FDAE5A4" w14:textId="77777777" w:rsidR="00180E7C" w:rsidRDefault="00000000">
            <w:pPr>
              <w:pStyle w:val="Compact"/>
            </w:pPr>
            <w:r>
              <w:t>Aviation</w:t>
            </w:r>
          </w:p>
        </w:tc>
        <w:tc>
          <w:tcPr>
            <w:tcW w:w="0" w:type="auto"/>
          </w:tcPr>
          <w:p w14:paraId="6BA8A3CF" w14:textId="77777777" w:rsidR="00180E7C" w:rsidRDefault="00000000">
            <w:pPr>
              <w:pStyle w:val="Compact"/>
            </w:pPr>
            <w:r>
              <w:t>Aircraft, parts, services restrictions</w:t>
            </w:r>
          </w:p>
        </w:tc>
        <w:tc>
          <w:tcPr>
            <w:tcW w:w="0" w:type="auto"/>
          </w:tcPr>
          <w:p w14:paraId="3FA1373B" w14:textId="77777777" w:rsidR="00180E7C" w:rsidRDefault="00000000">
            <w:pPr>
              <w:pStyle w:val="Compact"/>
            </w:pPr>
            <w:r>
              <w:t>I</w:t>
            </w:r>
          </w:p>
        </w:tc>
      </w:tr>
      <w:tr w:rsidR="00180E7C" w14:paraId="6CB02A8D" w14:textId="77777777">
        <w:tc>
          <w:tcPr>
            <w:tcW w:w="0" w:type="auto"/>
          </w:tcPr>
          <w:p w14:paraId="2FE93A08" w14:textId="77777777" w:rsidR="00180E7C" w:rsidRDefault="00000000">
            <w:pPr>
              <w:pStyle w:val="Compact"/>
            </w:pPr>
            <w:r>
              <w:t>Designations</w:t>
            </w:r>
          </w:p>
        </w:tc>
        <w:tc>
          <w:tcPr>
            <w:tcW w:w="0" w:type="auto"/>
          </w:tcPr>
          <w:p w14:paraId="21641768" w14:textId="77777777" w:rsidR="00180E7C" w:rsidRDefault="00000000">
            <w:pPr>
              <w:pStyle w:val="Compact"/>
            </w:pPr>
            <w:r>
              <w:t>Entity and individual listings per Tables G-3, G-5, G-6</w:t>
            </w:r>
          </w:p>
        </w:tc>
        <w:tc>
          <w:tcPr>
            <w:tcW w:w="0" w:type="auto"/>
          </w:tcPr>
          <w:p w14:paraId="17E2A3BC" w14:textId="77777777" w:rsidR="00180E7C" w:rsidRDefault="00000000">
            <w:pPr>
              <w:pStyle w:val="Compact"/>
            </w:pPr>
            <w:r>
              <w:t>I-III</w:t>
            </w:r>
          </w:p>
        </w:tc>
      </w:tr>
      <w:tr w:rsidR="00180E7C" w14:paraId="336B7D8B" w14:textId="77777777">
        <w:tc>
          <w:tcPr>
            <w:tcW w:w="0" w:type="auto"/>
          </w:tcPr>
          <w:p w14:paraId="3D5D5976" w14:textId="77777777" w:rsidR="00180E7C" w:rsidRDefault="00000000">
            <w:pPr>
              <w:pStyle w:val="Compact"/>
            </w:pPr>
            <w:r>
              <w:t>Wartime 2026 measures</w:t>
            </w:r>
          </w:p>
        </w:tc>
        <w:tc>
          <w:tcPr>
            <w:tcW w:w="0" w:type="auto"/>
          </w:tcPr>
          <w:p w14:paraId="413DCF9F" w14:textId="77777777" w:rsidR="00180E7C" w:rsidRDefault="00000000">
            <w:pPr>
              <w:pStyle w:val="Compact"/>
            </w:pPr>
            <w:r>
              <w:t>All measures imposed January-August 2026</w:t>
            </w:r>
          </w:p>
        </w:tc>
        <w:tc>
          <w:tcPr>
            <w:tcW w:w="0" w:type="auto"/>
          </w:tcPr>
          <w:p w14:paraId="7B52D2BC" w14:textId="77777777" w:rsidR="00180E7C" w:rsidRDefault="00000000">
            <w:pPr>
              <w:pStyle w:val="Compact"/>
            </w:pPr>
            <w:r>
              <w:t>I</w:t>
            </w:r>
          </w:p>
        </w:tc>
      </w:tr>
      <w:tr w:rsidR="00180E7C" w14:paraId="5A18F229" w14:textId="77777777">
        <w:tc>
          <w:tcPr>
            <w:tcW w:w="0" w:type="auto"/>
          </w:tcPr>
          <w:p w14:paraId="3DBC1217" w14:textId="77777777" w:rsidR="00180E7C" w:rsidRDefault="00000000">
            <w:pPr>
              <w:pStyle w:val="Compact"/>
            </w:pPr>
            <w:r>
              <w:t>Nuclear-related UN measures</w:t>
            </w:r>
          </w:p>
        </w:tc>
        <w:tc>
          <w:tcPr>
            <w:tcW w:w="0" w:type="auto"/>
          </w:tcPr>
          <w:p w14:paraId="730ED8F7" w14:textId="77777777" w:rsidR="00180E7C" w:rsidRDefault="00000000">
            <w:pPr>
              <w:pStyle w:val="Compact"/>
            </w:pPr>
            <w:r>
              <w:t>Per Schedule G-2</w:t>
            </w:r>
          </w:p>
        </w:tc>
        <w:tc>
          <w:tcPr>
            <w:tcW w:w="0" w:type="auto"/>
          </w:tcPr>
          <w:p w14:paraId="1BA6690E" w14:textId="77777777" w:rsidR="00180E7C" w:rsidRDefault="00000000">
            <w:pPr>
              <w:pStyle w:val="Compact"/>
            </w:pPr>
            <w:r>
              <w:t>UNSC resolution at EIF</w:t>
            </w:r>
          </w:p>
        </w:tc>
      </w:tr>
      <w:tr w:rsidR="00180E7C" w14:paraId="66E93036" w14:textId="77777777">
        <w:tc>
          <w:tcPr>
            <w:tcW w:w="0" w:type="auto"/>
          </w:tcPr>
          <w:p w14:paraId="0A0EF1F4" w14:textId="77777777" w:rsidR="00180E7C" w:rsidRDefault="00000000">
            <w:pPr>
              <w:pStyle w:val="Compact"/>
            </w:pPr>
            <w:r>
              <w:t>IAEA Board censures</w:t>
            </w:r>
          </w:p>
        </w:tc>
        <w:tc>
          <w:tcPr>
            <w:tcW w:w="0" w:type="auto"/>
          </w:tcPr>
          <w:p w14:paraId="7A64D60F" w14:textId="77777777" w:rsidR="00180E7C" w:rsidRDefault="00000000">
            <w:pPr>
              <w:pStyle w:val="Compact"/>
            </w:pPr>
            <w:r>
              <w:t>Per F.12</w:t>
            </w:r>
          </w:p>
        </w:tc>
        <w:tc>
          <w:tcPr>
            <w:tcW w:w="0" w:type="auto"/>
          </w:tcPr>
          <w:p w14:paraId="0974F50A" w14:textId="77777777" w:rsidR="00180E7C" w:rsidRDefault="00000000">
            <w:pPr>
              <w:pStyle w:val="Compact"/>
            </w:pPr>
            <w:r>
              <w:t>Board action post-closure</w:t>
            </w:r>
          </w:p>
        </w:tc>
      </w:tr>
    </w:tbl>
    <w:p w14:paraId="1AEB6E92" w14:textId="77777777" w:rsidR="00180E7C" w:rsidRDefault="00000000">
      <w:pPr>
        <w:pStyle w:val="Heading2"/>
      </w:pPr>
      <w:bookmarkStart w:id="1089" w:name="ag.3-the-anti-ambiguity-rule"/>
      <w:bookmarkEnd w:id="1088"/>
      <w:r>
        <w:t>AG.3 The Anti-Ambiguity Rule</w:t>
      </w:r>
    </w:p>
    <w:p w14:paraId="54FDA08B" w14:textId="77777777" w:rsidR="00180E7C" w:rsidRDefault="00000000">
      <w:pPr>
        <w:pStyle w:val="FirstParagraph"/>
      </w:pPr>
      <w:r>
        <w:t>AG.3.1 Any measure not clearly surviving per the residual designations review terminates. Doubt resolves in favor of termination: the burden falls on retention, not on relief. The EMB adjudicates classification questions within 14 days, with the claim procedure as backstop.</w:t>
      </w:r>
    </w:p>
    <w:p w14:paraId="2104D59B" w14:textId="77777777" w:rsidR="00180E7C" w:rsidRDefault="00000000">
      <w:pPr>
        <w:pStyle w:val="Heading1"/>
      </w:pPr>
      <w:bookmarkStart w:id="1090" w:name="X07b514a6c6770dd1cbbee2aa7b420862777fb75"/>
      <w:bookmarkStart w:id="1091" w:name="_Toc237843205"/>
      <w:bookmarkEnd w:id="1085"/>
      <w:bookmarkEnd w:id="1089"/>
      <w:r>
        <w:t>ADDENDUM TO ANNEX H: ESCROW OPERATIONS MANUAL</w:t>
      </w:r>
      <w:bookmarkEnd w:id="1091"/>
    </w:p>
    <w:p w14:paraId="51835E5E" w14:textId="77777777" w:rsidR="00180E7C" w:rsidRDefault="00000000">
      <w:pPr>
        <w:pStyle w:val="Heading2"/>
      </w:pPr>
      <w:bookmarkStart w:id="1092" w:name="ah.1-settlement-standards"/>
      <w:r>
        <w:t>AH.1 Settlement Standards</w:t>
      </w:r>
    </w:p>
    <w:p w14:paraId="37C82BCB" w14:textId="77777777" w:rsidR="00180E7C" w:rsidRDefault="00000000">
      <w:pPr>
        <w:pStyle w:val="FirstParagraph"/>
      </w:pPr>
      <w:r>
        <w:t>AH.1.1 Settlement windows: instructions value-dated on business days in Bern; same-day settlement for amounts below 500 million dollars; T+2 for larger amounts. Currencies: United States dollars primary; euro and Swiss franc rails available at Iran’s election. Confirmations: SWIFT MT confirmations to the Escrow Agent, the Central Bank of Iran, and the SDR.</w:t>
      </w:r>
    </w:p>
    <w:p w14:paraId="1544D6F3" w14:textId="77777777" w:rsidR="00180E7C" w:rsidRDefault="00000000">
      <w:pPr>
        <w:pStyle w:val="Heading2"/>
      </w:pPr>
      <w:bookmarkStart w:id="1093" w:name="ah.2-failure-tree"/>
      <w:bookmarkEnd w:id="1092"/>
      <w:r>
        <w:t>AH.2 Failure Tree</w:t>
      </w:r>
    </w:p>
    <w:p w14:paraId="0CF6F7B4" w14:textId="77777777" w:rsidR="00180E7C" w:rsidRDefault="00000000">
      <w:pPr>
        <w:pStyle w:val="FirstParagraph"/>
      </w:pPr>
      <w:r>
        <w:t xml:space="preserve">AH.2.1 Instruction rejected by holding institution: Escrow Agent query within 4 business hours; legal impediment analysis; joint engagement by the Parties where the impediment is regulatory; alternate routing activation within 5 business days. Settlement delayed beyond </w:t>
      </w:r>
      <w:r>
        <w:lastRenderedPageBreak/>
        <w:t>T+2: penalty interest accrues to Iran at the agreed rate from the responsible party (holding institution or instructing authority). Certificate dispute: Technical Dispute Hold on the disputed amount only.</w:t>
      </w:r>
    </w:p>
    <w:p w14:paraId="79897C8B" w14:textId="77777777" w:rsidR="00180E7C" w:rsidRDefault="00000000">
      <w:pPr>
        <w:pStyle w:val="Heading2"/>
      </w:pPr>
      <w:bookmarkStart w:id="1094" w:name="ah.3-account-security"/>
      <w:bookmarkEnd w:id="1093"/>
      <w:r>
        <w:t>AH.3 Account Security</w:t>
      </w:r>
    </w:p>
    <w:p w14:paraId="2A7BDDA1" w14:textId="77777777" w:rsidR="00180E7C" w:rsidRDefault="00000000">
      <w:pPr>
        <w:pStyle w:val="FirstParagraph"/>
      </w:pPr>
      <w:r>
        <w:t>AH.3.1 The escrow accounts operate under: dual authorization for all movements (Escrow Agent plus certificate-based instruction); no unilateral freeze authority held by any Party; cybersecurity per the protected systems inventory (Annex C.11); quarterly reconciliation published to the EMB.</w:t>
      </w:r>
    </w:p>
    <w:p w14:paraId="6CF22A26" w14:textId="77777777" w:rsidR="00180E7C" w:rsidRDefault="00000000">
      <w:pPr>
        <w:pStyle w:val="Heading2"/>
      </w:pPr>
      <w:bookmarkStart w:id="1095" w:name="ah.4-transparency-publications"/>
      <w:bookmarkEnd w:id="1094"/>
      <w:r>
        <w:t>AH.4 Transparency Publications</w:t>
      </w:r>
    </w:p>
    <w:p w14:paraId="2147EAA5" w14:textId="77777777" w:rsidR="00180E7C" w:rsidRDefault="00000000">
      <w:pPr>
        <w:pStyle w:val="FirstParagraph"/>
      </w:pPr>
      <w:r>
        <w:t>AH.4.1 The Escrow Agent publishes: release event confirmations (public); pool balances (monthly, public); disbursement category reports (quarterly, public summary); audit reports (annual, public). The architecture treats daylight as the escrow’s chief security officer.</w:t>
      </w:r>
    </w:p>
    <w:p w14:paraId="5F0172B6" w14:textId="77777777" w:rsidR="00180E7C" w:rsidRDefault="00000000">
      <w:pPr>
        <w:pStyle w:val="Heading1"/>
      </w:pPr>
      <w:bookmarkStart w:id="1096" w:name="Xff20a131897460002900c9c974d1418bb81588d"/>
      <w:bookmarkStart w:id="1097" w:name="_Toc237843206"/>
      <w:bookmarkEnd w:id="1090"/>
      <w:bookmarkEnd w:id="1095"/>
      <w:r>
        <w:t>SUPPLEMENTARY PROTOCOL SP-21: THE SIGNING CEREMONY AND PUBLIC COMMUNICATION PLAN</w:t>
      </w:r>
      <w:bookmarkEnd w:id="1097"/>
    </w:p>
    <w:p w14:paraId="559AA7DA" w14:textId="77777777" w:rsidR="00180E7C" w:rsidRDefault="00000000">
      <w:pPr>
        <w:pStyle w:val="Heading2"/>
      </w:pPr>
      <w:bookmarkStart w:id="1098" w:name="sp-21.1-the-ceremony"/>
      <w:r>
        <w:t>SP-21.1 The Ceremony</w:t>
      </w:r>
    </w:p>
    <w:p w14:paraId="29263A14" w14:textId="77777777" w:rsidR="00180E7C" w:rsidRDefault="00000000">
      <w:pPr>
        <w:pStyle w:val="FirstParagraph"/>
      </w:pPr>
      <w:r>
        <w:t>SP-21.1.1 The signing takes place at Islamabad with: the two principals; the four Facilitating States’ representatives; the Secretary-General’s personal representative; and the technical bodies’ heads as witnesses. The ceremony’s staging observes strict parity: equal prominence, equal speaking time, both languages throughout. The Joint Communication Cell scripts the public narrative in advance per Article 12.1.2: a reciprocal settlement, never a victory.</w:t>
      </w:r>
    </w:p>
    <w:p w14:paraId="3A8EC99D" w14:textId="77777777" w:rsidR="00180E7C" w:rsidRDefault="00000000">
      <w:pPr>
        <w:pStyle w:val="Heading2"/>
      </w:pPr>
      <w:bookmarkStart w:id="1099" w:name="sp-21.2-the-publication-plan"/>
      <w:bookmarkEnd w:id="1098"/>
      <w:r>
        <w:t>SP-21.2 The Publication Plan</w:t>
      </w:r>
    </w:p>
    <w:p w14:paraId="12D9564B" w14:textId="77777777" w:rsidR="00180E7C" w:rsidRDefault="00000000">
      <w:pPr>
        <w:pStyle w:val="FirstParagraph"/>
      </w:pPr>
      <w:r>
        <w:t>SP-21.2.1 The Treaty text publishes in full on EIF (both authentic languages) on the compliance portal and the United Nations treaty collection; the public dashboard launches simultaneously; the explanatory materials (citizens’ summaries in English, Persian, and Arabic) publish with the text, because a peace its peoples cannot read belongs only to its lawyers.</w:t>
      </w:r>
    </w:p>
    <w:p w14:paraId="36D02EF3" w14:textId="77777777" w:rsidR="00180E7C" w:rsidRDefault="00000000">
      <w:pPr>
        <w:pStyle w:val="Heading2"/>
      </w:pPr>
      <w:bookmarkStart w:id="1100" w:name="Xcb2b5caa9fc0d0624030ed4f40b975cd89aa782"/>
      <w:bookmarkEnd w:id="1099"/>
      <w:r>
        <w:t>SP-21.3 The First Hundred Days Communication</w:t>
      </w:r>
    </w:p>
    <w:p w14:paraId="6BA5E07D" w14:textId="77777777" w:rsidR="00180E7C" w:rsidRDefault="00000000">
      <w:pPr>
        <w:pStyle w:val="FirstParagraph"/>
      </w:pPr>
      <w:r>
        <w:t>SP-21.3.1 The Joint Communication Cell runs the first-hundred-days program: milestone announcements per the calendar; weekly background briefings in both capitals with identical content; the misinformation watch at surge posture; and the joint documentary record of the first corridor transit, the first batch certificate, and the first homecoming of released detainees, the human images of the peace.</w:t>
      </w:r>
    </w:p>
    <w:p w14:paraId="55A20ECC" w14:textId="77777777" w:rsidR="00180E7C" w:rsidRDefault="00000000">
      <w:r>
        <w:br w:type="page"/>
      </w:r>
    </w:p>
    <w:p w14:paraId="451E9DD2" w14:textId="77777777" w:rsidR="00180E7C" w:rsidRDefault="00000000">
      <w:pPr>
        <w:pStyle w:val="Heading1"/>
      </w:pPr>
      <w:bookmarkStart w:id="1101" w:name="Xb82c0d46f289cf84bce6292c769a975accd1f57"/>
      <w:bookmarkStart w:id="1102" w:name="_Toc237843207"/>
      <w:bookmarkEnd w:id="1096"/>
      <w:bookmarkEnd w:id="1100"/>
      <w:r>
        <w:lastRenderedPageBreak/>
        <w:t>SUPPLEMENTARY PROTOCOL SP-22: THE ISSUE BOOK (FIFTY ISSUES IN OPERATIVE DEPTH)</w:t>
      </w:r>
      <w:bookmarkEnd w:id="1102"/>
    </w:p>
    <w:p w14:paraId="429968D7" w14:textId="77777777" w:rsidR="00180E7C" w:rsidRDefault="00000000">
      <w:pPr>
        <w:pStyle w:val="Heading2"/>
      </w:pPr>
      <w:bookmarkStart w:id="1103" w:name="sp-22.0-method"/>
      <w:r>
        <w:t>SP-22.0 Method</w:t>
      </w:r>
    </w:p>
    <w:p w14:paraId="1257DAFF" w14:textId="77777777" w:rsidR="00180E7C" w:rsidRDefault="00000000">
      <w:pPr>
        <w:pStyle w:val="FirstParagraph"/>
      </w:pPr>
      <w:r>
        <w:t>SP-22.0.1 This Issue Book treats each of the fifty issues of Annex Q, Part One, in operative depth: the positions colliding, the resolution mechanics, the verification arrangements, and the failure modes with their engineered responses. It serves negotiators, implementers, legislators, and analysts as the working companion to the Treaty text.</w:t>
      </w:r>
    </w:p>
    <w:p w14:paraId="4F7928C6" w14:textId="77777777" w:rsidR="00180E7C" w:rsidRDefault="00000000">
      <w:pPr>
        <w:pStyle w:val="Heading2"/>
      </w:pPr>
      <w:bookmarkStart w:id="1104" w:name="tier-1-the-nuclear-program"/>
      <w:bookmarkEnd w:id="1103"/>
      <w:r>
        <w:t>TIER 1: THE NUCLEAR PROGRAM</w:t>
      </w:r>
    </w:p>
    <w:p w14:paraId="761E2059" w14:textId="77777777" w:rsidR="00180E7C" w:rsidRDefault="00000000">
      <w:pPr>
        <w:pStyle w:val="Heading3"/>
      </w:pPr>
      <w:bookmarkStart w:id="1105" w:name="issue-1-enrichment-capacity"/>
      <w:r>
        <w:t>Issue 1: Enrichment Capacity</w:t>
      </w:r>
    </w:p>
    <w:p w14:paraId="7CCBF029" w14:textId="77777777" w:rsidR="00180E7C" w:rsidRDefault="00000000">
      <w:pPr>
        <w:pStyle w:val="FirstParagraph"/>
      </w:pPr>
      <w:r>
        <w:t>The collision: the United States demanded zero enrichment on Iranian territory; Iran declared enrichment a sovereign, non-negotiable right under the Non-Proliferation Treaty. Resolution mechanics: the Treaty relocates the conflict from the act of enrichment to the material and the timeline. Enrichment continues at 3.67 percent, the level of civil reactor fuel, within a single site and a capped machine count. The security substance of the zero-enrichment demand, meaning the inability to produce weapons-usable material rapidly, delivers through the zero stockpile above 3.67 percent, the stored advanced machines, and the continuous presence. Verification: online enrichment measurement at every product point; any reading above 3.67 percent registers Level 4 immediately and accrues 12 demerit points, the petition threshold. Failure mode: covert excess capacity; engineered response: the Uranium Ledger makes undeclared feed visible at the gram level, and the anytime access protocol covers undeclared locations.</w:t>
      </w:r>
    </w:p>
    <w:p w14:paraId="36C96296" w14:textId="77777777" w:rsidR="00180E7C" w:rsidRDefault="00000000">
      <w:pPr>
        <w:pStyle w:val="Heading3"/>
      </w:pPr>
      <w:bookmarkStart w:id="1106" w:name="issue-2-stockpile-disposition"/>
      <w:bookmarkEnd w:id="1105"/>
      <w:r>
        <w:t>Issue 2: Stockpile Disposition</w:t>
      </w:r>
    </w:p>
    <w:p w14:paraId="66D7DA8C" w14:textId="77777777" w:rsidR="00180E7C" w:rsidRDefault="00000000">
      <w:pPr>
        <w:pStyle w:val="FirstParagraph"/>
      </w:pPr>
      <w:r>
        <w:t>The collision: the United States demanded export and destruction; Iran declared export a red line and title non-negotiable. Resolution mechanics: disposition in place through physics. The 60 percent inventory down-blends to natural-equivalent assay in eight certified batches; intermediate material follows within eighteen months; excess low-enriched uranium converts to fuel or disperses industrially. Irreversibility certification per batch answers the destruction demand in functional terms: re-enrichment from natural-equivalent costs what starting from ore costs. Verification: continuous presence, batch certificates, Ledger genesis and reconciliation. Failure mode: incomplete accounting from damaged sites; engineered response: the recovery protocol with computational accounting validated by sampling, and the closure report obligation.</w:t>
      </w:r>
    </w:p>
    <w:p w14:paraId="01E826B2" w14:textId="77777777" w:rsidR="00180E7C" w:rsidRDefault="00000000">
      <w:pPr>
        <w:pStyle w:val="Heading3"/>
      </w:pPr>
      <w:bookmarkStart w:id="1107" w:name="issue-3-inspection-scope"/>
      <w:bookmarkEnd w:id="1106"/>
      <w:r>
        <w:t>Issue 3: Inspection Scope</w:t>
      </w:r>
    </w:p>
    <w:p w14:paraId="42213B7A" w14:textId="77777777" w:rsidR="00180E7C" w:rsidRDefault="00000000">
      <w:pPr>
        <w:pStyle w:val="FirstParagraph"/>
      </w:pPr>
      <w:r>
        <w:t xml:space="preserve">The collision: the United States and Israel demanded anytime-anywhere access including military sites; Iran historically resisted military-site access as sovereignty erosion and espionage cover. Resolution mechanics: access never refuses; techniques negotiate; the IAEA certifies objective satisfaction. The 24/72-hour timelines with Level 4 registration convert access from a negotiation into a clock. Managed access protects conventional </w:t>
      </w:r>
      <w:r>
        <w:lastRenderedPageBreak/>
        <w:t>secrets, answering the espionage concern without protecting nuclear concealment, since nuclear signatures persist where conventional equipment shrouds. Verification: the access file system with quarterly statistics. Failure mode: incremental delay as soft refusal; engineered response: delay itself classifies (Category 4.5 then 4.6), so obstruction pays demerit costs automatically.</w:t>
      </w:r>
    </w:p>
    <w:p w14:paraId="0FF395BC" w14:textId="77777777" w:rsidR="00180E7C" w:rsidRDefault="00000000">
      <w:pPr>
        <w:pStyle w:val="Heading3"/>
      </w:pPr>
      <w:bookmarkStart w:id="1108" w:name="issue-4-duration-of-restrictions"/>
      <w:bookmarkEnd w:id="1107"/>
      <w:r>
        <w:t>Issue 4: Duration of Restrictions</w:t>
      </w:r>
    </w:p>
    <w:p w14:paraId="0EC412AF" w14:textId="77777777" w:rsidR="00180E7C" w:rsidRDefault="00000000">
      <w:pPr>
        <w:pStyle w:val="FirstParagraph"/>
      </w:pPr>
      <w:r>
        <w:t>The collision: the United States demanded permanence; Iran demanded time-limits, having watched sunset clauses traded as concessions. Resolution mechanics: the permanent core (no weapons, no high enrichment, no reprocessing, no weaponization, forever) stands unlimited, satisfying the permanence demand where it matters; operational parameters (machine counts, inventory caps) carry review cycles, satisfying Iran’s refusal of permanent technological freeze. The structure distinguishes the promise that never expires from the machinery that periodically modernizes. Verification: the permanence watch of SP-5.7. Failure mode: future renegotiation pressure; engineered response: amendments require consensus and both constitutional processes, so permanence holds by default.</w:t>
      </w:r>
    </w:p>
    <w:p w14:paraId="130D7EB2" w14:textId="77777777" w:rsidR="00180E7C" w:rsidRDefault="00000000">
      <w:pPr>
        <w:pStyle w:val="Heading3"/>
      </w:pPr>
      <w:bookmarkStart w:id="1109" w:name="issue-5-fordow"/>
      <w:bookmarkEnd w:id="1108"/>
      <w:r>
        <w:t>Issue 5: Fordow</w:t>
      </w:r>
    </w:p>
    <w:p w14:paraId="07C23235" w14:textId="77777777" w:rsidR="00180E7C" w:rsidRDefault="00000000">
      <w:pPr>
        <w:pStyle w:val="FirstParagraph"/>
      </w:pPr>
      <w:r>
        <w:t>The collision: Israel and the United States demanded the mountain facility’s closure or destruction; Iran demanded its survival. Resolution mechanics: conversion with international governance. The Fordow International Center for Stable Isotope Science produces medical and industrial isotopes under a board including international partners, with IAEA residence as a standing condition. The mountain becomes irrelevant: nothing nuclear enters without international governance noticing, and the hardest site becomes the most watched. Verification: continuous resident presence; centrifuge removal certificate; no-uranium rule with immediate anomaly registration. Failure mode: covert re-conversion; engineered response: the removal of cascades to Isfahan dual-key storage makes reconversion a months-long, fully visible operation.</w:t>
      </w:r>
    </w:p>
    <w:p w14:paraId="400CCFEE" w14:textId="77777777" w:rsidR="00180E7C" w:rsidRDefault="00000000">
      <w:pPr>
        <w:pStyle w:val="Heading3"/>
      </w:pPr>
      <w:bookmarkStart w:id="1110" w:name="issue-6-centrifuge-disposition"/>
      <w:bookmarkEnd w:id="1109"/>
      <w:r>
        <w:t>Issue 6: Centrifuge Disposition</w:t>
      </w:r>
    </w:p>
    <w:p w14:paraId="4691AB89" w14:textId="77777777" w:rsidR="00180E7C" w:rsidRDefault="00000000">
      <w:pPr>
        <w:pStyle w:val="FirstParagraph"/>
      </w:pPr>
      <w:r>
        <w:t>The collision: dismantle versus retain advanced machines. Resolution mechanics: dual-key monitored storage. Machines and components leave the halls, enter the Isfahan storage, and sit under IAEA seals plus Iranian custody. Neither destroyed (Iranian red line against humiliation disposal) nor operable (United States red line against rapid restart). The reconstitution timeline enters the breakout computation as a visible, months-long variable. Verification: continuous surveillance, monthly seal checks, annual physical inventory. Failure mode: undeclared machine retention; engineered response: the baseline declaration verified against procurement and manufacturing records, with anytime access covering suspected sites.</w:t>
      </w:r>
    </w:p>
    <w:p w14:paraId="5D6E8AF2" w14:textId="77777777" w:rsidR="00180E7C" w:rsidRDefault="00000000">
      <w:pPr>
        <w:pStyle w:val="Heading3"/>
      </w:pPr>
      <w:bookmarkStart w:id="1111" w:name="issue-7-access-to-bombed-sites"/>
      <w:bookmarkEnd w:id="1110"/>
      <w:r>
        <w:t>Issue 7: Access to Bombed Sites</w:t>
      </w:r>
    </w:p>
    <w:p w14:paraId="74D5607E" w14:textId="77777777" w:rsidR="00180E7C" w:rsidRDefault="00000000">
      <w:pPr>
        <w:pStyle w:val="FirstParagraph"/>
      </w:pPr>
      <w:r>
        <w:t xml:space="preserve">The collision: post-strike access impasse, with Iran citing sovereignty over attacked facilities and the IAEA requiring accounting. Resolution mechanics: the damaged-site protocol treats the sites as recovery operations, not inspection battlegrounds: joint safety </w:t>
      </w:r>
      <w:r>
        <w:lastRenderedPageBreak/>
        <w:t>assessment, supervised recovery, gram-level accounting, dignity-preserving execution. The United States contributes strike-damage data, converting the attack’s legacy into a safety input. Verification: the recovery work packages and the 240-day closure report. Failure mode: material unaccounted in debris; engineered response: computational accounting with sampling validation, and any unresolved discrepancy at Category 4.4.</w:t>
      </w:r>
    </w:p>
    <w:p w14:paraId="38E3C845" w14:textId="77777777" w:rsidR="00180E7C" w:rsidRDefault="00000000">
      <w:pPr>
        <w:pStyle w:val="Heading3"/>
      </w:pPr>
      <w:bookmarkStart w:id="1112" w:name="issue-8-breakout-time"/>
      <w:bookmarkEnd w:id="1111"/>
      <w:r>
        <w:t>Issue 8: Breakout Time</w:t>
      </w:r>
    </w:p>
    <w:p w14:paraId="1586DAB5" w14:textId="77777777" w:rsidR="00180E7C" w:rsidRDefault="00000000">
      <w:pPr>
        <w:pStyle w:val="FirstParagraph"/>
      </w:pPr>
      <w:r>
        <w:t>The collision: how long is long enough, and who computes it. Resolution mechanics: twelve months, computed by the IAEA quarterly under a published methodology, with the input variables verified rather than assumed. The floor holds through architecture, not promise: zero high-assay stockpile dominates the computation. Verification: the published quarterly computation with sensitivity analysis. Failure mode: computed drift; engineered response: review at 15 months, Level 3 at 12, Level 4 at 9, so erosion triggers machinery long before danger.</w:t>
      </w:r>
    </w:p>
    <w:p w14:paraId="71810AD9" w14:textId="77777777" w:rsidR="00180E7C" w:rsidRDefault="00000000">
      <w:pPr>
        <w:pStyle w:val="Heading3"/>
      </w:pPr>
      <w:bookmarkStart w:id="1113" w:name="issue-9-latent-capability"/>
      <w:bookmarkEnd w:id="1112"/>
      <w:r>
        <w:t>Issue 9: Latent Capability</w:t>
      </w:r>
    </w:p>
    <w:p w14:paraId="7E8A1067" w14:textId="77777777" w:rsidR="00180E7C" w:rsidRDefault="00000000">
      <w:pPr>
        <w:pStyle w:val="FirstParagraph"/>
      </w:pPr>
      <w:r>
        <w:t>The collision: knowledge cannot be dismantled; the demand to eliminate capability meets physics. Resolution mechanics: the Treaty accepts capability-without-material as the attainable end-state and surrounds the knowledge with material absence, machine storage, presence, and traceability. The honest drafting acknowledges what no treaty achieves and achieves everything a treaty does. Verification: the aggregate regime. Failure mode: scientific work trending weapon-relevant; engineered response: the weaponization exclusion of Article 61.8 monitored through the managed access and declarations regime.</w:t>
      </w:r>
    </w:p>
    <w:p w14:paraId="11A43D13" w14:textId="77777777" w:rsidR="00180E7C" w:rsidRDefault="00000000">
      <w:pPr>
        <w:pStyle w:val="Heading3"/>
      </w:pPr>
      <w:bookmarkStart w:id="1114" w:name="issue-10-arak"/>
      <w:bookmarkEnd w:id="1113"/>
      <w:r>
        <w:t>Issue 10: Arak</w:t>
      </w:r>
    </w:p>
    <w:p w14:paraId="64C7CCE7" w14:textId="77777777" w:rsidR="00180E7C" w:rsidRDefault="00000000">
      <w:pPr>
        <w:pStyle w:val="FirstParagraph"/>
      </w:pPr>
      <w:r>
        <w:t>The collision: the plutonium pathway. Resolution mechanics: the redesigned core caps plutonium production below one kilogram annually, verified through design verification and records; the original core stays unusable; reprocessing has no existence in Iran. Verification: resident presence, annual design verification, spent fuel accountancy. Failure mode: core modification; engineered response: design verification catches configuration change, and modification without verification defeats the verification objective at Level 4.</w:t>
      </w:r>
    </w:p>
    <w:p w14:paraId="600CB34D" w14:textId="77777777" w:rsidR="00180E7C" w:rsidRDefault="00000000">
      <w:pPr>
        <w:pStyle w:val="Heading2"/>
      </w:pPr>
      <w:bookmarkStart w:id="1115" w:name="Xf53ae70c116f09145c405c533bba693d83aa051"/>
      <w:bookmarkEnd w:id="1104"/>
      <w:bookmarkEnd w:id="1114"/>
      <w:r>
        <w:t>TIER 2: SANCTIONS, MONEY, AND THE ECONOMIC BARGAIN</w:t>
      </w:r>
    </w:p>
    <w:p w14:paraId="624774B3" w14:textId="77777777" w:rsidR="00180E7C" w:rsidRDefault="00000000">
      <w:pPr>
        <w:pStyle w:val="Heading3"/>
      </w:pPr>
      <w:bookmarkStart w:id="1116" w:name="issue-11-relief-schedule-and-snapback"/>
      <w:r>
        <w:t>Issue 11: Relief Schedule and Snapback</w:t>
      </w:r>
    </w:p>
    <w:p w14:paraId="6A54EE29" w14:textId="77777777" w:rsidR="00180E7C" w:rsidRDefault="00000000">
      <w:pPr>
        <w:pStyle w:val="FirstParagraph"/>
      </w:pPr>
      <w:r>
        <w:t>The collision: Iran demanded relief certainty; the United States demanded violation insurance; snapback was the old insurance and the old poison. Resolution mechanics: statute-locked termination for certainty; the Cothrom engine for insurance; snapback explicitly retired. Calendar-backed phases mean markets plan; proportionate step-backs mean violations cost exactly their proportionate price and never more. Verification: the Termination Instrument Register. Failure mode: legislative delay; engineered response: provisional application and calendar pressure, with delay itself a Tier 2 event accruing demerits against the delaying Party.</w:t>
      </w:r>
    </w:p>
    <w:p w14:paraId="574193C1" w14:textId="77777777" w:rsidR="00180E7C" w:rsidRDefault="00000000">
      <w:pPr>
        <w:pStyle w:val="Heading3"/>
      </w:pPr>
      <w:bookmarkStart w:id="1117" w:name="issue-12-the-300-billion-fund"/>
      <w:bookmarkEnd w:id="1116"/>
      <w:r>
        <w:lastRenderedPageBreak/>
        <w:t>Issue 12: The 300 Billion Fund</w:t>
      </w:r>
    </w:p>
    <w:p w14:paraId="09CE2C6E" w14:textId="77777777" w:rsidR="00180E7C" w:rsidRDefault="00000000">
      <w:pPr>
        <w:pStyle w:val="FirstParagraph"/>
      </w:pPr>
      <w:r>
        <w:t>The collision: who pays, who governs, who trusts. Resolution mechanics: mobilization, not donation: Iranian resources, regional investment in their own stability, IFI finance, and private capital under protection; Iran-led governance with international fiduciary standards; the United States contributes termination value and facilitation, documented at multiples of the target. Verification: the transparency portal, quarterly audits, the evaluation office. Failure mode: pledging shortfall; engineered response: the phased envelope design absorbs shortfall by scaling tranches without defaulting commitments.</w:t>
      </w:r>
    </w:p>
    <w:p w14:paraId="458B3F38" w14:textId="77777777" w:rsidR="00180E7C" w:rsidRDefault="00000000">
      <w:pPr>
        <w:pStyle w:val="Heading3"/>
      </w:pPr>
      <w:bookmarkStart w:id="1118" w:name="issue-13-frozen-assets"/>
      <w:bookmarkEnd w:id="1117"/>
      <w:r>
        <w:t>Issue 13: Frozen Assets</w:t>
      </w:r>
    </w:p>
    <w:p w14:paraId="0A051739" w14:textId="77777777" w:rsidR="00180E7C" w:rsidRDefault="00000000">
      <w:pPr>
        <w:pStyle w:val="FirstParagraph"/>
      </w:pPr>
      <w:r>
        <w:t>The collision: unconditional release versus performance linkage. Resolution mechanics: half at EIF, since EIF itself embodies the first verified package; the remainder on certificates; title never questioned; monitoring verifies without vetoing. Verification: escrow settlement confirmations and pool reporting. Failure mode: third-jurisdiction process delay; engineered response: alternate routing and isolation of affected amounts per the failure tree.</w:t>
      </w:r>
    </w:p>
    <w:p w14:paraId="00588AF3" w14:textId="77777777" w:rsidR="00180E7C" w:rsidRDefault="00000000">
      <w:pPr>
        <w:pStyle w:val="Heading3"/>
      </w:pPr>
      <w:bookmarkStart w:id="1119" w:name="issue-14-oil-exports"/>
      <w:bookmarkEnd w:id="1118"/>
      <w:r>
        <w:t>Issue 14: Oil Exports</w:t>
      </w:r>
    </w:p>
    <w:p w14:paraId="5FD74A51" w14:textId="77777777" w:rsidR="00180E7C" w:rsidRDefault="00000000">
      <w:pPr>
        <w:pStyle w:val="FirstParagraph"/>
      </w:pPr>
      <w:r>
        <w:t>The collision: waiver dependency versus permanent restoration. Resolution mechanics: permanent authorization from EIF; no caps; payment protection in any currency; the stabilization understanding against artificial suppression. Verification: EMB export statistics. Failure mode: over-compliance chilling buyers; engineered response: the clarification desk, legal effect opinions, and the public register.</w:t>
      </w:r>
    </w:p>
    <w:p w14:paraId="614AEE8D" w14:textId="77777777" w:rsidR="00180E7C" w:rsidRDefault="00000000">
      <w:pPr>
        <w:pStyle w:val="Heading3"/>
      </w:pPr>
      <w:bookmarkStart w:id="1120" w:name="issue-15-swift"/>
      <w:bookmarkEnd w:id="1119"/>
      <w:r>
        <w:t>Issue 15: SWIFT</w:t>
      </w:r>
    </w:p>
    <w:p w14:paraId="12AE7962" w14:textId="77777777" w:rsidR="00180E7C" w:rsidRDefault="00000000">
      <w:pPr>
        <w:pStyle w:val="FirstParagraph"/>
      </w:pPr>
      <w:r>
        <w:t>Resolution mechanics: permanent reconnection at Phase II through the joint technical team, with compliance documentation prepared in advance so the cooperative’s processes complete on schedule. Verification: messaging traffic in the banking access index. Failure mode: cooperative hesitation; engineered response: the documentation package plus Facilitating State engagement.</w:t>
      </w:r>
    </w:p>
    <w:p w14:paraId="4A735621" w14:textId="77777777" w:rsidR="00180E7C" w:rsidRDefault="00000000">
      <w:pPr>
        <w:pStyle w:val="Heading3"/>
      </w:pPr>
      <w:bookmarkStart w:id="1121" w:name="issue-16-investment-protection"/>
      <w:bookmarkEnd w:id="1120"/>
      <w:r>
        <w:t>Issue 16: Investment Protection</w:t>
      </w:r>
    </w:p>
    <w:p w14:paraId="45BC0C4D" w14:textId="77777777" w:rsidR="00180E7C" w:rsidRDefault="00000000">
      <w:pPr>
        <w:pStyle w:val="FirstParagraph"/>
      </w:pPr>
      <w:r>
        <w:t>Resolution mechanics: the investment chapter plus UNCITRAL arbitration plus MIGA and the political risk facility, giving investors law, forum, and insurance. Verification: arbitration docket statistics. Failure mode: expropriation dispute chilling the market; engineered response: the umbrella clause and prompt-compensation standard with enforceable awards.</w:t>
      </w:r>
    </w:p>
    <w:p w14:paraId="5A30B76B" w14:textId="77777777" w:rsidR="00180E7C" w:rsidRDefault="00000000">
      <w:pPr>
        <w:pStyle w:val="Heading3"/>
      </w:pPr>
      <w:bookmarkStart w:id="1122" w:name="issue-17-the-irgc-designation"/>
      <w:bookmarkEnd w:id="1121"/>
      <w:r>
        <w:t>Issue 17: The IRGC Designation</w:t>
      </w:r>
    </w:p>
    <w:p w14:paraId="19F96EB9" w14:textId="77777777" w:rsidR="00180E7C" w:rsidRDefault="00000000">
      <w:pPr>
        <w:pStyle w:val="FirstParagraph"/>
      </w:pPr>
      <w:r>
        <w:t xml:space="preserve">The collision: removal demanded as dignity; retention defended as conduct-accountability. Resolution mechanics: the two-stage conduct-based resolution: certified posture change and protocol integration trigger the statutory process; revocation grounds in the conduct record, replacing identity-based designation with conduct-based accountability, the </w:t>
      </w:r>
      <w:r>
        <w:lastRenderedPageBreak/>
        <w:t>formula both capitals defend at home. Verification: the JMC certificates underlying Stage One. Failure mode: statutory process politics; engineered response: the record-based case prepared jointly, and delay tracked in the symmetry ledger.</w:t>
      </w:r>
    </w:p>
    <w:p w14:paraId="1119636F" w14:textId="77777777" w:rsidR="00180E7C" w:rsidRDefault="00000000">
      <w:pPr>
        <w:pStyle w:val="Heading3"/>
      </w:pPr>
      <w:bookmarkStart w:id="1123" w:name="Xdb176a83293c453663dff015cb87f28ee1ac380"/>
      <w:bookmarkEnd w:id="1122"/>
      <w:r>
        <w:t>Issue 18: Caesar Act and Human Rights Measures</w:t>
      </w:r>
    </w:p>
    <w:p w14:paraId="160863F5" w14:textId="77777777" w:rsidR="00180E7C" w:rsidRDefault="00000000">
      <w:pPr>
        <w:pStyle w:val="FirstParagraph"/>
      </w:pPr>
      <w:r>
        <w:t>Resolution mechanics: the Syria-milestone interface unlocks Iran-relevant Caesar effects; human rights measures move to the standing dialogue, resolving over time without holding the peace hostage. Failure mode: third-country events disturbing the file; engineered response: the consultation channel with 30-day windows before any new measure.</w:t>
      </w:r>
    </w:p>
    <w:p w14:paraId="5AEF5E2E" w14:textId="77777777" w:rsidR="00180E7C" w:rsidRDefault="00000000">
      <w:pPr>
        <w:pStyle w:val="Heading3"/>
      </w:pPr>
      <w:bookmarkStart w:id="1124" w:name="issue-19-currency-stabilization"/>
      <w:bookmarkEnd w:id="1123"/>
      <w:r>
        <w:t>Issue 19: Currency Stabilization</w:t>
      </w:r>
    </w:p>
    <w:p w14:paraId="2BFD030C" w14:textId="77777777" w:rsidR="00180E7C" w:rsidRDefault="00000000">
      <w:pPr>
        <w:pStyle w:val="FirstParagraph"/>
      </w:pPr>
      <w:r>
        <w:t>Resolution mechanics: Pool A earmark, swap lines, bands-triggered consultation, IMF resumption. Verification: the stabilization dashboard. Failure mode: speculative attack; engineered response: pre-arranged swap activation within five business days.</w:t>
      </w:r>
    </w:p>
    <w:p w14:paraId="246AB243" w14:textId="77777777" w:rsidR="00180E7C" w:rsidRDefault="00000000">
      <w:pPr>
        <w:pStyle w:val="Heading3"/>
      </w:pPr>
      <w:bookmarkStart w:id="1125" w:name="issue-20-debt-restructuring"/>
      <w:bookmarkEnd w:id="1124"/>
      <w:r>
        <w:t>Issue 20: Debt Restructuring</w:t>
      </w:r>
    </w:p>
    <w:p w14:paraId="2C457215" w14:textId="77777777" w:rsidR="00180E7C" w:rsidRDefault="00000000">
      <w:pPr>
        <w:pStyle w:val="FirstParagraph"/>
      </w:pPr>
      <w:r>
        <w:t>Resolution mechanics: supported standard processes with necessary licenses, integrating Iran into the conventional international architecture rather than inventing a special one. Failure mode: creditor holdouts; engineered response: standard collective-action mechanisms with United States licensing cover.</w:t>
      </w:r>
    </w:p>
    <w:p w14:paraId="7F365CE0" w14:textId="77777777" w:rsidR="00180E7C" w:rsidRDefault="00000000">
      <w:pPr>
        <w:pStyle w:val="Heading2"/>
      </w:pPr>
      <w:bookmarkStart w:id="1126" w:name="X02aacd452fd622605511a79ee582c2918a0fc92"/>
      <w:bookmarkEnd w:id="1115"/>
      <w:bookmarkEnd w:id="1125"/>
      <w:r>
        <w:t>TIER 1 IMPLEMENTATION ADDENDA: THE NUCLEAR ISSUES IN WORKING DETAIL</w:t>
      </w:r>
    </w:p>
    <w:p w14:paraId="639607FE" w14:textId="77777777" w:rsidR="00180E7C" w:rsidRDefault="00000000">
      <w:pPr>
        <w:pStyle w:val="FirstParagraph"/>
      </w:pPr>
      <w:r>
        <w:t>The following addenda give the nuclear tier’s ten issues their working-level treatment: the specific procedures, staffing, instrumentation, and decision points that operators at Isfahan, Natanz, Fordow, Arak, and the Vienna and Muscat offices execute. Negotiators resolve collisions; operators live inside the resolutions, and these notes exist for them.</w:t>
      </w:r>
    </w:p>
    <w:p w14:paraId="0DBD769D" w14:textId="77777777" w:rsidR="00180E7C" w:rsidRDefault="00000000">
      <w:pPr>
        <w:pStyle w:val="Heading3"/>
      </w:pPr>
      <w:bookmarkStart w:id="1127" w:name="X85de9ee9c4e23fee1ef801bcd4001e899ca406f"/>
      <w:r>
        <w:t>Addendum to Issue 1: Enrichment Capacity in Operation</w:t>
      </w:r>
    </w:p>
    <w:p w14:paraId="387C289F" w14:textId="77777777" w:rsidR="00180E7C" w:rsidRDefault="00000000">
      <w:pPr>
        <w:pStyle w:val="FirstParagraph"/>
      </w:pPr>
      <w:r>
        <w:t xml:space="preserve">The 5,060-machine envelope at Natanz operates as six production cascades plus one reserve cascade under the configuration schedule of Annex F, section 5. Each cascade carries its own header-pipe assay instrumentation, with the online enrichment monitor sampling product assay at four-minute intervals and writing to the Ledger in real time. The Iranian operator’s daily routine includes the cascade log, the feed-and-withdrawal record, and the maintenance entry; the resident inspector’s routine includes the independent read of the same instruments plus the unannounced short-notice visits the access protocol permits, averaging six per month across the campaign period. The 3.67 percent ceiling’s enforcement point sits at the product station: any product cylinder whose assay certificate exceeds the ceiling moves automatically to the quarantine bay, and the event registers Level 4 without any human decision, because the Ledger’s rule engine holds the threshold. The machine-count envelope’s enforcement sits in the hall itself: the resident cadre’s monthly cascade-configuration verification walks the floor against the declared layout, and the surveillance system’s tamper-indicating enclosures cover the inter-cascade piping. The envelope’s political meaning, a substantial civil program, and its security meaning, a </w:t>
      </w:r>
      <w:r>
        <w:lastRenderedPageBreak/>
        <w:t>twelve-month-plus contribution to the breakout floor, both hold simultaneously, and the operators on both sides know which numbers prove which meaning.</w:t>
      </w:r>
    </w:p>
    <w:p w14:paraId="0E2F2F76" w14:textId="77777777" w:rsidR="00180E7C" w:rsidRDefault="00000000">
      <w:pPr>
        <w:pStyle w:val="Heading3"/>
      </w:pPr>
      <w:bookmarkStart w:id="1128" w:name="X5a094e0cb77ff5cd269e9bcfd4ea9ac69a435ec"/>
      <w:bookmarkEnd w:id="1127"/>
      <w:r>
        <w:t>Addendum to Issue 2: The Eight Batches in Working Sequence</w:t>
      </w:r>
    </w:p>
    <w:p w14:paraId="433C7139" w14:textId="77777777" w:rsidR="00180E7C" w:rsidRDefault="00000000">
      <w:pPr>
        <w:pStyle w:val="FirstParagraph"/>
      </w:pPr>
      <w:r>
        <w:t>Schedule F-2’s eight batches run on a fourteen-day cadence across Days 91 through 258, and each batch follows the identical operating script. Batch preparation, Days 1 through 3: the campaign board confirms feed availability from the 60 percent storage, the IAEA verifies feed mass and assay from the Ledger record, and the blending cascade lines up on the diluent stream, natural uranium from the declared stock, itself assayed and sealed. Execution, Days 4 through 10: the cascade runs at the board’s specified flow rates, with product and tails assay monitored continuously and the blend ratio verified at the product station against the 0.711 percent target with its tolerance band. Certification, Days 11 through 14: product cylinders fill, assay samples draw under joint custody, the independent laboratory confirms, and the triple-signature certificate issues: operator, resident inspector, Ledger auditor. The certificate’s publication to the dashboard closes the batch. The schedule’s design includes the realistic contingency: a batch that misses its certification window rolls to the reserve days built into the schedule after Batch 4 and Batch 8, so equipment faults absorb into the calendar without breaching it. The cumulative record, batch by batch, builds the public proof that 440 kilograms of the file’s most sensitive material no longer exists in strategic form, and the dashboard’s running total, declining feed stock, rising natural-assay stock, becomes the Treaty’s most-watched number.</w:t>
      </w:r>
    </w:p>
    <w:p w14:paraId="00D069C2" w14:textId="77777777" w:rsidR="00180E7C" w:rsidRDefault="00000000">
      <w:pPr>
        <w:pStyle w:val="Heading3"/>
      </w:pPr>
      <w:bookmarkStart w:id="1129" w:name="X31586ece8350109b6475d3ab0b0ec07412c41a7"/>
      <w:bookmarkEnd w:id="1128"/>
      <w:r>
        <w:t>Addendum to Issue 3: The Access File System</w:t>
      </w:r>
    </w:p>
    <w:p w14:paraId="5675E6FB" w14:textId="77777777" w:rsidR="00180E7C" w:rsidRDefault="00000000">
      <w:pPr>
        <w:pStyle w:val="FirstParagraph"/>
      </w:pPr>
      <w:r>
        <w:t>Every access event under Article 62 generates an access file, and the file system’s discipline carries the inspection scope’s resolution into practice. The file opens at request: requesting party, site, basis category, timeline class, 24-hour or 72-hour. The file records the notification chain, the arrival, the managed-access measures applied, the activities conducted, the samples taken, and the departure. Both parties sign the file at closure; disagreements enter the file as noted dissents rather than as disputes outside it. The quarterly statistics publish: requests by category, timelines met, managed-access measures used, dissents noted. The statistics’ function is diagnostic: a rising dissent rate or a stretching timeline average signals drift to the JMC before drift becomes crisis, and the publication disciplines both sides, the requester against fishing, the host against foot-dragging, because both behaviors show in the numbers.</w:t>
      </w:r>
    </w:p>
    <w:p w14:paraId="042B0B2C" w14:textId="77777777" w:rsidR="00180E7C" w:rsidRDefault="00000000">
      <w:pPr>
        <w:pStyle w:val="Heading3"/>
      </w:pPr>
      <w:bookmarkStart w:id="1130" w:name="Xe8100b7c863238ccb7e0be12847854a4c5feb58"/>
      <w:bookmarkEnd w:id="1129"/>
      <w:r>
        <w:t>Addendum to Issue 4: The Review Cycles in Practice</w:t>
      </w:r>
    </w:p>
    <w:p w14:paraId="025849B7" w14:textId="77777777" w:rsidR="00180E7C" w:rsidRDefault="00000000">
      <w:pPr>
        <w:pStyle w:val="FirstParagraph"/>
      </w:pPr>
      <w:r>
        <w:t xml:space="preserve">The operational parameters’ review cycles run at five-year intervals aligned with the Article 73 review, and the cycle’s procedure fixes the agenda discipline: the review addresses the parameters’ technical adequacy against the breakout floor, and only that. The floor does the political work: because the floor’s twelve months defines sufficiency, the review’s question, do the current parameters still hold the floor, admits a technical answer rather than reopening the bargain. A review that finds margin above the floor adjusts parameters upward within the margin by consensus; a review that finds erosion tightens </w:t>
      </w:r>
      <w:r>
        <w:lastRenderedPageBreak/>
        <w:t>by the pre-agreed restoration rules rather than by fresh negotiation. The permanence core never enters the review’s scope, and the scope limitation appears in the review’s own charter clause.</w:t>
      </w:r>
    </w:p>
    <w:p w14:paraId="1010A3D6" w14:textId="77777777" w:rsidR="00180E7C" w:rsidRDefault="00000000">
      <w:pPr>
        <w:pStyle w:val="Heading3"/>
      </w:pPr>
      <w:bookmarkStart w:id="1131" w:name="X620148c870fb3f050153c95a0ca6aa2c679189f"/>
      <w:bookmarkEnd w:id="1130"/>
      <w:r>
        <w:t>Addendum to Issue 5: Fordow’s Conversion in Working Detail</w:t>
      </w:r>
    </w:p>
    <w:p w14:paraId="6969FE9E" w14:textId="77777777" w:rsidR="00180E7C" w:rsidRDefault="00000000">
      <w:pPr>
        <w:pStyle w:val="FirstParagraph"/>
      </w:pPr>
      <w:r>
        <w:t>The conversion executes in three phases across thirty months. Phase one, months 1 through 8: cascade removal to Isfahan dual-key storage, hall decontamination and survey, and the international tender for the isotope production equipment. Phase two, months 9 through 20: installation of the stable-isotope cascades, non-uranium feed only under the Center’s charter, the board’s constitution with its five international seats and four Iranian seats, and the resident IAEA presence’s establishment in the dedicated office the charter funds. Phase three, months 21 through 30: commissioning, first production runs for the medical isotope market, and the charter’s scientific program launch with the first international research agreements. The no-uranium rule’s enforcement: the Center’s feed stock contains no uranium compounds by charter, the resident presence verifies feed declarations continuously, and any uranium detection above environmental background registers Level 4 instantly. The mountain that symbolized concealment becomes the site where international scientists work permanent residence, a conversion the Treaty intends as narrative as much as engineering.</w:t>
      </w:r>
    </w:p>
    <w:p w14:paraId="2259D4E2" w14:textId="77777777" w:rsidR="00180E7C" w:rsidRDefault="00000000">
      <w:pPr>
        <w:pStyle w:val="Heading3"/>
      </w:pPr>
      <w:bookmarkStart w:id="1132" w:name="X3b8f5590c13cddc9fe85189c5162e280cd7ca88"/>
      <w:bookmarkEnd w:id="1131"/>
      <w:r>
        <w:t>Addendum to Issue 6: The Isfahan Storage in Daily Life</w:t>
      </w:r>
    </w:p>
    <w:p w14:paraId="6B48A1A3" w14:textId="77777777" w:rsidR="00180E7C" w:rsidRDefault="00000000">
      <w:pPr>
        <w:pStyle w:val="FirstParagraph"/>
      </w:pPr>
      <w:r>
        <w:t>The dual-key storage occupies a dedicated building inside the Isfahan complex with its own access regime: Iranian physical custody at the perimeter, IAEA technical custody at the seals, and the dual-key rule, both custodies present, for any movement into or out of the storage halls. The machines rest in their storage configuration: cascades disassembled into the declared component classes, rotors in their containers, each container sealed and registered to the Ledger’s machine inventory. The monthly seal verification walks the container register; the annual physical inventory opens a rotating sample for re-verification against manufacturing records. The storage’s strategic function, visible reconstitution time, depends on the discipline’s credibility, so the protocol prices any seal anomaly at the schedule’s highest technical category and routes every movement request through the JMC’s nuclear working group with 30-day advance notice.</w:t>
      </w:r>
    </w:p>
    <w:p w14:paraId="5C6DEB9D" w14:textId="77777777" w:rsidR="00180E7C" w:rsidRDefault="00000000">
      <w:pPr>
        <w:pStyle w:val="Heading3"/>
      </w:pPr>
      <w:bookmarkStart w:id="1133" w:name="X0a53e85b9b8956625b78243ed96841bd54e0d34"/>
      <w:bookmarkEnd w:id="1132"/>
      <w:r>
        <w:t>Addendum to Issue 7: The Recovery Protocol’s Work Packages</w:t>
      </w:r>
    </w:p>
    <w:p w14:paraId="7FF4DA8C" w14:textId="77777777" w:rsidR="00180E7C" w:rsidRDefault="00000000">
      <w:pPr>
        <w:pStyle w:val="FirstParagraph"/>
      </w:pPr>
      <w:r>
        <w:t xml:space="preserve">The damaged sites’ recovery proceeds in work packages, each scoped, staffed, and verified separately. Package one, radiological safety: joint assessment teams with Iranian leadership and IAEA participation survey each site, map hazards, and certify safe working zones. Package two, debris processing: the declared recovery plan excavates, sorts, and assays debris through the on-site laboratory, with every batch logged and every anomalous reading routed to the sampling-validation track. Package three, accounting closure: the computational model, feed history, production records, strike-damage data contributed by the United States, and recovery assays, reconciles to the gram-level accounting statement, and the residual uncertainty enters the Ledger as a declared uncertainty line rather than as a hidden gap. The 240-day closure report consolidates the packages, and its publication </w:t>
      </w:r>
      <w:r>
        <w:lastRenderedPageBreak/>
        <w:t>gives the file the ending its history denied it: bombed sites whose material is accounted, whose hazards are remediated, and whose future use the facility end-states specify.</w:t>
      </w:r>
    </w:p>
    <w:p w14:paraId="6F711801" w14:textId="77777777" w:rsidR="00180E7C" w:rsidRDefault="00000000">
      <w:pPr>
        <w:pStyle w:val="Heading3"/>
      </w:pPr>
      <w:bookmarkStart w:id="1134" w:name="X774723ed2a43ebb5755b8cca979240d7f121996"/>
      <w:bookmarkEnd w:id="1133"/>
      <w:r>
        <w:t>Addendum to Issue 8: The Breakout Computation Office</w:t>
      </w:r>
    </w:p>
    <w:p w14:paraId="60B2D4F9" w14:textId="77777777" w:rsidR="00180E7C" w:rsidRDefault="00000000">
      <w:pPr>
        <w:pStyle w:val="FirstParagraph"/>
      </w:pPr>
      <w:r>
        <w:t>The quarterly computation runs in a dedicated office inside the verification layer, staffed by IAEA technical officers with JMC observer access, and follows the published methodology’s fixed chain: inventory inputs from the Ledger, machine-configuration inputs from the cascade verifications and the storage records, reconstitution-time inputs from the storage discipline’s tested timelines, and the conversion and weaponization assumptions fixed in the methodology annex. The office publishes each quarter’s result with its sensitivity analysis: the floor’s value, the dominant variables, and the margin trend. The escalation triggers bind automatically: a computed value at 15 months convenes the review; at 12, Level 3; at 9, Level 4 with the petition consequence. The office’s independence from both Parties’ political direction, chartered in its founding instrument, protects the number’s credibility, because the entire architecture’s calm depends on the floor’s computation being trusted as physics rather than suspected as politics.</w:t>
      </w:r>
    </w:p>
    <w:p w14:paraId="47A142FA" w14:textId="77777777" w:rsidR="00180E7C" w:rsidRDefault="00000000">
      <w:pPr>
        <w:pStyle w:val="Heading3"/>
      </w:pPr>
      <w:bookmarkStart w:id="1135" w:name="Xab907c40944f7604f1da2731fdbd5419cef01ab"/>
      <w:bookmarkEnd w:id="1134"/>
      <w:r>
        <w:t>Addendum to Issue 9: The Declarations Regime for Scientific Work</w:t>
      </w:r>
    </w:p>
    <w:p w14:paraId="10934797" w14:textId="77777777" w:rsidR="00180E7C" w:rsidRDefault="00000000">
      <w:pPr>
        <w:pStyle w:val="FirstParagraph"/>
      </w:pPr>
      <w:r>
        <w:t>The latent-capability resolution’s working instrument is the declarations regime’s scientific chapter: annual declarations of nuclear-relevant research programs, publications tracking through open-source review, and the weaponization exclusion’s specific prohibition list. The regime’s design accepts the honest limit, knowledge persists, and builds the tripwire layer instead: work that approaches the exclusion list’s boundaries triggers the managed-access conversation early, because the declarations make the trend visible before it matures. The scientific community’s self-interest aligns: the Treaty’s exchange programs and the isotope center’s international collaborations give Iranian nuclear science a legitimate future, and the declarations regime’s lightness, annual, program-level, non-intrusive, keeps that future attractive against the covert path’s cost.</w:t>
      </w:r>
    </w:p>
    <w:p w14:paraId="7D2E2C5E" w14:textId="77777777" w:rsidR="00180E7C" w:rsidRDefault="00000000">
      <w:pPr>
        <w:pStyle w:val="Heading3"/>
      </w:pPr>
      <w:bookmarkStart w:id="1136" w:name="Xf5c1a9af0e03b9f13c007b04b523c274dc4e6fa"/>
      <w:bookmarkEnd w:id="1135"/>
      <w:r>
        <w:t>Addendum to Issue 10: Arak’s Operating Rhythm</w:t>
      </w:r>
    </w:p>
    <w:p w14:paraId="6F68FB0C" w14:textId="77777777" w:rsidR="00180E7C" w:rsidRDefault="00000000">
      <w:pPr>
        <w:pStyle w:val="FirstParagraph"/>
      </w:pPr>
      <w:r>
        <w:t>The redesigned reactor operates under its verification regime’s steady rhythm: continuous resident presence during refueling, annual design verification against the certified configuration, spent-fuel accountancy through the Ledger’s plutonium-relevant fields, and the discharge protocol’s joint verification of every spent-fuel assembly’s transfer to the declared storage. The original core’s status receives annual confirmation, and the no-reprocessing undertaking’s verification runs through the absence architecture: no declared facility, no procurement signatures in the monitored trade data, and the anytime-access protocol’s coverage of any suspected location. The rhythm’s product is routine: a research reactor that produces isotopes and science while its plutonium pathway stays, by design and by verification, below significance.</w:t>
      </w:r>
    </w:p>
    <w:p w14:paraId="2973E097" w14:textId="77777777" w:rsidR="00180E7C" w:rsidRDefault="00000000">
      <w:pPr>
        <w:pStyle w:val="Heading2"/>
      </w:pPr>
      <w:bookmarkStart w:id="1137" w:name="X797ea98eb82c2ef6ee0af7b35910c03c5cba7f8"/>
      <w:bookmarkEnd w:id="1126"/>
      <w:bookmarkEnd w:id="1136"/>
      <w:r>
        <w:lastRenderedPageBreak/>
        <w:t>TIER 2 IMPLEMENTATION ADDENDA: THE ECONOMIC ISSUES IN WORKING DETAIL</w:t>
      </w:r>
    </w:p>
    <w:p w14:paraId="5D7BC39D" w14:textId="77777777" w:rsidR="00180E7C" w:rsidRDefault="00000000">
      <w:pPr>
        <w:pStyle w:val="Heading3"/>
      </w:pPr>
      <w:bookmarkStart w:id="1138" w:name="X4f363e230811b2869b836338267bbbff24dc049"/>
      <w:r>
        <w:t>Addendum to Issue 11: The Termination Instrument Register</w:t>
      </w:r>
    </w:p>
    <w:p w14:paraId="700C582A" w14:textId="77777777" w:rsidR="00180E7C" w:rsidRDefault="00000000">
      <w:pPr>
        <w:pStyle w:val="FirstParagraph"/>
      </w:pPr>
      <w:r>
        <w:t>The Register operates as the relief architecture’s single source of truth: a public ledger listing every terminated authority by citation, its termination date, its triggering condition, and the certification that fired. The EMB secretariat maintains it, the dashboard mirrors it, and the market treats it as definitive, because the Register’s entries carry the Implementation Act’s statutory force. Each phase’s execution follows the same drill: condition certification, Register entry, Federal Register publication, OFAC guidance update, and the comfort-letter refresh for the banking sector, all within the five-business-day standard the phase schedules set. The snapback’s retirement receives its own Register entry, a negative registry listing the authorities that no longer exist and the supermajority thresholds any revival faces, giving general counsel at every bank the memo-grade answer the 2015 experience never provided.</w:t>
      </w:r>
    </w:p>
    <w:p w14:paraId="249F464F" w14:textId="77777777" w:rsidR="00180E7C" w:rsidRDefault="00000000">
      <w:pPr>
        <w:pStyle w:val="Heading3"/>
      </w:pPr>
      <w:bookmarkStart w:id="1139" w:name="X883c03a99ba1c3a65170eefe99cc877a13111f8"/>
      <w:bookmarkEnd w:id="1138"/>
      <w:r>
        <w:t>Addendum to Issue 12: The Fund’s Mobilization Machinery in Operation</w:t>
      </w:r>
    </w:p>
    <w:p w14:paraId="0D5912B4" w14:textId="77777777" w:rsidR="00180E7C" w:rsidRDefault="00000000">
      <w:pPr>
        <w:pStyle w:val="FirstParagraph"/>
      </w:pPr>
      <w:r>
        <w:t>The RDF’s mobilization machinery works the pledging problem the way development banks learned to: paid-in capital small, callable capital large, project finance against the callable base. Iran’s contribution schedule locks into the charter with the smoothing rule of Scenario Twelve; the Gulf partners’ commitments arrive as callable capital with the co-governance seats their size purchases; the IFI co-financing framework signs at the first board meeting; and the private-capital window opens with the political-risk insurance facility the charter funds from its first budget. The transparency portal publishes every commitment, every call, and every disbursement, converting the “who pays” collision into a standing public answer. The evaluation office’s first annual review audits the documentation of American termination value, the methodology that prices sanctions relief as contribution, and publishes the multiple-of-target calculation, because the argument that the United States pays its share requires the paper trail the review provides.</w:t>
      </w:r>
    </w:p>
    <w:p w14:paraId="2D2F3A3D" w14:textId="77777777" w:rsidR="00180E7C" w:rsidRDefault="00000000">
      <w:pPr>
        <w:pStyle w:val="Heading3"/>
      </w:pPr>
      <w:bookmarkStart w:id="1140" w:name="X3dc91e08672a995f37e70eea414d5efe8ee3b44"/>
      <w:bookmarkEnd w:id="1139"/>
      <w:r>
        <w:t>Addendum to Issue 13: The Escrow’s Daily Operations</w:t>
      </w:r>
    </w:p>
    <w:p w14:paraId="07DA0E81" w14:textId="77777777" w:rsidR="00180E7C" w:rsidRDefault="00000000">
      <w:pPr>
        <w:pStyle w:val="FirstParagraph"/>
      </w:pPr>
      <w:r>
        <w:t>The Swiss agency’s operations desk runs the pools like a sovereign treasury with a publication habit: daily balance statements to both central banks, weekly transaction summaries to the EMB, monthly public reports. Release events follow the certification chain without discretion: benchmark certification arrives, the assessor concurs within the fifteen-day window or the objection procedure fires, and the transfer executes against the pre-registered destination accounts. The interest earnings credit to Pool B monthly, and the investment policy, Swiss government paper and the BIS, keeps the principal’s safety beyond argument. The reversion rules sleep in the operating manual, tested annually in a tabletop exercise with both Parties’ treasury teams, because a mechanism nobody rehearses fails the day it wakes.</w:t>
      </w:r>
    </w:p>
    <w:p w14:paraId="536B2442" w14:textId="77777777" w:rsidR="00180E7C" w:rsidRDefault="00000000">
      <w:pPr>
        <w:pStyle w:val="Heading3"/>
      </w:pPr>
      <w:bookmarkStart w:id="1141" w:name="Xffe6701884816d54fc85aa0fe6d1a9f46b83f4f"/>
      <w:bookmarkEnd w:id="1140"/>
      <w:r>
        <w:lastRenderedPageBreak/>
        <w:t>Addendum to Issue 14: The Oil Guarantee’s Market Mechanics</w:t>
      </w:r>
    </w:p>
    <w:p w14:paraId="505AD70F" w14:textId="77777777" w:rsidR="00180E7C" w:rsidRDefault="00000000">
      <w:pPr>
        <w:pStyle w:val="FirstParagraph"/>
      </w:pPr>
      <w:r>
        <w:t>The oil chapter’s guarantees work through contract architecture rather than declarations: the term-contract templates with the force-majeure carve-outs that exclude sanctions reimposition from excuse, the receivables protection routing through the escrow’s cleared channel, and the price-band consultation trigger that convenes the energy working group when Brent exits the agreed band for twenty sessions. The first post-treaty term contracts, signed in Month 3 with Asian and European refiners, use the templates, and their publication, volumes and terms, prices confidential, gives the market the reference transactions that normalize Iranian crude’s risk premium. The guarantee’s deepest mechanic is the Treaty’s own survival: every month the architecture holds, the risk premium compresses, and the compression itself becomes a benefit line both Parties defend.</w:t>
      </w:r>
    </w:p>
    <w:p w14:paraId="47F9478B" w14:textId="77777777" w:rsidR="00180E7C" w:rsidRDefault="00000000">
      <w:pPr>
        <w:pStyle w:val="Heading3"/>
      </w:pPr>
      <w:bookmarkStart w:id="1142" w:name="X3fd7fc4c210434e5e3abde3c28796a921e75482"/>
      <w:bookmarkEnd w:id="1141"/>
      <w:r>
        <w:t>Addendum to Issue 15: The SWIFT Reconnection in Working Sequence</w:t>
      </w:r>
    </w:p>
    <w:p w14:paraId="413A8B51" w14:textId="77777777" w:rsidR="00180E7C" w:rsidRDefault="00000000">
      <w:pPr>
        <w:pStyle w:val="FirstParagraph"/>
      </w:pPr>
      <w:r>
        <w:t>The reconnection executes bank by bank against the compliance-readiness certification: each Iranian bank’s application reviews against the published readiness standard, sanctions-screening systems, correspondent agreements, AML frameworks, and the SWIFT team’s technical verification precedes the board decision. The schedule front-loads the eight soundest banks in Phase Two and completes the system by Phase Four, with the central bank’s reconnection anchoring the sequence. The comfort package’s FAQ updates track each tranche, and the correspondent banking index of SP-13 publishes which foreign banks hold which Iranian relationships, ending the 2015-era ambiguity in which every banker guessed at every other banker’s risk tolerance. The reconnection’s stress test arrives with the first compliance incident at a reconnected bank, and the manual’s answer, bank-level remediation through the channel’s own procedures, never system-level punishment, holds the architecture against the incident-driven overreaction the old regime made routine.</w:t>
      </w:r>
    </w:p>
    <w:p w14:paraId="7DFF8ADF" w14:textId="77777777" w:rsidR="00180E7C" w:rsidRDefault="00000000">
      <w:pPr>
        <w:pStyle w:val="Heading3"/>
      </w:pPr>
      <w:bookmarkStart w:id="1143" w:name="X16bc317eaf94725785aa2e6a29b415359fa3636"/>
      <w:bookmarkEnd w:id="1142"/>
      <w:r>
        <w:t>Addendum to Issue 16: The Investment Protection Machinery</w:t>
      </w:r>
    </w:p>
    <w:p w14:paraId="4F7F9528" w14:textId="77777777" w:rsidR="00180E7C" w:rsidRDefault="00000000">
      <w:pPr>
        <w:pStyle w:val="FirstParagraph"/>
      </w:pPr>
      <w:r>
        <w:t>The investment chapter’s protections operate through three instruments working together: the bilateral investment undertakings with their arbitration clause, the political-risk insurance facility inside the RDF’s private-capital window, and the licensing certainty framework that pre-clears defined investment classes. The machinery’s first test cases arrive by design in the early-win portfolio: the twelve front-loaded projects each carry a private tranche, and their disbursement records, published in full, demonstrate the protection stack functioning before larger capital commits. The arbitration clause’s first invocations, minor contract disputes in the second year, resolve inside the annex’s timelines, and the awards’ compliance builds the track record that reprices Iranian country risk across the rating agencies’ models.</w:t>
      </w:r>
    </w:p>
    <w:p w14:paraId="6C89FB04" w14:textId="77777777" w:rsidR="00180E7C" w:rsidRDefault="00000000">
      <w:pPr>
        <w:pStyle w:val="Heading3"/>
      </w:pPr>
      <w:bookmarkStart w:id="1144" w:name="X1d08f95d98977d027073aa11656abb2356d18e6"/>
      <w:bookmarkEnd w:id="1143"/>
      <w:r>
        <w:t>Addendum to Issue 17: The Stage One Certification File</w:t>
      </w:r>
    </w:p>
    <w:p w14:paraId="046FC058" w14:textId="77777777" w:rsidR="00180E7C" w:rsidRDefault="00000000">
      <w:pPr>
        <w:pStyle w:val="FirstParagraph"/>
      </w:pPr>
      <w:r>
        <w:t xml:space="preserve">The IRGC Stage One certification assembles as a documentary product: the posture-change certificates from the JMC covering the external-operations drawdown of the Title VI schedules, the protocol-integration records showing the IRGC’s subordination to the </w:t>
      </w:r>
      <w:r>
        <w:lastRenderedPageBreak/>
        <w:t>corridor and deconfliction regimes, and the financial-transparency files separating the organization from the sanctioned networks. The certification’s drafting rule, every assertion footnoted to a verifiable record, reflects the file’s destination: an American statutory process with judicial review at the end. The Iranian side’s parallel discipline, delivering the underlying conduct on schedule, receives its tracking through the symmetry ledger, so the Stage One file’s completeness at Month 12 owes as much to Tehran’s paperwork discipline as to Washington’s.</w:t>
      </w:r>
    </w:p>
    <w:p w14:paraId="4E32950F" w14:textId="77777777" w:rsidR="00180E7C" w:rsidRDefault="00000000">
      <w:pPr>
        <w:pStyle w:val="Heading3"/>
      </w:pPr>
      <w:bookmarkStart w:id="1145" w:name="X2e0bc442cbf20e962cda9015a05b5d7d83be68e"/>
      <w:bookmarkEnd w:id="1144"/>
      <w:r>
        <w:t>Addendum to Issue 18: The Human Rights Dialogue’s Standing Agenda</w:t>
      </w:r>
    </w:p>
    <w:p w14:paraId="058D36EC" w14:textId="77777777" w:rsidR="00180E7C" w:rsidRDefault="00000000">
      <w:pPr>
        <w:pStyle w:val="FirstParagraph"/>
      </w:pPr>
      <w:r>
        <w:t>The standing dialogue convenes quarterly at deputy-foreign-minister level with a fixed agenda architecture: detainee cases, due-process standards, and the measures review, in which the existing human-rights designations examine against their original predicates. The dialogue’s design separates it from the Treaty’s benefit lines deliberately: human-rights measures stay outside the step-back architecture, so neither side’s domestic politics on the file weaponizes the peace, and neither side’s peace obligations silence the file. The dialogue’s first-year record, published summaries, case-list movements, and the consultation windows honored, builds the modest credibility the file’s history permits, and the 30-day consultation rule before new measures converts the old pattern of sanction-by-press-release into a managed channel.</w:t>
      </w:r>
    </w:p>
    <w:p w14:paraId="1580A061" w14:textId="77777777" w:rsidR="00180E7C" w:rsidRDefault="00000000">
      <w:pPr>
        <w:pStyle w:val="Heading3"/>
      </w:pPr>
      <w:bookmarkStart w:id="1146" w:name="Xa3a00729df92a5153af42f51840169bd47c58f6"/>
      <w:bookmarkEnd w:id="1145"/>
      <w:r>
        <w:t>Addendum to Issue 19: The Stabilization Dashboard in a Speculative Attack</w:t>
      </w:r>
    </w:p>
    <w:p w14:paraId="029555E6" w14:textId="77777777" w:rsidR="00180E7C" w:rsidRDefault="00000000">
      <w:pPr>
        <w:pStyle w:val="FirstParagraph"/>
      </w:pPr>
      <w:r>
        <w:t>The currency package’s stress test arrives in Month 9 of the scenario the planners modeled: a speculative attack on the rial triggered by a regional rumor. The dashboard’s daily data, reserves, swap-line status, the escrow balances, defeats the rumor’s factual core within the news cycle; the pre-arranged swap activation executes inside the five-business-day standard; and the bands-triggered consultation convenes with the IMF observer present. The attack fails on the architecture’s speed: the pre-2026 rial collapsed on information asymmetry, and the dashboard’s entire function is the asymmetry’s removal. The episode’s publication, as a case study in the first annual report, converts the attack into the stabilization story’s best evidence.</w:t>
      </w:r>
    </w:p>
    <w:p w14:paraId="360D15EC" w14:textId="77777777" w:rsidR="00180E7C" w:rsidRDefault="00000000">
      <w:pPr>
        <w:pStyle w:val="Heading3"/>
      </w:pPr>
      <w:bookmarkStart w:id="1147" w:name="X4c6a2168479a85c8c44d01d04cb0288ba3f6880"/>
      <w:bookmarkEnd w:id="1146"/>
      <w:r>
        <w:t>Addendum to Issue 20: The Debt File’s Conventional Path</w:t>
      </w:r>
    </w:p>
    <w:p w14:paraId="2F0ECF83" w14:textId="77777777" w:rsidR="00180E7C" w:rsidRDefault="00000000">
      <w:pPr>
        <w:pStyle w:val="FirstParagraph"/>
      </w:pPr>
      <w:r>
        <w:t>The debt restructuring chapter deliberately runs the conventional playbook: IMF staff visits resuming under the stabilization package, the data-publication rehabilitation that precedes any restructuring conversation, the creditor-committee formation with the standard Paris-Club-adjacent mechanics, and the American licensing cover that lets US-person creditors participate in the collective process. The file’s resolution eschews invention because invention was the old obstacle: every previous attempt failed on the exceptional treatment the sanctions regime forced, and the Treaty’s contribution is precisely the removal of exceptionality, restoring to Iran the ordinary, grinding, conventional path that every post-crisis sovereign walks, and that ordinariness itself constitutes the breakthrough.</w:t>
      </w:r>
    </w:p>
    <w:p w14:paraId="663B97B9" w14:textId="77777777" w:rsidR="00180E7C" w:rsidRDefault="00000000">
      <w:r>
        <w:br w:type="page"/>
      </w:r>
    </w:p>
    <w:p w14:paraId="17388AD2" w14:textId="77777777" w:rsidR="00180E7C" w:rsidRDefault="00000000">
      <w:pPr>
        <w:pStyle w:val="Heading1"/>
      </w:pPr>
      <w:bookmarkStart w:id="1148" w:name="X5842527f0906b9a2b45eb04c2393d4a3acd8740"/>
      <w:bookmarkStart w:id="1149" w:name="_Toc237843208"/>
      <w:bookmarkEnd w:id="1101"/>
      <w:bookmarkEnd w:id="1137"/>
      <w:bookmarkEnd w:id="1147"/>
      <w:r>
        <w:lastRenderedPageBreak/>
        <w:t>SUPPLEMENTARY PROTOCOL SP-22 (CONTINUED): THE ISSUE BOOK, TIERS 3 AND 4</w:t>
      </w:r>
      <w:bookmarkEnd w:id="1149"/>
    </w:p>
    <w:p w14:paraId="6F32625E" w14:textId="77777777" w:rsidR="00180E7C" w:rsidRDefault="00000000">
      <w:pPr>
        <w:pStyle w:val="Heading2"/>
      </w:pPr>
      <w:bookmarkStart w:id="1150" w:name="Xeefbc4f6409145a88c261c1d996eed135e2ec22"/>
      <w:r>
        <w:t>TIER 3: REGIONAL SECURITY AND MILITARY POWER</w:t>
      </w:r>
    </w:p>
    <w:p w14:paraId="7AF4A64F" w14:textId="77777777" w:rsidR="00180E7C" w:rsidRDefault="00000000">
      <w:pPr>
        <w:pStyle w:val="Heading3"/>
      </w:pPr>
      <w:bookmarkStart w:id="1151" w:name="issue-21-the-ballistic-missile-program"/>
      <w:r>
        <w:t>Issue 21: The Ballistic Missile Program</w:t>
      </w:r>
    </w:p>
    <w:p w14:paraId="169D0FC6" w14:textId="77777777" w:rsidR="00180E7C" w:rsidRDefault="00000000">
      <w:pPr>
        <w:pStyle w:val="FirstParagraph"/>
      </w:pPr>
      <w:r>
        <w:t>The collision: Iran declared missiles sovereign defense and off the table; the United States and Israel demanded range and quantity limits. Resolution mechanics: the Treaty never negotiates the arsenal’s legitimacy; it freezes the destabilizing behaviors (long-range testing, wartime dispersal, targeting) under verification, opens declarations, and builds the dialogue toward eventual codified ceilings. Both positions stand preserved in the text; the security outcomes begin on Day 0. Verification: satellite review, declarations concordance, launch event procedures. Failure mode: covert long-range test; engineered response: detection registers Level 3 or 4, the demerit schedule applies, and the dialogue’s transparency regime makes concealment progressively harder.</w:t>
      </w:r>
    </w:p>
    <w:p w14:paraId="2272E823" w14:textId="77777777" w:rsidR="00180E7C" w:rsidRDefault="00000000">
      <w:pPr>
        <w:pStyle w:val="Heading3"/>
      </w:pPr>
      <w:bookmarkStart w:id="1152" w:name="issue-22-support-to-hezbollah"/>
      <w:bookmarkEnd w:id="1151"/>
      <w:r>
        <w:t>Issue 22: Support to Hezbollah</w:t>
      </w:r>
    </w:p>
    <w:p w14:paraId="2D404BF3" w14:textId="77777777" w:rsidR="00180E7C" w:rsidRDefault="00000000">
      <w:pPr>
        <w:pStyle w:val="FirstParagraph"/>
      </w:pPr>
      <w:r>
        <w:t>The collision: Israel demanded supply termination and arsenal elimination; Hezbollah rejected external disarmament; Lebanon claimed sovereignty over the file; Iran’s relationship was the channel. Resolution mechanics: the Treaty terminates the external channel (weapons, precision kits, military financing) under verification, while the arsenal question moves to the Lebanese sovereign track with the LAF build-up as the credible alternative and cantonment as the Lebanese-designed interim. No one negotiates with Hezbollah; everyone changes the environment Hezbollah operates in. Verification: border monitoring, financial tracking, declarations concordance. Failure mode: channel reconstitution; engineered response: Category 7 demerits, and the monitoring architecture persists permanently.</w:t>
      </w:r>
    </w:p>
    <w:p w14:paraId="16AE7CD3" w14:textId="77777777" w:rsidR="00180E7C" w:rsidRDefault="00000000">
      <w:pPr>
        <w:pStyle w:val="Heading3"/>
      </w:pPr>
      <w:bookmarkStart w:id="1153" w:name="issue-23-support-to-houthis"/>
      <w:bookmarkEnd w:id="1152"/>
      <w:r>
        <w:t>Issue 23: Support to Houthis</w:t>
      </w:r>
    </w:p>
    <w:p w14:paraId="3EF7726F" w14:textId="77777777" w:rsidR="00180E7C" w:rsidRDefault="00000000">
      <w:pPr>
        <w:pStyle w:val="FirstParagraph"/>
      </w:pPr>
      <w:r>
        <w:t>Resolution mechanics: identical architecture: verified supply termination plus the Yemen settlement support track plus Red Sea security transition to the coastal-state cooperative model, removing both the supply line and the demand conditions. Failure mode: residual smuggling; engineered response: maritime monitoring and the interdiction interface with coastal-state authorities.</w:t>
      </w:r>
    </w:p>
    <w:p w14:paraId="35EDE69D" w14:textId="77777777" w:rsidR="00180E7C" w:rsidRDefault="00000000">
      <w:pPr>
        <w:pStyle w:val="Heading3"/>
      </w:pPr>
      <w:bookmarkStart w:id="1154" w:name="issue-24-support-to-hamas-and-pij"/>
      <w:bookmarkEnd w:id="1153"/>
      <w:r>
        <w:t>Issue 24: Support to Hamas and PIJ</w:t>
      </w:r>
    </w:p>
    <w:p w14:paraId="02B4EA28" w14:textId="77777777" w:rsidR="00180E7C" w:rsidRDefault="00000000">
      <w:pPr>
        <w:pStyle w:val="FirstParagraph"/>
      </w:pPr>
      <w:r>
        <w:t>Resolution mechanics: weapons flow termination verified; the political file explicitly reserved to Palestinian and regional processes, keeping this Treaty out of a conflict it cannot settle while removing its material dimension from the Iran file. Failure mode: dual-use ambiguity; engineered response: the convergent-evidence standard distinguishes weapons from civilian goods.</w:t>
      </w:r>
    </w:p>
    <w:p w14:paraId="7187C131" w14:textId="77777777" w:rsidR="00180E7C" w:rsidRDefault="00000000">
      <w:pPr>
        <w:pStyle w:val="Heading3"/>
      </w:pPr>
      <w:bookmarkStart w:id="1155" w:name="issue-25-iraqi-militias"/>
      <w:bookmarkEnd w:id="1154"/>
      <w:r>
        <w:lastRenderedPageBreak/>
        <w:t>Issue 25: Iraqi Militias</w:t>
      </w:r>
    </w:p>
    <w:p w14:paraId="000B6BA5" w14:textId="77777777" w:rsidR="00180E7C" w:rsidRDefault="00000000">
      <w:pPr>
        <w:pStyle w:val="FirstParagraph"/>
      </w:pPr>
      <w:r>
        <w:t>Resolution mechanics: Iraqi-designed integration, internationally financed, externally supplied-never-again. The roadmap’s legitimacy derives from Baghdad; the Treaty supplies money, monitoring, and the termination of external flows. Failure mode: factional refusal; engineered response: the RDSF incentive structure and Iraqi political process tools, never Treaty coercion against Iraqi actors.</w:t>
      </w:r>
    </w:p>
    <w:p w14:paraId="512D4047" w14:textId="77777777" w:rsidR="00180E7C" w:rsidRDefault="00000000">
      <w:pPr>
        <w:pStyle w:val="Heading3"/>
      </w:pPr>
      <w:bookmarkStart w:id="1156" w:name="issue-26-syrian-presence"/>
      <w:bookmarkEnd w:id="1155"/>
      <w:r>
        <w:t>Issue 26: Syrian Presence</w:t>
      </w:r>
    </w:p>
    <w:p w14:paraId="5007CB7F" w14:textId="77777777" w:rsidR="00180E7C" w:rsidRDefault="00000000">
      <w:pPr>
        <w:pStyle w:val="FirstParagraph"/>
      </w:pPr>
      <w:r>
        <w:t>Resolution mechanics: verified drawdown to a residual advisory mission agreed with Damascus, with the transfer corridor closed under monitoring. The drawdown respects Syrian sovereignty (advisory presence by invitation) while delivering the regional security outcome. Failure mode: rotation-based re-inflation; engineered response: ceiling declarations with semi-annual verification.</w:t>
      </w:r>
    </w:p>
    <w:p w14:paraId="5616973C" w14:textId="77777777" w:rsidR="00180E7C" w:rsidRDefault="00000000">
      <w:pPr>
        <w:pStyle w:val="Heading3"/>
      </w:pPr>
      <w:bookmarkStart w:id="1157" w:name="issue-27-the-strait-of-hormuz"/>
      <w:bookmarkEnd w:id="1156"/>
      <w:r>
        <w:t>Issue 27: The Strait of Hormuz</w:t>
      </w:r>
    </w:p>
    <w:p w14:paraId="3BB4B94E" w14:textId="77777777" w:rsidR="00180E7C" w:rsidRDefault="00000000">
      <w:pPr>
        <w:pStyle w:val="FirstParagraph"/>
      </w:pPr>
      <w:r>
        <w:t>The collision: control, closure capacity, tolls, and the post-war order. Resolution mechanics: Title III in full: the Authority, the corridors, free transit, twin-key governance, non-suspension, the services model. The Strait’s closure capacity dissolves not by disarming Iran but by embedding every Iranian capability inside a joint procedure where unilateral action registers instantly and costs automatically. Verification: the corridor monitoring architecture. Failure mode: crisis re-closure pressure; engineered response: closure stands on the Material Breach list, the architecture’s highest classification, with the guarantor machinery engaging within hours.</w:t>
      </w:r>
    </w:p>
    <w:p w14:paraId="1F35BD61" w14:textId="77777777" w:rsidR="00180E7C" w:rsidRDefault="00000000">
      <w:pPr>
        <w:pStyle w:val="Heading3"/>
      </w:pPr>
      <w:bookmarkStart w:id="1158" w:name="issue-28-no-strike-zones"/>
      <w:bookmarkEnd w:id="1157"/>
      <w:r>
        <w:t>Issue 28: No-Strike Zones</w:t>
      </w:r>
    </w:p>
    <w:p w14:paraId="6BAEF61F" w14:textId="77777777" w:rsidR="00180E7C" w:rsidRDefault="00000000">
      <w:pPr>
        <w:pStyle w:val="FirstParagraph"/>
      </w:pPr>
      <w:r>
        <w:t>Resolution mechanics: the categorical exclusion of nuclear, water, power, hospital, and basic-energy targets, bilateral immediately and regional through the RSCSC declaration. The exclusion operates even in the boundary case of resumed hostilities, holding a floor under civilization’s worst day. Failure mode: targeting ambiguity in conflict; engineered response: the protected sites register with coordinates in the monitoring architecture, and strikes on them register as Level 4 with immediate Security Council transmission.</w:t>
      </w:r>
    </w:p>
    <w:p w14:paraId="3224F2D5" w14:textId="77777777" w:rsidR="00180E7C" w:rsidRDefault="00000000">
      <w:pPr>
        <w:pStyle w:val="Heading3"/>
      </w:pPr>
      <w:bookmarkStart w:id="1159" w:name="issue-29-cyber-warfare"/>
      <w:bookmarkEnd w:id="1158"/>
      <w:r>
        <w:t>Issue 29: Cyber Warfare</w:t>
      </w:r>
    </w:p>
    <w:p w14:paraId="4E849AB0" w14:textId="77777777" w:rsidR="00180E7C" w:rsidRDefault="00000000">
      <w:pPr>
        <w:pStyle w:val="FirstParagraph"/>
      </w:pPr>
      <w:r>
        <w:t>Resolution mechanics: critical infrastructure protection, the Joint Cyber Review Cell, convergent attribution, and absolute protection for verification systems. The attribution discipline matters most: cyber’s fog historically licenses accusation without proof; the Treaty requires proof before consequence. Failure mode: proxy or false-flag operations; engineered response: joint forensics before attribution, and unattributed incidents produce cooperation, not blame.</w:t>
      </w:r>
    </w:p>
    <w:p w14:paraId="502F2C73" w14:textId="77777777" w:rsidR="00180E7C" w:rsidRDefault="00000000">
      <w:pPr>
        <w:pStyle w:val="Heading3"/>
      </w:pPr>
      <w:bookmarkStart w:id="1160" w:name="issue-30-military-exercises"/>
      <w:bookmarkEnd w:id="1159"/>
      <w:r>
        <w:t>Issue 30: Military Exercises</w:t>
      </w:r>
    </w:p>
    <w:p w14:paraId="3CC921CD" w14:textId="77777777" w:rsidR="00180E7C" w:rsidRDefault="00000000">
      <w:pPr>
        <w:pStyle w:val="FirstParagraph"/>
      </w:pPr>
      <w:r>
        <w:t xml:space="preserve">Resolution mechanics: notification, ceilings, separation minima, live-fire boxes: the standard toolbox of incidents prevention, verified through the same architecture. Failure </w:t>
      </w:r>
      <w:r>
        <w:lastRenderedPageBreak/>
        <w:t>mode: exercise as cover for mobilization; engineered response: the baseline plus notification architecture distinguishes exercise from mobilization by duration, scale, and logistics signatures.</w:t>
      </w:r>
    </w:p>
    <w:p w14:paraId="0B229024" w14:textId="77777777" w:rsidR="00180E7C" w:rsidRDefault="00000000">
      <w:pPr>
        <w:pStyle w:val="Heading2"/>
      </w:pPr>
      <w:bookmarkStart w:id="1161" w:name="tier-4-implementation-and-governance"/>
      <w:bookmarkEnd w:id="1150"/>
      <w:bookmarkEnd w:id="1160"/>
      <w:r>
        <w:t>TIER 4: IMPLEMENTATION AND GOVERNANCE</w:t>
      </w:r>
    </w:p>
    <w:p w14:paraId="48006050" w14:textId="77777777" w:rsidR="00180E7C" w:rsidRDefault="00000000">
      <w:pPr>
        <w:pStyle w:val="Heading3"/>
      </w:pPr>
      <w:bookmarkStart w:id="1162" w:name="issue-31-sequencing"/>
      <w:r>
        <w:t>Issue 31: Sequencing</w:t>
      </w:r>
    </w:p>
    <w:p w14:paraId="517BAF7C" w14:textId="77777777" w:rsidR="00180E7C" w:rsidRDefault="00000000">
      <w:pPr>
        <w:pStyle w:val="FirstParagraph"/>
      </w:pPr>
      <w:r>
        <w:t>The collision: who moves first. Resolution mechanics: nobody and everybody: interleaved obligations, phase gates, fallback sequences, and the synchronization engine, so each sensitive step pairs with a reciprocal step and the calendar backs every verification. Failure mode: single-item stall holding the whole; engineered response: item isolation with HCC interleaving adjustment within twenty days.</w:t>
      </w:r>
    </w:p>
    <w:p w14:paraId="1107FA65" w14:textId="77777777" w:rsidR="00180E7C" w:rsidRDefault="00000000">
      <w:pPr>
        <w:pStyle w:val="Heading3"/>
      </w:pPr>
      <w:bookmarkStart w:id="1163" w:name="issue-32-the-verification-arbiter"/>
      <w:bookmarkEnd w:id="1162"/>
      <w:r>
        <w:t>Issue 32: The Verification Arbiter</w:t>
      </w:r>
    </w:p>
    <w:p w14:paraId="7A1DC011" w14:textId="77777777" w:rsidR="00180E7C" w:rsidRDefault="00000000">
      <w:pPr>
        <w:pStyle w:val="FirstParagraph"/>
      </w:pPr>
      <w:r>
        <w:t>Resolution mechanics: no single arbiter; an engine: the JMC for the treaty domains, the IAEA for nuclear, neutral expert panels for disputes, all feeding the objective benchmark register. Verification by institution, not by personality. Failure mode: institutional capture or politicization; engineered response: the neutrality ombudsman, the audit of certifications, and the distributed data architecture.</w:t>
      </w:r>
    </w:p>
    <w:p w14:paraId="625E4209" w14:textId="77777777" w:rsidR="00180E7C" w:rsidRDefault="00000000">
      <w:pPr>
        <w:pStyle w:val="Heading3"/>
      </w:pPr>
      <w:bookmarkStart w:id="1164" w:name="issue-33-the-unsc-resolution"/>
      <w:bookmarkEnd w:id="1163"/>
      <w:r>
        <w:t>Issue 33: The UNSC Resolution</w:t>
      </w:r>
    </w:p>
    <w:p w14:paraId="551848D5" w14:textId="77777777" w:rsidR="00180E7C" w:rsidRDefault="00000000">
      <w:pPr>
        <w:pStyle w:val="FirstParagraph"/>
      </w:pPr>
      <w:r>
        <w:t>Resolution mechanics: endorsement plus termination of prior measures, with no snapback mechanism drafted in: the Council engages any future breach on the facts, under the Charter, informed by the Engine’s record. Failure mode: Council politics delaying adoption; engineered response: the Treaty enters into force bilaterally regardless; the resolution terminates Council measures but does not condition the Treaty itself.</w:t>
      </w:r>
    </w:p>
    <w:p w14:paraId="1FAEECFF" w14:textId="77777777" w:rsidR="00180E7C" w:rsidRDefault="00000000">
      <w:pPr>
        <w:pStyle w:val="Heading3"/>
      </w:pPr>
      <w:bookmarkStart w:id="1165" w:name="issue-34-the-role-of-israel"/>
      <w:bookmarkEnd w:id="1164"/>
      <w:r>
        <w:t>Issue 34: The Role of Israel</w:t>
      </w:r>
    </w:p>
    <w:p w14:paraId="14C6AF68" w14:textId="77777777" w:rsidR="00180E7C" w:rsidRDefault="00000000">
      <w:pPr>
        <w:pStyle w:val="FirstParagraph"/>
      </w:pPr>
      <w:r>
        <w:t>The collision: existential concerns of a non-signatory. Resolution mechanics: the protocol delivers outcomes as verified facts (the floor, the access, the Fordow conversion, the supply terminations), preserves Israeli freedom of action explicitly, registers the parallel United States assurance, and opens the information channel, all without granting a veto over two sovereigns’ peace. Failure mode: Israeli military action against the architecture; engineered response: Playbook 8: the Treaty insulates the bilateral peace and keeps verification intact through regional fire.</w:t>
      </w:r>
    </w:p>
    <w:p w14:paraId="2543E82C" w14:textId="77777777" w:rsidR="00180E7C" w:rsidRDefault="00000000">
      <w:pPr>
        <w:pStyle w:val="Heading3"/>
      </w:pPr>
      <w:bookmarkStart w:id="1166" w:name="Xf59337b945862736f84c2e6a24f11e0f2244b5c"/>
      <w:bookmarkEnd w:id="1165"/>
      <w:r>
        <w:t>Issue 35: United States Congressional Approval</w:t>
      </w:r>
    </w:p>
    <w:p w14:paraId="392EAD16" w14:textId="77777777" w:rsidR="00180E7C" w:rsidRDefault="00000000">
      <w:pPr>
        <w:pStyle w:val="FirstParagraph"/>
      </w:pPr>
      <w:r>
        <w:t>Resolution mechanics: statutory termination of sanctions, making the deal legislation rather than waiver; the implementing package transmitted within thirty days; the durability argument made to Congress in durability’s own terms. Failure mode: congressional refusal; engineered response: provisional application preserves the machinery while the constitutional process runs, and the architecture’s benefits argue for themselves in the public record.</w:t>
      </w:r>
    </w:p>
    <w:p w14:paraId="4EB2FB4F" w14:textId="77777777" w:rsidR="00180E7C" w:rsidRDefault="00000000">
      <w:pPr>
        <w:pStyle w:val="Heading3"/>
      </w:pPr>
      <w:bookmarkStart w:id="1167" w:name="issue-36-iranian-domestic-politics"/>
      <w:bookmarkEnd w:id="1166"/>
      <w:r>
        <w:lastRenderedPageBreak/>
        <w:t>Issue 36: Iranian Domestic Politics</w:t>
      </w:r>
    </w:p>
    <w:p w14:paraId="435FE921" w14:textId="77777777" w:rsidR="00180E7C" w:rsidRDefault="00000000">
      <w:pPr>
        <w:pStyle w:val="FirstParagraph"/>
      </w:pPr>
      <w:r>
        <w:t>Resolution mechanics: the majlis and constitutional processes engaged from signature; the leadership authorization delivering the Hormuz draft as part of the whole; continuity mechanisms insulating the organs. The fair-balance drafting serves here: a treaty both capitals defend survives both capitals’ politics. Failure mode: hardliner legislation; engineered response: Playbook 5 and the continuity architecture.</w:t>
      </w:r>
    </w:p>
    <w:p w14:paraId="517F7240" w14:textId="77777777" w:rsidR="00180E7C" w:rsidRDefault="00000000">
      <w:pPr>
        <w:pStyle w:val="Heading3"/>
      </w:pPr>
      <w:bookmarkStart w:id="1168" w:name="issue-37-snapback-re-imposition"/>
      <w:bookmarkEnd w:id="1167"/>
      <w:r>
        <w:t>Issue 37: Snapback Re-imposition</w:t>
      </w:r>
    </w:p>
    <w:p w14:paraId="214EE43C" w14:textId="77777777" w:rsidR="00180E7C" w:rsidRDefault="00000000">
      <w:pPr>
        <w:pStyle w:val="FirstParagraph"/>
      </w:pPr>
      <w:r>
        <w:t>Resolution mechanics: retired and replaced: step-back ceilings, demerit ladders, the Material Breach list with due process. The Treaty documents why: binary enforcement converts every infraction into an existential crisis and incentivizes escalation over remediation. Failure mode: pressure to reintroduce snapback in a crisis; engineered response: the Engine’s automatic proportionality delivers faster consequences than snapback ever did, without the collapse dynamics.</w:t>
      </w:r>
    </w:p>
    <w:p w14:paraId="6A96833F" w14:textId="77777777" w:rsidR="00180E7C" w:rsidRDefault="00000000">
      <w:pPr>
        <w:pStyle w:val="Heading3"/>
      </w:pPr>
      <w:bookmarkStart w:id="1169" w:name="issue-38-snapback-for-iran"/>
      <w:bookmarkEnd w:id="1168"/>
      <w:r>
        <w:t>Issue 38: Snapback for Iran</w:t>
      </w:r>
    </w:p>
    <w:p w14:paraId="2B360398" w14:textId="77777777" w:rsidR="00180E7C" w:rsidRDefault="00000000">
      <w:pPr>
        <w:pStyle w:val="FirstParagraph"/>
      </w:pPr>
      <w:r>
        <w:t>Resolution mechanics: full symmetry: United States violations pause United States performance, accelerate compensation on remediation, and accrue demerits identically. Iran’s insurance policy is the same engine, run in the other direction. Failure mode: perceived asymmetry in practice; engineered response: the symmetry ledger with annual compensating review.</w:t>
      </w:r>
    </w:p>
    <w:p w14:paraId="5234B3C9" w14:textId="77777777" w:rsidR="00180E7C" w:rsidRDefault="00000000">
      <w:pPr>
        <w:pStyle w:val="Heading3"/>
      </w:pPr>
      <w:bookmarkStart w:id="1170" w:name="issue-39-dispute-resolution"/>
      <w:bookmarkEnd w:id="1169"/>
      <w:r>
        <w:t>Issue 39: Dispute Resolution</w:t>
      </w:r>
    </w:p>
    <w:p w14:paraId="4AE2107E" w14:textId="77777777" w:rsidR="00180E7C" w:rsidRDefault="00000000">
      <w:pPr>
        <w:pStyle w:val="FirstParagraph"/>
      </w:pPr>
      <w:r>
        <w:t>Resolution mechanics: the time-bound ladder with automatic elevation: consultation, technical organs, HCC, mediation, arbitration, with deadlines at every rung and silence moving matters upward. No dispute rots. Failure mode: ladder gaming through procedural delay; engineered response: deadlines execute automatically; procedural objection abuse accrues demerits under Category 10.</w:t>
      </w:r>
    </w:p>
    <w:p w14:paraId="5D9F8FE2" w14:textId="77777777" w:rsidR="00180E7C" w:rsidRDefault="00000000">
      <w:pPr>
        <w:pStyle w:val="Heading3"/>
      </w:pPr>
      <w:bookmarkStart w:id="1171" w:name="issue-40-the-long-term-channel"/>
      <w:bookmarkEnd w:id="1170"/>
      <w:r>
        <w:t>Issue 40: The Long-Term Channel</w:t>
      </w:r>
    </w:p>
    <w:p w14:paraId="4D5FB056" w14:textId="77777777" w:rsidR="00180E7C" w:rsidRDefault="00000000">
      <w:pPr>
        <w:pStyle w:val="FirstParagraph"/>
      </w:pPr>
      <w:r>
        <w:t>Resolution mechanics: quarterly deputy-minister consultations, the hotlines, the Track II foundation: grievances air early and small. The channel’s value shows in what never happens. Failure mode: channel atrophy in good times; engineered response: the consultations stand on the calendar with mandatory reporting, so the muscle exercises even when nothing hurts.</w:t>
      </w:r>
    </w:p>
    <w:p w14:paraId="6AFCA7E9" w14:textId="77777777" w:rsidR="00180E7C" w:rsidRDefault="00000000">
      <w:pPr>
        <w:pStyle w:val="Heading2"/>
      </w:pPr>
      <w:bookmarkStart w:id="1172" w:name="X79fe744a2a2fa2567b5fdd7753ed8e894df7e47"/>
      <w:bookmarkEnd w:id="1161"/>
      <w:bookmarkEnd w:id="1171"/>
      <w:r>
        <w:t>TIER 3 AND 4 IMPLEMENTATION ADDENDA: THE SECURITY AND REGIONAL ISSUES IN WORKING DETAIL</w:t>
      </w:r>
    </w:p>
    <w:p w14:paraId="79C27939" w14:textId="77777777" w:rsidR="00180E7C" w:rsidRDefault="00000000">
      <w:pPr>
        <w:pStyle w:val="Heading3"/>
      </w:pPr>
      <w:bookmarkStart w:id="1173" w:name="X7b7890177f48b4077345e7e1a04942793b49cc4"/>
      <w:r>
        <w:t>Addendum to Issue 21: The Withdrawal Schedules in Working Detail</w:t>
      </w:r>
    </w:p>
    <w:p w14:paraId="34B168FB" w14:textId="77777777" w:rsidR="00180E7C" w:rsidRDefault="00000000">
      <w:pPr>
        <w:pStyle w:val="FirstParagraph"/>
      </w:pPr>
      <w:r>
        <w:t xml:space="preserve">The Title II withdrawal schedules execute through the Joint Operations Centers’ verification desks. Each phase’s troop and equipment movements file as movement plans 30 days in advance, route by route, and the JOC observers, mixed teams under the parity </w:t>
      </w:r>
      <w:r>
        <w:lastRenderedPageBreak/>
        <w:t>rule, witness the movements at the designated checkpoints. The equipment tables draw the critical distinction the verification depends on: departure of a system counts against the schedule only with its declared support package, so a shell withdrawal of launchers without their logistics tail registers as incomplete. The buffer-zone patrols begin their overlap pattern on each phase’s completion day, and the JMC’s military working group certifies each phase against the checkpoint records before the next phase’s clock starts, the deliberate seriality that keeps the schedule honest at the price of its pace.</w:t>
      </w:r>
    </w:p>
    <w:p w14:paraId="151546F8" w14:textId="77777777" w:rsidR="00180E7C" w:rsidRDefault="00000000">
      <w:pPr>
        <w:pStyle w:val="Heading3"/>
      </w:pPr>
      <w:bookmarkStart w:id="1174" w:name="X2168dcb0288660c8e969d7a2e501dca0165e83c"/>
      <w:bookmarkEnd w:id="1173"/>
      <w:r>
        <w:t>Addendum to Issue 22: The Notification System in Daily Operation</w:t>
      </w:r>
    </w:p>
    <w:p w14:paraId="6C504D24" w14:textId="77777777" w:rsidR="00180E7C" w:rsidRDefault="00000000">
      <w:pPr>
        <w:pStyle w:val="FirstParagraph"/>
      </w:pPr>
      <w:r>
        <w:t>The military notification system’s message set runs twenty-four hours through the JOC network, and its discipline forms the security layer’s daily habit. Exercise notifications carry the box coordinates, forces, duration, and live-fire windows; movement notifications carry unit designations and routes; the system’s value lies in the negative space: the JOC watch officer’s shift log records hundreds of notifications against zero surprises, and the quarterly assessment publishes the compliance statistics that make the habit visible to both general staffs. A notification that arrives late enters the anomaly register at Level 1 with its explanation, and the register’s trend line, not any single event, drives the working group’s attention.</w:t>
      </w:r>
    </w:p>
    <w:p w14:paraId="5FAC4EFE" w14:textId="77777777" w:rsidR="00180E7C" w:rsidRDefault="00000000">
      <w:pPr>
        <w:pStyle w:val="Heading3"/>
      </w:pPr>
      <w:bookmarkStart w:id="1175" w:name="Xa9c7297e47951a9cbe162578d30029f3a6f4538"/>
      <w:bookmarkEnd w:id="1174"/>
      <w:r>
        <w:t>Addendum to Issue 23: The Ceasefire’s Standing Machinery</w:t>
      </w:r>
    </w:p>
    <w:p w14:paraId="705F5C48" w14:textId="77777777" w:rsidR="00180E7C" w:rsidRDefault="00000000">
      <w:pPr>
        <w:pStyle w:val="FirstParagraph"/>
      </w:pPr>
      <w:r>
        <w:t>The ceasefire’s conversion from the April 2026 instrument to treaty standing brings its machinery under the JMC without changing its grammar: the violation classification ladder, the local-resolution-first rule, and the escalation path to the commission. The machinery’s design insight survives the conversion: most ceasefire events resolve at the local commander level when the channel exists and the classification keeps the event small. The standing machinery adds what 2026 lacked: the demerit pricing of repeat local violations, so a pattern that each local resolution forgives still accumulates into a cost the pattern’s author pays.</w:t>
      </w:r>
    </w:p>
    <w:p w14:paraId="15643995" w14:textId="77777777" w:rsidR="00180E7C" w:rsidRDefault="00000000">
      <w:pPr>
        <w:pStyle w:val="Heading3"/>
      </w:pPr>
      <w:bookmarkStart w:id="1176" w:name="X659db32c2faa6de340b0960a4c252a46fc572fc"/>
      <w:bookmarkEnd w:id="1175"/>
      <w:r>
        <w:t>Addendum to Issue 24: The Deconfliction Protocols Under Load</w:t>
      </w:r>
    </w:p>
    <w:p w14:paraId="4101D3AF" w14:textId="77777777" w:rsidR="00180E7C" w:rsidRDefault="00000000">
      <w:pPr>
        <w:pStyle w:val="FirstParagraph"/>
      </w:pPr>
      <w:r>
        <w:t>The naval and air deconfliction protocols prove themselves in the congested reality of the Gulf: the Fifth Fleet’s operations, Iran’s naval exercises, the Authority’s corridor traffic, and the commercial air corridors all sharing the same water and sky. The protocols’ daily product is the recognized maritime and air picture, shared at the data-link level, with the deconfliction cells resolving conflicts by procedure: distance standards, communication requirements, and the incident-prevention grammar of Annex J. The quarterly joint review examines every proximity event above the reporting threshold, and the review’s publication, proximity statistics declining year over year, supplies the hard evidence the de-escalation narrative requires.</w:t>
      </w:r>
    </w:p>
    <w:p w14:paraId="7E22B025" w14:textId="77777777" w:rsidR="00180E7C" w:rsidRDefault="00000000">
      <w:pPr>
        <w:pStyle w:val="Heading3"/>
      </w:pPr>
      <w:bookmarkStart w:id="1177" w:name="X301f27c89abaa0c2f3bbd3591aeec7959cd5698"/>
      <w:bookmarkEnd w:id="1176"/>
      <w:r>
        <w:t>Addendum to Issue 25: The Guarantor Matrix in Session</w:t>
      </w:r>
    </w:p>
    <w:p w14:paraId="13CC77E6" w14:textId="77777777" w:rsidR="00180E7C" w:rsidRDefault="00000000">
      <w:pPr>
        <w:pStyle w:val="FirstParagraph"/>
      </w:pPr>
      <w:r>
        <w:t xml:space="preserve">The Guarantor Matrix’s working rhythm runs through its quarterly sessions and its standing channels. Each guarantor’s file, Pakistan on the eastern corridors and the Afghanistan interface, Oman on the Authority and the maritime layer, Qatar on the Gulf </w:t>
      </w:r>
      <w:r>
        <w:lastRenderedPageBreak/>
        <w:t>mediation channel and the regional files, Switzerland on the facilitation, escrow, and dashboard functions, carries its own reporting line into the JMC. The matrix’s true product is the redundancy it provides in crisis: when any bilateral channel freezes, three standing alternatives carry the traffic, and the succession instruments of Annex N keep the matrix whole through its members’ own political cycles.</w:t>
      </w:r>
    </w:p>
    <w:p w14:paraId="26208128" w14:textId="77777777" w:rsidR="00180E7C" w:rsidRDefault="00000000">
      <w:pPr>
        <w:pStyle w:val="Heading3"/>
      </w:pPr>
      <w:bookmarkStart w:id="1178" w:name="X6482f6e5c07214f246a35186eb281b1e2c11ca1"/>
      <w:bookmarkEnd w:id="1177"/>
      <w:r>
        <w:t>Addendum to Issue 26: The Cyber Cell’s Joint Hunt</w:t>
      </w:r>
    </w:p>
    <w:p w14:paraId="4807A3C3" w14:textId="77777777" w:rsidR="00180E7C" w:rsidRDefault="00000000">
      <w:pPr>
        <w:pStyle w:val="FirstParagraph"/>
      </w:pPr>
      <w:r>
        <w:t>The Cyber Deconfliction Cell’s standing activity, the joint hunt, operationalizes the file’s strangest provision: the two states’ cyber operators working the same threat actors from the same room. The hunt’s rules protect sources and methods through the sanitized-tip procedure; its products, shared indicators, coordinated takedown notifications, and the standing threat picture, flow to both capitals’ security agencies. The cell’s existence changes the attribution game’s incentives: a false-flag operation now faces two victim-motivated technical services working together, and the scenario-tested confidence tiers of SP-23.4 give the cell’s findings a credibility no unilateral attribution achieves.</w:t>
      </w:r>
    </w:p>
    <w:p w14:paraId="68224D93" w14:textId="77777777" w:rsidR="00180E7C" w:rsidRDefault="00000000">
      <w:pPr>
        <w:pStyle w:val="Heading3"/>
      </w:pPr>
      <w:bookmarkStart w:id="1179" w:name="Xf6681bd2b10e786b863d796469b3b88543a5f8a"/>
      <w:bookmarkEnd w:id="1178"/>
      <w:r>
        <w:t>Addendum to Issue 27: The Regional Coordination Council’s First Year</w:t>
      </w:r>
    </w:p>
    <w:p w14:paraId="0706E329" w14:textId="77777777" w:rsidR="00180E7C" w:rsidRDefault="00000000">
      <w:pPr>
        <w:pStyle w:val="FirstParagraph"/>
      </w:pPr>
      <w:r>
        <w:t>The council’s first-year agenda, fixed in SP-12, runs the accession files in sequence: Lebanon’s parallel instrument implementation review, Iraq’s roadmap milestones, Syria’s drawdown phases, Yemen’s UN-process support. The council’s design keeps its powers consultative and its machinery light, because the drafters judged that a heavy regional organization would collapse under the region’s rivalries; the council’s value lies in the calendar it imposes, the files it keeps moving, and the habit of the region’s officials meeting monthly under a peace treaty’s roof.</w:t>
      </w:r>
    </w:p>
    <w:p w14:paraId="2E455ECF" w14:textId="77777777" w:rsidR="00180E7C" w:rsidRDefault="00000000">
      <w:pPr>
        <w:pStyle w:val="Heading3"/>
      </w:pPr>
      <w:bookmarkStart w:id="1180" w:name="Xb298b73ca100d511bd2a311aad6634d92abe7a4"/>
      <w:bookmarkEnd w:id="1179"/>
      <w:r>
        <w:t>Addendum to Issue 28: The No-Strike Zones in Operation</w:t>
      </w:r>
    </w:p>
    <w:p w14:paraId="3652E68B" w14:textId="77777777" w:rsidR="00180E7C" w:rsidRDefault="00000000">
      <w:pPr>
        <w:pStyle w:val="FirstParagraph"/>
      </w:pPr>
      <w:r>
        <w:t>Article 80’s no-strike zones publish their coordinates, their protected-facility lists, and their monitoring arrangements, and the zones’ verification runs through the national technical means data both Parties already collect, shared into the Registry under the managed-access rules. The zones’ legal design binds the Parties absolutely and addresses third states through the Article 81 protocol’s restraint channel and the endorsement resolution’s call upon all states. The zones’ product is the removal of entire facility classes, nuclear, water, power, medical, from the targeting calculus of any future crisis, a humanitarian achievement the Treaty counts among its quietest and largest.</w:t>
      </w:r>
    </w:p>
    <w:p w14:paraId="256336F1" w14:textId="77777777" w:rsidR="00180E7C" w:rsidRDefault="00000000">
      <w:pPr>
        <w:pStyle w:val="Heading3"/>
      </w:pPr>
      <w:bookmarkStart w:id="1181" w:name="X2f4d70c99b6f6c63ccbab2ed1288706af83d5d4"/>
      <w:bookmarkEnd w:id="1180"/>
      <w:r>
        <w:t>Addendum to Issue 29: The Lebanon Instrument’s Coupling in Practice</w:t>
      </w:r>
    </w:p>
    <w:p w14:paraId="6A3F8A39" w14:textId="77777777" w:rsidR="00180E7C" w:rsidRDefault="00000000">
      <w:pPr>
        <w:pStyle w:val="FirstParagraph"/>
      </w:pPr>
      <w:r>
        <w:t>The coupled tranches of Annex L execute on the quarterly benchmark cycle: the monitoring cell certifies the demobilization benchmarks, the RDF board releases the reconstruction tranche against the certification, and the publication of both records together makes the coupling visible to every Lebanese constituency. The coupling’s political engineering, peace pays and escalation costs, within the same quarter, in the same newspapers, gives the instrument’s supporters in Beirut the argument no previous process gave them: a spreadsheet showing what restraint earned.</w:t>
      </w:r>
    </w:p>
    <w:p w14:paraId="22A6A246" w14:textId="77777777" w:rsidR="00180E7C" w:rsidRDefault="00000000">
      <w:pPr>
        <w:pStyle w:val="Heading3"/>
      </w:pPr>
      <w:bookmarkStart w:id="1182" w:name="Xbb69b50f8add0041dfc229f58651d36d4d36921"/>
      <w:bookmarkEnd w:id="1181"/>
      <w:r>
        <w:lastRenderedPageBreak/>
        <w:t>Addendum to Issue 30: The Iraq Roadmap’s Phase Gates</w:t>
      </w:r>
    </w:p>
    <w:p w14:paraId="6DAC0AAE" w14:textId="77777777" w:rsidR="00180E7C" w:rsidRDefault="00000000">
      <w:pPr>
        <w:pStyle w:val="FirstParagraph"/>
      </w:pPr>
      <w:r>
        <w:t>The roadmap’s phases gate on the joint Iraqi-American-Iranian certifications: PMF integration milestones, border-management handovers, and the advisory-presence drawdown, each certified trilaterally through the roadmap’s own commission before the next phase opens. The trilateral design is the file’s resolution in miniature: Iraq’s sovereignty exercised through its certification authority over both foreign presences, the American drawdown purchased by verified integration, and the Iranian interest in a stable non-hostile neighbor served by the same record. The phase gates’ deliberate pace, no phase shorter than two quarters, reflects the drafters’ judgment that the Iraqi file fails through haste and only through haste.</w:t>
      </w:r>
    </w:p>
    <w:p w14:paraId="7C229856" w14:textId="77777777" w:rsidR="00180E7C" w:rsidRDefault="00000000">
      <w:pPr>
        <w:pStyle w:val="Heading3"/>
      </w:pPr>
      <w:bookmarkStart w:id="1183" w:name="X5309916939b755aa143860f298689da005c57a3"/>
      <w:bookmarkEnd w:id="1182"/>
      <w:r>
        <w:t>Addendum to Issue 31: The Claims Commission’s Intake in Operation</w:t>
      </w:r>
    </w:p>
    <w:p w14:paraId="563B276F" w14:textId="77777777" w:rsidR="00180E7C" w:rsidRDefault="00000000">
      <w:pPr>
        <w:pStyle w:val="FirstParagraph"/>
      </w:pPr>
      <w:r>
        <w:t>The Joint Claims Commission’s intake operates through the Annex O forms with the filing window running two years from entry into force: state claims on the interstate track, and the historical files on their dedicated docket. The commission’s triage discipline, jurisdiction screening within ninety days, merits tracks assigned within one hundred eighty, moves the docket past the paralysis that consumed the old tribunal’s early years. The valuation unit’s published methodology, standards for losses across four decades of claims, gives both delegations the predictability that settlement requires, and the unit’s working papers circulate to the parties before publication, so the methodology’s credibility builds through comment rather than through surprise.</w:t>
      </w:r>
    </w:p>
    <w:p w14:paraId="3664A178" w14:textId="77777777" w:rsidR="00180E7C" w:rsidRDefault="00000000">
      <w:pPr>
        <w:pStyle w:val="Heading3"/>
      </w:pPr>
      <w:bookmarkStart w:id="1184" w:name="Xe586ced28ba107bdedf4b2958737b795d3fed0c"/>
      <w:bookmarkEnd w:id="1183"/>
      <w:r>
        <w:t>Addendum to Issue 32: The Escrow Release Events in Sequence</w:t>
      </w:r>
    </w:p>
    <w:p w14:paraId="4D9351C2" w14:textId="77777777" w:rsidR="00180E7C" w:rsidRDefault="00000000">
      <w:pPr>
        <w:pStyle w:val="FirstParagraph"/>
      </w:pPr>
      <w:r>
        <w:t>Schedule H-1’s release events fire in their certified sequence, and each event’s execution follows the identical drill the operating manual fixes: certification arrives from the named authority, the assessor’s window runs, the transfer executes to pre-registered destinations, and the publication posts within 24 hours. The Pool B infrastructure releases carry the additional layer of the procurement rules: funds move against awarded contracts under SP-11’s manual, so the money’s path from escrow to contractor stays inside audited procurement at every step. The sequence’s discipline produces the political asset both governments need: a public, unbroken chain of releases matched to certified performance, the escrow as compliance’s mirror.</w:t>
      </w:r>
    </w:p>
    <w:p w14:paraId="27B45F29" w14:textId="77777777" w:rsidR="00180E7C" w:rsidRDefault="00000000">
      <w:pPr>
        <w:pStyle w:val="Heading3"/>
      </w:pPr>
      <w:bookmarkStart w:id="1185" w:name="Xb9ba5d9b2b8601eb0ac7611bdb94a9c5da94358"/>
      <w:bookmarkEnd w:id="1184"/>
      <w:r>
        <w:t>Addendum to Issue 33: The Airspace Protocol’s Daily Gram</w:t>
      </w:r>
    </w:p>
    <w:p w14:paraId="4DB38002" w14:textId="77777777" w:rsidR="00180E7C" w:rsidRDefault="00000000">
      <w:pPr>
        <w:pStyle w:val="FirstParagraph"/>
      </w:pPr>
      <w:r>
        <w:t>The airspace deconfliction protocol operates through the daily air-tasking gram: both air authorities’ scheduled military flights publish to the deconfliction cell by 0600 daily, the cell resolves conflicts against the corridor structures and the commercial flows, and the gram’s execution tracks through the shared air picture. The protocol’s no-surprise rule covers unscheduled activity: the notification-before-wheels-up standard, with the anomaly register pricing late notice. The first year’s statistics, published quarterly, show the design’s value: thousands of sorties, zero dangerous intercepts, and the intercept procedures’ joint review retiring the aggressive-maneuver categories that produced the pre-treaty incidents.</w:t>
      </w:r>
    </w:p>
    <w:p w14:paraId="7A42BDF1" w14:textId="77777777" w:rsidR="00180E7C" w:rsidRDefault="00000000">
      <w:pPr>
        <w:pStyle w:val="Heading3"/>
      </w:pPr>
      <w:bookmarkStart w:id="1186" w:name="X6f04ae6cd0d7fe6ea20beea6061a52e722ad9e5"/>
      <w:bookmarkEnd w:id="1185"/>
      <w:r>
        <w:lastRenderedPageBreak/>
        <w:t>Addendum to Issue 34: The Missile Registry’s First Thirty-Two Entries</w:t>
      </w:r>
    </w:p>
    <w:p w14:paraId="6D7DB1FF" w14:textId="77777777" w:rsidR="00180E7C" w:rsidRDefault="00000000">
      <w:pPr>
        <w:pStyle w:val="FirstParagraph"/>
      </w:pPr>
      <w:r>
        <w:t>The missile transparency registry accumulates its first thirty-two notified events across the framework’s opening period, and the registry’s analytics publish quarterly: notification timeliness, parameter accuracy against observation, and the tolerance-band compliance rate. The registry’s discipline converts each entry into a small verification exercise: the notified parameters check against both Parties’ national technical means through the JMC’s military working group, and discrepancies enter the anomaly grammar at Level 1 with their explanations. The thirty-second entry’s publication carries the working group’s assessment: a functioning transparency habit, verified compliance, and the nuclear-capable exclusion’s criteria applied without exception, the record the chapter exists to build.</w:t>
      </w:r>
    </w:p>
    <w:p w14:paraId="0A226FC3" w14:textId="77777777" w:rsidR="00180E7C" w:rsidRDefault="00000000">
      <w:pPr>
        <w:pStyle w:val="Heading3"/>
      </w:pPr>
      <w:bookmarkStart w:id="1187" w:name="X3c148711cd1b53ffba6cf6a022824487aa6b830"/>
      <w:bookmarkEnd w:id="1186"/>
      <w:r>
        <w:t>Addendum to Issue 35: The Communications Hotline’s Test Regime</w:t>
      </w:r>
    </w:p>
    <w:p w14:paraId="66264382" w14:textId="77777777" w:rsidR="00180E7C" w:rsidRDefault="00000000">
      <w:pPr>
        <w:pStyle w:val="FirstParagraph"/>
      </w:pPr>
      <w:r>
        <w:t>The principals’ hotline and its supporting channels operate under a test regime that treats readiness as a maintained condition: monthly technical tests, quarterly voice exercises at the staff level, and an annual principals-level test call with its readout published. The regime’s philosophy borrows from nuclear command-and-control practice: a crisis channel that exists only on paper fails the day it matters, so the channel exercises in peace to perform in crisis. The first genuine use, Month 14’s vessel seizure of Scenario Two, opens with a twelve-minute connection time against the protocol’s fifteen-minute standard, and the readiness statistics publish with the readout.</w:t>
      </w:r>
    </w:p>
    <w:p w14:paraId="64F8D0DA" w14:textId="77777777" w:rsidR="00180E7C" w:rsidRDefault="00000000">
      <w:pPr>
        <w:pStyle w:val="Heading3"/>
      </w:pPr>
      <w:bookmarkStart w:id="1188" w:name="X34684ec1e72f3b7f2ba28e6d8ed3d76de9d3121"/>
      <w:bookmarkEnd w:id="1187"/>
      <w:r>
        <w:t>Addendum to Issue 36: The Guarantor Consultation Guarantee</w:t>
      </w:r>
    </w:p>
    <w:p w14:paraId="38713A59" w14:textId="77777777" w:rsidR="00180E7C" w:rsidRDefault="00000000">
      <w:pPr>
        <w:pStyle w:val="FirstParagraph"/>
      </w:pPr>
      <w:r>
        <w:t>The Article 15 consultation guarantee operates through its standing procedure: any Party invokes, the guarantors convene within seven days, and the consultation’s record publishes in summary. The guarantee’s first invocation, a Month 20 dispute over a corridor fee classification, demonstrates the design’s intent: the guarantors’ good offices produce the technical clarification in nine days, the JMC adopts it, and the dispute never touches the step-back architecture. The guarantee’s existence changes the JMC’s own dynamics: deadlocks carry the knowledge of the guarantor tier waiting above them, and the prospect of escalation disciplines the working level toward resolution.</w:t>
      </w:r>
    </w:p>
    <w:p w14:paraId="6AD84B89" w14:textId="77777777" w:rsidR="00180E7C" w:rsidRDefault="00000000">
      <w:pPr>
        <w:pStyle w:val="Heading3"/>
      </w:pPr>
      <w:bookmarkStart w:id="1189" w:name="X305357735a76f0c0806ef47c7b5f7366f99d46c"/>
      <w:bookmarkEnd w:id="1188"/>
      <w:r>
        <w:t>Addendum to Issue 37: The Withdrawal Procedure’s Notice Mechanics</w:t>
      </w:r>
    </w:p>
    <w:p w14:paraId="06D6B37F" w14:textId="77777777" w:rsidR="00180E7C" w:rsidRDefault="00000000">
      <w:pPr>
        <w:pStyle w:val="FirstParagraph"/>
      </w:pPr>
      <w:r>
        <w:t>Article 75’s withdrawal procedure, never invoked in the Atlas’s scenarios, still requires its working design, because the procedure’s credibility underwrites the Treaty’s fairness claim. The notice mechanics: written notice to the depository, the mandatory Joint Commission process across the twelve-month period with its published session calendar, the benefit-line continuation during notice, and the reversion architecture’s activation only at the period’s end. The procedure’s design makes withdrawal administratively laborious and diplomatically expensive by deliberation rather than by trap: a Party leaving the Treaty spends a year explaining itself to a standing process, and the year’s record, published in full, answers to both Parties’ publics and to the guarantors.</w:t>
      </w:r>
    </w:p>
    <w:p w14:paraId="75B0B1D3" w14:textId="77777777" w:rsidR="00180E7C" w:rsidRDefault="00000000">
      <w:pPr>
        <w:pStyle w:val="Heading3"/>
      </w:pPr>
      <w:bookmarkStart w:id="1190" w:name="X77ea6b18a0dc9d07f271625e7a03e8dbcca85af"/>
      <w:bookmarkEnd w:id="1189"/>
      <w:r>
        <w:lastRenderedPageBreak/>
        <w:t>Addendum to Issue 38: The Amendment Procedure’s First Use</w:t>
      </w:r>
    </w:p>
    <w:p w14:paraId="16A2EFAE" w14:textId="77777777" w:rsidR="00180E7C" w:rsidRDefault="00000000">
      <w:pPr>
        <w:pStyle w:val="FirstParagraph"/>
      </w:pPr>
      <w:r>
        <w:t>The Article 72 amendment procedure’s first use comes in Month 36, a technical amendment harmonizing two annex tables the operations exposed as mismatched, and the procedure’s execution, proposal, negotiation in the Joint Commission, adoption by consensus, entry into force on the simplified track the article reserves for technical amendments, takes eleven weeks end to end. The first use’s importance exceeds its content: it demonstrates to both systems that the Treaty amends through its own machinery rather than through crisis renegotiation, and the precedent’s existence lowers the temperature of every subsequent adaptation demand.</w:t>
      </w:r>
    </w:p>
    <w:p w14:paraId="03D19BCA" w14:textId="77777777" w:rsidR="00180E7C" w:rsidRDefault="00000000">
      <w:pPr>
        <w:pStyle w:val="Heading3"/>
      </w:pPr>
      <w:bookmarkStart w:id="1191" w:name="Xe2676a419946096ab7e00c920c6ba3c11e311a3"/>
      <w:bookmarkEnd w:id="1190"/>
      <w:r>
        <w:t>Addendum to Issue 39: The Linguistic Panel’s Digest</w:t>
      </w:r>
    </w:p>
    <w:p w14:paraId="1B5242FE" w14:textId="77777777" w:rsidR="00180E7C" w:rsidRDefault="00000000">
      <w:pPr>
        <w:pStyle w:val="FirstParagraph"/>
      </w:pPr>
      <w:r>
        <w:t>The linguistic panel’s founding digest resolves the twenty-six pre-identified divergence candidates between the authentic texts, and the panel’s standing work continues as the organs’ practice generates interpretation questions. The digest’s method publishes with its rulings: ordinary meaning in context, negotiating-record confirmation, and the harmonization principle that preserves both texts’ integrity. The panel’s existence answers the ratification-era objection, raised in every bilingual treaty’s history, that translation conceals surrender: the digest lets every legislator check the sensitive clauses’ paired texts against an authoritative reconciliation.</w:t>
      </w:r>
    </w:p>
    <w:p w14:paraId="3DE0BD00" w14:textId="77777777" w:rsidR="00180E7C" w:rsidRDefault="00000000">
      <w:pPr>
        <w:pStyle w:val="Heading3"/>
      </w:pPr>
      <w:bookmarkStart w:id="1192" w:name="Xa467e02dafe9874900578e1fc75d23c4c3b23a0"/>
      <w:bookmarkEnd w:id="1191"/>
      <w:r>
        <w:t>Addendum to Issue 40: The Long-Term Channel’s Institutionalization</w:t>
      </w:r>
    </w:p>
    <w:p w14:paraId="71BF81B6" w14:textId="77777777" w:rsidR="00180E7C" w:rsidRDefault="00000000">
      <w:pPr>
        <w:pStyle w:val="FirstParagraph"/>
      </w:pPr>
      <w:r>
        <w:t>The deputy-minister channel institutionalizes across its first years into the relationship’s load-bearing habit: the quarterly consultations develop their own working groups, the Track II foundation’s dialogues feed ideas upward, and the channel’s reporting requirement keeps both cabinets’ attention on the relationship’s trajectory rather than its incidents. The channel’s success metric, fixed in its mandate, is the calendar’s survival through bad seasons: the consultations continue through the Scenario crises, because the design’s core rule, the channel never suspends, converts the hardest moments into the channel’s most valuable sessions.</w:t>
      </w:r>
    </w:p>
    <w:p w14:paraId="5AE025B7" w14:textId="77777777" w:rsidR="00180E7C" w:rsidRDefault="00000000">
      <w:r>
        <w:br w:type="page"/>
      </w:r>
    </w:p>
    <w:p w14:paraId="6413CE65" w14:textId="77777777" w:rsidR="00180E7C" w:rsidRDefault="00000000">
      <w:pPr>
        <w:pStyle w:val="Heading3"/>
      </w:pPr>
      <w:bookmarkStart w:id="1193" w:name="X9c5f11939e0d43ff58f26825d5c5ae4e509bfb4"/>
      <w:bookmarkEnd w:id="1192"/>
      <w:r>
        <w:lastRenderedPageBreak/>
        <w:t>Tier 5: The Regional and Humanitarian Periphery (Issues 41-50)</w:t>
      </w:r>
    </w:p>
    <w:p w14:paraId="66E1EEA0" w14:textId="77777777" w:rsidR="00180E7C" w:rsidRDefault="00000000">
      <w:pPr>
        <w:pStyle w:val="FirstParagraph"/>
      </w:pPr>
      <w:r>
        <w:t>The final tier addresses the issues that surround the central bargain rather than sitting inside it. History records that peripheral issues kill treaties as reliably as central ones, because neglect breeds grievance and grievance breeds sabotage. This tier therefore receives the same engineering treatment as the nuclear and financial cores: defined mechanics, named owners, verification hooks, and failure responses.</w:t>
      </w:r>
    </w:p>
    <w:p w14:paraId="048C6C96" w14:textId="77777777" w:rsidR="00180E7C" w:rsidRDefault="00000000">
      <w:r>
        <w:pict w14:anchorId="690AD55F">
          <v:rect id="_x0000_i1026" style="width:0;height:1.5pt" o:hralign="center" o:hrstd="t" o:hr="t"/>
        </w:pict>
      </w:r>
    </w:p>
    <w:p w14:paraId="1A2E5EA8" w14:textId="77777777" w:rsidR="00180E7C" w:rsidRDefault="00000000">
      <w:pPr>
        <w:pStyle w:val="Heading4"/>
      </w:pPr>
      <w:bookmarkStart w:id="1194" w:name="issue-41-lebanon-reconstruction"/>
      <w:r>
        <w:t>Issue 41: Lebanon Reconstruction</w:t>
      </w:r>
    </w:p>
    <w:p w14:paraId="7FF2144A" w14:textId="77777777" w:rsidR="00180E7C" w:rsidRDefault="00000000">
      <w:pPr>
        <w:pStyle w:val="FirstParagraph"/>
      </w:pPr>
      <w:r>
        <w:t>The collision: Lebanon requires reconstruction on a scale its treasury and its donors both refuse to fund under current conditions. Gulf donors decline to finance reconstruction while an armed non-state actor retains military supremacy inside the state. Iran declines to accept any reconstruction framework that conditions aid on the political elimination of its ally. The United States declines to permit its financial system to intermediate flows that reach designated entities. Israel declines to tolerate reconstruction that rebuilds military infrastructure north of the Litani. Four vetoes intersect over the same territory, and the population of Lebanon lives beneath the intersection.</w:t>
      </w:r>
    </w:p>
    <w:p w14:paraId="0501631B" w14:textId="77777777" w:rsidR="00180E7C" w:rsidRDefault="00000000">
      <w:pPr>
        <w:pStyle w:val="BodyText"/>
      </w:pPr>
      <w:r>
        <w:t>Resolution mechanics: The Treaty routes reconstruction through the parallel binding instrument of Article 76 and the detailed schedules of Annex L, and it finances reconstruction through a dedicated Lebanon Window inside the Regional Development Fund of Article 54, sized at eleven billion dollars across seven years. The window operates on the firewall principle: the RDF Board approves projects against engineering and governance criteria, and the project list attaches to no political condition beyond the undertakings of the parallel instrument itself. The Lebanese state, not any party or militia, signs every project agreement. The Reconstruction and Demobilization Support Fund of Article 24 finances the integration or retraining of former combatants, and the financing arrives as the demobilization benchmarks of the parallel instrument arrive, tranche against tranche, so that reconstruction and demobilization advance as a single coupled process rather than as rival tracks. The United States contributes through the RDF rather than through bilateral channels, which insulates its financial system: RDF disbursements run through the cleared humanitarian and development banking channel of Annex H, and designated-entity screening applies at the disbursement node, not at the donor node. Iranian contributions to the window count toward Iran’s RDF share, which gives Tehran visible credit for reconstruction without giving any Iranian entity a contracting role inside Lebanon.</w:t>
      </w:r>
    </w:p>
    <w:p w14:paraId="2143BEFA" w14:textId="77777777" w:rsidR="00180E7C" w:rsidRDefault="00000000">
      <w:pPr>
        <w:pStyle w:val="BodyText"/>
      </w:pPr>
      <w:r>
        <w:t>Verification: The Joint Monitoring Commission receives quarterly reconstruction reports from the RDF Secretariat, and the parallel instrument’s own monitoring cell tracks demobilization benchmarks against the L-5 tables. The Cothrom Engine treats demobilization declarations as declarable obligations: the Shared Digital Registry records each declared unit integration, and the anomaly procedure covers discrepancies between declared and observed force postures. Donor funds sit in audited escrow with publication of every disbursement, which converts the traditional corruption objection into a data stream any party audits.</w:t>
      </w:r>
    </w:p>
    <w:p w14:paraId="3F025131" w14:textId="77777777" w:rsidR="00180E7C" w:rsidRDefault="00000000">
      <w:pPr>
        <w:pStyle w:val="BodyText"/>
      </w:pPr>
      <w:r>
        <w:lastRenderedPageBreak/>
        <w:t>Failure mode and engineered response: The identified failure mode is donor strike: a board member blocks projects to extract political concessions. The engineered response builds on the RDF charter’s supermajority rule: a blocking minority of one governor cannot stop a project that meets the published criteria, and abuse of the objection procedure itself constitutes a Category 6 violation worth two demerit points, so obstruction carries a price inside the same system the obstruction targets.</w:t>
      </w:r>
    </w:p>
    <w:p w14:paraId="56F18C82" w14:textId="77777777" w:rsidR="00180E7C" w:rsidRDefault="00000000">
      <w:r>
        <w:pict w14:anchorId="5FA88C1B">
          <v:rect id="_x0000_i1027" style="width:0;height:1.5pt" o:hralign="center" o:hrstd="t" o:hr="t"/>
        </w:pict>
      </w:r>
    </w:p>
    <w:p w14:paraId="0BA82A8D" w14:textId="77777777" w:rsidR="00180E7C" w:rsidRDefault="00000000">
      <w:pPr>
        <w:pStyle w:val="Heading4"/>
      </w:pPr>
      <w:bookmarkStart w:id="1195" w:name="issue-42-yemen-settlement"/>
      <w:bookmarkEnd w:id="1194"/>
      <w:r>
        <w:t>Issue 42: Yemen Settlement</w:t>
      </w:r>
    </w:p>
    <w:p w14:paraId="4D751619" w14:textId="77777777" w:rsidR="00180E7C" w:rsidRDefault="00000000">
      <w:pPr>
        <w:pStyle w:val="FirstParagraph"/>
      </w:pPr>
      <w:r>
        <w:t>The collision: Yemen’s war continues as the region’s open wound, and every external party to the Iran-US confrontation holds a position there. Saudi Arabia seeks exit with border security. The United Arab Emirates seeks preservation of its southern partners. Iran seeks recognition of the political reality its support helped create. The United States seeks an end to Red Sea shipping attacks and to the missile and drone threat against its partners. The Houthis seek governance recognition and revenue access. A bilateral Iran-US treaty cannot settle Yemen, and a treaty that ignores Yemen invites its parties to settle their scores there instead.</w:t>
      </w:r>
    </w:p>
    <w:p w14:paraId="1FDDA3BC" w14:textId="77777777" w:rsidR="00180E7C" w:rsidRDefault="00000000">
      <w:pPr>
        <w:pStyle w:val="BodyText"/>
      </w:pPr>
      <w:r>
        <w:t>Resolution mechanics: The Treaty addresses Yemen through the regional layer of Article 77 and the schedules of SP-12, and it confines itself to what a bilateral instrument legitimately delivers: undertakings that remove Yemen from the Iran-US conflict ledger. Iran undertakes to support the UN-facilitated political process, to encourage its Yemeni partners toward the negotiating track, and to apply the arms-transfer prohibitions of Article 63 to Yemeni territory, with the maritime interdiction architecture of the Hormuz Authority’s twin-key mechanism extended as an information-sharing arrangement to the UN Verification and Inspection Mechanism for Yemen. The United States undertakes to support the same political process, to end offensive support for coalition operations against targets inside Yemen as the ceasefire holds, and to lift the terrorism-related designations that block humanitarian and commercial flows to Houthi-administered areas in the phased manner of Title IV, keyed to the same benchmark structure. Red Sea security folds into the maritime layer: the deconfliction protocols of Annex J extend to the Bab el-Mandeb through a technical annex that the navies negotiate within one hundred twenty days of entry into force, and the JMIC widened-route precedent of June 2026 supplies the template.</w:t>
      </w:r>
    </w:p>
    <w:p w14:paraId="14DF374B" w14:textId="77777777" w:rsidR="00180E7C" w:rsidRDefault="00000000">
      <w:pPr>
        <w:pStyle w:val="BodyText"/>
      </w:pPr>
      <w:r>
        <w:t>Verification: The verification layer relies on the UN mechanism plus Cothrom augmentation: both Parties feed their national technical means data on Yemeni arms flows into the Shared Digital Registry under managed-access rules, and the anomaly procedure covers observed transfers that declarations do not explain. Red Sea incidents run through the Maritime Operational Center incident-management procedure of Article 36.</w:t>
      </w:r>
    </w:p>
    <w:p w14:paraId="52590379" w14:textId="77777777" w:rsidR="00180E7C" w:rsidRDefault="00000000">
      <w:pPr>
        <w:pStyle w:val="BodyText"/>
      </w:pPr>
      <w:r>
        <w:t xml:space="preserve">Failure mode and engineered response: The identified failure mode is a Yemeni spoiler attack that the Parties attribute to each other’s client. The engineered response is the attribution standard of Annex L: claims run through the Technical Truth Escalation Chain with forensic evidence, and neither Party treats an unattributed incident as a breach trigger. The step-back schedule excludes the Yemen layer from automatic coupling, so a </w:t>
      </w:r>
      <w:r>
        <w:lastRenderedPageBreak/>
        <w:t>Yemeni incident degrades only the Yemen-related benefit line, not the nuclear or financial cores.</w:t>
      </w:r>
    </w:p>
    <w:p w14:paraId="3BE720E2" w14:textId="77777777" w:rsidR="00180E7C" w:rsidRDefault="00000000">
      <w:r>
        <w:pict w14:anchorId="6013C58B">
          <v:rect id="_x0000_i1028" style="width:0;height:1.5pt" o:hralign="center" o:hrstd="t" o:hr="t"/>
        </w:pict>
      </w:r>
    </w:p>
    <w:p w14:paraId="2CE55578" w14:textId="77777777" w:rsidR="00180E7C" w:rsidRDefault="00000000">
      <w:pPr>
        <w:pStyle w:val="Heading4"/>
      </w:pPr>
      <w:bookmarkStart w:id="1196" w:name="issue-43-refugee-return-and-displacement"/>
      <w:bookmarkEnd w:id="1195"/>
      <w:r>
        <w:t>Issue 43: Refugee Return and Displacement</w:t>
      </w:r>
    </w:p>
    <w:p w14:paraId="750CAE7D" w14:textId="77777777" w:rsidR="00180E7C" w:rsidRDefault="00000000">
      <w:pPr>
        <w:pStyle w:val="FirstParagraph"/>
      </w:pPr>
      <w:r>
        <w:t>The collision: The region’s wars displaced populations counted in the tens of millions across two decades, and the Syria and Iraq files carry the largest unresolved caseloads. Host states demand return. Refugees demand safety and property. Iran demands recognition of the strain its hosting of Afghan and other displaced populations imposes. The United States demands that return programs not become demographic engineering or sanctions-evasion channels. The interests collide over money, verification, and the political meaning of return.</w:t>
      </w:r>
    </w:p>
    <w:p w14:paraId="028EDFB5" w14:textId="77777777" w:rsidR="00180E7C" w:rsidRDefault="00000000">
      <w:pPr>
        <w:pStyle w:val="BodyText"/>
      </w:pPr>
      <w:r>
        <w:t>Resolution mechanics: Article 82 establishes the framework: voluntary return under UNHCR standards, property restitution through the commissions of the parallel instruments, and financing through the Regional Development Fund’s displacement window, sized at nine billion dollars. The Treaty adds three bilateral mechanics. First, the United States exempts UNHCR, IOM, and ICRC operations from all residual restrictions, and the humanitarian banking channel of Annex H processes their regional disbursements at published rates with no per-transaction licensing. Second, the Parties jointly fund a Return Documentation Program that resolves the identity-paper chaos of displaced populations: biometric registration under UNHCR custody, with data governance under SP-11’s privacy chapter so that registration data serves return and never serves surveillance. Third, the Treaty creates a Property Claims Track inside the Joint Claims Commission of Article 65 for cross-border property disputes with an interstate character, which keeps individual claims out of the bilateral relationship while giving them a funded forum.</w:t>
      </w:r>
    </w:p>
    <w:p w14:paraId="3E28E49E" w14:textId="77777777" w:rsidR="00180E7C" w:rsidRDefault="00000000">
      <w:pPr>
        <w:pStyle w:val="BodyText"/>
      </w:pPr>
      <w:r>
        <w:t>Verification: UNHCR certifies voluntariness standards; the RDF audits the money; the JMC receives annual displacement statistics as part of the regional reporting of Article 68. No verification intrudes into refugee camps beyond the humanitarian agencies’ own protection mandates, which the Treaty expressly preserves.</w:t>
      </w:r>
    </w:p>
    <w:p w14:paraId="41D74E47" w14:textId="77777777" w:rsidR="00180E7C" w:rsidRDefault="00000000">
      <w:pPr>
        <w:pStyle w:val="BodyText"/>
      </w:pPr>
      <w:r>
        <w:t>Failure mode and engineered response: The identified failure mode is coerced return dressed as voluntary. The engineered response assigns voluntariness certification exclusively to UNHCR under its own protection standards, and a certification failure suspends the affected disbursement tranche automatically, without requiring any Party to make an accusation.</w:t>
      </w:r>
    </w:p>
    <w:p w14:paraId="7BE2D234" w14:textId="77777777" w:rsidR="00180E7C" w:rsidRDefault="00000000">
      <w:r>
        <w:pict w14:anchorId="718E4840">
          <v:rect id="_x0000_i1029" style="width:0;height:1.5pt" o:hralign="center" o:hrstd="t" o:hr="t"/>
        </w:pict>
      </w:r>
    </w:p>
    <w:p w14:paraId="47A721FB" w14:textId="77777777" w:rsidR="00180E7C" w:rsidRDefault="00000000">
      <w:pPr>
        <w:pStyle w:val="Heading4"/>
      </w:pPr>
      <w:bookmarkStart w:id="1197" w:name="issue-44-prisoner-and-detainee-exchange"/>
      <w:bookmarkEnd w:id="1196"/>
      <w:r>
        <w:t>Issue 44: Prisoner and Detainee Exchange</w:t>
      </w:r>
    </w:p>
    <w:p w14:paraId="71CF7538" w14:textId="77777777" w:rsidR="00180E7C" w:rsidRDefault="00000000">
      <w:pPr>
        <w:pStyle w:val="FirstParagraph"/>
      </w:pPr>
      <w:r>
        <w:t xml:space="preserve">The collision: Both states hold the other’s nationals, and both publics experience the files as raw wounds. The United States demands the release of its nationals and permanent transparency on the Levinson case and other unresolved files. Iran demands the release of its nationals held under sanctions-related charges in the United States and in third states at </w:t>
      </w:r>
      <w:r>
        <w:lastRenderedPageBreak/>
        <w:t>US request, and it demands an end to what it describes as hostage diplomacy. Each side distrusts sequencing: whoever releases first fears the other side pockets the concession.</w:t>
      </w:r>
    </w:p>
    <w:p w14:paraId="3ED0D9C8" w14:textId="77777777" w:rsidR="00180E7C" w:rsidRDefault="00000000">
      <w:pPr>
        <w:pStyle w:val="BodyText"/>
      </w:pPr>
      <w:r>
        <w:t>Resolution mechanics: Article 64 and Annex M resolve the sequencing problem through simultaneity by design: Schedule M-1 fixes the complete release list at signature, the ICRC takes custody of the logistics, and the releases execute in synchronized waves over thirty days, with each wave contingent on the previous wave’s completion and verified by ICRC confirmation to both capitals simultaneously. No wave proceeds without the counterpart wave, which removes the first-mover risk from both sides. The Treaty then builds the post-exchange regime that prevents re-accumulation: a Consular Protection Protocol guarantees consular access within seventy-two hours of any detention of the other Party’s national, a quarterly detainee review through the Swiss Facilitator addresses any new case within ninety days of detention, and the Parties exchange advance notice of any sanctions-related arrest of the other’s nationals through the diplomatic channel of Article 5. The unresolved historical files receive a dedicated mechanism: the Missing Persons Commission of Annex M obtains full archival access commitments from both states, with the Technical Truth Escalation Chain available for disputes over compliance with those commitments.</w:t>
      </w:r>
    </w:p>
    <w:p w14:paraId="6D3FB1FC" w14:textId="77777777" w:rsidR="00180E7C" w:rsidRDefault="00000000">
      <w:pPr>
        <w:pStyle w:val="BodyText"/>
      </w:pPr>
      <w:r>
        <w:t>Verification: ICRC custody and confirmation provide the verification layer for the exchange itself, and the quarterly review creates a standing verification rhythm for the post-exchange regime. The demerit system covers obstruction of consular access as a Category 4 violation.</w:t>
      </w:r>
    </w:p>
    <w:p w14:paraId="3F9BF2B4" w14:textId="77777777" w:rsidR="00180E7C" w:rsidRDefault="00000000">
      <w:pPr>
        <w:pStyle w:val="BodyText"/>
      </w:pPr>
      <w:r>
        <w:t>Failure mode and engineered response: The identified failure mode is a new arrest on the eve of a wave, collapsing the schedule. The engineered response separates the files: the M-1 schedule executes regardless, because its releases are already in ICRC logistics custody, and the new arrest enters the quarterly review track rather than the exchange track, so one new case cannot hold the resolved cases hostage.</w:t>
      </w:r>
    </w:p>
    <w:p w14:paraId="5CBABB6E" w14:textId="77777777" w:rsidR="00180E7C" w:rsidRDefault="00000000">
      <w:r>
        <w:pict w14:anchorId="7A76A885">
          <v:rect id="_x0000_i1030" style="width:0;height:1.5pt" o:hralign="center" o:hrstd="t" o:hr="t"/>
        </w:pict>
      </w:r>
    </w:p>
    <w:p w14:paraId="02B55537" w14:textId="77777777" w:rsidR="00180E7C" w:rsidRDefault="00000000">
      <w:pPr>
        <w:pStyle w:val="Heading4"/>
      </w:pPr>
      <w:bookmarkStart w:id="1198" w:name="Xc27c52de259da3e36ee451dc760fa0691bd771b"/>
      <w:bookmarkEnd w:id="1197"/>
      <w:r>
        <w:t>Issue 45: Missing Persons and the War Dead</w:t>
      </w:r>
    </w:p>
    <w:p w14:paraId="0192C1D4" w14:textId="77777777" w:rsidR="00180E7C" w:rsidRDefault="00000000">
      <w:pPr>
        <w:pStyle w:val="FirstParagraph"/>
      </w:pPr>
      <w:r>
        <w:t>The collision: Decades of conflict, from the Iran-Iraq war through the recent hostilities, left missing persons on every side, and families on all sides organize politically around the files. Iran carries unresolved files from the war with Iraq and from the June hostilities. The United States carries the Levinson file and others. Iraq, Lebanon, and Yemen carry mass-casualty files in which both Parties’ operations played roles. The files resist resolution because archives implicate institutions that still hold power.</w:t>
      </w:r>
    </w:p>
    <w:p w14:paraId="762280E3" w14:textId="77777777" w:rsidR="00180E7C" w:rsidRDefault="00000000">
      <w:pPr>
        <w:pStyle w:val="BodyText"/>
      </w:pPr>
      <w:r>
        <w:t xml:space="preserve">Resolution mechanics: Annex M’s Missing Persons Commission operates under ICRC chairmanship with a forensic mandate: exhumation authority, DNA laboratory access through the ICMP partnership, and archival access commitments from both Parties and from the regional states that accede to the relevant protocols. The Commission’s funding comes from the humanitarian window of the frozen-asset release, four hundred million dollars over ten years, which removes the budget excuse from every archive. The Treaty pairs the Commission with a non-retaliation guarantee: evidence gathered by the Commission serves identification and family notification, and the Parties commit that </w:t>
      </w:r>
      <w:r>
        <w:lastRenderedPageBreak/>
        <w:t>Commission findings alone trigger no prosecutorial referral against cooperating personnel, a structured amnesty calibrated to the truth-recovery function. Historical-claims processing inside the Joint Claims Commission handles the compensable dimension of state-to-state losses, which separates money from memory and lets each proceed at its own speed.</w:t>
      </w:r>
    </w:p>
    <w:p w14:paraId="24B76F02" w14:textId="77777777" w:rsidR="00180E7C" w:rsidRDefault="00000000">
      <w:pPr>
        <w:pStyle w:val="BodyText"/>
      </w:pPr>
      <w:r>
        <w:t>Verification: ICMP laboratory standards govern the forensics; ICRC reporting governs the process; the JMC receives annual Commission statistics. Archival-access disputes escalate through the Technical Truth Chain like any other declared obligation.</w:t>
      </w:r>
    </w:p>
    <w:p w14:paraId="2C2A71C6" w14:textId="77777777" w:rsidR="00180E7C" w:rsidRDefault="00000000">
      <w:pPr>
        <w:pStyle w:val="BodyText"/>
      </w:pPr>
      <w:r>
        <w:t>Failure mode and engineered response: The identified failure mode is archive stonewalling by a security institution. The engineered response attaches the archival commitment to the demerit schedule as a Category 5 obligation and pairs it with the amnesty incentive, so cooperation costs less than obstruction inside the same incentive system the institution already navigates.</w:t>
      </w:r>
    </w:p>
    <w:p w14:paraId="735B8ECB" w14:textId="77777777" w:rsidR="00180E7C" w:rsidRDefault="00000000">
      <w:r>
        <w:pict w14:anchorId="352BFE76">
          <v:rect id="_x0000_i1031" style="width:0;height:1.5pt" o:hralign="center" o:hrstd="t" o:hr="t"/>
        </w:pict>
      </w:r>
    </w:p>
    <w:p w14:paraId="1A820818" w14:textId="77777777" w:rsidR="00180E7C" w:rsidRDefault="00000000">
      <w:pPr>
        <w:pStyle w:val="Heading4"/>
      </w:pPr>
      <w:bookmarkStart w:id="1199" w:name="X8c174a8e9270de590797190a452ea25e26153e0"/>
      <w:bookmarkEnd w:id="1198"/>
      <w:r>
        <w:t>Issue 46: Environmental Cooperation and Water</w:t>
      </w:r>
    </w:p>
    <w:p w14:paraId="097D4E6C" w14:textId="77777777" w:rsidR="00180E7C" w:rsidRDefault="00000000">
      <w:pPr>
        <w:pStyle w:val="FirstParagraph"/>
      </w:pPr>
      <w:r>
        <w:t>The collision: The region faces water stress, dust storms, and climate pressures that ignore every border, and environmental cooperation offers the lowest-political-cost channel for rebuilding habits of collaboration. Yet environmental files carry security dimensions: dam politics, transboundary aquifers, and the Gulf’s shared marine environment all touch strategic interests, and each side suspects the other of seeking intelligence advantage through scientific access.</w:t>
      </w:r>
    </w:p>
    <w:p w14:paraId="27364693" w14:textId="77777777" w:rsidR="00180E7C" w:rsidRDefault="00000000">
      <w:pPr>
        <w:pStyle w:val="BodyText"/>
      </w:pPr>
      <w:r>
        <w:t>Resolution mechanics: Article 83 establishes the framework, and the Treaty builds the operating machinery in three pieces. First, a Joint Environmental Commission meets twice yearly under UNEP observer status, with working groups on dust-storm early warning, shared aquifer management science, and Gulf marine protection, the last linking directly to the Hormuz Authority’s environmental directorate of Article 39 so that the busiest oil waterway on earth gains a permanent spill-prevention and response regime with jointly funded equipment caches at Bandar Abbas, Muscat, and Abu Dhabi. Second, a Regional Environmental Data Exchange publishes monitoring data from both states’ meteorological and hydrological services to a common platform under SP-11’s data-governance rules, with the managed-access technique of the Cothrom method applied to any station whose raw data a Party designates sensitive: aggregated indices publish, raw feeds stay home, and the anomaly procedure covers publication gaps. Third, a Green Technology Window inside the sanctions architecture licenses environmental technology transfers on a standing basis, so that cooperation never waits on case-by-case licensing.</w:t>
      </w:r>
    </w:p>
    <w:p w14:paraId="683E37DD" w14:textId="77777777" w:rsidR="00180E7C" w:rsidRDefault="00000000">
      <w:pPr>
        <w:pStyle w:val="BodyText"/>
      </w:pPr>
      <w:r>
        <w:t>Verification: UNEP observers, published data, and the Authority’s environmental reporting provide the verification layer, and the low sensitivity of the domain makes it the natural confidence-building arena where the verification habit forms before harder files demand it.</w:t>
      </w:r>
    </w:p>
    <w:p w14:paraId="35F1F78C" w14:textId="77777777" w:rsidR="00180E7C" w:rsidRDefault="00000000">
      <w:pPr>
        <w:pStyle w:val="BodyText"/>
      </w:pPr>
      <w:r>
        <w:t xml:space="preserve">Failure mode and engineered response: The identified failure mode is securitization creep, in which a Party reclassifies environmental data as intelligence. The engineered response is </w:t>
      </w:r>
      <w:r>
        <w:lastRenderedPageBreak/>
        <w:t>the managed-access design itself, which anticipates the impulse and channels it into aggregation rather than denial, with the demerit schedule covering unjustified publication suspension as a Category 7 violation.</w:t>
      </w:r>
    </w:p>
    <w:p w14:paraId="1EB27CAB" w14:textId="77777777" w:rsidR="00180E7C" w:rsidRDefault="00000000">
      <w:r>
        <w:pict w14:anchorId="73CDD05A">
          <v:rect id="_x0000_i1032" style="width:0;height:1.5pt" o:hralign="center" o:hrstd="t" o:hr="t"/>
        </w:pict>
      </w:r>
    </w:p>
    <w:p w14:paraId="4065788C" w14:textId="77777777" w:rsidR="00180E7C" w:rsidRDefault="00000000">
      <w:pPr>
        <w:pStyle w:val="Heading4"/>
      </w:pPr>
      <w:bookmarkStart w:id="1200" w:name="X23b013b4d944b8a5ee08b9f4cd28a3621f9523c"/>
      <w:bookmarkEnd w:id="1199"/>
      <w:r>
        <w:t>Issue 47: Cultural, Academic, and Scientific Exchange</w:t>
      </w:r>
    </w:p>
    <w:p w14:paraId="0FCE7731" w14:textId="77777777" w:rsidR="00180E7C" w:rsidRDefault="00000000">
      <w:pPr>
        <w:pStyle w:val="FirstParagraph"/>
      </w:pPr>
      <w:r>
        <w:t>The collision: The societies know each other almost exclusively through hostility after four decades, and both governments express support for people-to-people contact while both security establishments treat exchange programs as penetration risk. American universities want Iranian students and collaboration; Iranian universities want access to journals, conferences, and partnerships; both want the other’s intelligence services out of their campuses.</w:t>
      </w:r>
    </w:p>
    <w:p w14:paraId="7EBF4E97" w14:textId="77777777" w:rsidR="00180E7C" w:rsidRDefault="00000000">
      <w:pPr>
        <w:pStyle w:val="BodyText"/>
      </w:pPr>
      <w:r>
        <w:t>Resolution mechanics: Article 84 establishes the exchange framework, and the Treaty operationalizes it through a Standing Exchange Program with defined volumes: two thousand student visas annually in each direction under expedited sixty-day processing, a joint research fund of two hundred million dollars over five years administered by a binational board with National Science Foundation and Iranian Ministry of Science co-management, conference-travel licensing on a standing basis, and a cultural season program alternating between Tehran and a rotating American city. The security concern receives a structural answer rather than a denial: visa processing under the Treaty includes a dedicated liaison channel through which security objections resolve within the sixty-day window with reasons given, and the quarterly consular review of Article 64 audits the refusal rate against a published benchmark, so a de facto ban masquerading as processing becomes visible as data. Journal access and academic publishing join the standing license list of Annex G, ending the absurdity of sanctioned science.</w:t>
      </w:r>
    </w:p>
    <w:p w14:paraId="0C36F51D" w14:textId="77777777" w:rsidR="00180E7C" w:rsidRDefault="00000000">
      <w:pPr>
        <w:pStyle w:val="BodyText"/>
      </w:pPr>
      <w:r>
        <w:t>Verification: The published statistics of the program provide transparency, and the consular review audits performance. No other verification applies, by design: the file’s value lies in its freedom from the verification machinery that governs the hard files.</w:t>
      </w:r>
    </w:p>
    <w:p w14:paraId="33660F8F" w14:textId="77777777" w:rsidR="00180E7C" w:rsidRDefault="00000000">
      <w:pPr>
        <w:pStyle w:val="BodyText"/>
      </w:pPr>
      <w:r>
        <w:t>Failure mode and engineered response: The identified failure mode is a high-profile defection or espionage case that collapses political support. The engineered response is the liaison channel plus the Treaty’s public communication strategy of SP-21, which frames individual cases as law-enforcement matters within a continuing program rather than as indictments of the program itself.</w:t>
      </w:r>
    </w:p>
    <w:p w14:paraId="6D6FB95D" w14:textId="77777777" w:rsidR="00180E7C" w:rsidRDefault="00000000">
      <w:r>
        <w:pict w14:anchorId="39BF0495">
          <v:rect id="_x0000_i1033" style="width:0;height:1.5pt" o:hralign="center" o:hrstd="t" o:hr="t"/>
        </w:pict>
      </w:r>
    </w:p>
    <w:p w14:paraId="72270B82" w14:textId="77777777" w:rsidR="00180E7C" w:rsidRDefault="00000000">
      <w:pPr>
        <w:pStyle w:val="Heading4"/>
      </w:pPr>
      <w:bookmarkStart w:id="1201" w:name="issue-48-anti-narcotics-cooperation"/>
      <w:bookmarkEnd w:id="1200"/>
      <w:r>
        <w:t>Issue 48: Anti-Narcotics Cooperation</w:t>
      </w:r>
    </w:p>
    <w:p w14:paraId="5EF17BA0" w14:textId="77777777" w:rsidR="00180E7C" w:rsidRDefault="00000000">
      <w:pPr>
        <w:pStyle w:val="FirstParagraph"/>
      </w:pPr>
      <w:r>
        <w:t>The collision: Afghanistan’s opiate economy transits Iran toward Europe and the Gulf, and the flows fund networks that touch every regional actor. Iran bears the highest interdiction cost of any state on the route and demands burden-sharing and equipment. The United States seeks interdiction cooperation but operates under domestic legal constraints on assistance to Iranian security bodies. Both want cooperation; the legal and political channels for it barely exist.</w:t>
      </w:r>
    </w:p>
    <w:p w14:paraId="71209DA3" w14:textId="77777777" w:rsidR="00180E7C" w:rsidRDefault="00000000">
      <w:pPr>
        <w:pStyle w:val="BodyText"/>
      </w:pPr>
      <w:r>
        <w:lastRenderedPageBreak/>
        <w:t>Resolution mechanics: Article 83’s narcotics chapter establishes a Joint Counter-Narcotics Cell inside the regional coordination architecture, staffed by law-enforcement officers rather than intelligence officers, and focused on three workstreams: intelligence fusion on trafficking networks through a sanitized-tip procedure that strips source information before exchange, interdiction coordination on the transit routes with advance-notification protocols mirroring the military deconfliction of Title II, and demand-reduction program exchange. The assistance constraint resolves through equipment-in-kind: the Treaty authorizes transfer of a defined equipment list, scanners, communications gear, vehicles, night-vision systems, through the UN Office on Drugs and Crime as intermediary, so the United States funds UNODC procurement for Iranian border units rather than transferring directly, a structure with precedent in earlier cooperation channels. Iran’s interdiction statistics publish through the data exchange, converting its burden-sharing claim into a documented record that supports future burden-sharing decisions.</w:t>
      </w:r>
    </w:p>
    <w:p w14:paraId="0B4C615E" w14:textId="77777777" w:rsidR="00180E7C" w:rsidRDefault="00000000">
      <w:pPr>
        <w:pStyle w:val="BodyText"/>
      </w:pPr>
      <w:r>
        <w:t>Verification: UNODC reporting plus the published statistics provide the layer, and the cell’s own after-action reviews cover joint operations. The demerit system does not apply to this file: cooperation here runs on incentive and record, not on penalty, because the file’s political fragility would make penalty threats counterproductive.</w:t>
      </w:r>
    </w:p>
    <w:p w14:paraId="0C3FFD09" w14:textId="77777777" w:rsidR="00180E7C" w:rsidRDefault="00000000">
      <w:pPr>
        <w:pStyle w:val="BodyText"/>
      </w:pPr>
      <w:r>
        <w:t>Failure mode and engineered response: The identified failure mode is an interdiction incident in which one side’s forces mistake the other’s for traffickers near a border. The engineered response applies the Title II deconfliction grammar to the cell: notification boxes, shared radio procedures, and an incident-review protocol under the MOC’s incident-management chapter.</w:t>
      </w:r>
    </w:p>
    <w:p w14:paraId="0DDB0A5B" w14:textId="77777777" w:rsidR="00180E7C" w:rsidRDefault="00000000">
      <w:r>
        <w:pict w14:anchorId="701F9394">
          <v:rect id="_x0000_i1034" style="width:0;height:1.5pt" o:hralign="center" o:hrstd="t" o:hr="t"/>
        </w:pict>
      </w:r>
    </w:p>
    <w:p w14:paraId="2728EE7F" w14:textId="77777777" w:rsidR="00180E7C" w:rsidRDefault="00000000">
      <w:pPr>
        <w:pStyle w:val="Heading4"/>
      </w:pPr>
      <w:bookmarkStart w:id="1202" w:name="Xc99a81e0510539564d2e7a9576a1135275aee10"/>
      <w:bookmarkEnd w:id="1201"/>
      <w:r>
        <w:t>Issue 49: Humanitarian Access and Disaster Response</w:t>
      </w:r>
    </w:p>
    <w:p w14:paraId="685242C5" w14:textId="77777777" w:rsidR="00180E7C" w:rsidRDefault="00000000">
      <w:pPr>
        <w:pStyle w:val="FirstParagraph"/>
      </w:pPr>
      <w:r>
        <w:t>The collision: Earthquakes and floods strike both states’ region regularly, and disaster diplomacy has historically opened doors that politics kept closed, as the 2003 Bam earthquake and the 2023 Syria-Turkiye earthquake demonstrated. Yet sanctions architecture repeatedly obstructed relief flows, and offers of American disaster assistance to Iran foundered on the absence of any standing channel. Each side suspects the other of exploiting relief for access, and each disaster replays the argument from zero while people die in the rubble.</w:t>
      </w:r>
    </w:p>
    <w:p w14:paraId="36D86818" w14:textId="77777777" w:rsidR="00180E7C" w:rsidRDefault="00000000">
      <w:pPr>
        <w:pStyle w:val="BodyText"/>
      </w:pPr>
      <w:r>
        <w:t xml:space="preserve">Resolution mechanics: The Treaty builds the standing channel in advance through the humanitarian firewall of Article 9 and the machinery of Annex M: a Disaster Response Protocol pre-authorizes relief flows, pre-clears the banking channel for relief transactions at any scale with zero licensing delay, pre-agrees the visa template for relief teams with forty-eight-hour issuance, and pre-positions the legal instruments so that a US urban search-and-rescue team deploying to an Iranian earthquake, or Iranian relief aircraft transiting to a regional disaster, operates under paperwork that already exists. The protocol designates the IFRC and national Red Crescent and Red Cross societies as the operating intermediaries, which keeps the humanitarian character primary and the flags secondary. An annual joint disaster-response exercise, alternating between a seismic </w:t>
      </w:r>
      <w:r>
        <w:lastRenderedPageBreak/>
        <w:t>scenario and a maritime-rescue scenario under the Authority’s SAR program, keeps the channel warm between disasters.</w:t>
      </w:r>
    </w:p>
    <w:p w14:paraId="271E231B" w14:textId="77777777" w:rsidR="00180E7C" w:rsidRDefault="00000000">
      <w:pPr>
        <w:pStyle w:val="BodyText"/>
      </w:pPr>
      <w:r>
        <w:t>Verification: The neutral emblems verify themselves through their own movement rules; the banking channel’s publication rules make relief flows transparent; no additional verification applies.</w:t>
      </w:r>
    </w:p>
    <w:p w14:paraId="4A359A1A" w14:textId="77777777" w:rsidR="00180E7C" w:rsidRDefault="00000000">
      <w:pPr>
        <w:pStyle w:val="BodyText"/>
      </w:pPr>
      <w:r>
        <w:t>Failure mode and engineered response: The identified failure mode is a mid-disaster political rupture that freezes the channel. The engineered response is the firewall’s automaticity: the protocol’s pre-authorizations survive any step-back action, because Article 70’s exclusion list places humanitarian flows beyond the reach of the entire remedy system.</w:t>
      </w:r>
    </w:p>
    <w:p w14:paraId="0565A261" w14:textId="77777777" w:rsidR="00180E7C" w:rsidRDefault="00000000">
      <w:r>
        <w:pict w14:anchorId="066D919A">
          <v:rect id="_x0000_i1035" style="width:0;height:1.5pt" o:hralign="center" o:hrstd="t" o:hr="t"/>
        </w:pict>
      </w:r>
    </w:p>
    <w:p w14:paraId="271308EE" w14:textId="77777777" w:rsidR="00180E7C" w:rsidRDefault="00000000">
      <w:pPr>
        <w:pStyle w:val="Heading4"/>
      </w:pPr>
      <w:bookmarkStart w:id="1203" w:name="Xc242e7fe7cc572200a67f05d524e5e29ed0dbcc"/>
      <w:bookmarkEnd w:id="1202"/>
      <w:r>
        <w:t>Issue 50: Public Communication and the Politics of Ratification</w:t>
      </w:r>
    </w:p>
    <w:p w14:paraId="204A53F3" w14:textId="77777777" w:rsidR="00180E7C" w:rsidRDefault="00000000">
      <w:pPr>
        <w:pStyle w:val="FirstParagraph"/>
      </w:pPr>
      <w:r>
        <w:t>The collision: Every substantive resolution in this Treaty dies if ratification fails in either capital, and ratification fails if the public narrative collapses. Hardliners in Tehran frame any nuclear limit as surrender and any American presence as infiltration. Hardliners in Washington frame any sanctions relief as appeasement and any Iranian retention of capability as naivety. Both governments need the same thing: a factual, symmetrical public account of what the Treaty does, delivered before the adversarial narratives harden. Yet each government also needs to sell the deal in its own idiom, and a joint narrative policed too tightly becomes propaganda that nobody believes.</w:t>
      </w:r>
    </w:p>
    <w:p w14:paraId="5E8361AD" w14:textId="77777777" w:rsidR="00180E7C" w:rsidRDefault="00000000">
      <w:pPr>
        <w:pStyle w:val="BodyText"/>
      </w:pPr>
      <w:r>
        <w:t>Resolution mechanics: SP-21 provides the machinery: a Joint Communication Protocol under which both Parties publish, within seventy-two hours of signature, an agreed factual summary of the Treaty’s terms, fifty pages, in English and Persian, with identical content and separate national framing documents appended freely and separately. The protocol establishes a standing Communication Working Group that coordinates the timing of milestone announcements, so that neither Party surprises the other with a victory-lap announcement timed to humiliate. Each milestone of Annex P carries a pre-agreed public description, which converts the verification system’s dry data into a public narrative of continuous compliance. The Swiss Facilitator’s office maintains a public treaty-status dashboard, fed by the Shared Digital Registry’s non-sensitive layer, giving journalists and parliaments a neutral real-time source that competes with rumor. The protocol expressly protects divergence: each government argues its own case to its own public in its own words, and the joint layer limits itself to agreed facts and coordinated timing, never to mandated interpretation.</w:t>
      </w:r>
    </w:p>
    <w:p w14:paraId="7146FFDD" w14:textId="77777777" w:rsidR="00180E7C" w:rsidRDefault="00000000">
      <w:pPr>
        <w:pStyle w:val="BodyText"/>
      </w:pPr>
      <w:r>
        <w:t>Verification: The dashboard’s data lineage runs through the Registry’s audit trail, so the public layer inherits the Cothrom system’s integrity properties. The working group’s coordination record publishes quarterly.</w:t>
      </w:r>
    </w:p>
    <w:p w14:paraId="4BD2AF34" w14:textId="77777777" w:rsidR="00180E7C" w:rsidRDefault="00000000">
      <w:pPr>
        <w:pStyle w:val="BodyText"/>
      </w:pPr>
      <w:r>
        <w:t xml:space="preserve">Failure mode and engineered response: The identified failure mode is a unilateral announcement that collapses the coordination and triggers a narrative war during a sensitive milestone window. The engineered response treats premature unilateral </w:t>
      </w:r>
      <w:r>
        <w:lastRenderedPageBreak/>
        <w:t>milestone announcements as a Category 8 violation, one demerit point, minor but recorded, and the pre-agreed descriptions mean the fact of the milestone publishes regardless, so the violation buys the violator nothing except a point.</w:t>
      </w:r>
    </w:p>
    <w:p w14:paraId="6C9849B6" w14:textId="77777777" w:rsidR="00180E7C" w:rsidRDefault="00000000">
      <w:r>
        <w:pict w14:anchorId="347765BC">
          <v:rect id="_x0000_i1036" style="width:0;height:1.5pt" o:hralign="center" o:hrstd="t" o:hr="t"/>
        </w:pict>
      </w:r>
    </w:p>
    <w:p w14:paraId="2950B392" w14:textId="77777777" w:rsidR="00180E7C" w:rsidRDefault="00000000">
      <w:pPr>
        <w:pStyle w:val="Heading3"/>
      </w:pPr>
      <w:bookmarkStart w:id="1204" w:name="sp-22.51-issue-book-closure"/>
      <w:bookmarkEnd w:id="1193"/>
      <w:bookmarkEnd w:id="1203"/>
      <w:r>
        <w:t>SP-22.51: Issue Book Closure</w:t>
      </w:r>
    </w:p>
    <w:p w14:paraId="1805A39C" w14:textId="77777777" w:rsidR="00180E7C" w:rsidRDefault="00000000">
      <w:pPr>
        <w:pStyle w:val="FirstParagraph"/>
      </w:pPr>
      <w:r>
        <w:t>Fifty issues, fifty collisions, fifty resolutions, fifty verification designs, fifty failure modes with engineered responses. The Issue Book’s purpose is not prophecy. No text foresees the actual crisis that tests this Treaty. The Book’s purpose is demonstration: that the architecture of Articles 1 through 90, the annexes, and the supplementary protocols contains a method, collision acknowledged, mechanics specified, verification assigned, failure anticipated, response engineered, that applies to any issue, including the ones nobody listed. The fifty-first issue, whenever it arrives, meets the same grammar. That grammar, more than any single clause, is what the Parties actually sign.</w:t>
      </w:r>
    </w:p>
    <w:p w14:paraId="2B625AA9" w14:textId="77777777" w:rsidR="00180E7C" w:rsidRDefault="00000000">
      <w:pPr>
        <w:pStyle w:val="Heading2"/>
      </w:pPr>
      <w:bookmarkStart w:id="1205" w:name="X9dab641105547570c40a8e32e7b3e1b87a82b03"/>
      <w:bookmarkEnd w:id="1172"/>
      <w:bookmarkEnd w:id="1204"/>
      <w:r>
        <w:t>TIER 5 IMPLEMENTATION ADDENDA: THE PERIPHERY IN WORKING DETAIL</w:t>
      </w:r>
    </w:p>
    <w:p w14:paraId="773CC7B4" w14:textId="77777777" w:rsidR="00180E7C" w:rsidRDefault="00000000">
      <w:pPr>
        <w:pStyle w:val="Heading3"/>
      </w:pPr>
      <w:bookmarkStart w:id="1206" w:name="X0e1edc52e8e8e33ed7940dc132e38d0194e330d"/>
      <w:r>
        <w:t>Addendum to Issue 41: The Lebanon Window’s Project Cycle</w:t>
      </w:r>
    </w:p>
    <w:p w14:paraId="71C63B13" w14:textId="77777777" w:rsidR="00180E7C" w:rsidRDefault="00000000">
      <w:pPr>
        <w:pStyle w:val="FirstParagraph"/>
      </w:pPr>
      <w:r>
        <w:t>The Lebanon Window runs its own project cycle inside the RDF’s fiduciary framework: the Lebanese state’s line ministries submit through the single national coordination office, the window’s appraisal team applies the published criteria, and the board’s supermajority rule decides. The first-year pipeline, fixed in SP-13’s tables, fronts the power sector, grid rehabilitation purchasing measurable electricity-hours, because the window’s political sustainability depends on the public feeling the difference before the spoilers organize against it. The demobilization coupling’s bookkeeping publishes quarterly: benchmarks certified, tranches released, so every faction’s constituencies track the arithmetic themselves. The window’s staffing rule, Lebanese nationals in majority at every level, builds the state capacity the file’s resolution ultimately rests on, and the secondment program rotates Lebanese engineers through the Fund’s other windows to carry the practice home.</w:t>
      </w:r>
    </w:p>
    <w:p w14:paraId="5CD53D50" w14:textId="77777777" w:rsidR="00180E7C" w:rsidRDefault="00000000">
      <w:pPr>
        <w:pStyle w:val="Heading3"/>
      </w:pPr>
      <w:bookmarkStart w:id="1207" w:name="X420e6f69c6581f74406d92ecac3ec025cf47150"/>
      <w:bookmarkEnd w:id="1206"/>
      <w:r>
        <w:t>Addendum to Issue 42: The Yemen Interface in Operation</w:t>
      </w:r>
    </w:p>
    <w:p w14:paraId="7B9E182D" w14:textId="77777777" w:rsidR="00180E7C" w:rsidRDefault="00000000">
      <w:pPr>
        <w:pStyle w:val="FirstParagraph"/>
      </w:pPr>
      <w:r>
        <w:t>The Yemen interface operates through three standing channels: the UN-process support channel, in which both Parties’ special envoys coordinate their backing for the UN special envoy’s proposals; the maritime information channel, feeding the UN verification mechanism with the Registry’s Gulf-of-Oman and Red Sea data; and the humanitarian channel, moving relief through the Annex H banking architecture into Yemeni ports at published transaction times. The interface’s quarterly review publishes its metrics: ships inspected without incident, relief tonnage cleared, and the political process’s milestones supported. The design’s discipline is restraint: the Treaty promises Yemen no bilateral settlement, and the interface’s modesty, support, information, money, keeps that promise while removing Yemen from the Iran-US conflict ledger that made the war’s external dimensions unmanageable.</w:t>
      </w:r>
    </w:p>
    <w:p w14:paraId="7B1268AF" w14:textId="77777777" w:rsidR="00180E7C" w:rsidRDefault="00000000">
      <w:pPr>
        <w:pStyle w:val="Heading3"/>
      </w:pPr>
      <w:bookmarkStart w:id="1208" w:name="Xb2d12cbd9dd63b5298fb20c502aca40eee7c334"/>
      <w:bookmarkEnd w:id="1207"/>
      <w:r>
        <w:lastRenderedPageBreak/>
        <w:t>Addendum to Issue 43: The Return Documentation Program</w:t>
      </w:r>
    </w:p>
    <w:p w14:paraId="0C4708F9" w14:textId="77777777" w:rsidR="00180E7C" w:rsidRDefault="00000000">
      <w:pPr>
        <w:pStyle w:val="FirstParagraph"/>
      </w:pPr>
      <w:r>
        <w:t>The documentation program operates from UNHCR’s existing registration infrastructure with the Treaty’s funding and governance upgrades: the biometric enrollment follows UNHCR protection standards, the data sits in UNHCR custody under SP-11’s privacy chapter, and the document issuance, identity papers, property-record extracts, civil-status certificates, flows to the return commissions of the parallel instruments. The program’s first-year target, one hundred forty thousand documented returnees, fixes in Annex P’s milestone register with UNHCR certification as the verification source. The voluntariness standard’s enforcement runs through the certification procedure: every return movement receives a UNHCR voluntariness assessment before the RDF’s transport and reintegration grants release, and the assessment’s negative finding suspends the movement’s funding automatically, no accusation required, no politics invited.</w:t>
      </w:r>
    </w:p>
    <w:p w14:paraId="1C2FF4A1" w14:textId="77777777" w:rsidR="00180E7C" w:rsidRDefault="00000000">
      <w:pPr>
        <w:pStyle w:val="Heading3"/>
      </w:pPr>
      <w:bookmarkStart w:id="1209" w:name="Xf59ade6c6dd302496a09ae7b145b1c9f9f3c943"/>
      <w:bookmarkEnd w:id="1208"/>
      <w:r>
        <w:t>Addendum to Issue 44: The Consular Protocol’s Seventy-Two Hours</w:t>
      </w:r>
    </w:p>
    <w:p w14:paraId="76C8727E" w14:textId="77777777" w:rsidR="00180E7C" w:rsidRDefault="00000000">
      <w:pPr>
        <w:pStyle w:val="FirstParagraph"/>
      </w:pPr>
      <w:r>
        <w:t>The consular protection protocol’s core clock, access within seventy-two hours of detention, runs against a standing test: the quarterly review examines every case’s timeline, and the statistics publish. The protocol’s machinery includes the practical layer that makes the clock achievable: the Swiss protecting-power channel’s 24-hour notification duty, the pre-negotiated consular-access templates both foreign ministries hold, and the case-tracking register both sides’ consular staffs share read access to. The advance-notice obligation for sanctions-related arrests operates through the Article 5 diplomatic channel with its own form, and the form’s use in the first year, fourteen notifications, thirteen resolved inside the quarterly track, one escalated to principals and resolved there, becomes the record the protocol’s defenders cite when the hardliners in both capitals call the channel naive.</w:t>
      </w:r>
    </w:p>
    <w:p w14:paraId="02DD39D9" w14:textId="77777777" w:rsidR="00180E7C" w:rsidRDefault="00000000">
      <w:pPr>
        <w:pStyle w:val="Heading3"/>
      </w:pPr>
      <w:bookmarkStart w:id="1210" w:name="X4ed57f7d890a5e5e4cd237223014dbc23942a7e"/>
      <w:bookmarkEnd w:id="1209"/>
      <w:r>
        <w:t>Addendum to Issue 45: The Commission’s Forensic Operations</w:t>
      </w:r>
    </w:p>
    <w:p w14:paraId="7C00E6DC" w14:textId="77777777" w:rsidR="00180E7C" w:rsidRDefault="00000000">
      <w:pPr>
        <w:pStyle w:val="FirstParagraph"/>
      </w:pPr>
      <w:r>
        <w:t>The Missing Persons Commission’s forensic operations follow the ICMP partnership’s standard chain: site assessment, exhumation under ICRC protocol, DNA sampling at the accredited laboratories, family-reference collection through the national societies, and identification reporting to families first, always families first, before any institutional notification. The archival-access work proceeds in parallel through the access commitments’ own schedules: each archive’s cataloging plan, access protocol, and review timeline, with the Technical Truth Chain available when access stalls. The structured amnesty’s administration sits with the Commission’s legal office: cooperating personnel receive the cooperation certificates that the non-referral undertaking keys on, and the certificates’ confidentiality protects the cooperation the truth-recovery function depends on. The Commission’s annual report publishes identification counts and nothing about sources, the discipline that keeps families’ trust and archives’ doors both open.</w:t>
      </w:r>
    </w:p>
    <w:p w14:paraId="49A58C7F" w14:textId="77777777" w:rsidR="00180E7C" w:rsidRDefault="00000000">
      <w:pPr>
        <w:pStyle w:val="Heading3"/>
      </w:pPr>
      <w:bookmarkStart w:id="1211" w:name="Xeb330ef9f54b802a0b01f7fbac4e26f483f6a71"/>
      <w:bookmarkEnd w:id="1210"/>
      <w:r>
        <w:t>Addendum to Issue 46: The Environmental Data Exchange in Operation</w:t>
      </w:r>
    </w:p>
    <w:p w14:paraId="6F0BB761" w14:textId="77777777" w:rsidR="00180E7C" w:rsidRDefault="00000000">
      <w:pPr>
        <w:pStyle w:val="FirstParagraph"/>
      </w:pPr>
      <w:r>
        <w:t xml:space="preserve">The data exchange publishes its first datasets within ninety days of entry into force: the dust-storm early-warning feed, the shared-aquifer monitoring indices, and the Gulf marine water-quality series from the Authority’s stations. The managed-access layer handles the </w:t>
      </w:r>
      <w:r>
        <w:lastRenderedPageBreak/>
        <w:t>sensitive stations through aggregation, and the anomaly procedure’s application here stays gentle by design: publication gaps trigger queries, not points, because the file’s confidence-building function requires that participation stay cheaper than withdrawal. The green technology window’s standing license list updates annually through the Joint Environmental Commission’s recommendation, and the window’s first transactions, air-quality monitoring equipment, water-treatment technology, seed and soil science collaborations, price the file’s value in commercial terms both publics understand.</w:t>
      </w:r>
    </w:p>
    <w:p w14:paraId="2F86FCE0" w14:textId="77777777" w:rsidR="00180E7C" w:rsidRDefault="00000000">
      <w:pPr>
        <w:pStyle w:val="Heading3"/>
      </w:pPr>
      <w:bookmarkStart w:id="1212" w:name="X05544dfb50808d78339a31c251edb3e5c7f8ebe"/>
      <w:bookmarkEnd w:id="1211"/>
      <w:r>
        <w:t>Addendum to Issue 47: The Exchange Program’s First Cohort</w:t>
      </w:r>
    </w:p>
    <w:p w14:paraId="689FE1EF" w14:textId="77777777" w:rsidR="00180E7C" w:rsidRDefault="00000000">
      <w:pPr>
        <w:pStyle w:val="FirstParagraph"/>
      </w:pPr>
      <w:r>
        <w:t>The standing exchange program’s first cohorts move within the academic calendar: the two thousand visa slots each direction allocate across the participating institutions’ consortia, the sixty-day processing standard applies from completed application, and the liaison channel’s first-year statistics publish: approval rates, processing times, refusal reasons by category. The joint research fund’s first call for proposals, water, energy, public health, seismology, the four fields the binational board chose for their apolitical substance and shared urgency, draws four hundred applications against forty awards, and the review process runs joint panels with published criteria. The cultural season program opens in Tehran with the American photography exhibition negotiated during drafting, and the opening’s attendance becomes the program’s first photograph, the image the Treaty’s public layer needed: ordinary people in a room together, looking at pictures.</w:t>
      </w:r>
    </w:p>
    <w:p w14:paraId="58AB6F61" w14:textId="77777777" w:rsidR="00180E7C" w:rsidRDefault="00000000">
      <w:pPr>
        <w:pStyle w:val="Heading3"/>
      </w:pPr>
      <w:bookmarkStart w:id="1213" w:name="X8e866929d40dc0e915c98ceaa75328c45a8e885"/>
      <w:bookmarkEnd w:id="1212"/>
      <w:r>
        <w:t>Addendum to Issue 48: The Counter-Narcotics Cell’s First Joint Operation</w:t>
      </w:r>
    </w:p>
    <w:p w14:paraId="43DCC91C" w14:textId="77777777" w:rsidR="00180E7C" w:rsidRDefault="00000000">
      <w:pPr>
        <w:pStyle w:val="FirstParagraph"/>
      </w:pPr>
      <w:r>
        <w:t>The cell’s first joint operation, scheduled deliberately in Month 7 as a confidence exercise, targets a network the intelligence fusion process identified from both sides’ tips: the sanitized exchange, the coordinated interdiction timing on the transit corridor, and the after-action review under the MOC’s incident grammar. The equipment-in-kind pipeline’s first deliveries, scanners at two border crossings, arrive through the UNODC procurement channel with the ceremony the file’s politics require: UN flags in front, both Parties’ flags behind, the optics that let each capital claim the policy it prefers. The statistics publication begins with the operation’s results and continues quarterly, building the burden-sharing record Iran’s negotiators always wanted on paper and giving American law enforcement the interdiction outcomes its own metrics reward.</w:t>
      </w:r>
    </w:p>
    <w:p w14:paraId="081C0E18" w14:textId="77777777" w:rsidR="00180E7C" w:rsidRDefault="00000000">
      <w:pPr>
        <w:pStyle w:val="Heading3"/>
      </w:pPr>
      <w:bookmarkStart w:id="1214" w:name="X17484b21771c2002ab03fd68d36bf9adb45c512"/>
      <w:bookmarkEnd w:id="1213"/>
      <w:r>
        <w:t>Addendum to Issue 49: The Disaster Protocol’s First Activation</w:t>
      </w:r>
    </w:p>
    <w:p w14:paraId="375556CE" w14:textId="77777777" w:rsidR="00180E7C" w:rsidRDefault="00000000">
      <w:pPr>
        <w:pStyle w:val="FirstParagraph"/>
      </w:pPr>
      <w:r>
        <w:t xml:space="preserve">The protocol’s first activation comes in Month 11, an earthquake in the region, not in Iran itself, and the response tests the machinery against a third-country disaster exactly as the designers intended: the pre-cleared banking channel moves relief funds in hours, the visa template issues to the international teams in the forty-eight-hour standard, and both Parties’ contributions, American search-and-rescue equipment through the IFRC channel, Iranian field hospitals through the Red Crescent, operate side by side under the neutral emblems. The annual joint exercise’s first iteration follows in Month 13, a seismic scenario in the Gulf with the Authority’s SAR program integrated, and the exercise report publishes with the after-action items tracked to closure. The file’s lesson, disasters rehearsed </w:t>
      </w:r>
      <w:r>
        <w:lastRenderedPageBreak/>
        <w:t>together before they strike together, enters the JMC’s first annual review as the model for the other peripheral protocols.</w:t>
      </w:r>
    </w:p>
    <w:p w14:paraId="5FEFFD7E" w14:textId="77777777" w:rsidR="00180E7C" w:rsidRDefault="00000000">
      <w:pPr>
        <w:pStyle w:val="Heading3"/>
      </w:pPr>
      <w:bookmarkStart w:id="1215" w:name="X07e2d06f90f6ea993105e5d6ecbffceca21005f"/>
      <w:bookmarkEnd w:id="1214"/>
      <w:r>
        <w:t>Addendum to Issue 50: The Dashboard’s First Year</w:t>
      </w:r>
    </w:p>
    <w:p w14:paraId="14DCB0C1" w14:textId="77777777" w:rsidR="00180E7C" w:rsidRDefault="00000000">
      <w:pPr>
        <w:pStyle w:val="FirstParagraph"/>
      </w:pPr>
      <w:r>
        <w:t>The Swiss dashboard completes its first year with its usage statistics telling the design’s vindication: journalistic citations replacing rumor as the baseline of treaty coverage, parliamentary questions in both capitals referencing dashboard data, and the rumor-correction cycle, false claim, dashboard reference, correction, compressing from days to hours across the year. The Communication Working Group’s coordination record shows the discipline holding: forty-one milestone announcements, forty coordinated within the protocol’s windows, one unilateral premature announcement priced at its single demerit point and absorbed without cascade. The working group’s first annual review adjusts the pre-agreed language library against the year’s lessons, the protocol’s own amendment procedure, and the fifty-page factual summary enters its second edition with the compliance record of Year One replacing the promises of signature day as its content.</w:t>
      </w:r>
    </w:p>
    <w:p w14:paraId="717597C1" w14:textId="77777777" w:rsidR="00180E7C" w:rsidRDefault="00000000">
      <w:pPr>
        <w:pStyle w:val="Heading1"/>
      </w:pPr>
      <w:bookmarkStart w:id="1216" w:name="X32d33b76b7f7f1ece72a07431d4459dc464abb1"/>
      <w:bookmarkStart w:id="1217" w:name="_Toc237843209"/>
      <w:bookmarkEnd w:id="1148"/>
      <w:bookmarkEnd w:id="1205"/>
      <w:bookmarkEnd w:id="1215"/>
      <w:r>
        <w:t>SUPPLEMENTARY PROTOCOL SP-23: THE SCENARIO STRESS-TEST ATLAS</w:t>
      </w:r>
      <w:bookmarkEnd w:id="1217"/>
    </w:p>
    <w:p w14:paraId="474BB76E" w14:textId="77777777" w:rsidR="00180E7C" w:rsidRDefault="00000000">
      <w:pPr>
        <w:pStyle w:val="Heading2"/>
      </w:pPr>
      <w:bookmarkStart w:id="1218" w:name="sp-23.1-purpose-and-method"/>
      <w:r>
        <w:t>SP-23.1: Purpose and Method</w:t>
      </w:r>
    </w:p>
    <w:p w14:paraId="3EC8DB97" w14:textId="77777777" w:rsidR="00180E7C" w:rsidRDefault="00000000">
      <w:pPr>
        <w:pStyle w:val="FirstParagraph"/>
      </w:pPr>
      <w:r>
        <w:t>A treaty survives not its signing day but its worst day. This Atlas subjects the architecture of Savāhel-e Āghāz to twenty stress scenarios, each constructed from the historical record of how agreements between adversaries actually fail: ambiguity exploited, incidents mishandled, domestic politics inflamed, verification gamed, timelines slipped. Each scenario walks the Treaty’s machinery through the crisis in operational time, hour by hour and day by day, naming the organ that acts, the data that flows, the decision points that open, and the exit ramps that remain. The Atlas serves three functions. It trains the officials who staff the organs. It demonstrates to skeptical legislatures that the drafters anticipated the obvious attacks. And it fixes in advance a shared grammar of response, so that when a real crisis arrives, the Parties argue about facts inside a procedure rather than about procedure in the middle of facts.</w:t>
      </w:r>
    </w:p>
    <w:p w14:paraId="3A9D0786" w14:textId="77777777" w:rsidR="00180E7C" w:rsidRDefault="00000000">
      <w:pPr>
        <w:pStyle w:val="BodyText"/>
      </w:pPr>
      <w:r>
        <w:t>The method follows the Cothrom grammar throughout: observe, declare, query, escalate, remedy, restore. Every scenario ends in one of three states: resolution within routine machinery, resolution at ministerial level, or activation of the step-back architecture with its proportionality ceilings. No scenario in this Atlas terminates the Treaty, because the architecture contains no automatic termination pathway. Termination requires a deliberate political act under Article 75, and the Atlas treats that act as outside engineering reach.</w:t>
      </w:r>
    </w:p>
    <w:p w14:paraId="35366716" w14:textId="77777777" w:rsidR="00180E7C" w:rsidRDefault="00000000">
      <w:r>
        <w:pict w14:anchorId="6386BE41">
          <v:rect id="_x0000_i1037" style="width:0;height:1.5pt" o:hralign="center" o:hrstd="t" o:hr="t"/>
        </w:pict>
      </w:r>
    </w:p>
    <w:p w14:paraId="031D94CE" w14:textId="77777777" w:rsidR="00180E7C" w:rsidRDefault="00000000">
      <w:pPr>
        <w:pStyle w:val="Heading2"/>
      </w:pPr>
      <w:bookmarkStart w:id="1219" w:name="Xf4418c466fccccfce9eb8b0031469f93babad2b"/>
      <w:bookmarkEnd w:id="1218"/>
      <w:r>
        <w:lastRenderedPageBreak/>
        <w:t>SP-23.2: Scenario One: Vessel Seizure in Corridor 2</w:t>
      </w:r>
    </w:p>
    <w:p w14:paraId="20E26633" w14:textId="77777777" w:rsidR="00180E7C" w:rsidRDefault="00000000">
      <w:pPr>
        <w:pStyle w:val="FirstParagraph"/>
      </w:pPr>
      <w:r>
        <w:t>Trigger: At 0412 Gulf Standard Time on a day in Month 14, an Iranian Revolutionary Guard Corps Navy fast-attack group intercepts a Liberian-flagged product tanker in Corridor 2, the outbound Oman-administered lane, eleven nautical miles southwest of the corridor’s outer waypoint. The IRGCN announces a smuggling investigation. The tanker’s cargo documents show a routine gasoline load from a Saudi terminal. Insurance markets spike within the hour.</w:t>
      </w:r>
    </w:p>
    <w:p w14:paraId="28777152" w14:textId="77777777" w:rsidR="00180E7C" w:rsidRDefault="00000000">
      <w:pPr>
        <w:pStyle w:val="BodyText"/>
      </w:pPr>
      <w:r>
        <w:t>Hour 0 to 4: The tanker’s master activates the standard distress protocol of the Rules of Transit Handbook, and the Maritime Operational Center logs the event automatically through the shared AIS and coastal radar picture. Because the event occurred inside the Governance Area, the Authority’s incident-management procedure of Article 36 governs from the first minute. The duty officer classifies the event as a Category Amber incident, vessel detention by a coastal-state force outside its interdiction authority, and the classification triggers two automatic actions: notification of both national liaison desks and activation of the Joint Incident Cell.</w:t>
      </w:r>
    </w:p>
    <w:p w14:paraId="09432983" w14:textId="77777777" w:rsidR="00180E7C" w:rsidRDefault="00000000">
      <w:pPr>
        <w:pStyle w:val="BodyText"/>
      </w:pPr>
      <w:r>
        <w:t>Hour 4 to 24: The Joint Incident Cell convenes by secure video within the mandated six hours. The Iranian liaison presents the interdiction rationale. The Cell’s data layer answers the first question before any argument begins: the Shared Digital Registry holds the tanker’s pre-transit declaration, its Verified Services enrollment, and its track history, all timestamped and mutually visible. The track shows no deviation into Iranian territorial waters. Under Article 36.4’s twin-key rule, interdiction inside Corridor 2 requires both the Omani chair key and the Iranian co-chair key, and the Registry shows no Omani key. The incident therefore presents as an unauthorized interdiction, a Category 2 violation under the demerit schedule worth four points, unless the Iranian liaison produces a legal basis the Cell accepts.</w:t>
      </w:r>
    </w:p>
    <w:p w14:paraId="709C4E72" w14:textId="77777777" w:rsidR="00180E7C" w:rsidRDefault="00000000">
      <w:pPr>
        <w:pStyle w:val="BodyText"/>
      </w:pPr>
      <w:r>
        <w:t>Day 1 to 3: Iran faces the claim/objection fork of the Cothrom method. Option one: release the vessel within the playbook’s 24-hour guideline and file a curative report, converting four prospective points into a Level 1 anomaly closed without demerit. Option two: sustain the seizure and contest the attribution, moving the file to the Technical Truth Escalation Chain, where the Day 1 technical exchange, Day 3 expert review, and Day 5 senior-official session proceed on a fixed clock. The forfeit-risk rule disciplines option two: if the chain concludes against the interdiction and Iran sustained it throughout, the demerit value doubles under the bad-faith multiplier of Annex D.</w:t>
      </w:r>
    </w:p>
    <w:p w14:paraId="377A4CAC" w14:textId="77777777" w:rsidR="00180E7C" w:rsidRDefault="00000000">
      <w:pPr>
        <w:pStyle w:val="BodyText"/>
      </w:pPr>
      <w:r>
        <w:t>Resolution path: The historical record of Gulf seizures indicates domestic Iranian politics splits in such cases, with the regular navy and foreign ministry favoring release and the IRGCN resisting. The architecture’s contribution is to make release cheap and retention expensive: release closes the file cleanly, while retention accumulates points toward the five-point threshold that triggers the first step-back tier, a 5 percent suspension of the sanctions-relief benefit line, applied to the maritime benefit subline only under the proportionality ceiling of Annex E. The exit ramp stays visible at every stage: release plus curative report returns the system to zero within days.</w:t>
      </w:r>
    </w:p>
    <w:p w14:paraId="69DC33A1" w14:textId="77777777" w:rsidR="00180E7C" w:rsidRDefault="00000000">
      <w:pPr>
        <w:pStyle w:val="BodyText"/>
      </w:pPr>
      <w:r>
        <w:lastRenderedPageBreak/>
        <w:t>Lesson fixed in advance: The scenario demonstrates why the Treaty places interdiction keys in the Registry rather than in communiqués. Authority over the trigger sits in a data structure both sides audit continuously, which removes the ambiguity that historically converts a seizure into a crisis.</w:t>
      </w:r>
    </w:p>
    <w:p w14:paraId="3FB59CD4" w14:textId="77777777" w:rsidR="00180E7C" w:rsidRDefault="00000000">
      <w:r>
        <w:pict w14:anchorId="433D9F1A">
          <v:rect id="_x0000_i1038" style="width:0;height:1.5pt" o:hralign="center" o:hrstd="t" o:hr="t"/>
        </w:pict>
      </w:r>
    </w:p>
    <w:p w14:paraId="354E35BA" w14:textId="77777777" w:rsidR="00180E7C" w:rsidRDefault="00000000">
      <w:pPr>
        <w:pStyle w:val="Heading2"/>
      </w:pPr>
      <w:bookmarkStart w:id="1220" w:name="Xe6a496a7af9087b2028c5ca3b101783bb03bdba"/>
      <w:bookmarkEnd w:id="1219"/>
      <w:r>
        <w:t>SP-23.3: Scenario Two: The Uranium Ledger Discrepancy</w:t>
      </w:r>
    </w:p>
    <w:p w14:paraId="146FE9B4" w14:textId="77777777" w:rsidR="00180E7C" w:rsidRDefault="00000000">
      <w:pPr>
        <w:pStyle w:val="FirstParagraph"/>
      </w:pPr>
      <w:r>
        <w:t>Trigger: In Month 20, the IAEA resident team at Isfahan completes a physical inventory verification and reports a discrepancy: the measured hold-up in the down-blending cascade piping exceeds the declared process inventory by 1.9 kilograms of uranium at natural assay. The material sits inside declared equipment, not in a hidden location, but the Ledger’s book inventory and the physical inventory diverge beyond the facility’s stated measurement uncertainty.</w:t>
      </w:r>
    </w:p>
    <w:p w14:paraId="24655CA8" w14:textId="77777777" w:rsidR="00180E7C" w:rsidRDefault="00000000">
      <w:pPr>
        <w:pStyle w:val="BodyText"/>
      </w:pPr>
      <w:r>
        <w:t>Hour 0 to 24: The discrepancy enters the Uranium Ledger as a flagged line item, visible simultaneously to the IAEA, Iran, and the United States under the continuous-presence protocol of Article 62. The flag itself carries no accusation: the Ledger’s design treats measurement divergence as a routine anomaly class with a statistical resolution procedure, because every bulk-handling facility on earth produces such divergences. The JMC’s nuclear working group receives automatic notification at Level 1.</w:t>
      </w:r>
    </w:p>
    <w:p w14:paraId="5FA070B2" w14:textId="77777777" w:rsidR="00180E7C" w:rsidRDefault="00000000">
      <w:pPr>
        <w:pStyle w:val="BodyText"/>
      </w:pPr>
      <w:r>
        <w:t>Day 1 to 10: The facility runs the playbook’s hold-up recovery procedure: cascade wash-out under IAEA seal, destructive assay of recovered material, and recalculation of the shipper-receiver difference against the cleaned system. The Cothrom method’s contribution here is the pre-agreed decision tree. If recovered material plus revised uncertainty closes the gap below the facility’s significance threshold, the anomaly closes as Level 1 with a published explanation. If the gap persists above threshold, the anomaly advances to Level 2 and the managed-access protocol activates for the affected cascade area, giving the IAEA expanded verification access under Article 62’s anytime provision with the 24-hour clock.</w:t>
      </w:r>
    </w:p>
    <w:p w14:paraId="29104A70" w14:textId="77777777" w:rsidR="00180E7C" w:rsidRDefault="00000000">
      <w:pPr>
        <w:pStyle w:val="BodyText"/>
      </w:pPr>
      <w:r>
        <w:t>The escalation discipline: The scenario’s danger lies in public narrative, not physics. A leaked “missing uranium” story in Month 20 could damage the Treaty more than any actual diversion scenario, because the material involved cannot approach a significant quantity. The Treaty’s answer is the pre-agreed public description of Annex P and the Swiss dashboard: the anomaly publishes in real time with its technical context, measurement uncertainty, hold-up physics, resolution procedure, so the public record shows a routine industrial event inside a functioning verification system rather than a discovered secret. The Communication Working Group coordinates both governments’ statements from the pre-agreed language.</w:t>
      </w:r>
    </w:p>
    <w:p w14:paraId="71046222" w14:textId="77777777" w:rsidR="00180E7C" w:rsidRDefault="00000000">
      <w:pPr>
        <w:pStyle w:val="BodyText"/>
      </w:pPr>
      <w:r>
        <w:t xml:space="preserve">Resolution path: Ninety percent of such discrepancies in bulk facilities resolve through recovery and recalculation. For the residual case where the gap persists, the file moves to the Day 1/3/5 chain with the full measurement record, and the question becomes whether Iran demonstrates the material’s location and form to the chain’s satisfaction. A sustained failure to demonstrate constitutes a Category 1 violation, the demerit schedule’s most serious class, and the step-back architecture’s nuclear benefit line enters the </w:t>
      </w:r>
      <w:r>
        <w:lastRenderedPageBreak/>
        <w:t>proportionality calculation. The architecture never assumes diversion; it prices the failure to explain.</w:t>
      </w:r>
    </w:p>
    <w:p w14:paraId="50359C13" w14:textId="77777777" w:rsidR="00180E7C" w:rsidRDefault="00000000">
      <w:pPr>
        <w:pStyle w:val="BodyText"/>
      </w:pPr>
      <w:r>
        <w:t>Lesson fixed in advance: Verification systems that treat every discrepancy as a scandal train operators to hide discrepancies. The Ledger’s anomaly classes and the playbook’s recovery procedures create a system where reporting a discrepancy costs nothing and hiding one costs everything, which aligns the operator’s incentive with the verifier’s need.</w:t>
      </w:r>
    </w:p>
    <w:p w14:paraId="33B16A22" w14:textId="77777777" w:rsidR="00180E7C" w:rsidRDefault="00000000">
      <w:r>
        <w:pict w14:anchorId="2E0D79F8">
          <v:rect id="_x0000_i1039" style="width:0;height:1.5pt" o:hralign="center" o:hrstd="t" o:hr="t"/>
        </w:pict>
      </w:r>
    </w:p>
    <w:p w14:paraId="38415D0A" w14:textId="77777777" w:rsidR="00180E7C" w:rsidRDefault="00000000">
      <w:pPr>
        <w:pStyle w:val="Heading2"/>
      </w:pPr>
      <w:bookmarkStart w:id="1221" w:name="X787f5bb9a89cc0d9032fda5d256e318346d755d"/>
      <w:bookmarkEnd w:id="1220"/>
      <w:r>
        <w:t>SP-23.4: Scenario Three: The Cyber Intrusion Allegation</w:t>
      </w:r>
    </w:p>
    <w:p w14:paraId="3E9B156F" w14:textId="77777777" w:rsidR="00180E7C" w:rsidRDefault="00000000">
      <w:pPr>
        <w:pStyle w:val="FirstParagraph"/>
      </w:pPr>
      <w:r>
        <w:t>Trigger: In Month 8, a major American financial institution suffers a destructive intrusion that wipes backup systems at two data centers. A private threat-intelligence firm attributes the intrusion, with moderate confidence, to an actor it associates with Iranian state-directed groups. The attribution reaches the press before it reaches the Treaty channel. Members of Congress demand immediate reimposition of sanctions under statutory authority.</w:t>
      </w:r>
    </w:p>
    <w:p w14:paraId="5E922421" w14:textId="77777777" w:rsidR="00180E7C" w:rsidRDefault="00000000">
      <w:pPr>
        <w:pStyle w:val="BodyText"/>
      </w:pPr>
      <w:r>
        <w:t>Hour 0 to 24: The Treaty anticipates exactly this sequencing failure and pre-answers it. Article 23’s cyber chapter prohibits state-directed destructive operations against the other Party’s civilian infrastructure and establishes the Cyber Deconfliction Cell of Annex C, which both Parties staff continuously. The allegation enters the Cell through the claim procedure of the Cothrom method: the United States files a claim with its technical evidence, and the filing itself triggers the forfeit-risk discipline, because a claim that the Technical Truth Chain later rejects as unfounded costs the claimant a demerit point under the frivolous-claim rule of Annex D. This symmetry matters: the same rule that deters Iranian denial deters American overclaiming.</w:t>
      </w:r>
    </w:p>
    <w:p w14:paraId="2780F9E7" w14:textId="77777777" w:rsidR="00180E7C" w:rsidRDefault="00000000">
      <w:pPr>
        <w:pStyle w:val="BodyText"/>
      </w:pPr>
      <w:r>
        <w:t>Day 1 to 5: The Technical Truth Chain runs its clock. Day 1: technical exchange, in which the United States presents indicators of compromise, infrastructure overlap analysis, and tradecraft assessment, and Iran presents its rebuttal, including any evidence of false-flag construction, since the region’s threat actors routinely impersonate each other. Day 3: the expert panel of Annex C’s pre-vetted roster reviews the evidence under managed-access rules, with both Parties’ experts able to query the underlying data. Day 5: senior officials receive the panel’s confidence assessment.</w:t>
      </w:r>
    </w:p>
    <w:p w14:paraId="19FFECAF" w14:textId="77777777" w:rsidR="00180E7C" w:rsidRDefault="00000000">
      <w:pPr>
        <w:pStyle w:val="BodyText"/>
      </w:pPr>
      <w:r>
        <w:t>The attribution problem, honestly faced: The Treaty does not pretend that cyber attribution reaches courtroom certainty. The architecture therefore runs on confidence tiers. A high-confidence panel finding of state direction constitutes a Category 2 violation and opens the step-back calculation. A moderate-confidence finding triggers a mandatory presidential-level consultation under Article 12’s communication protocol and a joint statement committing both sides to suppress the actor, without demerits. A low-confidence or rejected finding closes the file and charges the frivolous-claim point if the panel finds the claim lacked any reasonable basis. The tiered design reflects the Cothrom principle that verification answers the epistemology of the domain: pretending to certainty where certainty does not exist destroys verification systems faster than any deception.</w:t>
      </w:r>
    </w:p>
    <w:p w14:paraId="0A27C048" w14:textId="77777777" w:rsidR="00180E7C" w:rsidRDefault="00000000">
      <w:pPr>
        <w:pStyle w:val="BodyText"/>
      </w:pPr>
      <w:r>
        <w:lastRenderedPageBreak/>
        <w:t>The congressional dimension: The statute-locked termination architecture of Title IV means no member of Congress possesses a unilateral snapback lever; reimposition requires the legislative process the Treaty itself schedules, and the Treaty’s data layer gives the administration a functioning accountability channel to present as the working alternative. The scenario’s realistic resolution: the chain returns a moderate-confidence finding, the presidents speak, the joint suppression statement issues, the Cell opens a standing hunt file on the actor, and the financial institution receives threat-intelligence support from both governments, a sentence no previous era of the relationship could contain.</w:t>
      </w:r>
    </w:p>
    <w:p w14:paraId="3208414E" w14:textId="77777777" w:rsidR="00180E7C" w:rsidRDefault="00000000">
      <w:pPr>
        <w:pStyle w:val="BodyText"/>
      </w:pPr>
      <w:r>
        <w:t>Lesson fixed in advance: The scenario shows the Cell’s true product: not attribution certainty but a shared procedure that keeps an ambiguous event from becoming a casus belli by default.</w:t>
      </w:r>
    </w:p>
    <w:p w14:paraId="01BE1B31" w14:textId="77777777" w:rsidR="00180E7C" w:rsidRDefault="00000000">
      <w:r>
        <w:pict w14:anchorId="560CEA8C">
          <v:rect id="_x0000_i1040" style="width:0;height:1.5pt" o:hralign="center" o:hrstd="t" o:hr="t"/>
        </w:pict>
      </w:r>
    </w:p>
    <w:p w14:paraId="7525CFB5" w14:textId="77777777" w:rsidR="00180E7C" w:rsidRDefault="00000000">
      <w:pPr>
        <w:pStyle w:val="Heading2"/>
      </w:pPr>
      <w:bookmarkStart w:id="1222" w:name="sp-23.5-scenario-four-the-assassination"/>
      <w:bookmarkEnd w:id="1221"/>
      <w:r>
        <w:t>SP-23.5: Scenario Four: The Assassination</w:t>
      </w:r>
    </w:p>
    <w:p w14:paraId="469E59B4" w14:textId="77777777" w:rsidR="00180E7C" w:rsidRDefault="00000000">
      <w:pPr>
        <w:pStyle w:val="FirstParagraph"/>
      </w:pPr>
      <w:r>
        <w:t>Trigger: In Month 26, a senior Iranian nuclear scientist dies in a bombing in Tehran. No claim of responsibility. The pattern matches previous operations widely attributed to Israel, a non-signatory. Iranian media and officials blame the United States as Israel’s patron. The hardline press demands withdrawal from the Treaty. The timing, mid-campaign on a sensitive verification file, suggests deliberate sabotage of the process itself.</w:t>
      </w:r>
    </w:p>
    <w:p w14:paraId="43E41E0A" w14:textId="77777777" w:rsidR="00180E7C" w:rsidRDefault="00000000">
      <w:pPr>
        <w:pStyle w:val="BodyText"/>
      </w:pPr>
      <w:r>
        <w:t>Hour 0 to 24: The scenario tests the Treaty’s non-signatory protocol of Article 81 and its attribution standards of Annex L simultaneously. Iran’s first move inside the architecture: invocation of the emergency consultation provision of Article 12, which requires principals-level contact within 24 hours. The United States enters the consultation with the pre-positioned posture the Treaty contemplates: denial of involvement, condemnation of the act, and activation of the non-signatory restraint commitment of Article 81, under which the United States undertakes to use its influence with Israel to prevent operations targeting the Treaty’s subject matter.</w:t>
      </w:r>
    </w:p>
    <w:p w14:paraId="216142B2" w14:textId="77777777" w:rsidR="00180E7C" w:rsidRDefault="00000000">
      <w:pPr>
        <w:pStyle w:val="BodyText"/>
      </w:pPr>
      <w:r>
        <w:t>Day 1 to 10: The attribution question runs through the Technical Truth Chain with a structural asymmetry the Treaty acknowledges openly: the suspected author sits outside the architecture, so the chain cannot compel evidence from the suspect. The chain’s function shifts accordingly, from proving authorship to verifying the Parties’ own conduct. The United States opens its relevant intelligence holdings to the panel under managed access to demonstrate non-involvement; Iran opens the forensic record of the bombing site to international forensic support under the Annex M machinery. The parallel Israeli file activates: the Article 81 protocol’s standing contact group convenes, and the restraint commitment receives its first serious test.</w:t>
      </w:r>
    </w:p>
    <w:p w14:paraId="2B487112" w14:textId="77777777" w:rsidR="00180E7C" w:rsidRDefault="00000000">
      <w:pPr>
        <w:pStyle w:val="BodyText"/>
      </w:pPr>
      <w:r>
        <w:t xml:space="preserve">The political layer: The Treaty’s survival here depends on the compensation the architecture offers the injured party’s politics. Iran receives three things the pre-Treaty era never offered: a guaranteed principals channel in the first 24 hours, a verifiable demonstration of American non-involvement, and a formal restraint undertaking exercised at presidential level with a record that repeats violations convert into Treaty-relevant </w:t>
      </w:r>
      <w:r>
        <w:lastRenderedPageBreak/>
        <w:t>conduct through the regional demerit provisions. The Communication Working Group’s pre-agreed language for “external sabotage events” deploys: both governments name the act’s purpose, the destruction of the settlement, and announce jointly that the Treaty continues, which reverses the saboteur’s intended effect.</w:t>
      </w:r>
    </w:p>
    <w:p w14:paraId="1526812E" w14:textId="77777777" w:rsidR="00180E7C" w:rsidRDefault="00000000">
      <w:pPr>
        <w:pStyle w:val="BodyText"/>
      </w:pPr>
      <w:r>
        <w:t>Resolution path: The historical analogue, the 2020-2021 sabotage and assassination campaign against the JCPOA’s successor environment, demonstrates the counterfactual: without architecture, each event fed escalation. Under the Treaty, the event terminates in a joint continuity declaration, an open forensic file, and a recorded restraint intervention. The step-back architecture never activates, because no Party violated an obligation; the scenario belongs to the class the drafters labeled “external shock,” and the architecture’s design goal for that class is absorption, not adjudication.</w:t>
      </w:r>
    </w:p>
    <w:p w14:paraId="013679B0" w14:textId="77777777" w:rsidR="00180E7C" w:rsidRDefault="00000000">
      <w:pPr>
        <w:pStyle w:val="BodyText"/>
      </w:pPr>
      <w:r>
        <w:t>Lesson fixed in advance: The Treaty does not prevent third-party violence. It does, instead, pre-commit both Parties to a response grammar that makes the violence strategically useless to its author.</w:t>
      </w:r>
    </w:p>
    <w:p w14:paraId="21E6FC5A" w14:textId="77777777" w:rsidR="00180E7C" w:rsidRDefault="00000000">
      <w:r>
        <w:pict w14:anchorId="488ED354">
          <v:rect id="_x0000_i1041" style="width:0;height:1.5pt" o:hralign="center" o:hrstd="t" o:hr="t"/>
        </w:pict>
      </w:r>
    </w:p>
    <w:p w14:paraId="356BD101" w14:textId="77777777" w:rsidR="00180E7C" w:rsidRDefault="00000000">
      <w:pPr>
        <w:pStyle w:val="Heading2"/>
      </w:pPr>
      <w:bookmarkStart w:id="1223" w:name="X3f5f698cc9054dfd74bc6c160f34f6a62957183"/>
      <w:bookmarkEnd w:id="1222"/>
      <w:r>
        <w:t>SP-23.6: Scenario Five: The Congressional Reimposition Attempt</w:t>
      </w:r>
    </w:p>
    <w:p w14:paraId="043DDD36" w14:textId="77777777" w:rsidR="00180E7C" w:rsidRDefault="00000000">
      <w:pPr>
        <w:pStyle w:val="FirstParagraph"/>
      </w:pPr>
      <w:r>
        <w:t>Trigger: In Month 16, following a regional incident and a hardening of American domestic politics, the leadership of one congressional chamber introduces legislation to reimpose by statute the core sanctions architecture terminated under Title IV, arguing that Iran’s regional conduct voids the deal’s premise.</w:t>
      </w:r>
    </w:p>
    <w:p w14:paraId="545C0123" w14:textId="77777777" w:rsidR="00180E7C" w:rsidRDefault="00000000">
      <w:pPr>
        <w:pStyle w:val="BodyText"/>
      </w:pPr>
      <w:r>
        <w:t>The legal terrain: Title IV’s statute-locked design anticipates this moment with structural honesty: the Treaty cannot forbid the United States Congress from legislating, and it does not pretend to. What it does instead is price, channel, and delay the option. The pricing: Annex G’s termination schedules locked the original relief into statutory text with supermajority amendment thresholds, so the reimposition bill requires not a simple majority but the coalition those thresholds demand. The channeling: any unilateral reimposition outside the Treaty’s breach procedures constitutes itself a Category 1 violation by the United States, triggering the symmetrical step-back architecture in Iran’s favor, including the automatic re-suspension of Iranian obligations on the matched benefit lines and the re-vesting of escrowed funds under Annex H’s reversion rules. The delay: the EMB monitoring process of Article 57 requires a formal finding procedure before reimposition bills reach floor consideration under the expedited calendar, inserting 45 days of structured review in which the Treaty’s own data, compliance dashboards, JMC records, and IAEA reports, enters the legislative record.</w:t>
      </w:r>
    </w:p>
    <w:p w14:paraId="68A46F1C" w14:textId="77777777" w:rsidR="00180E7C" w:rsidRDefault="00000000">
      <w:pPr>
        <w:pStyle w:val="BodyText"/>
      </w:pPr>
      <w:r>
        <w:t>The diplomatic play: Iran’s pre-agreed response grammar, fixed in SP-9’s commentary and the Communication Working Group’s scripts, treats the bill’s introduction as an internal American process rather than an American breach, while placing on record that enactment without a Material Breach finding under Article 69 activates the symmetrical remedies. The distinction preserves the relationship during the legislative window: ambassadors remain, organs function, and both governments direct their public case at the third audience, the legislature, rather than at each other.</w:t>
      </w:r>
    </w:p>
    <w:p w14:paraId="07476562" w14:textId="77777777" w:rsidR="00180E7C" w:rsidRDefault="00000000">
      <w:pPr>
        <w:pStyle w:val="BodyText"/>
      </w:pPr>
      <w:r>
        <w:lastRenderedPageBreak/>
        <w:t>Resolution paths: In the modal outcome, the thresholds and the data hold, and the bill fails or dies in committee, strengthening the Treaty’s subsequent credibility precisely because the stress test occurred. In the adverse outcome, enactment triggers the Treaty-defined sequence rather than chaos: the Joint Commission convenes within seven days, Iran’s matched benefit-line suspension activates proportionally, escrow reversion proceeds mechanically, and the 90-day restoration window of Annex E opens, inside which corrective legislation reverses the cascade. The architecture’s essential property appears here: even the Treaty’s partial failure runs on rails, with every step reversible and every reversibility priced.</w:t>
      </w:r>
    </w:p>
    <w:p w14:paraId="59091CC5" w14:textId="77777777" w:rsidR="00180E7C" w:rsidRDefault="00000000">
      <w:pPr>
        <w:pStyle w:val="BodyText"/>
      </w:pPr>
      <w:r>
        <w:t>Lesson fixed in advance: Durability against domestic politics comes not from wishful legalism but from making the breach path slower, costlier, and more procedurally exposed than the compliance path, in both capitals, by design.</w:t>
      </w:r>
    </w:p>
    <w:p w14:paraId="4DA185EF" w14:textId="77777777" w:rsidR="00180E7C" w:rsidRDefault="00000000">
      <w:r>
        <w:pict w14:anchorId="2A4E0885">
          <v:rect id="_x0000_i1042" style="width:0;height:1.5pt" o:hralign="center" o:hrstd="t" o:hr="t"/>
        </w:pict>
      </w:r>
    </w:p>
    <w:p w14:paraId="489C0FE5" w14:textId="77777777" w:rsidR="00180E7C" w:rsidRDefault="00000000">
      <w:pPr>
        <w:pStyle w:val="Heading2"/>
      </w:pPr>
      <w:bookmarkStart w:id="1224" w:name="X470430af2c3992c411e7cb2d032f28b0174b1de"/>
      <w:bookmarkEnd w:id="1223"/>
      <w:r>
        <w:t>SP-23.7: Scenario Six: The Stage-Two IRGC Dispute</w:t>
      </w:r>
    </w:p>
    <w:p w14:paraId="261A9783" w14:textId="77777777" w:rsidR="00180E7C" w:rsidRDefault="00000000">
      <w:pPr>
        <w:pStyle w:val="FirstParagraph"/>
      </w:pPr>
      <w:r>
        <w:t>Trigger: In Month 30, the IRGC’s two-stage delisting process reaches its Stage Two review. The Joint Assessment Board’s technical report finds that four of eleven benchmark files show incomplete compliance: two financial-transparency files, one personnel-file file, and one regional-conduct file involving Iraqi militia finances. The American political appointee on the board faces instructions to vote no regardless of the technical record. Iranian officials signal that a Stage Two failure after thirty months of compliance constitutes betrayal and triggers withdrawal from the RDF co-financing.</w:t>
      </w:r>
    </w:p>
    <w:p w14:paraId="653355D4" w14:textId="77777777" w:rsidR="00180E7C" w:rsidRDefault="00000000">
      <w:pPr>
        <w:pStyle w:val="BodyText"/>
      </w:pPr>
      <w:r>
        <w:t>The machinery at work: Article 47 and Annex G Section 6 structure the answer. The two-stage design separated symbolism from substance at the Treaty’s drafting: Stage One, the foreign-policy instrument delisting with sanctions consequences, occurred at Month 12 on certification of the Stage One benchmarks. Stage Two, the full reputational normalization, requires the eleven-file review with a published evidentiary standard for each file. The dispute therefore resolves inside a matrix that already exists rather than in a free political space. The board’s rules require file-by-file findings: each file receives a compliance finding, a conditional finding with a 90-day remediation track, or a non-compliance finding with specified gaps. A conditional finding on four files and a compliance finding on seven yields the pre-agreed outcome: Stage Two advances with a published remediation annex, and the four open files receive quarterly review with automatic closure criteria.</w:t>
      </w:r>
    </w:p>
    <w:p w14:paraId="7D708CAA" w14:textId="77777777" w:rsidR="00180E7C" w:rsidRDefault="00000000">
      <w:pPr>
        <w:pStyle w:val="BodyText"/>
      </w:pPr>
      <w:r>
        <w:t>The politics inside the rules: The American appointee’s instructions meet the board’s structural defense: findings require written justification against the published evidentiary standard, and an unjustified negative finding constitutes a reviewable act before the Treaty’s arbitration panel under Annex O, with the panel empowered to substitute the technically correct finding. No previous sanctions-delist</w:t>
      </w:r>
      <w:r>
        <w:softHyphen/>
        <w:t xml:space="preserve">ing process contained such a review channel; the Treaty includes it precisely because the drafters, studying the IRGC file’s centrality to Iranian politics, judged that a purely political Stage Two would break the deal at Month 30 with near certainty. Iran’s corresponding discipline: the remediation </w:t>
      </w:r>
      <w:r>
        <w:lastRenderedPageBreak/>
        <w:t>annex’s deadlines carry demerit backing, so conditional findings are not a free pass but a priced extension.</w:t>
      </w:r>
    </w:p>
    <w:p w14:paraId="61D1501D" w14:textId="77777777" w:rsidR="00180E7C" w:rsidRDefault="00000000">
      <w:pPr>
        <w:pStyle w:val="BodyText"/>
      </w:pPr>
      <w:r>
        <w:t>Resolution path: The board votes with the technical majority, Stage Two advances with the remediation annex, both governments brief from pre-agreed language emphasizing that the process worked as designed, and the RDF co-financing continues uninterrupted because the trigger Iran threatened to pull never fires. The four files close within two quarters.</w:t>
      </w:r>
    </w:p>
    <w:p w14:paraId="35FB5A34" w14:textId="77777777" w:rsidR="00180E7C" w:rsidRDefault="00000000">
      <w:pPr>
        <w:pStyle w:val="BodyText"/>
      </w:pPr>
      <w:r>
        <w:t>Lesson fixed in advance: The scenario validates the Treaty’s most consequential design habit: wherever a future political flashpoint was identifiable at drafting, the drafters converted it into a matrixed administrative process with published standards, review channels, and priced extensions, removing the flashpoint’s oxygen.</w:t>
      </w:r>
    </w:p>
    <w:p w14:paraId="06C0456D" w14:textId="77777777" w:rsidR="00180E7C" w:rsidRDefault="00000000">
      <w:r>
        <w:pict w14:anchorId="0EA9A957">
          <v:rect id="_x0000_i1043" style="width:0;height:1.5pt" o:hralign="center" o:hrstd="t" o:hr="t"/>
        </w:pict>
      </w:r>
    </w:p>
    <w:p w14:paraId="1934137B" w14:textId="77777777" w:rsidR="00180E7C" w:rsidRDefault="00000000">
      <w:pPr>
        <w:pStyle w:val="Heading2"/>
      </w:pPr>
      <w:bookmarkStart w:id="1225" w:name="X37fa1157f80fb34c62d3a83f964481425c3d151"/>
      <w:bookmarkEnd w:id="1224"/>
      <w:r>
        <w:t>SP-23.8: Scenario Seven: The Escrow Reversion Dispute</w:t>
      </w:r>
    </w:p>
    <w:p w14:paraId="7DDC27F4" w14:textId="77777777" w:rsidR="00180E7C" w:rsidRDefault="00000000">
      <w:pPr>
        <w:pStyle w:val="FirstParagraph"/>
      </w:pPr>
      <w:r>
        <w:t>Trigger: In Month 22, Pool B of the frozen-asset structure, the six billion dollar humanitarian and infrastructure pool at the Swiss National Bank agency, faces a release decision under Schedule H-1’s release events. The monitoring data shows the triggering benchmark met: the third sanctions-termination phase completed and certified. The American Treasury, under political pressure, instructs its representative to query the certification, alleging that a Phase Three sub-element, the final SWIFT reconnection of two designated-then-delisted banks, remains technically incomplete due to the banks’ own compliance-department delays.</w:t>
      </w:r>
    </w:p>
    <w:p w14:paraId="01F5A66B" w14:textId="77777777" w:rsidR="00180E7C" w:rsidRDefault="00000000">
      <w:pPr>
        <w:pStyle w:val="BodyText"/>
      </w:pPr>
      <w:r>
        <w:t>The design’s answer: Annex H’s monitoring-without-veto architecture exists for precisely this case. The certification of Phase Three issued from the EMB process of Article 57 with published criteria, and the escrow agent’s obligation runs to the certification, not to any Party’s subsequent political comfort. The American query enters the formal objection channel: a written objection with specified technical grounds, filed within the 15-day window, suspends the disputed release, and only the disputed release, pending expedited review by the escrow agent’s independent assessor under the H-manual’s evidentiary standard. The assessor’s review examines one question: whether the Phase Three certification’s published criteria were met at certification. The banks’ downstream compliance delays, caused by their own risk departments rather than by any Iranian regulatory failure, fail the objection standard, because the certification criteria measured Iranian regulatory completion, and the record shows completion.</w:t>
      </w:r>
    </w:p>
    <w:p w14:paraId="47FE0434" w14:textId="77777777" w:rsidR="00180E7C" w:rsidRDefault="00000000">
      <w:pPr>
        <w:pStyle w:val="BodyText"/>
      </w:pPr>
      <w:r>
        <w:t>The symmetry preserved: The same objection channel protects American interests in the mirror case, an Iranian objection to an American benchmark certification, and both Parties used the channel’s design history as a drafting precedent from the 2015-2016 banking-friction experience, in which post-relief friction accumulated precisely because no structured objection channel existed and every dispute became a political crisis. The assessor rules on Day 12, the release executes on Day 13, and the episode’s total cost to the system is a 12-day delay on one tranche, a result the pre-Treaty world would have consumed a diplomatic quarter to achieve.</w:t>
      </w:r>
    </w:p>
    <w:p w14:paraId="76F4149C" w14:textId="77777777" w:rsidR="00180E7C" w:rsidRDefault="00000000">
      <w:pPr>
        <w:pStyle w:val="BodyText"/>
      </w:pPr>
      <w:r>
        <w:lastRenderedPageBreak/>
        <w:t>Lesson fixed in advance: Money mechanics fail on ambiguity of authority. The escrow design’s core sentence, the agent answers to the certification, removes the ambiguity, and the objection channel gives political systems the vent they require without giving them the veto the architecture forbids.</w:t>
      </w:r>
    </w:p>
    <w:p w14:paraId="0CC78DBA" w14:textId="77777777" w:rsidR="00180E7C" w:rsidRDefault="00000000">
      <w:r>
        <w:pict w14:anchorId="1DD22BF9">
          <v:rect id="_x0000_i1044" style="width:0;height:1.5pt" o:hralign="center" o:hrstd="t" o:hr="t"/>
        </w:pict>
      </w:r>
    </w:p>
    <w:p w14:paraId="5E94BF28" w14:textId="77777777" w:rsidR="00180E7C" w:rsidRDefault="00000000">
      <w:pPr>
        <w:pStyle w:val="Heading2"/>
      </w:pPr>
      <w:bookmarkStart w:id="1226" w:name="Xf97c0dfed3adc2733f3a50036a3192a2ecbb4c1"/>
      <w:bookmarkEnd w:id="1225"/>
      <w:r>
        <w:t>SP-23.9: Scenario Eight: The Threshold Crossing</w:t>
      </w:r>
    </w:p>
    <w:p w14:paraId="0B765047" w14:textId="77777777" w:rsidR="00180E7C" w:rsidRDefault="00000000">
      <w:pPr>
        <w:pStyle w:val="FirstParagraph"/>
      </w:pPr>
      <w:r>
        <w:t>Trigger: By Month 34, the demerit ledger shows an accumulation nobody designed: a series of small, genuinely inadvertent violations, a late notification here, an exercise-box overshoot there, a corridor log gap, a reporting delay, has brought one Party’s 180-day rolling total to eleven points, one below the twelve-point severe threshold. A mid-sized incident then occurs: a naval exercise notification arrives 30 hours late during a genuine communications failure. Its schedule value is two points. The total crosses twelve.</w:t>
      </w:r>
    </w:p>
    <w:p w14:paraId="54F2791A" w14:textId="77777777" w:rsidR="00180E7C" w:rsidRDefault="00000000">
      <w:pPr>
        <w:pStyle w:val="BodyText"/>
      </w:pPr>
      <w:r>
        <w:t>The architecture under self-inflicted stress: The severe threshold triggers the third step-back tier: suspension of up to 100 percent of one benefit line under Annex E’s ceilings. The scenario tests whether the system distinguishes a pattern of negligence from a pattern of deception, because the political consequences of a full-tier activation over technical violations would damage the Treaty’s legitimacy in the offending Party’s domestic debate, while waiving the threshold would damage the system’s credibility everywhere.</w:t>
      </w:r>
    </w:p>
    <w:p w14:paraId="751CB4F5" w14:textId="77777777" w:rsidR="00180E7C" w:rsidRDefault="00000000">
      <w:pPr>
        <w:pStyle w:val="BodyText"/>
      </w:pPr>
      <w:r>
        <w:t>The Cothrom answer, engineered in advance: The demerit schedule’s Category system already separates technical violations, Categories 7 through 10, from substantive ones, and the threshold rules of Annex D include the composition proviso: a threshold crossing composed entirely of Categories 7-10 technical points activates the severe tier’s procedures but limits its remedies to the remediation track, a mandatory compliance-improvement program with 30/60/90-day targets and doubled verification density on the affected systems, rather than benefit suspension. The offending Party accepts the remediation track, which carries genuine costs, additional inspector access, reporting burdens, and a public compliance review, while the benefit lines continue. The earn-back mechanics then operate: each clean 30-day cycle retires points under the expiry rule, and the ledger returns below thresholds within two quarters.</w:t>
      </w:r>
    </w:p>
    <w:p w14:paraId="69570506" w14:textId="77777777" w:rsidR="00180E7C" w:rsidRDefault="00000000">
      <w:pPr>
        <w:pStyle w:val="BodyText"/>
      </w:pPr>
      <w:r>
        <w:t>Why the proviso exists: The drafters studied the counterfactual, a system that treats twelve points of administrative noise identically to twelve points of material cheating, and identified its terminal flaw: it converts the remedy system into a domestic-political hostage, because every opposition faction gains a veto-by-accumulation strategy, manufacturing technical incidents to force tier activations. The composition proviso closes that strategy while keeping the severe tier fully armed for the case it exists for.</w:t>
      </w:r>
    </w:p>
    <w:p w14:paraId="4A68B848" w14:textId="77777777" w:rsidR="00180E7C" w:rsidRDefault="00000000">
      <w:pPr>
        <w:pStyle w:val="BodyText"/>
      </w:pPr>
      <w:r>
        <w:t>Lesson fixed in advance: Threshold systems govern by their edge cases, and the edge cases arrive exactly as this scenario describes, through accumulation of the small. A remedy architecture that prices the small correctly preserves its credibility for the large.</w:t>
      </w:r>
    </w:p>
    <w:p w14:paraId="2E727AB9" w14:textId="77777777" w:rsidR="00180E7C" w:rsidRDefault="00000000">
      <w:r>
        <w:pict w14:anchorId="22EDC03B">
          <v:rect id="_x0000_i1045" style="width:0;height:1.5pt" o:hralign="center" o:hrstd="t" o:hr="t"/>
        </w:pict>
      </w:r>
    </w:p>
    <w:p w14:paraId="78DAD981" w14:textId="77777777" w:rsidR="00180E7C" w:rsidRDefault="00000000">
      <w:pPr>
        <w:pStyle w:val="Heading2"/>
      </w:pPr>
      <w:bookmarkStart w:id="1227" w:name="X158296b8b94b0003c612a53d0df19ac469138bd"/>
      <w:bookmarkEnd w:id="1226"/>
      <w:r>
        <w:lastRenderedPageBreak/>
        <w:t>SP-23.10: Scenario Nine: The Corridor Closure Drill</w:t>
      </w:r>
    </w:p>
    <w:p w14:paraId="7ED722F2" w14:textId="77777777" w:rsidR="00180E7C" w:rsidRDefault="00000000">
      <w:pPr>
        <w:pStyle w:val="FirstParagraph"/>
      </w:pPr>
      <w:r>
        <w:t>Trigger: In Month 10, the Hormuz Authority conducts its scheduled semiannual emergency-closure drill, simulating a mine threat in Corridor 3, the joint buffer lane. During the drill, a real commercial convoy of eleven vessels enters the exercise area due to a notice-to-mariners publication error by one national hydrographic office. The drill’s rules require the buffer corridor to clear. The convoy’s flagship refuses the rerouting instruction, citing its Verified Services schedule guarantee.</w:t>
      </w:r>
    </w:p>
    <w:p w14:paraId="1E648C23" w14:textId="77777777" w:rsidR="00180E7C" w:rsidRDefault="00000000">
      <w:pPr>
        <w:pStyle w:val="BodyText"/>
      </w:pPr>
      <w:r>
        <w:t>The layered failure, by design: The scenario deliberately stacks three failures: a publication error, a schedule conflict, and a master asserting contractual rights against a safety instruction. The Treaty’s drill doctrine, fixed in SP-3’s exercise chapter, answers in layers. Layer one: safety instructions override schedule guarantees absolutely, and the Verified Services contract terms of Annex B’s rate card say so in their first clause, so the flagship’s legal position collapses instantly and its flag state receives a compliance notice through the registry. Layer two: the publication error triggers the Authority’s data-quality procedure, a named-office error enters the staffing-parity review of the responsible directorate, and the correction publishes within the hour under the drill’s real-error protocol. Layer three: the drill converts to a live exercise, the contingency the drill manual prefers, and the convoy’s escorted rerouting through Corridor 4, the emergency lane, exercises exactly the capacity the drill existed to test.</w:t>
      </w:r>
    </w:p>
    <w:p w14:paraId="1260D5B0" w14:textId="77777777" w:rsidR="00180E7C" w:rsidRDefault="00000000">
      <w:pPr>
        <w:pStyle w:val="BodyText"/>
      </w:pPr>
      <w:r>
        <w:t>The after-action machinery: The joint after-action review, published within 14 days under the Authority’s transparency rules, records all three failures, assigns the publication error to the responsible office with a corrective-action deadline, and feeds the convoy-handling performance data into SP-20’s traffic statistics. The demerit system takes no notice: drill-era errors inside the reporting system’s self-correction loops carry no points, because pricing honest error reporting would suppress it.</w:t>
      </w:r>
    </w:p>
    <w:p w14:paraId="27F2728B" w14:textId="77777777" w:rsidR="00180E7C" w:rsidRDefault="00000000">
      <w:pPr>
        <w:pStyle w:val="BodyText"/>
      </w:pPr>
      <w:r>
        <w:t>Lesson fixed in advance: The scenario’s point is the Treaty’s distinction between error and violation. A governance system for the world’s most sensitive waterway produces errors weekly; the architecture succeeds when errors cost their authors correction work and nothing more, while concealment of error, the genuinely dangerous act, carries the demerit price.</w:t>
      </w:r>
    </w:p>
    <w:p w14:paraId="1B20FB6A" w14:textId="77777777" w:rsidR="00180E7C" w:rsidRDefault="00000000">
      <w:r>
        <w:pict w14:anchorId="15F469EF">
          <v:rect id="_x0000_i1046" style="width:0;height:1.5pt" o:hralign="center" o:hrstd="t" o:hr="t"/>
        </w:pict>
      </w:r>
    </w:p>
    <w:p w14:paraId="5B59DED5" w14:textId="77777777" w:rsidR="00180E7C" w:rsidRDefault="00000000">
      <w:pPr>
        <w:pStyle w:val="Heading2"/>
      </w:pPr>
      <w:bookmarkStart w:id="1228" w:name="Xfdbae47be17b7b14046760488e2176a2c39c92f"/>
      <w:bookmarkEnd w:id="1227"/>
      <w:r>
        <w:t>SP-23.11: Scenario Ten: The Election Transition</w:t>
      </w:r>
    </w:p>
    <w:p w14:paraId="21C67C9A" w14:textId="77777777" w:rsidR="00180E7C" w:rsidRDefault="00000000">
      <w:pPr>
        <w:pStyle w:val="FirstParagraph"/>
      </w:pPr>
      <w:r>
        <w:t>Trigger: In Month 40, a presidential election in one Party produces an administration whose campaign rhetoric pledged to “renegotiate or exit” the Treaty. The transition period creates a three-month window of maximal uncertainty in which every organ wonders whether its work continues.</w:t>
      </w:r>
    </w:p>
    <w:p w14:paraId="56A6F703" w14:textId="77777777" w:rsidR="00180E7C" w:rsidRDefault="00000000">
      <w:pPr>
        <w:pStyle w:val="BodyText"/>
      </w:pPr>
      <w:r>
        <w:t xml:space="preserve">The continuity architecture: The Treaty’s design answers at four levels. Level one, the legal: the Treaty binds the state, and Article 75’s withdrawal procedure requires twelve months’ notice with a mandatory Joint Commission process, so no inauguration-day exit exists, and every benefit line continues by default through the notice period. Level two, the </w:t>
      </w:r>
      <w:r>
        <w:lastRenderedPageBreak/>
        <w:t>bureaucratic: the organs’ staffing runs on multi-year terms deliberately staggered against electoral cycles, the Authority’s chair and co-chair serve fixed five-year terms, the JMC’s technical secretariat serves three-year terms, the escrow agent’s mandate runs contractually independent of either government’s composition, so the machinery’s human layer outlasts the transition by design. Level three, the benefit: by Month 40, the Treaty’s constituencies, banks reconnected, oil contracts running, RDF projects employing workers in both economies’ partner networks, corridors handling traffic under published standards, constitute a domestic lobby for continuity in both countries, the deliberate political economy the phased architecture constructed. Level four, the review channel: the Treaty gives the incoming administration its legitimate instrument, the Article 72 amendment procedure and the Article 73 five-year review, so revisionist energy routes into structured channels with defined processes rather than into unilateral action.</w:t>
      </w:r>
    </w:p>
    <w:p w14:paraId="5E5F0A7A" w14:textId="77777777" w:rsidR="00180E7C" w:rsidRDefault="00000000">
      <w:pPr>
        <w:pStyle w:val="BodyText"/>
      </w:pPr>
      <w:r>
        <w:t>The transition protocol in action: SP-21’s transition annex fixes the choreography: briefing books prepared by the JMC secretariat for the incoming team, a principals-level meeting within the first 100 days, a joint continuity statement using pre-agreed language, and a 180-day review window in which the new administration tables any renegotiation demands through the amendment channel. The other Party’s corresponding discipline: no exploitation of the transition window, a standstill undertaking covering new claims, new military postures, and new public demands during the 180 days.</w:t>
      </w:r>
    </w:p>
    <w:p w14:paraId="7F21C2BB" w14:textId="77777777" w:rsidR="00180E7C" w:rsidRDefault="00000000">
      <w:pPr>
        <w:pStyle w:val="BodyText"/>
      </w:pPr>
      <w:r>
        <w:t>Resolution path: The historical record of American treaty transitions, from the ABM Treaty through the JCPOA, shows the exit decision, when it comes, arrives after the review window rather than during it, and arrives cheaper to the exiting party when architecture is weak. The Treaty’s answer is not to make exit impossible but to make the review process substantive enough that the continuity case gets a fair hearing against the actual data: forty months of verified compliance records, functioning organs, and priced interdependence. The Atlas records the honest judgment: architecture guarantees process, not outcome, and this architecture guarantees the best process obtainable.</w:t>
      </w:r>
    </w:p>
    <w:p w14:paraId="4D388D06" w14:textId="77777777" w:rsidR="00180E7C" w:rsidRDefault="00000000">
      <w:pPr>
        <w:pStyle w:val="BodyText"/>
      </w:pPr>
      <w:r>
        <w:t>Lesson fixed in advance: Treaties die in transitions when the transition finds no legitimate channel for revision energy. Savāhel-e Āghāz builds the channel, staffs it, and stocks it with the record the continuity case requires.</w:t>
      </w:r>
    </w:p>
    <w:p w14:paraId="0D86FA39" w14:textId="77777777" w:rsidR="00180E7C" w:rsidRDefault="00000000">
      <w:r>
        <w:pict w14:anchorId="5C90A8C6">
          <v:rect id="_x0000_i1047" style="width:0;height:1.5pt" o:hralign="center" o:hrstd="t" o:hr="t"/>
        </w:pict>
      </w:r>
    </w:p>
    <w:p w14:paraId="0E3A046C" w14:textId="77777777" w:rsidR="00180E7C" w:rsidRDefault="00000000">
      <w:pPr>
        <w:pStyle w:val="Heading2"/>
      </w:pPr>
      <w:bookmarkStart w:id="1229" w:name="Xe6042de3e1b2bbc1868c335bb0527b2f225ed41"/>
      <w:bookmarkEnd w:id="1228"/>
      <w:r>
        <w:t>SP-23.12: Scenario Eleven: The Lebanon Spoiler</w:t>
      </w:r>
    </w:p>
    <w:p w14:paraId="62C8610C" w14:textId="77777777" w:rsidR="00180E7C" w:rsidRDefault="00000000">
      <w:pPr>
        <w:pStyle w:val="FirstParagraph"/>
      </w:pPr>
      <w:r>
        <w:t>Trigger: In Month 18, a faction within Lebanon’s political-military landscape, facing demobilization benchmarks it cannot survive politically, launches a cross-border operation designed to provoke the Israeli response that historically resets the Lebanese file to zero. Rockets fall on northern Israel. Israel mobilizes. The parallel instrument of Article 76 faces its existential test within the Treaty system’s second year.</w:t>
      </w:r>
    </w:p>
    <w:p w14:paraId="3C4003F1" w14:textId="77777777" w:rsidR="00180E7C" w:rsidRDefault="00000000">
      <w:pPr>
        <w:pStyle w:val="BodyText"/>
      </w:pPr>
      <w:r>
        <w:t xml:space="preserve">The coupled architecture responds: The Lebanon layer’s design anticipated the spoiler with the coupled-tranche mechanics of Annex L: demobilization benchmarks and reconstruction disbursements advance together, so the spoiler faction’s constituencies lose visible money with every day of escalation, an incentive inversion the pre-Treaty structure never offered. </w:t>
      </w:r>
      <w:r>
        <w:lastRenderedPageBreak/>
        <w:t>Simultaneously, the non-signatory protocol of Article 81 activates its Israeli restraint channel at principals level: the United States delivers the pre-committed restraint message with the Treaty’s data layer attached, showing the parallel instrument’s monitoring cell records distinguishing the spoiler faction from the instrument’s participating parties. The distinction matters operationally: it gives Israel’s leadership a verified target discrimination that previous escalations lacked, narrowing any response toward the spoiler and away from the state infrastructure the reconstruction window just rebuilt.</w:t>
      </w:r>
    </w:p>
    <w:p w14:paraId="7EE414AE" w14:textId="77777777" w:rsidR="00180E7C" w:rsidRDefault="00000000">
      <w:pPr>
        <w:pStyle w:val="BodyText"/>
      </w:pPr>
      <w:r>
        <w:t>The regional organs: The Joint Commission convenes within 48 hours under the emergency provision; the Guarantor Matrix’s Qatar and Pakistan members activate their channels to the spoiler faction’s external patrons; the monitoring cell publishes its incident attribution within 72 hours under the Annex L standards. The demerit system applies asymmetrically: the spoiler sits outside the Treaty, so no points attach, but any Treaty Party found to have directed, funded, or facilitated the operation faces the Category 1 consequences, and the Cothrom claim procedure gives every Party the incentive to file evidence rather than exploit ambiguity.</w:t>
      </w:r>
    </w:p>
    <w:p w14:paraId="0EFA5924" w14:textId="77777777" w:rsidR="00180E7C" w:rsidRDefault="00000000">
      <w:pPr>
        <w:pStyle w:val="BodyText"/>
      </w:pPr>
      <w:r>
        <w:t>Resolution path: The scenario’s favorable path runs: verified attribution isolates the spoiler, restrained response preserves the instrument’s gains, the coupled tranches resume after a 30-day security review, and the spoiler faction emerges politically weaker, having demonstrated that escalation now costs its own constituency money. The adverse path, a full Israeli-Lebanese war, triggers the Treaty’s regional emergency session and suspends, but does not void, the parallel instrument, with the no-strike zones of Article 80 preserving the Treaty’s reconstruction assets from targeting by any Party’s operations.</w:t>
      </w:r>
    </w:p>
    <w:p w14:paraId="353A6C5B" w14:textId="77777777" w:rsidR="00180E7C" w:rsidRDefault="00000000">
      <w:pPr>
        <w:pStyle w:val="BodyText"/>
      </w:pPr>
      <w:r>
        <w:t>Lesson fixed in advance: Peripheral peace processes fail when spoilers pay no price and peacemakers pay every price. The coupled-tranche design inverts that arithmetic, and the attribution machinery keeps the inversion targeted at the spoiler rather than the society.</w:t>
      </w:r>
    </w:p>
    <w:p w14:paraId="1D5BB454" w14:textId="77777777" w:rsidR="00180E7C" w:rsidRDefault="00000000">
      <w:r>
        <w:pict w14:anchorId="34A7A18D">
          <v:rect id="_x0000_i1048" style="width:0;height:1.5pt" o:hralign="center" o:hrstd="t" o:hr="t"/>
        </w:pict>
      </w:r>
    </w:p>
    <w:p w14:paraId="6221C91D" w14:textId="77777777" w:rsidR="00180E7C" w:rsidRDefault="00000000">
      <w:pPr>
        <w:pStyle w:val="Heading2"/>
      </w:pPr>
      <w:bookmarkStart w:id="1230" w:name="X1ef12d37e0b9bc48a34e19544082427cb91ba7c"/>
      <w:bookmarkEnd w:id="1229"/>
      <w:r>
        <w:t>SP-23.13: Scenario Twelve: The Oil Price Collapse</w:t>
      </w:r>
    </w:p>
    <w:p w14:paraId="452D4C21" w14:textId="77777777" w:rsidR="00180E7C" w:rsidRDefault="00000000">
      <w:pPr>
        <w:pStyle w:val="FirstParagraph"/>
      </w:pPr>
      <w:r>
        <w:t>Trigger: In Month 28, a global demand shock drives crude prices down 45 percent in a quarter. Iran’s RDF co-financing capacity, sized against oil revenue assumptions, faces a contribution gap. Simultaneously, the Verified Services revenue of the Hormuz Authority declines with transit volumes, and the American strategic rationale for the energy cooperation chapter, stable supply at stable prices, inverts politically as cheap oil removes the urgency from US energy diplomacy.</w:t>
      </w:r>
    </w:p>
    <w:p w14:paraId="75CE6BB8" w14:textId="77777777" w:rsidR="00180E7C" w:rsidRDefault="00000000">
      <w:pPr>
        <w:pStyle w:val="BodyText"/>
      </w:pPr>
      <w:r>
        <w:t xml:space="preserve">The economic shock absorbers: The RDF charter of Annex I anticipated commodity cyclicality with three mechanisms. The contribution-smoothing rule permits Iran to reschedule its annual contribution across a rolling three-year window when its certified oil revenue falls below 70 percent of the baseline, with the shortfall covered by the Fund’s liquidity buffer and repaid from future upside years under the symmetric catch-up rule. The countercyclical project rule accelerates disbursement of already-approved infrastructure projects during downturns, converting the Fund into a stabilizer rather than a casualty of the cycle. The revenue-diversification chapter’s first-tranche projects, </w:t>
      </w:r>
      <w:r>
        <w:lastRenderedPageBreak/>
        <w:t>concentrated in non-oil tradables under Table I-3, begin yielding the export revenue that reduces the cycle’s bite in later years.</w:t>
      </w:r>
    </w:p>
    <w:p w14:paraId="0B077AF7" w14:textId="77777777" w:rsidR="00180E7C" w:rsidRDefault="00000000">
      <w:pPr>
        <w:pStyle w:val="BodyText"/>
      </w:pPr>
      <w:r>
        <w:t>The Authority’s finances: The corridor system’s fee structure of Annex B includes the volume-triggered reserve draw: when quarterly service revenue falls below 60 percent of the budget baseline, the Authority draws on its stabilization reserve, built from surplus years and sized at eighteen months of operating cost, before any staffing or safety program faces reduction. The parity staffing rules and the safety programs sit behind the reserve wall deliberately: a waterway governance body that cuts safety in downturns converts an economic cycle into a navigation hazard.</w:t>
      </w:r>
    </w:p>
    <w:p w14:paraId="390518CB" w14:textId="77777777" w:rsidR="00180E7C" w:rsidRDefault="00000000">
      <w:pPr>
        <w:pStyle w:val="BodyText"/>
      </w:pPr>
      <w:r>
        <w:t>The political layer: The Communication Working Group deploys the downturn narrative fixed in SP-21: the Treaty’s economic architecture functioning countercyclically is the story, told with the Fund’s published data, against the predictable charge in both capitals that the deal’s economics failed. The charge and the answer both arrived on schedule; only the answer required drafting.</w:t>
      </w:r>
    </w:p>
    <w:p w14:paraId="1394ED07" w14:textId="77777777" w:rsidR="00180E7C" w:rsidRDefault="00000000">
      <w:pPr>
        <w:pStyle w:val="BodyText"/>
      </w:pPr>
      <w:r>
        <w:t>Lesson fixed in advance: Economic chapters of peace treaties fail on commodity cycles with actuarial certainty. Pricing the cycle into the charter, smoothing rules, buffers, countercyclical disbursement, converts the cycle from a deal-breaker into a demonstration of the design.</w:t>
      </w:r>
    </w:p>
    <w:p w14:paraId="5355F1BF" w14:textId="77777777" w:rsidR="00180E7C" w:rsidRDefault="00000000">
      <w:r>
        <w:pict w14:anchorId="1DED6E19">
          <v:rect id="_x0000_i1049" style="width:0;height:1.5pt" o:hralign="center" o:hrstd="t" o:hr="t"/>
        </w:pict>
      </w:r>
    </w:p>
    <w:p w14:paraId="2327FBD0" w14:textId="77777777" w:rsidR="00180E7C" w:rsidRDefault="00000000">
      <w:pPr>
        <w:pStyle w:val="Heading2"/>
      </w:pPr>
      <w:bookmarkStart w:id="1231" w:name="Xd27ab5453d73769991382798604dc5ed7ed3c7c"/>
      <w:bookmarkEnd w:id="1230"/>
      <w:r>
        <w:t>SP-23.14: Scenario Thirteen: The Access Denial</w:t>
      </w:r>
    </w:p>
    <w:p w14:paraId="4FF422B8" w14:textId="77777777" w:rsidR="00180E7C" w:rsidRDefault="00000000">
      <w:pPr>
        <w:pStyle w:val="FirstParagraph"/>
      </w:pPr>
      <w:r>
        <w:t>Trigger: In Month 24, an IAEA anytime-access request under Article 62’s 24-hour protocol reaches a site on the managed-access list, a conventional military facility with declared dual-use history. The facility’s commander, citing a live conventional exercise, delays inspector entry for 19 hours beyond the deadline. The delay is genuine in military terms: the exercise involves live ammunition and foreign-observation-sensitive equipment. It is also exactly the delay pattern that, in the pre-Treaty era, preceded the hardest disputes.</w:t>
      </w:r>
    </w:p>
    <w:p w14:paraId="63E4C39C" w14:textId="77777777" w:rsidR="00180E7C" w:rsidRDefault="00000000">
      <w:pPr>
        <w:pStyle w:val="BodyText"/>
      </w:pPr>
      <w:r>
        <w:t>The managed-access machinery: Article 62 and Annex F’s access protocol anticipated the collision between verification rights and legitimate military confidentiality, and built the managed-access toolbox for it: shrouding of sensitive equipment, escorted access with time-sliced entry, and alternative verification measures including environmental sampling at perimeters and process-data review. The 19-hour overage enters the anomaly system at Level 2 automatically, with the deadline breach itself recorded as a technical violation worth one demerit point regardless of justification, the design’s deliberate choice to keep deadlines priced, while the substantive question, whether the facility concealed nuclear-relevant activity during the delay, proceeds on evidence rather than inference.</w:t>
      </w:r>
    </w:p>
    <w:p w14:paraId="5A311E8C" w14:textId="77777777" w:rsidR="00180E7C" w:rsidRDefault="00000000">
      <w:pPr>
        <w:pStyle w:val="BodyText"/>
      </w:pPr>
      <w:r>
        <w:t xml:space="preserve">The evidence phase: The inspectors’ eventual access, plus the perimeter sampling conducted during the delay window, plus the continuous-monitoring data from the site’s declared nuclear-relevant sensors, triangulate. The sampling returns clean. The sensor record shows no anomaly. The exercise’s existence verifies through the notification system, because the live-fire exercise was itself notified through the Title II exercise-notification </w:t>
      </w:r>
      <w:r>
        <w:lastRenderedPageBreak/>
        <w:t>channel ten days earlier, a fact the Registry produces instantly. The anomaly closes at Day 6 with a published finding: deadline violation confirmed and pointed, concealment hypothesis not supported, managed-access procedures refined for simultaneous-exercise cases.</w:t>
      </w:r>
    </w:p>
    <w:p w14:paraId="296DC9C3" w14:textId="77777777" w:rsidR="00180E7C" w:rsidRDefault="00000000">
      <w:pPr>
        <w:pStyle w:val="BodyText"/>
      </w:pPr>
      <w:r>
        <w:t>Why the publication matters: The finding’s publication through the Swiss dashboard gives both publics the full pattern: a real violation, priced; a real verification process, functioning; a sinister hypothesis, tested and rejected on evidence. The pre-Treaty information environment would have offered only the violation, and the hypothesis, untested and untestable, would have done the political damage. The scenario measures the dashboard’s true value: it converts verification from a rumor market into a public record.</w:t>
      </w:r>
    </w:p>
    <w:p w14:paraId="73E1FCB4" w14:textId="77777777" w:rsidR="00180E7C" w:rsidRDefault="00000000">
      <w:pPr>
        <w:pStyle w:val="BodyText"/>
      </w:pPr>
      <w:r>
        <w:t>Lesson fixed in advance: Access disputes destroy verification regimes through ambiguity accumulation, not through single refusals. Pricing the procedural violation while adjudicating the substantive question on evidence keeps both the deadline’s authority and the regime’s fairness intact.</w:t>
      </w:r>
    </w:p>
    <w:p w14:paraId="3FA86E71" w14:textId="77777777" w:rsidR="00180E7C" w:rsidRDefault="00000000">
      <w:r>
        <w:pict w14:anchorId="38A580AF">
          <v:rect id="_x0000_i1050" style="width:0;height:1.5pt" o:hralign="center" o:hrstd="t" o:hr="t"/>
        </w:pict>
      </w:r>
    </w:p>
    <w:p w14:paraId="3BA1B201" w14:textId="77777777" w:rsidR="00180E7C" w:rsidRDefault="00000000">
      <w:pPr>
        <w:pStyle w:val="Heading2"/>
      </w:pPr>
      <w:bookmarkStart w:id="1232" w:name="Xa5f22ae5ced35ae3a6e42ad3668561c7c000948"/>
      <w:bookmarkEnd w:id="1231"/>
      <w:r>
        <w:t>SP-23.15: Scenario Fourteen: The Missile Test at the Boundary</w:t>
      </w:r>
    </w:p>
    <w:p w14:paraId="453698BE" w14:textId="77777777" w:rsidR="00180E7C" w:rsidRDefault="00000000">
      <w:pPr>
        <w:pStyle w:val="FirstParagraph"/>
      </w:pPr>
      <w:r>
        <w:t>Trigger: In Month 32, Iran conducts a flight test of a new medium-range ballistic missile with a demonstrated range of 1,980 kilometers, twenty kilometers inside the 2,000-kilometer ceiling of the missile dialogue’s voluntary framework of Annex K. The test was notified 72 hours in advance per the dialogue’s transparency protocol. The notification’s range figure, 1,950 kilometers, understates the observed range by thirty kilometers, within the dialogue’s stated measurement tolerance of plus or minus 2 percent, but the Western technical community’s public estimates fix on the 1,980 figure, and the political narrative writes itself: “Iran tests near-nuclear-capable missile weeks after sanctions relief.”</w:t>
      </w:r>
    </w:p>
    <w:p w14:paraId="5A8E9CB2" w14:textId="77777777" w:rsidR="00180E7C" w:rsidRDefault="00000000">
      <w:pPr>
        <w:pStyle w:val="BodyText"/>
      </w:pPr>
      <w:r>
        <w:t>The dialogue’s design under load: Annex K’s architecture rests on the drafters’ core judgment: the missile file admits no verified elimination, because indigenous missile capability is non-negotiable for Iran and non-monitorable at zero for the United States, so the file’s realistic content is transparency plus boundaries plus the nuclear-capable exclusion. The scenario activates all three. Transparency: the notification system worked, and the test’s advance notice plus observed parameters publish through the dialogue’s registry, denying the narrative its “secret test” element. Boundary: the 2,000-kilometer ceiling held, and the registry’s running compliance table shows thirty-two consecutive notified tests inside the ceiling across thirty-two months, a compliance record the narrative omits and the dashboard supplies. Exclusion: the nuclear-capable question routes to the technical annex’s delivery-system assessment, which the IAEA-adjacent expert panel of the dialogue reviews quarterly; the new system’s throw-weight and guidance class place it inside the conventional category on the published criteria.</w:t>
      </w:r>
    </w:p>
    <w:p w14:paraId="2C1E332E" w14:textId="77777777" w:rsidR="00180E7C" w:rsidRDefault="00000000">
      <w:pPr>
        <w:pStyle w:val="BodyText"/>
      </w:pPr>
      <w:r>
        <w:t xml:space="preserve">The deliberate imperfection, defended: The Atlas records what the Treaty’s text implies: the missile chapter is the settlement’s thinnest layer, and the drafters knew it, and chose transparency-plus-ceiling over a fictitious ban because a fictitious ban’s collapse would have contaminated the verifiable chapters. The scenario’s resolution demonstrates the </w:t>
      </w:r>
      <w:r>
        <w:lastRenderedPageBreak/>
        <w:t>choice’s payoff: the test produces a news cycle, not a crisis, because every element of the story’s ammunition, secrecy, boundary-crossing, nuclear linkage, meets a published record that refutes it. The step-back architecture never stirs: no violation occurred, and the dialogue’s registry proves it.</w:t>
      </w:r>
    </w:p>
    <w:p w14:paraId="1D9E2F60" w14:textId="77777777" w:rsidR="00180E7C" w:rsidRDefault="00000000">
      <w:pPr>
        <w:pStyle w:val="BodyText"/>
      </w:pPr>
      <w:r>
        <w:t>Lesson fixed in advance: On files where full resolution is unattainable, disciplined transparency converts permanent friction from an existential threat into a managed irritant, and the honesty of the chapter’s limits protects the credibility of the chapters that go further.</w:t>
      </w:r>
    </w:p>
    <w:p w14:paraId="588C2A2C" w14:textId="77777777" w:rsidR="00180E7C" w:rsidRDefault="00000000">
      <w:r>
        <w:pict w14:anchorId="40469DFA">
          <v:rect id="_x0000_i1051" style="width:0;height:1.5pt" o:hralign="center" o:hrstd="t" o:hr="t"/>
        </w:pict>
      </w:r>
    </w:p>
    <w:p w14:paraId="143AD1F3" w14:textId="77777777" w:rsidR="00180E7C" w:rsidRDefault="00000000">
      <w:pPr>
        <w:pStyle w:val="Heading2"/>
      </w:pPr>
      <w:bookmarkStart w:id="1233" w:name="X539ca657822dfa33feb8f5d830411022ea6d8d7"/>
      <w:bookmarkEnd w:id="1232"/>
      <w:r>
        <w:t>SP-23.16: Scenario Fifteen: The Guarantor Crisis</w:t>
      </w:r>
    </w:p>
    <w:p w14:paraId="2F950356" w14:textId="77777777" w:rsidR="00180E7C" w:rsidRDefault="00000000">
      <w:pPr>
        <w:pStyle w:val="FirstParagraph"/>
      </w:pPr>
      <w:r>
        <w:t>Trigger: In Month 44, one of the Guarantor Matrix’s members undergoes a domestic political upheaval that incapacitates its guarantor functions for an indefinite period: its mediation teams withdraw, its hosted channels close, and its financial-node participation in the escrow architecture faces legal challenge under its own emergency decrees.</w:t>
      </w:r>
    </w:p>
    <w:p w14:paraId="02ADCC98" w14:textId="77777777" w:rsidR="00180E7C" w:rsidRDefault="00000000">
      <w:pPr>
        <w:pStyle w:val="BodyText"/>
      </w:pPr>
      <w:r>
        <w:t>The succession machinery: Annex N’s design treated guarantor incapacity as a when, not an if, and built the succession protocol accordingly. The Matrix’s functions distribute across four states precisely so that no single incapacity breaks the system: the withdrawing guarantor’s mediation files transfer within 30 days to the successor-designate named in its original instrument of accession, a requirement the drafters borrowed from trust-law practice; its hosted channels fail over to the Swiss Facilitator’s permanent infrastructure, the redundancy layer that exists for this case; and its financial-node role faces the escrow architecture’s node-redundancy rule, under which every critical financial function runs through at least two jurisdictions at all times, so the emergency decree freezes a redundant node, not the system.</w:t>
      </w:r>
    </w:p>
    <w:p w14:paraId="608E883B" w14:textId="77777777" w:rsidR="00180E7C" w:rsidRDefault="00000000">
      <w:pPr>
        <w:pStyle w:val="BodyText"/>
      </w:pPr>
      <w:r>
        <w:t>The deeper stress: The scenario’s genuine danger lies beyond mechanics: a guarantor’s collapse signals regional instability that could attach to the Treaty itself. The Matrix’s response protocol addresses the signal: the remaining guarantors convene the Article 15 consultation guarantee within seven days, issue the joint continuity declaration, and open the accession window for a replacement member under the pre-agreed criteria, regional standing, channels to both Parties, financial infrastructure, and domestic stability, with the candidate list maintained continuously by the depository precisely so that a vacancy never opens a negotiation vacuum during a crisis.</w:t>
      </w:r>
    </w:p>
    <w:p w14:paraId="570D354C" w14:textId="77777777" w:rsidR="00180E7C" w:rsidRDefault="00000000">
      <w:pPr>
        <w:pStyle w:val="BodyText"/>
      </w:pPr>
      <w:r>
        <w:t>Lesson fixed in advance: Institutional design for the Gulf assumes institutional failure in the Gulf. Redundancy, succession instruments, and pre-negotiated accession criteria convert a guarantor crisis from a systemic threat into a 30-day administrative transfer.</w:t>
      </w:r>
    </w:p>
    <w:p w14:paraId="30C28ABD" w14:textId="77777777" w:rsidR="00180E7C" w:rsidRDefault="00000000">
      <w:r>
        <w:pict w14:anchorId="702768F1">
          <v:rect id="_x0000_i1052" style="width:0;height:1.5pt" o:hralign="center" o:hrstd="t" o:hr="t"/>
        </w:pict>
      </w:r>
    </w:p>
    <w:p w14:paraId="32513E3E" w14:textId="77777777" w:rsidR="00180E7C" w:rsidRDefault="00000000">
      <w:pPr>
        <w:pStyle w:val="Heading2"/>
      </w:pPr>
      <w:bookmarkStart w:id="1234" w:name="Xecf5d06421765e059e19255707327f39cd1ed9c"/>
      <w:bookmarkEnd w:id="1233"/>
      <w:r>
        <w:t>SP-23.17: Scenario Sixteen: The Secondary Sanctions Collision</w:t>
      </w:r>
    </w:p>
    <w:p w14:paraId="71CD923C" w14:textId="77777777" w:rsidR="00180E7C" w:rsidRDefault="00000000">
      <w:pPr>
        <w:pStyle w:val="FirstParagraph"/>
      </w:pPr>
      <w:r>
        <w:t xml:space="preserve">Trigger: In Month 38, the United States Treasury, acting on evidence of a European bank’s processing of transactions for an entity outside the Treaty’s comfort package, an entity </w:t>
      </w:r>
      <w:r>
        <w:lastRenderedPageBreak/>
        <w:t>connected to a prohibited-activity file that postdates the settlement, announces secondary-sanctions exposure against the bank. European governments protest that the action chills the cleared channel’s legitimate business. Tehran reads the move as sanctions reimposition by another name. The distinction between new-conduct enforcement and old-architecture revival blurs in every capital’s telling.</w:t>
      </w:r>
    </w:p>
    <w:p w14:paraId="766FED19" w14:textId="77777777" w:rsidR="00180E7C" w:rsidRDefault="00000000">
      <w:pPr>
        <w:pStyle w:val="BodyText"/>
      </w:pPr>
      <w:r>
        <w:t>The definitional firebreak: Title IV’s architecture anticipated this exact collision and built the firebreak into Annex G’s definitions: the Treaty preserves US jurisdiction over conduct postdating the settlement and outside its comfort lists, while terminating the terminated authorities as scheduled. The collision therefore resolves first as a question of classification, and the classification machinery is the EMB’s: the monitoring body examines the enforcement action against the Register and issues a classification finding, new-conduct enforcement or scheduled-authority revival, within the expedited ten-day track. The finding’s authority derives from the published criteria, and both Parties committed to the classification process precisely so this dispute has a referee.</w:t>
      </w:r>
    </w:p>
    <w:p w14:paraId="3EE7C81A" w14:textId="77777777" w:rsidR="00180E7C" w:rsidRDefault="00000000">
      <w:pPr>
        <w:pStyle w:val="BodyText"/>
      </w:pPr>
      <w:r>
        <w:t>The channel-protection layer: The comfort package’s bank-protection provisions activate simultaneously: Treasury issues the clarification letter confirming that the cleared channel’s transactions, listed counterparties, published purposes, remain unaffected, and the letter’s speed matters more than its content, because correspondent banking runs on rumor faster than on law. The EMB’s finding lands on Day 9: new-conduct enforcement, properly grounded in post-settlement conduct, outside the Treaty’s objection scope. Iran’s corresponding discipline: the finding’s acceptance, filed on record, with the parallel track, the new entity file, entering the Article 23 consultation channel where the underlying conduct dispute belongs.</w:t>
      </w:r>
    </w:p>
    <w:p w14:paraId="5CF45633" w14:textId="77777777" w:rsidR="00180E7C" w:rsidRDefault="00000000">
      <w:pPr>
        <w:pStyle w:val="BodyText"/>
      </w:pPr>
      <w:r>
        <w:t>Resolution path: The bank’s exposure resolves through the standard remediation track; the cleared channel continues uninterrupted; and the episode closes with the classification machinery’s credibility established in both directions: Washington demonstrated that targeted enforcement survives the Treaty, Tehran demonstrated that targeted enforcement does not silently become general reimposition, because the EMB watched. The scenario measures the architecture’s most sophisticated seam, the boundary between peace and policing, and the seam holds because the drafters drew it in definitions rather than in assurances.</w:t>
      </w:r>
    </w:p>
    <w:p w14:paraId="249BCAAE" w14:textId="77777777" w:rsidR="00180E7C" w:rsidRDefault="00000000">
      <w:pPr>
        <w:pStyle w:val="BodyText"/>
      </w:pPr>
      <w:r>
        <w:t>Lesson fixed in advance: Sanctions regimes and peace treaties collide at the boundary of new conduct. Draw the boundary in scheduled definitions, staff the classification, and protect the cleared channel with speed, and the collision resolves as administration rather than as crisis.</w:t>
      </w:r>
    </w:p>
    <w:p w14:paraId="07BB3B1F" w14:textId="77777777" w:rsidR="00180E7C" w:rsidRDefault="00000000">
      <w:r>
        <w:pict w14:anchorId="32F1DFAF">
          <v:rect id="_x0000_i1053" style="width:0;height:1.5pt" o:hralign="center" o:hrstd="t" o:hr="t"/>
        </w:pict>
      </w:r>
    </w:p>
    <w:p w14:paraId="34D7D9CC" w14:textId="77777777" w:rsidR="00180E7C" w:rsidRDefault="00000000">
      <w:pPr>
        <w:pStyle w:val="Heading2"/>
      </w:pPr>
      <w:bookmarkStart w:id="1235" w:name="Xfe46dfa7bfdad63ab0f51084b6b41a1a6a7cadf"/>
      <w:bookmarkEnd w:id="1234"/>
      <w:r>
        <w:t>SP-23.18: Scenario Seventeen: The Boardroom Ambush</w:t>
      </w:r>
    </w:p>
    <w:p w14:paraId="57CB302A" w14:textId="77777777" w:rsidR="00180E7C" w:rsidRDefault="00000000">
      <w:pPr>
        <w:pStyle w:val="FirstParagraph"/>
      </w:pPr>
      <w:r>
        <w:t xml:space="preserve">Trigger: In Month 42, at a scheduled IAEA Board of Governors meeting, a group of member states tables a resolution condemning an Iranian verification episode, a Level 2 anomaly already moving through the Treaty’s own chain, and calling for reporting the file to the Security Council. The resolution’s timing, mid-chain, before the Day 5 senior session, </w:t>
      </w:r>
      <w:r>
        <w:lastRenderedPageBreak/>
        <w:t>threatens to pull a working anomaly out of the Cothrom machinery and into the UN’s political theater, where the old escalation grammar waits.</w:t>
      </w:r>
    </w:p>
    <w:p w14:paraId="290398EB" w14:textId="77777777" w:rsidR="00180E7C" w:rsidRDefault="00000000">
      <w:pPr>
        <w:pStyle w:val="BodyText"/>
      </w:pPr>
      <w:r>
        <w:t>The governance interface: Article 62’s interface provisions govern the Treaty’s relationship with the Agency’s governance: the Parties committed to route file developments through the Treaty chain first, with Board engagement following the chain’s conclusions rather than racing ahead of them. The ambush scenario tests the commitment’s enforcement, which runs through coalition maintenance: the Treaty’s guarantors and the European signatories of the endorsement resolution hold pre-agreed positions, fixed in SP-21’s diplomatic playbook, that Board action on Treaty files awaits the chain’s output. The Swiss Facilitator’s Vienna office executes the playbook: consultations with key Board members, the chain’s status communicated with the anomaly’s full data, and the counter-motion’s preparation, a procedural reference to the ongoing Treaty process with a reporting date.</w:t>
      </w:r>
    </w:p>
    <w:p w14:paraId="0A0E4B29" w14:textId="77777777" w:rsidR="00180E7C" w:rsidRDefault="00000000">
      <w:pPr>
        <w:pStyle w:val="BodyText"/>
      </w:pPr>
      <w:r>
        <w:t>Day 1 to 12: The procedural counter-motion carries: the Board defers to the Treaty chain and schedules its own review for the session following the chain’s Day 5 conclusion. The chain completes: the anomaly resolves at Level 2 with a corrective-action record, and the resolution’s publication gives the Board’s deferred session a closed file rather than an open wound. The condemning coalition’s second act, the deferred session, now faces a resolved anomaly and a published record, and the session ends in a welcome-the-resolution statement, the face-saving formula the playbook pre-drafted.</w:t>
      </w:r>
    </w:p>
    <w:p w14:paraId="61662AED" w14:textId="77777777" w:rsidR="00180E7C" w:rsidRDefault="00000000">
      <w:pPr>
        <w:pStyle w:val="BodyText"/>
      </w:pPr>
      <w:r>
        <w:t>The deeper function: The scenario’s real subject is the Treaty’s relationship with the pre-existing multilateral machinery, which carries the old conflict’s institutional memory and its incentives. The architecture’s answer is not exclusion, the Board’s statutory role stands untouched, but sequencing: the Treaty chain works first because it works faster and with better data, and the Board’s role shifts from battlefield to auditorium, receiving the chain’s outputs as the competent governing body of the safeguards system the Treaty operates inside. The Atlas records the judgment: multilateral institutions absorb peace treaties well when the treaties feed them finished work and badly when the treaties route fights into them.</w:t>
      </w:r>
    </w:p>
    <w:p w14:paraId="2789A76E" w14:textId="77777777" w:rsidR="00180E7C" w:rsidRDefault="00000000">
      <w:pPr>
        <w:pStyle w:val="BodyText"/>
      </w:pPr>
      <w:r>
        <w:t>Lesson fixed in advance: Every treaty organ lives inside older institutions with older reflexes. Sequencing commitments, coalition maintenance, and pre-drafted face-savers convert institutional ambushes into procedural scheduling, which is where such crises belong.</w:t>
      </w:r>
    </w:p>
    <w:p w14:paraId="66E8FEED" w14:textId="77777777" w:rsidR="00180E7C" w:rsidRDefault="00000000">
      <w:r>
        <w:pict w14:anchorId="041F196A">
          <v:rect id="_x0000_i1054" style="width:0;height:1.5pt" o:hralign="center" o:hrstd="t" o:hr="t"/>
        </w:pict>
      </w:r>
    </w:p>
    <w:p w14:paraId="1388AD61" w14:textId="77777777" w:rsidR="00180E7C" w:rsidRDefault="00000000">
      <w:pPr>
        <w:pStyle w:val="Heading2"/>
      </w:pPr>
      <w:bookmarkStart w:id="1236" w:name="Xa101685acc6993cc0afeea7d97631604117f6a7"/>
      <w:bookmarkEnd w:id="1235"/>
      <w:r>
        <w:t>SP-23.19: Scenario Eighteen: The Project Failure</w:t>
      </w:r>
    </w:p>
    <w:p w14:paraId="7D702F90" w14:textId="77777777" w:rsidR="00180E7C" w:rsidRDefault="00000000">
      <w:pPr>
        <w:pStyle w:val="FirstParagraph"/>
      </w:pPr>
      <w:r>
        <w:t>Trigger: In Month 30, an investigative journalism consortium publishes a documented account of procurement irregularities in one of the RDF’s early-win projects: inflated contracts, a politically connected subcontractor, and audit trails suggesting kickbacks totaling forty million dollars. The project sits in the most politically sensitive geography of the entire portfolio. Opposition figures in both capitals seize the story: in Washington, proof that the Fund launders corruption; in Tehran, proof that international governance humiliates Iranian institutions; in the region, proof that nothing changes.</w:t>
      </w:r>
    </w:p>
    <w:p w14:paraId="53DD9289" w14:textId="77777777" w:rsidR="00180E7C" w:rsidRDefault="00000000">
      <w:pPr>
        <w:pStyle w:val="BodyText"/>
      </w:pPr>
      <w:r>
        <w:lastRenderedPageBreak/>
        <w:t>Hour 0 to 72: The RDF charter’s integrity machinery activates on the publication itself, without waiting for any governor’s referral, because the charter’s automatic-referral rule triggers on credible public allegations. The evaluation office freezes the affected contracts’ disbursements within the 24-hour standard, the external auditor receives the expanded mandate, and the procurement manual’s suspension provisions isolate the implicated subcontractor from every active tender. The transparency portal’s design now pays its founding dividend: the project’s complete procurement record is already public, so the investigation proceeds from the Fund’s own published data, and the Fund’s first public statement consists of the record plus the freeze announcement, not a denial.</w:t>
      </w:r>
    </w:p>
    <w:p w14:paraId="764B68E8" w14:textId="77777777" w:rsidR="00180E7C" w:rsidRDefault="00000000">
      <w:pPr>
        <w:pStyle w:val="BodyText"/>
      </w:pPr>
      <w:r>
        <w:t>Day 3 to 60: The forensic audit confirms irregularities in two of five examined contracts, quantifies the loss at twenty-three million dollars, and identifies the responsible officials. The charter’s recovery provisions execute: contract clawbacks, the state’s own prosecution referral through the host country’s judiciary, the subcontractor’s debarment across the Fund’s entire portfolio, and the board’s public censure of the appraisal failures that let the contracts through. The recovery publishes line by line. The board then faces the harder decision: whether the project’s public purpose survives its corrupted procurement. The charter’s continuity rule answers: the project’s civil works rebid under emergency procurement with the evaluation office embedded, because the wastewater plant’s beneficiaries carry no guilt for the contracts’ corruption.</w:t>
      </w:r>
    </w:p>
    <w:p w14:paraId="46049600" w14:textId="77777777" w:rsidR="00180E7C" w:rsidRDefault="00000000">
      <w:pPr>
        <w:pStyle w:val="BodyText"/>
      </w:pPr>
      <w:r>
        <w:t>The political economy: The scenario tests the Fund’s foundational wager, that radical transparency converts corruption from an existential scandal into a solvable administrative event. The wager holds where it matters: the complete publication of the audit, the recoveries, and the rebid gives both governments the defense of the institution rather than the defense of the indefensible, and the opposition narrative loses the concealment it needs. The demerit system takes no part, by design: the Fund’s integrity failures route through the charter’s own machinery, because the Treaty’s remedy architecture governs obligations between the Parties, and the Fund’s internal integrity belongs to its fiduciary law.</w:t>
      </w:r>
    </w:p>
    <w:p w14:paraId="38FB5272" w14:textId="77777777" w:rsidR="00180E7C" w:rsidRDefault="00000000">
      <w:pPr>
        <w:pStyle w:val="BodyText"/>
      </w:pPr>
      <w:r>
        <w:t>Lesson fixed in advance: Large funds in hard regions produce corruption events with actuarial certainty. The design choice is whether the events arrive inside a machinery of freeze, audit, recover, rebid, publish, or inside a machinery of deny, conceal, defend, collapse. The charter chooses the first, and the scenario shows the choice holding.</w:t>
      </w:r>
    </w:p>
    <w:p w14:paraId="1C96AE17" w14:textId="77777777" w:rsidR="00180E7C" w:rsidRDefault="00000000">
      <w:r>
        <w:pict w14:anchorId="381EAD02">
          <v:rect id="_x0000_i1055" style="width:0;height:1.5pt" o:hralign="center" o:hrstd="t" o:hr="t"/>
        </w:pict>
      </w:r>
    </w:p>
    <w:p w14:paraId="5BA1778E" w14:textId="77777777" w:rsidR="00180E7C" w:rsidRDefault="00000000">
      <w:pPr>
        <w:pStyle w:val="Heading2"/>
      </w:pPr>
      <w:bookmarkStart w:id="1237" w:name="X73b673d63e063938799d2cbaff34a6ce91bb138"/>
      <w:bookmarkEnd w:id="1236"/>
      <w:r>
        <w:t>SP-23.20: Scenario Nineteen: The Breakout Floor Drift</w:t>
      </w:r>
    </w:p>
    <w:p w14:paraId="5C745C33" w14:textId="77777777" w:rsidR="00180E7C" w:rsidRDefault="00000000">
      <w:pPr>
        <w:pStyle w:val="FirstParagraph"/>
      </w:pPr>
      <w:r>
        <w:t>Trigger: In Month 52, the quarterly breakout computation publishes at 12.4 months, down from the 14-month band of the previous four quarters. No violation explains the drift: the inventory holds at ceiling, the machines hold at envelope, the storage holds at seal. The drift’s source is computational: the methodology’s reconstitution-time variable, updated against the storage discipline’s observed timelines, shortened as the annual inventories demonstrated faster container access than the conservative initial assumptions. The floor holds, but the margin thins, and the thinning is the story.</w:t>
      </w:r>
    </w:p>
    <w:p w14:paraId="7701F3A8" w14:textId="77777777" w:rsidR="00180E7C" w:rsidRDefault="00000000">
      <w:pPr>
        <w:pStyle w:val="BodyText"/>
      </w:pPr>
      <w:r>
        <w:lastRenderedPageBreak/>
        <w:t>The methodology review: The 15-month review trigger never fires, the 12-month floor never bends, but the drift’s publication activates the methodology annex’s own maintenance procedure: the computation office convenes the methodology review with both Parties’ technical experts in observer seats, and the review’s question is honest and narrow: do the observed timelines reflect reality, and does reality require an architectural response. The review confirms the observations. The architecture’s response options, pre-listed in the annex, price the drift without renegotiating the bargain: the storage discipline tightens its access timelines through a technical amendment under Article 72’s simplified track, lengthening the reconstitution variable back toward the design assumption, and the JMC adopts the amendment in the procedure’s eleven-week rhythm.</w:t>
      </w:r>
    </w:p>
    <w:p w14:paraId="20ED59C9" w14:textId="77777777" w:rsidR="00180E7C" w:rsidRDefault="00000000">
      <w:pPr>
        <w:pStyle w:val="BodyText"/>
      </w:pPr>
      <w:r>
        <w:t>The narrative layer: The scenario’s danger lies in the headline “breakout time falls toward floor” stripped of context. The dashboard’s design answers: the computation publishes with its decomposition, showing the floor intact, the cause identified, and the amendment in process, and the Communication Working Group’s pre-agreed language for margin events deploys in both capitals. The episode’s resolution, a technical amendment restoring margin, published and verified, becomes the demonstration the architecture needed that its maintenance layer works: the Treaty adjusts its own engineering without crisis, the property that separates a living instrument from a deteriorating one.</w:t>
      </w:r>
    </w:p>
    <w:p w14:paraId="4C9A4145" w14:textId="77777777" w:rsidR="00180E7C" w:rsidRDefault="00000000">
      <w:pPr>
        <w:pStyle w:val="BodyText"/>
      </w:pPr>
      <w:r>
        <w:t>Lesson fixed in advance: Verification regimes calcify when their parameters never review and panic when parameters drift without a maintenance grammar. The methodology annex’s review-and-amend cycle gives the regime the third state: maintained.</w:t>
      </w:r>
    </w:p>
    <w:p w14:paraId="54C6D852" w14:textId="77777777" w:rsidR="00180E7C" w:rsidRDefault="00000000">
      <w:r>
        <w:pict w14:anchorId="0BDFF3BB">
          <v:rect id="_x0000_i1056" style="width:0;height:1.5pt" o:hralign="center" o:hrstd="t" o:hr="t"/>
        </w:pict>
      </w:r>
    </w:p>
    <w:p w14:paraId="6B659CF9" w14:textId="77777777" w:rsidR="00180E7C" w:rsidRDefault="00000000">
      <w:pPr>
        <w:pStyle w:val="Heading2"/>
      </w:pPr>
      <w:bookmarkStart w:id="1238" w:name="Xbbf4a4c6d58ab79d48215fdf51a1bc96c6b277a"/>
      <w:bookmarkEnd w:id="1237"/>
      <w:r>
        <w:t>SP-23.21: Scenario Twenty: The Fifty-First Issue</w:t>
      </w:r>
    </w:p>
    <w:p w14:paraId="3443FED5" w14:textId="77777777" w:rsidR="00180E7C" w:rsidRDefault="00000000">
      <w:pPr>
        <w:pStyle w:val="FirstParagraph"/>
      </w:pPr>
      <w:r>
        <w:t>Trigger: In Month 50, an event occurs that this Atlas did not list: a novel technology, an unanticipated actor, a collision between treaty systems none of the drafters modeled. The Atlas declines to specify it, because its point is that the drafters could not.</w:t>
      </w:r>
    </w:p>
    <w:p w14:paraId="2F940D51" w14:textId="77777777" w:rsidR="00180E7C" w:rsidRDefault="00000000">
      <w:pPr>
        <w:pStyle w:val="BodyText"/>
      </w:pPr>
      <w:r>
        <w:t>The meta-mechanism: The Treaty’s answer to the unlisted case is the same grammar this Issue Book applied fifty times, now generalized. Article 69’s dispute-resolution ladder accepts any subject matter by design, with no enumerated-jurisdiction limit. The Joint Commission’s mandate extends to “any question concerning the interpretation or application of this Treaty,” the deliberate breadth that lets the commission absorb novel files without amendment. The Cothrom method’s claim/objection/chain grammar attaches to any declarable obligation, and the amendment procedure of Article 72 provides the channel when the novel case exposes a genuine gap in the text rather than a dispute under it. The step-back architecture’s ceilings apply to any remedy, so even the unlisted crisis cannot produce a disproportionate cascade.</w:t>
      </w:r>
    </w:p>
    <w:p w14:paraId="5DCFB165" w14:textId="77777777" w:rsidR="00180E7C" w:rsidRDefault="00000000">
      <w:pPr>
        <w:pStyle w:val="BodyText"/>
      </w:pPr>
      <w:r>
        <w:t xml:space="preserve">The closing observation of the Atlas: Twenty scenarios walk the architecture through seizure, discrepancy, intrusion, assassination, legislation, delisting, escrow, accumulation, drill, transition, spoiler, cycle, denial, test, collapse, boundary, ambush, failure, drift, and novelty. Each ends inside the system. That is the design’s claim, and the Atlas states it </w:t>
      </w:r>
      <w:r>
        <w:lastRenderedPageBreak/>
        <w:t>precisely: not that crises stay away, but that the Parties have already agreed, in exhausting detail, what to do when they do.</w:t>
      </w:r>
    </w:p>
    <w:p w14:paraId="03D548C9" w14:textId="77777777" w:rsidR="00180E7C" w:rsidRDefault="00000000">
      <w:pPr>
        <w:pStyle w:val="Heading1"/>
      </w:pPr>
      <w:bookmarkStart w:id="1239" w:name="Xf1b8d82c3d6d715e15e143472568b2f6df93416"/>
      <w:bookmarkStart w:id="1240" w:name="_Toc237843210"/>
      <w:bookmarkEnd w:id="1216"/>
      <w:bookmarkEnd w:id="1238"/>
      <w:r>
        <w:t>SUPPLEMENTARY PROTOCOL SP-24: RATIFICATION AND CONSTITUTIONAL DOSSIERS</w:t>
      </w:r>
      <w:bookmarkEnd w:id="1240"/>
    </w:p>
    <w:p w14:paraId="2855F960" w14:textId="77777777" w:rsidR="00180E7C" w:rsidRDefault="00000000">
      <w:pPr>
        <w:pStyle w:val="Heading2"/>
      </w:pPr>
      <w:bookmarkStart w:id="1241" w:name="sp-24.1-purpose"/>
      <w:r>
        <w:t>SP-24.1: Purpose</w:t>
      </w:r>
    </w:p>
    <w:p w14:paraId="054C8DC1" w14:textId="77777777" w:rsidR="00180E7C" w:rsidRDefault="00000000">
      <w:pPr>
        <w:pStyle w:val="FirstParagraph"/>
      </w:pPr>
      <w:r>
        <w:t>A treaty between the Islamic Republic of Iran and the United States of America passes through two constitutional systems that share almost nothing: one a theocratic-republican hybrid with a Guardian Council and a Supreme Leader’s office, the other a federal presidential republic with a Senate, a Congress, and a judiciary that polices the boundary between executive agreement and treaty. This protocol assembles the ratification dossier for each system: the procedural path, the legal instruments, the implementing measures, the political calendar, and the counsel’s analysis of the hardest legal questions. Its purpose is practical: the officials who carry this Treaty through ratification in Tehran and Washington hold in this protocol the complete map of their own process and of the counterpart process they need to understand to time their own.</w:t>
      </w:r>
    </w:p>
    <w:p w14:paraId="64E6C93A" w14:textId="77777777" w:rsidR="00180E7C" w:rsidRDefault="00000000">
      <w:r>
        <w:pict w14:anchorId="299603C8">
          <v:rect id="_x0000_i1057" style="width:0;height:1.5pt" o:hralign="center" o:hrstd="t" o:hr="t"/>
        </w:pict>
      </w:r>
    </w:p>
    <w:p w14:paraId="04C2A50B" w14:textId="77777777" w:rsidR="00180E7C" w:rsidRDefault="00000000">
      <w:pPr>
        <w:pStyle w:val="Heading2"/>
      </w:pPr>
      <w:bookmarkStart w:id="1242" w:name="sp-24.2-the-iranian-dossier"/>
      <w:bookmarkEnd w:id="1241"/>
      <w:r>
        <w:t>SP-24.2: The Iranian Dossier</w:t>
      </w:r>
    </w:p>
    <w:p w14:paraId="3A424AD9" w14:textId="77777777" w:rsidR="00180E7C" w:rsidRDefault="00000000">
      <w:pPr>
        <w:pStyle w:val="Heading3"/>
      </w:pPr>
      <w:bookmarkStart w:id="1243" w:name="sp-24.2.1-the-constitutional-path"/>
      <w:r>
        <w:t>SP-24.2.1: The Constitutional Path</w:t>
      </w:r>
    </w:p>
    <w:p w14:paraId="1C3E34FC" w14:textId="77777777" w:rsidR="00180E7C" w:rsidRDefault="00000000">
      <w:pPr>
        <w:pStyle w:val="FirstParagraph"/>
      </w:pPr>
      <w:r>
        <w:t>The Iranian ratification sequence runs through five stations, and the Treaty text anticipates each.</w:t>
      </w:r>
    </w:p>
    <w:p w14:paraId="19836C55" w14:textId="77777777" w:rsidR="00180E7C" w:rsidRDefault="00000000">
      <w:pPr>
        <w:pStyle w:val="BodyText"/>
      </w:pPr>
      <w:r>
        <w:t>Station one: The Supreme National Security Council. The Treaty arrives first at the SNSC, the body that negotiated the framework understandings underlying the Islamabad Memorandum. The SNSC reviews the final text against the negotiating mandate, and its approval, which the Constitution vests with authority subject to the Leader’s confirmation, converts the negotiating outcome into a state position. The dossier for this station contains the red-line compliance ledger of SP-25, demonstrating clause by clause that every element of the Leader’s stated framework, retention of enrichment, dignity of process, no negotiation under threat, preservation of defensive capability, finds expression in the text.</w:t>
      </w:r>
    </w:p>
    <w:p w14:paraId="61DFC8FA" w14:textId="77777777" w:rsidR="00180E7C" w:rsidRDefault="00000000">
      <w:pPr>
        <w:pStyle w:val="BodyText"/>
      </w:pPr>
      <w:r>
        <w:t>Station two: The Cabinet. The President places the Treaty before the Council of Ministers for approval as the executive act preceding legislative submission. The cabinet dossier centers on the economic layer: the Title IV termination schedules, the escrow mechanics, the RDF charter, and the budget-law implications of Iran’s contribution schedule, which require parliamentary appropriation authority that the cabinet requests in the same session as ratification.</w:t>
      </w:r>
    </w:p>
    <w:p w14:paraId="612DFF54" w14:textId="77777777" w:rsidR="00180E7C" w:rsidRDefault="00000000">
      <w:pPr>
        <w:pStyle w:val="BodyText"/>
      </w:pPr>
      <w:r>
        <w:t xml:space="preserve">Station three: The Majlis. Article 77 of the Iranian Constitution requires parliamentary approval of international treaties. The Majlis dossier contains the full Persian authentic text, the article-by-article commentary of SP-9 in official translation, the economic impact </w:t>
      </w:r>
      <w:r>
        <w:lastRenderedPageBreak/>
        <w:t>assessment, and the national security assessment. The dossier anticipates the chamber’s known pressure points: the missile chapter’s voluntary character receives prominent treatment, because a mandatory missile chapter would fail in this chamber; the Hormuz Authority’s structure receives the sovereignty-preservation analysis of Article 37; and the nuclear chapter receives the enrichment-retention certification of Article 61.</w:t>
      </w:r>
    </w:p>
    <w:p w14:paraId="3CA9118F" w14:textId="77777777" w:rsidR="00180E7C" w:rsidRDefault="00000000">
      <w:pPr>
        <w:pStyle w:val="BodyText"/>
      </w:pPr>
      <w:r>
        <w:t>Station four: The Guardian Council. The Council reviews Majlis enactments for compatibility with Islamic jurisprudence and the Constitution. The dossier for this station contains the jurisprudential analysis commissioned during drafting: the Treaty’s compatibility with the principles of dignity, wisdom, and expediency in foreign relations, the religious-legal status of treaty obligations undertaken with non-Muslim states under the jurisprudence of the Founder and the present Leader, and the specific analyses for the sensitive chapters, nuclear, military, financial, each anchored in the Council’s own precedents from the JCPOA review of 2015, which supplies the controlling institutional memory.</w:t>
      </w:r>
    </w:p>
    <w:p w14:paraId="3D135ED6" w14:textId="77777777" w:rsidR="00180E7C" w:rsidRDefault="00000000">
      <w:pPr>
        <w:pStyle w:val="BodyText"/>
      </w:pPr>
      <w:r>
        <w:t>Station five: The Leader’s confirmation. The final station delivers the approval that the Hormuz governance structure awaited at drafting: the Treaty’s ratification by the full sequence constitutes, under Article 31.2’s express design, the approval of the Authority’s structure by the authority empowered to grant it. The dossier’s final volume contains the complete concordance of Annex Q, mapping every demand the Iranian side registered across twelve years of negotiation documents to its resolution in the final text.</w:t>
      </w:r>
    </w:p>
    <w:p w14:paraId="2B2A00F3" w14:textId="77777777" w:rsidR="00180E7C" w:rsidRDefault="00000000">
      <w:pPr>
        <w:pStyle w:val="Heading3"/>
      </w:pPr>
      <w:bookmarkStart w:id="1244" w:name="sp-24.2.2-implementing-measures"/>
      <w:bookmarkEnd w:id="1243"/>
      <w:r>
        <w:t>SP-24.2.2: Implementing Measures</w:t>
      </w:r>
    </w:p>
    <w:p w14:paraId="05732F84" w14:textId="77777777" w:rsidR="00180E7C" w:rsidRDefault="00000000">
      <w:pPr>
        <w:pStyle w:val="FirstParagraph"/>
      </w:pPr>
      <w:r>
        <w:t>Iranian ratification requires four implementing instruments beyond the approval act itself. First, the budget-law amendment appropriating the RDF contribution schedule and the Authority’s assessed share. Second, the Central Bank authorization for the escrow architecture’s Iranian nodes and for the currency-stabilization package of Annex H. Third, the Atomic Energy Organization directive implementing the down-blending campaign, the cap regime, and the access protocol as domestic regulatory obligations binding on the organization. Fourth, the General Staff directive implementing Title II’s military provisions, the corridor rules, the notification systems, and the JOC staffing. Each instrument’s draft text appears in SP-7’s Model Instruments, prepared during drafting so that ratification day finds the implementation layer already written.</w:t>
      </w:r>
    </w:p>
    <w:p w14:paraId="2EF28823" w14:textId="77777777" w:rsidR="00180E7C" w:rsidRDefault="00000000">
      <w:pPr>
        <w:pStyle w:val="Heading3"/>
      </w:pPr>
      <w:bookmarkStart w:id="1245" w:name="sp-24.2.3-the-political-calendar"/>
      <w:bookmarkEnd w:id="1244"/>
      <w:r>
        <w:t>SP-24.2.3: The Political Calendar</w:t>
      </w:r>
    </w:p>
    <w:p w14:paraId="295D6E7F" w14:textId="77777777" w:rsidR="00180E7C" w:rsidRDefault="00000000">
      <w:pPr>
        <w:pStyle w:val="FirstParagraph"/>
      </w:pPr>
      <w:r>
        <w:t>The dossier maps the sequence against the Iranian political calendar: SNSC within thirty days of signature, cabinet concurrent, Majlis within ninety days with the Expediency Council channel available for the contingency of a Majlis-Guardian impasse, and confirmation thereafter. The Treaty’s provisional-application clause of Article 87 activates the humanitarian and ceasefire layers at signature, so the calendar’s duration costs the people of both countries nothing while the institutions deliberate.</w:t>
      </w:r>
    </w:p>
    <w:p w14:paraId="0064D86E" w14:textId="77777777" w:rsidR="00180E7C" w:rsidRDefault="00000000">
      <w:r>
        <w:pict w14:anchorId="7B1BE7FE">
          <v:rect id="_x0000_i1058" style="width:0;height:1.5pt" o:hralign="center" o:hrstd="t" o:hr="t"/>
        </w:pict>
      </w:r>
    </w:p>
    <w:p w14:paraId="37CFA2B8" w14:textId="77777777" w:rsidR="00180E7C" w:rsidRDefault="00000000">
      <w:pPr>
        <w:pStyle w:val="Heading2"/>
      </w:pPr>
      <w:bookmarkStart w:id="1246" w:name="sp-24.3-the-american-dossier"/>
      <w:bookmarkEnd w:id="1242"/>
      <w:bookmarkEnd w:id="1245"/>
      <w:r>
        <w:lastRenderedPageBreak/>
        <w:t>SP-24.3: The American Dossier</w:t>
      </w:r>
    </w:p>
    <w:p w14:paraId="33A22D82" w14:textId="77777777" w:rsidR="00180E7C" w:rsidRDefault="00000000">
      <w:pPr>
        <w:pStyle w:val="Heading3"/>
      </w:pPr>
      <w:bookmarkStart w:id="1247" w:name="sp-24.3.1-the-constitutional-path"/>
      <w:r>
        <w:t>SP-24.3.1: The Constitutional Path</w:t>
      </w:r>
    </w:p>
    <w:p w14:paraId="6FB8B315" w14:textId="77777777" w:rsidR="00180E7C" w:rsidRDefault="00000000">
      <w:pPr>
        <w:pStyle w:val="FirstParagraph"/>
      </w:pPr>
      <w:r>
        <w:t>The American path runs through a threshold choice that the drafters confronted directly: treaty in the constitutional sense, requiring two-thirds of the Senate, or congressional-executive agreement, requiring majorities of both chambers plus implementing legislation. The dossier recommends, and the Treaty’s architecture assumes, the congressional-executive form with statute-locked implementation, for reasons the historical record dictates: no two-thirds Senate majority for an Iran settlement has existed in the modern era, while the statute-locked design of Title IV requires legislation in any case, so the congressional-executive path achieves both legitimacy and the lock simultaneously.</w:t>
      </w:r>
    </w:p>
    <w:p w14:paraId="1BBB2B2F" w14:textId="77777777" w:rsidR="00180E7C" w:rsidRDefault="00000000">
      <w:pPr>
        <w:pStyle w:val="BodyText"/>
      </w:pPr>
      <w:r>
        <w:t>Station one: Transmittal. The President transmits the Treaty to Congress with the article-by-article analysis, the Constitutional and statutory authority memorandum, and the implementing bill. The transmittal package’s centerpiece is the implementing statute itself: the Savāhel-e Āghāz Implementation Act, whose draft appears in SP-7, terminating the designated statutory authorities on the Treaty schedule, locking the termination against amendment except by supermajority, appropriating the American RDF contribution, and establishing the EMB monitoring machinery as a statutory body.</w:t>
      </w:r>
    </w:p>
    <w:p w14:paraId="76747BF8" w14:textId="77777777" w:rsidR="00180E7C" w:rsidRDefault="00000000">
      <w:pPr>
        <w:pStyle w:val="BodyText"/>
      </w:pPr>
      <w:r>
        <w:t>Station two: Committee phase. The dossier maps the committee gauntlet: Foreign Relations, Banking, Finance, Armed Services, Intelligence, each with its file’s extract from the Treaty and its known concerns pre-answered. Foreign Relations receives the verification architecture and the Cothrom analysis. Banking receives the financial-channel design and the escrow mechanics. Finance receives the trade schedules and tariff chapter. Armed Services receives Title II and the corridor system. Intelligence receives the managed-access protocols and the attribution standards. The pre-answering discipline reflects the dossier’s governing judgment: hearings kill agreements through unanswered questions accumulating into doubt, so the package answers first.</w:t>
      </w:r>
    </w:p>
    <w:p w14:paraId="6DC4C763" w14:textId="77777777" w:rsidR="00180E7C" w:rsidRDefault="00000000">
      <w:pPr>
        <w:pStyle w:val="BodyText"/>
      </w:pPr>
      <w:r>
        <w:t>Station three: Floor phase. The statute-locked design’s genius, from the executive’s perspective, is that the implementing act and the Treaty rise together: a vote for the act is a vote for the settlement, and the act’s supermajority-amendment thresholds then protect the settlement against the statutory reversal scenario of SP-23’s Scenario Five.</w:t>
      </w:r>
    </w:p>
    <w:p w14:paraId="31220931" w14:textId="77777777" w:rsidR="00180E7C" w:rsidRDefault="00000000">
      <w:pPr>
        <w:pStyle w:val="BodyText"/>
      </w:pPr>
      <w:r>
        <w:t>Station four: Signature and deposit. Presidential signature of the act completes the domestic authority; the instrument of acceptance deposits under Article 85, and entry into force follows the exchange the Treaty schedules.</w:t>
      </w:r>
    </w:p>
    <w:p w14:paraId="01C769C2" w14:textId="77777777" w:rsidR="00180E7C" w:rsidRDefault="00000000">
      <w:pPr>
        <w:pStyle w:val="Heading3"/>
      </w:pPr>
      <w:bookmarkStart w:id="1248" w:name="X6cb1da1f11fb2aecd329950dd1a2128e7a08dd5"/>
      <w:bookmarkEnd w:id="1247"/>
      <w:r>
        <w:t>SP-24.3.2: The Sanctions Termination Schedule as Statute</w:t>
      </w:r>
    </w:p>
    <w:p w14:paraId="5A30D97E" w14:textId="77777777" w:rsidR="00180E7C" w:rsidRDefault="00000000">
      <w:pPr>
        <w:pStyle w:val="FirstParagraph"/>
      </w:pPr>
      <w:r>
        <w:t xml:space="preserve">The dossier’s technical core addresses the hardest American legal problem: terminating sanctions that live in statutes, executive orders, and regulatory layers accumulated across four decades, in a sequence that survives political change. The solution the Treaty adopts, and the dossier defends, is the master-schedule technique: the Implementation Act incorporates Annex G’s termination schedules by reference, terminates each listed authority on its schedule’s effective condition, repeals the obsolete, suspends the </w:t>
      </w:r>
      <w:r>
        <w:lastRenderedPageBreak/>
        <w:t>contingent, and preserves only the authorities the Treaty expressly carries forward, the human-rights and nonproliferation statutes of general application that the Treaty lists by citation to avoid any implied clean-slate reading. The comfort-package chapter protects the relief’s commercial utility: Treasury’s Office of Foreign Assets Control issues the general licenses, FAQs, and comfort letters of the Annex G package on the act’s signature day, so the banking channel opens with the law, not months behind it.</w:t>
      </w:r>
    </w:p>
    <w:p w14:paraId="1F14A273" w14:textId="77777777" w:rsidR="00180E7C" w:rsidRDefault="00000000">
      <w:pPr>
        <w:pStyle w:val="Heading3"/>
      </w:pPr>
      <w:bookmarkStart w:id="1249" w:name="sp-24.3.3-the-political-calendar"/>
      <w:bookmarkEnd w:id="1248"/>
      <w:r>
        <w:t>SP-24.3.3: The Political Calendar</w:t>
      </w:r>
    </w:p>
    <w:p w14:paraId="75A8E0ED" w14:textId="77777777" w:rsidR="00180E7C" w:rsidRDefault="00000000">
      <w:pPr>
        <w:pStyle w:val="FirstParagraph"/>
      </w:pPr>
      <w:r>
        <w:t>The American dossier maps the sequence against the congressional calendar with the realism the Iran file demands: introduction within thirty days of signature, committee phase within one hundred twenty, floor action targeted inside the same Congress that received the transmittal, because carryover across Congresses historically kills complex foreign-policy legislation. The provisional-application layer operates during the entire window, and the dossier notes the asymmetry the drafters accepted: the American calendar runs longer than the Iranian, so the Treaty’s milestone clock starts at entry into force, not signature, protecting both Parties from calendar-driven default.</w:t>
      </w:r>
    </w:p>
    <w:p w14:paraId="6AC9EB6A" w14:textId="77777777" w:rsidR="00180E7C" w:rsidRDefault="00000000">
      <w:pPr>
        <w:pStyle w:val="Heading3"/>
      </w:pPr>
      <w:bookmarkStart w:id="1250" w:name="Xccde3c43b92355e70335c8eec3f031994b0dc98"/>
      <w:bookmarkEnd w:id="1249"/>
      <w:r>
        <w:t>SP-24.3.4: The Implementation Act, Section by Section</w:t>
      </w:r>
    </w:p>
    <w:p w14:paraId="5F594382" w14:textId="77777777" w:rsidR="00180E7C" w:rsidRDefault="00000000">
      <w:pPr>
        <w:pStyle w:val="FirstParagraph"/>
      </w:pPr>
      <w:r>
        <w:t>The Savāhel-e Āghāz Implementation Act, whose full draft appears in SP-7 as Model Instrument M-3, runs to fourteen titles, and this summary walks each for the congressional record.</w:t>
      </w:r>
    </w:p>
    <w:p w14:paraId="7E7FB1C2" w14:textId="77777777" w:rsidR="00180E7C" w:rsidRDefault="00000000">
      <w:pPr>
        <w:pStyle w:val="BodyText"/>
      </w:pPr>
      <w:r>
        <w:t>Title I, Findings and Purpose: the congressional findings recite the Treaty’s terms, the verification architecture’s independence, and the statute’s intent to implement the settlement in full and durably.</w:t>
      </w:r>
    </w:p>
    <w:p w14:paraId="03D35006" w14:textId="77777777" w:rsidR="00180E7C" w:rsidRDefault="00000000">
      <w:pPr>
        <w:pStyle w:val="BodyText"/>
      </w:pPr>
      <w:r>
        <w:t>Title II, Sanctions Termination: the master schedule’s incorporation by reference, the termination of the listed statutory authorities on their effective conditions, the repeal of the obsolete provisions, and the express preservation clause listing the authorities of general application that continue.</w:t>
      </w:r>
    </w:p>
    <w:p w14:paraId="5CB1A30F" w14:textId="77777777" w:rsidR="00180E7C" w:rsidRDefault="00000000">
      <w:pPr>
        <w:pStyle w:val="BodyText"/>
      </w:pPr>
      <w:r>
        <w:t>Title III, The Lock: the supermajority amendment thresholds for any modification of Title II, the 45-day EMB review procedure preceding floor consideration of any reimposition legislation, and the reporting requirement that keeps the Treaty’s compliance data continuously before the committees of jurisdiction.</w:t>
      </w:r>
    </w:p>
    <w:p w14:paraId="25C96F16" w14:textId="77777777" w:rsidR="00180E7C" w:rsidRDefault="00000000">
      <w:pPr>
        <w:pStyle w:val="BodyText"/>
      </w:pPr>
      <w:r>
        <w:t>Title IV, Financial Architecture: the authorization for the escrow interface, the attachment-protection provisions for the escrowed funds, the Claims Facility’s recognition, and the comfort-package directive to Treasury with its issuance deadlines.</w:t>
      </w:r>
    </w:p>
    <w:p w14:paraId="3BB76367" w14:textId="77777777" w:rsidR="00180E7C" w:rsidRDefault="00000000">
      <w:pPr>
        <w:pStyle w:val="BodyText"/>
      </w:pPr>
      <w:r>
        <w:t>Title V, Regional Development Fund: the appropriation of the American contribution across its schedule, the contribution’s conditioning on the Fund’s fiduciary standards, and the termination-value accounting methodology’s adoption for the contribution record.</w:t>
      </w:r>
    </w:p>
    <w:p w14:paraId="056D3A0B" w14:textId="77777777" w:rsidR="00180E7C" w:rsidRDefault="00000000">
      <w:pPr>
        <w:pStyle w:val="BodyText"/>
      </w:pPr>
      <w:r>
        <w:t>Title VI, Trade and Energy: the tariff schedule’s implementation, the energy cooperation chapter’s authorizations, and the export-control harmonization for the cleared categories.</w:t>
      </w:r>
    </w:p>
    <w:p w14:paraId="4A586062" w14:textId="77777777" w:rsidR="00180E7C" w:rsidRDefault="00000000">
      <w:pPr>
        <w:pStyle w:val="BodyText"/>
      </w:pPr>
      <w:r>
        <w:lastRenderedPageBreak/>
        <w:t>Title VII, Verification Support: the funding authorization for the American share of the verification layer’s costs, the national technical means data-sharing directives under the managed-access rules, and the intelligence community’s reporting obligations to the EMB process.</w:t>
      </w:r>
    </w:p>
    <w:p w14:paraId="3B7665C5" w14:textId="77777777" w:rsidR="00180E7C" w:rsidRDefault="00000000">
      <w:pPr>
        <w:pStyle w:val="BodyText"/>
      </w:pPr>
      <w:r>
        <w:t>Title VIII, Military Provisions: the drawdown and posture authorities, the notification-system implementation across the combatant commands, and the JOC staffing authorizations.</w:t>
      </w:r>
    </w:p>
    <w:p w14:paraId="482B0C0F" w14:textId="77777777" w:rsidR="00180E7C" w:rsidRDefault="00000000">
      <w:pPr>
        <w:pStyle w:val="BodyText"/>
      </w:pPr>
      <w:r>
        <w:t>Title IX, Hormuz Authority: the recognition of the Authority’s legal personality, the American participation framework for its governance and observer functions, and the naval-interface directives.</w:t>
      </w:r>
    </w:p>
    <w:p w14:paraId="367A7EF4" w14:textId="77777777" w:rsidR="00180E7C" w:rsidRDefault="00000000">
      <w:pPr>
        <w:pStyle w:val="BodyText"/>
      </w:pPr>
      <w:r>
        <w:t>Title X, Regional Instruments: the authorizations supporting the parallel instruments’ implementation, the Lebanon window’s contribution line, and the Iraq roadmap’s drawdown authorities.</w:t>
      </w:r>
    </w:p>
    <w:p w14:paraId="146538E0" w14:textId="77777777" w:rsidR="00180E7C" w:rsidRDefault="00000000">
      <w:pPr>
        <w:pStyle w:val="BodyText"/>
      </w:pPr>
      <w:r>
        <w:t>Title XI, Detainees and Humanitarian: the exchange’s implementation, the consular protocol’s directives, and the humanitarian firewall’s statutory protection.</w:t>
      </w:r>
    </w:p>
    <w:p w14:paraId="0A43A1E0" w14:textId="77777777" w:rsidR="00180E7C" w:rsidRDefault="00000000">
      <w:pPr>
        <w:pStyle w:val="BodyText"/>
      </w:pPr>
      <w:r>
        <w:t>Title XII, Oversight: the EMB’s statutory establishment, the quarterly compliance reporting to Congress, the Government Accountability Office’s audit mandate over the financial titles, and the sunset-free design’s express statement.</w:t>
      </w:r>
    </w:p>
    <w:p w14:paraId="5FA5C033" w14:textId="77777777" w:rsidR="00180E7C" w:rsidRDefault="00000000">
      <w:pPr>
        <w:pStyle w:val="BodyText"/>
      </w:pPr>
      <w:r>
        <w:t>Title XIII, Severability and Hierarchy: the severability clause protecting the statute’s core, and the hierarchy rules aligning the statute with the Treaty’s Article 0.6 ordering.</w:t>
      </w:r>
    </w:p>
    <w:p w14:paraId="74CB5CB6" w14:textId="77777777" w:rsidR="00180E7C" w:rsidRDefault="00000000">
      <w:pPr>
        <w:pStyle w:val="BodyText"/>
      </w:pPr>
      <w:r>
        <w:t>Title XIV, Effective Dates: the phase-keyed effectiveness schedule locking each title to its Treaty trigger, so the statute’s operation tracks the settlement’s certified progress automatically.</w:t>
      </w:r>
    </w:p>
    <w:p w14:paraId="38B09972" w14:textId="77777777" w:rsidR="00180E7C" w:rsidRDefault="00000000">
      <w:pPr>
        <w:pStyle w:val="BodyText"/>
      </w:pPr>
      <w:r>
        <w:t>The section-by-section’s purpose in the dossier: committee staff and floor managers defend what they grasp, and this summary, two pages per title in the full dossier version, arms the legislation’s defenders against the death-by-obscurity that complex foreign-policy statutes suffer in debate.</w:t>
      </w:r>
    </w:p>
    <w:p w14:paraId="69FB7078" w14:textId="77777777" w:rsidR="00180E7C" w:rsidRDefault="00000000">
      <w:r>
        <w:pict w14:anchorId="78A00164">
          <v:rect id="_x0000_i1059" style="width:0;height:1.5pt" o:hralign="center" o:hrstd="t" o:hr="t"/>
        </w:pict>
      </w:r>
    </w:p>
    <w:p w14:paraId="6E16A56D" w14:textId="77777777" w:rsidR="00180E7C" w:rsidRDefault="00000000">
      <w:pPr>
        <w:pStyle w:val="Heading2"/>
      </w:pPr>
      <w:bookmarkStart w:id="1251" w:name="sp-24.4-the-regional-accession-dossier"/>
      <w:bookmarkEnd w:id="1246"/>
      <w:bookmarkEnd w:id="1250"/>
      <w:r>
        <w:t>SP-24.4: The Regional Accession Dossier</w:t>
      </w:r>
    </w:p>
    <w:p w14:paraId="75D52DC5" w14:textId="77777777" w:rsidR="00180E7C" w:rsidRDefault="00000000">
      <w:pPr>
        <w:pStyle w:val="FirstParagraph"/>
      </w:pPr>
      <w:r>
        <w:t>The parallel instruments of Title VI require accessions beyond the two Parties, and this dossier provides each regional state’s package. Lebanon receives the parallel binding instrument with its demobilization-reconstruction coupling and the RDF window’s project list. Iraq receives the partnership roadmap with the PMF integration schedules and the border-management protocol. Syria receives the drawdown framework with its reconstruction linkage. Yemen receives the UN-process support instruments. The Gulf Cooperation Council states receive the Hormuz Authority observer and accession packages of Article 44. Israel receives the non-signatory protocol package of Article 81: the restraint channel, the no-strike zone interface, the consultation guarantee, and the regional-</w:t>
      </w:r>
      <w:r>
        <w:lastRenderedPageBreak/>
        <w:t>integration option preserved for a future political horizon. Each package stands alone legally, so no regional state’s hesitation delays any other’s accession, and none delays the core Treaty’s operation.</w:t>
      </w:r>
    </w:p>
    <w:p w14:paraId="0E49E36B" w14:textId="77777777" w:rsidR="00180E7C" w:rsidRDefault="00000000">
      <w:r>
        <w:pict w14:anchorId="2D625EED">
          <v:rect id="_x0000_i1060" style="width:0;height:1.5pt" o:hralign="center" o:hrstd="t" o:hr="t"/>
        </w:pict>
      </w:r>
    </w:p>
    <w:p w14:paraId="43A6354C" w14:textId="77777777" w:rsidR="00180E7C" w:rsidRDefault="00000000">
      <w:pPr>
        <w:pStyle w:val="Heading2"/>
      </w:pPr>
      <w:bookmarkStart w:id="1252" w:name="Xba945c844d50fa112a3deaad5af61ab08ca5924"/>
      <w:bookmarkEnd w:id="1251"/>
      <w:r>
        <w:t>SP-24.5: Counsel’s Annex: Twenty Hard Questions</w:t>
      </w:r>
    </w:p>
    <w:p w14:paraId="5A576BA4" w14:textId="77777777" w:rsidR="00180E7C" w:rsidRDefault="00000000">
      <w:pPr>
        <w:pStyle w:val="FirstParagraph"/>
      </w:pPr>
      <w:r>
        <w:t>The dossier closes with the twenty hardest legal questions the drafters encountered, each answered in the form counsel actually needs.</w:t>
      </w:r>
    </w:p>
    <w:p w14:paraId="66C953E8" w14:textId="77777777" w:rsidR="00180E7C" w:rsidRDefault="00000000">
      <w:pPr>
        <w:pStyle w:val="BodyText"/>
      </w:pPr>
      <w:r>
        <w:t>Question one: Does the Treaty constitute a treaty under the US Constitution requiring Senate two-thirds? Answer: Its form is a congressional-executive agreement with implementing legislation, a form with continuous precedent from the trade agreements through the post-Cold War arms-control practice, and the implementing act supplies the domestic legal force.</w:t>
      </w:r>
    </w:p>
    <w:p w14:paraId="54A4E99C" w14:textId="77777777" w:rsidR="00180E7C" w:rsidRDefault="00000000">
      <w:pPr>
        <w:pStyle w:val="BodyText"/>
      </w:pPr>
      <w:r>
        <w:t>Question two: Does statute-locking bind future Congresses? Answer: No Congress binds a future Congress absolutely; the lock operates through supermajority amendment thresholds and procedural delays, raising the reversal cost within constitutional bounds, and through the Treaty’s symmetrical-remedy architecture, which prices reversal internationally.</w:t>
      </w:r>
    </w:p>
    <w:p w14:paraId="55A2E8F3" w14:textId="77777777" w:rsidR="00180E7C" w:rsidRDefault="00000000">
      <w:pPr>
        <w:pStyle w:val="BodyText"/>
      </w:pPr>
      <w:r>
        <w:t>Question three: Does the Treaty transfer sovereign immunity for frozen assets? Answer: No; the escrow architecture operates on title and custody arrangements that leave immunity questions untouched, and the claims channel absorbs the judgment-creditor problem through the Claims Facility’s funded settlement mechanism.</w:t>
      </w:r>
    </w:p>
    <w:p w14:paraId="65CFA5F7" w14:textId="77777777" w:rsidR="00180E7C" w:rsidRDefault="00000000">
      <w:pPr>
        <w:pStyle w:val="BodyText"/>
      </w:pPr>
      <w:r>
        <w:t>Question four: Can escrowed funds be attached by private litigants? Answer: The escrow’s situs, structure, and the Implementation Act’s express protection provisions place the funds beyond attachment jurisdiction, with the Claims Facility offering litigants the funded alternative forum that makes the protection politically and legally sustainable.</w:t>
      </w:r>
    </w:p>
    <w:p w14:paraId="6A1EDFF3" w14:textId="77777777" w:rsidR="00180E7C" w:rsidRDefault="00000000">
      <w:pPr>
        <w:pStyle w:val="BodyText"/>
      </w:pPr>
      <w:r>
        <w:t>Question five: Does the down-blending campaign violate any party’s NPT obligations? Answer: No; the campaign reduces enrichment levels under IAEA supervision inside the NPT framework, and the Treaty expressly preserves NPT rights and obligations for both Parties.</w:t>
      </w:r>
    </w:p>
    <w:p w14:paraId="3D826AB5" w14:textId="77777777" w:rsidR="00180E7C" w:rsidRDefault="00000000">
      <w:pPr>
        <w:pStyle w:val="BodyText"/>
      </w:pPr>
      <w:r>
        <w:t>Question six: Is the 3.67 percent cap compatible with Iran’s NPT rights? Answer: The cap is a voluntarily undertaken treaty obligation, and states accept arms and technology limits by treaty continuously; the NPT’s rights language addresses discrimination, not self-limitation.</w:t>
      </w:r>
    </w:p>
    <w:p w14:paraId="4F447E24" w14:textId="77777777" w:rsidR="00180E7C" w:rsidRDefault="00000000">
      <w:pPr>
        <w:pStyle w:val="BodyText"/>
      </w:pPr>
      <w:r>
        <w:t>Question seven: Does the Hormuz Authority derogate from UNCLOS? Answer: No; Article 38 preserves the UNCLOS framework, transit passage remains unimpeded and unpriced, and the Authority’s powers operate in the service layer and the coastal-state competence layer that UNCLOS recognizes.</w:t>
      </w:r>
    </w:p>
    <w:p w14:paraId="11A8037F" w14:textId="77777777" w:rsidR="00180E7C" w:rsidRDefault="00000000">
      <w:pPr>
        <w:pStyle w:val="BodyText"/>
      </w:pPr>
      <w:r>
        <w:t xml:space="preserve">Question eight: Can corridor coordination coexist with the innocent-passage and transit-passage regimes? Answer: The corridor system organizes traffic separation and service </w:t>
      </w:r>
      <w:r>
        <w:lastRenderedPageBreak/>
        <w:t>provision, a competence coastal states exercise in straits worldwide under IMO frameworks, and the twin-key interdiction rule actually narrows coastal-state interdiction discretion below its UNCLOS baseline.</w:t>
      </w:r>
    </w:p>
    <w:p w14:paraId="759ADF7F" w14:textId="77777777" w:rsidR="00180E7C" w:rsidRDefault="00000000">
      <w:pPr>
        <w:pStyle w:val="BodyText"/>
      </w:pPr>
      <w:r>
        <w:t>Question nine: Does the IRGC two-stage delisting satisfy US legal requirements? Answer: The delisting follows the statutory delisting standard, material change of circumstances supported by the administrative record the Stage One and Stage Two benchmarks generate, and the benchmark record supplies the evidentiary basis the courts would review.</w:t>
      </w:r>
    </w:p>
    <w:p w14:paraId="517D0C76" w14:textId="77777777" w:rsidR="00180E7C" w:rsidRDefault="00000000">
      <w:pPr>
        <w:pStyle w:val="BodyText"/>
      </w:pPr>
      <w:r>
        <w:t>Question ten: Are the demerit remedies self-executing in US law? Answer: The step-back actions operate through the Implementation Act’s delegated authorities with statutory ceilings, so each remedy’s domestic legal basis pre-exists its triggering.</w:t>
      </w:r>
    </w:p>
    <w:p w14:paraId="4553F87D" w14:textId="77777777" w:rsidR="00180E7C" w:rsidRDefault="00000000">
      <w:pPr>
        <w:pStyle w:val="BodyText"/>
      </w:pPr>
      <w:r>
        <w:t>Question eleven: Does the Treaty create an international organization? Answer: It creates treaty organs with defined competences, not an international legal person, except the Hormuz Authority and the RDF, each of which receives legal personality under its charter annex with the Parties’ domestic recognition following through the implementing acts.</w:t>
      </w:r>
    </w:p>
    <w:p w14:paraId="4170A349" w14:textId="77777777" w:rsidR="00180E7C" w:rsidRDefault="00000000">
      <w:pPr>
        <w:pStyle w:val="BodyText"/>
      </w:pPr>
      <w:r>
        <w:t>Question twelve: What happens to prior UNSC resolutions? Answer: The endorsement resolution of Article 86 terminates the residual Chapter VII architecture as the Treaty’s verification layer certifies the underlying concerns resolved, and the draft resolution’s text appears in Annex R.</w:t>
      </w:r>
    </w:p>
    <w:p w14:paraId="1934F320" w14:textId="77777777" w:rsidR="00180E7C" w:rsidRDefault="00000000">
      <w:pPr>
        <w:pStyle w:val="BodyText"/>
      </w:pPr>
      <w:r>
        <w:t>Question thirteen: Does the Treaty affect the US-Israel relationship’s legal instruments? Answer: No instrument between the United States and any third state is amended; the non-signatory protocol operates as a political-commitment layer with the consultation and restraint channels the protocol defines.</w:t>
      </w:r>
    </w:p>
    <w:p w14:paraId="1F5FD0AB" w14:textId="77777777" w:rsidR="00180E7C" w:rsidRDefault="00000000">
      <w:pPr>
        <w:pStyle w:val="BodyText"/>
      </w:pPr>
      <w:r>
        <w:t>Question fourteen: Can a future president withdraw? Answer: Article 75’s twelve-month notice with Joint Commission process governs internationally; domestically, the withdrawal power follows the established executive practice, priced by the Treaty’s reversion and remedy architecture.</w:t>
      </w:r>
    </w:p>
    <w:p w14:paraId="39D4F2E2" w14:textId="77777777" w:rsidR="00180E7C" w:rsidRDefault="00000000">
      <w:pPr>
        <w:pStyle w:val="BodyText"/>
      </w:pPr>
      <w:r>
        <w:t>Question fifteen: Are arbitration awards enforceable? Answer: Awards under Annex O run against state Parties through the Treaty’s compliance architecture rather than domestic courts, and commercial awards under the RDF and corridor contracts run through New York Convention channels.</w:t>
      </w:r>
    </w:p>
    <w:p w14:paraId="39769BDF" w14:textId="77777777" w:rsidR="00180E7C" w:rsidRDefault="00000000">
      <w:pPr>
        <w:pStyle w:val="BodyText"/>
      </w:pPr>
      <w:r>
        <w:t>Question sixteen: Does the Treaty address the 1979-1981 hostages’ claims? Answer: The Joint Claims Commission’s mandate includes the historical files, and the Claims Facility’s funding makes the humanitarian dimension of those files resolvable without prejudice to any state’s legal position.</w:t>
      </w:r>
    </w:p>
    <w:p w14:paraId="164696B3" w14:textId="77777777" w:rsidR="00180E7C" w:rsidRDefault="00000000">
      <w:pPr>
        <w:pStyle w:val="BodyText"/>
      </w:pPr>
      <w:r>
        <w:t>Question seventeen: What law governs the escrow? Answer: Swiss law governs the agency agreements, the charters govern purpose and release events, and the arbitration clause of the escrow agreement routes disputes to the Annex O panel.</w:t>
      </w:r>
    </w:p>
    <w:p w14:paraId="2D101EF4" w14:textId="77777777" w:rsidR="00180E7C" w:rsidRDefault="00000000">
      <w:pPr>
        <w:pStyle w:val="BodyText"/>
      </w:pPr>
      <w:r>
        <w:lastRenderedPageBreak/>
        <w:t>Question eighteen: Does provisional application create binding obligations? Answer: Yes, within the express scope of Article 87, consistent with the law of treaties and both Parties’ constitutional practice regarding provisional application.</w:t>
      </w:r>
    </w:p>
    <w:p w14:paraId="5E804CE2" w14:textId="77777777" w:rsidR="00180E7C" w:rsidRDefault="00000000">
      <w:pPr>
        <w:pStyle w:val="BodyText"/>
      </w:pPr>
      <w:r>
        <w:t>Question nineteen: Are the annexes and protocols legally binding? Answer: Article 0.6 settles the hierarchy: annexes bind as treaty text, supplementary protocols bind as implementation instruments under the articles they serve, and the hierarchy’s conflict rules run treaty over annex over protocol.</w:t>
      </w:r>
    </w:p>
    <w:p w14:paraId="7B12568F" w14:textId="77777777" w:rsidR="00180E7C" w:rsidRDefault="00000000">
      <w:pPr>
        <w:pStyle w:val="BodyText"/>
      </w:pPr>
      <w:r>
        <w:t>Question twenty: What happens if the Treaty’s Persian and English texts diverge? Answer: Both texts are equally authentic under Article 90, the linguistic panel of Annex O holds the reconciliation competence, and its published interpretive rulings bind the organs prospectively, with twenty-six pre-identified divergence candidates already resolved in the panel’s founding digest.</w:t>
      </w:r>
    </w:p>
    <w:p w14:paraId="098FB1B3" w14:textId="77777777" w:rsidR="00180E7C" w:rsidRDefault="00000000">
      <w:r>
        <w:pict w14:anchorId="31E07ED8">
          <v:rect id="_x0000_i1061" style="width:0;height:1.5pt" o:hralign="center" o:hrstd="t" o:hr="t"/>
        </w:pict>
      </w:r>
    </w:p>
    <w:p w14:paraId="68A0DC58" w14:textId="77777777" w:rsidR="00180E7C" w:rsidRDefault="00000000">
      <w:pPr>
        <w:pStyle w:val="Heading2"/>
      </w:pPr>
      <w:bookmarkStart w:id="1253" w:name="sp-24.6-the-precedent-map"/>
      <w:bookmarkEnd w:id="1252"/>
      <w:r>
        <w:t>SP-24.6: The Precedent Map</w:t>
      </w:r>
    </w:p>
    <w:p w14:paraId="7E31FE45" w14:textId="77777777" w:rsidR="00180E7C" w:rsidRDefault="00000000">
      <w:pPr>
        <w:pStyle w:val="FirstParagraph"/>
      </w:pPr>
      <w:r>
        <w:t>Ratification debates run on precedent, and this section maps the Treaty’s major design decisions to their historical anchors, so that every innovation defends itself as an evolution of something that worked, and every departure from precedent defends itself as a lesson learned from something that failed.</w:t>
      </w:r>
    </w:p>
    <w:p w14:paraId="5EF4A941" w14:textId="77777777" w:rsidR="00180E7C" w:rsidRDefault="00000000">
      <w:pPr>
        <w:pStyle w:val="BodyText"/>
      </w:pPr>
      <w:r>
        <w:t>The Algiers Accords of 1981 supply the escrow architecture’s ancestor and the claims commission’s direct predecessor. The map records what the Treaty takes: the escrow-and-release mechanics, the claims tribunal’s commission form, the protecting-power channels. It records what the Treaty corrects: the Algiers escrow’s discretionary releases become certification-triggered releases; the tribunal’s narrow claims docket becomes the broader commission with its humanitarian tracks; the accords’ silence on verification becomes the Cothrom layer.</w:t>
      </w:r>
    </w:p>
    <w:p w14:paraId="6B0E1D1E" w14:textId="77777777" w:rsidR="00180E7C" w:rsidRDefault="00000000">
      <w:pPr>
        <w:pStyle w:val="BodyText"/>
      </w:pPr>
      <w:r>
        <w:t>The JCPOA of 2015 supplies the negative curriculum, the file of lessons the drafters studied hardest. From it the Treaty takes the technical nuclear parameters’ form and the Joint Commission’s skeleton. Against it the Treaty corrects: snapback yields to the demerit-and-step-back engine; waiver-based relief yields to statute-locked termination; sunset clauses yield to the permanent core with review cycles; the access dispute grammar yields to priced timelines with managed access; and the political layer, absent in 2015, becomes the dashboards, the pre-agreed language, and the communication working groups that the JCPOA’s collapse proved indispensable.</w:t>
      </w:r>
    </w:p>
    <w:p w14:paraId="1780076E" w14:textId="77777777" w:rsidR="00180E7C" w:rsidRDefault="00000000">
      <w:pPr>
        <w:pStyle w:val="BodyText"/>
      </w:pPr>
      <w:r>
        <w:t>The Strait governance precedents, the Malacca cooperative mechanism, the Turkish Straits regime under Montreux, the IMO’s traffic separation schemes worldwide, supply the Hormuz Authority’s components. The map records the assembly: Malacca’s voluntary-services revenue model, Montreux’s balance of coastal authority with transit rights, the IMO schemes’ technical legitimacy, combined into a structure none of the precedents achieved alone: twin-key enforcement with corridor partition, designed for a strait whose two coastal states spent four decades as adversaries.</w:t>
      </w:r>
    </w:p>
    <w:p w14:paraId="25A9C06F" w14:textId="77777777" w:rsidR="00180E7C" w:rsidRDefault="00000000">
      <w:pPr>
        <w:pStyle w:val="BodyText"/>
      </w:pPr>
      <w:r>
        <w:lastRenderedPageBreak/>
        <w:t>The arms-control canon, INF, START, the CFE Treaty, supplies the notification systems, the inspection grammars, and the data-exchange disciplines of Title II and Annex C. The map records the adaptation: bilateral superpower verification, designed for weapons counted in thousands, scales down to a regional de-escalation regime whose hardest files are proximate forces and dual-use infrastructure, with the Cothrom demerit layer replacing the superpowers’ mutual-deterrence stability that made their verification regimes self-enforcing.</w:t>
      </w:r>
    </w:p>
    <w:p w14:paraId="7C482203" w14:textId="77777777" w:rsidR="00180E7C" w:rsidRDefault="00000000">
      <w:pPr>
        <w:pStyle w:val="BodyText"/>
      </w:pPr>
      <w:r>
        <w:t>The post-conflict funds, the Iraq Development Fund’s failures and the Afghanistan reconstruction’s lessons, supply the RDF’s fiduciary design by counterexample: published procurement, embedded evaluation, host-state staffing majorities, and the transparency portal all trace to the documented pathologies of the funds that lacked them. The map records the inversion candidly: the Fund’s design is the audit reports of its predecessors, converted into charter clauses.</w:t>
      </w:r>
    </w:p>
    <w:p w14:paraId="764DB610" w14:textId="77777777" w:rsidR="00180E7C" w:rsidRDefault="00000000">
      <w:pPr>
        <w:pStyle w:val="BodyText"/>
      </w:pPr>
      <w:r>
        <w:t>The Dayton and Good Friday precedents supply the parallel-instrument architecture of Title VI: the separation of the core bargain from the regional files, the coupling of demobilization to reconstruction finance, and the commission forms for the hard sub-files. The map records the scaling judgment: the region’s conflicts exceed any single instrument’s reach, so the Treaty builds the channel structure and the incentive couplings while leaving each file’s sovereignty with its own parties.</w:t>
      </w:r>
    </w:p>
    <w:p w14:paraId="1E4E7016" w14:textId="77777777" w:rsidR="00180E7C" w:rsidRDefault="00000000">
      <w:pPr>
        <w:pStyle w:val="BodyText"/>
      </w:pPr>
      <w:r>
        <w:t>The 2026 immediate precedents close the map: the April ceasefire’s JOC machinery, absorbed into Title II; the Islamabad Memorandum’s sixty-day window and on-site down-blending formula, absorbed into Annex F’s campaign; the June oil waiver’s financial channels, absorbed into Annex H; the July Oman-Iran governance talks’ pending structure, absorbed into Title III as the Authority itself. The Treaty’s deepest claim about its own origins: nothing in its architecture required invention under pressure, because every layer evolved from machinery already running, already tested, or already negotiated to the edge of agreement when the drafters took it up.</w:t>
      </w:r>
    </w:p>
    <w:p w14:paraId="422EC19A" w14:textId="77777777" w:rsidR="00180E7C" w:rsidRDefault="00000000">
      <w:pPr>
        <w:pStyle w:val="Heading1"/>
      </w:pPr>
      <w:bookmarkStart w:id="1254" w:name="Xaa679de3c2c97ea648a6433689d50568aff9034"/>
      <w:bookmarkStart w:id="1255" w:name="_Toc237843211"/>
      <w:bookmarkEnd w:id="1239"/>
      <w:bookmarkEnd w:id="1253"/>
      <w:r>
        <w:t>SUPPLEMENTARY PROTOCOL SP-25: THE RED-LINE COMPLIANCE LEDGER</w:t>
      </w:r>
      <w:bookmarkEnd w:id="1255"/>
    </w:p>
    <w:p w14:paraId="16C600F9" w14:textId="77777777" w:rsidR="00180E7C" w:rsidRDefault="00000000">
      <w:pPr>
        <w:pStyle w:val="Heading2"/>
      </w:pPr>
      <w:bookmarkStart w:id="1256" w:name="sp-25.1-purpose-and-method"/>
      <w:r>
        <w:t>SP-25.1: Purpose and Method</w:t>
      </w:r>
    </w:p>
    <w:p w14:paraId="452003A2" w14:textId="77777777" w:rsidR="00180E7C" w:rsidRDefault="00000000">
      <w:pPr>
        <w:pStyle w:val="FirstParagraph"/>
      </w:pPr>
      <w:r>
        <w:t>The negotiating instruction that produced this Treaty contained one absolute condition: no red line of either Party, and no red line of the regional parties whose accession the architecture requires, stands crossed in the final text. This Ledger proves the condition’s satisfaction. It assembles every red line registered in the negotiating record, states it in the form its owner registered it, identifies the treaty provisions that hold it, explains the mechanics by which the architecture keeps it held under stress, and records the resolution where two red lines collided. The Ledger serves the ratification debates: every legislator in Tehran and Washington who asks “did we surrender X” receives here the citation-level answer.</w:t>
      </w:r>
    </w:p>
    <w:p w14:paraId="78383A03" w14:textId="77777777" w:rsidR="00180E7C" w:rsidRDefault="00000000">
      <w:pPr>
        <w:pStyle w:val="BodyText"/>
      </w:pPr>
      <w:r>
        <w:lastRenderedPageBreak/>
        <w:t>The Ledger’s standard is strict. A red line counts as held only where the final text, operating as written under plausible stress, never requires the red line’s owner to accept the prohibited outcome. Aspirational language does not satisfy the standard; mechanics satisfy it. Where the architecture holds a red line through procedure rather than through a flat prohibition, the Ledger says so and shows the procedure’s teeth.</w:t>
      </w:r>
    </w:p>
    <w:p w14:paraId="20166EF7" w14:textId="77777777" w:rsidR="00180E7C" w:rsidRDefault="00000000">
      <w:r>
        <w:pict w14:anchorId="0C6EE8A8">
          <v:rect id="_x0000_i1062" style="width:0;height:1.5pt" o:hralign="center" o:hrstd="t" o:hr="t"/>
        </w:pict>
      </w:r>
    </w:p>
    <w:p w14:paraId="17ABC689" w14:textId="77777777" w:rsidR="00180E7C" w:rsidRDefault="00000000">
      <w:pPr>
        <w:pStyle w:val="Heading2"/>
      </w:pPr>
      <w:bookmarkStart w:id="1257" w:name="sp-25.2-the-iranian-register"/>
      <w:bookmarkEnd w:id="1256"/>
      <w:r>
        <w:t>SP-25.2: The Iranian Register</w:t>
      </w:r>
    </w:p>
    <w:p w14:paraId="33EC3037" w14:textId="77777777" w:rsidR="00180E7C" w:rsidRDefault="00000000">
      <w:pPr>
        <w:pStyle w:val="Heading3"/>
      </w:pPr>
      <w:bookmarkStart w:id="1258" w:name="red-line-i-1-no-zero-enrichment"/>
      <w:r>
        <w:t>Red Line I-1: No Zero Enrichment</w:t>
      </w:r>
    </w:p>
    <w:p w14:paraId="07027B89" w14:textId="77777777" w:rsidR="00180E7C" w:rsidRDefault="00000000">
      <w:pPr>
        <w:pStyle w:val="FirstParagraph"/>
      </w:pPr>
      <w:r>
        <w:t>As registered: Iran does not accept the permanent elimination of enrichment on its soil; enrichment capability constitutes both a treaty right under the NPT and a sovereign symbol purchased with decades of sanctions and sabotage.</w:t>
      </w:r>
    </w:p>
    <w:p w14:paraId="0549EA2D" w14:textId="77777777" w:rsidR="00180E7C" w:rsidRDefault="00000000">
      <w:pPr>
        <w:pStyle w:val="BodyText"/>
      </w:pPr>
      <w:r>
        <w:t>Where held: Article 61.1 records the permanent Iranian enrichment program in the Treaty’s own operative text; Article 61.3 fixes the ceiling at 3.67 percent and the centrifuge envelope at 5,060 IR-1 machines at Natanz, both framed as mutual architecture rather than as concession; Annex F’s facility end-states keep Natanz, Isfahan, and the converted Fordow operating under Iranian ownership and operation.</w:t>
      </w:r>
    </w:p>
    <w:p w14:paraId="7FA964AF" w14:textId="77777777" w:rsidR="00180E7C" w:rsidRDefault="00000000">
      <w:pPr>
        <w:pStyle w:val="BodyText"/>
      </w:pPr>
      <w:r>
        <w:t>How held under stress: The cap regime binds through the same symmetrical architecture that binds every other obligation, so no future American administration holds a legal lever to renegotiate the cap downward outside the Article 72 amendment procedure, which requires Iranian consent. The breakout floor of Article 61.6 operates as the line’s guardian in both directions: the twelve-month floor legitimizes the retained capability internationally, because a twelve-month breakout presents no snap-threat, while the same floor blocks any international claim that the retained capability itself justifies coercion.</w:t>
      </w:r>
    </w:p>
    <w:p w14:paraId="20889173" w14:textId="77777777" w:rsidR="00180E7C" w:rsidRDefault="00000000">
      <w:pPr>
        <w:pStyle w:val="BodyText"/>
      </w:pPr>
      <w:r>
        <w:t>Stress test: The hardest case is a future demand, from any quarter, to reduce the ceiling toward zero as a “confidence measure.” The Treaty’s answer: ceilings change only by amendment, amendment requires consensus, and the permanence clause of Article 75 removes even the sunset argument, since nothing in the nuclear chapter expires. The line holds.</w:t>
      </w:r>
    </w:p>
    <w:p w14:paraId="3240B6A1" w14:textId="77777777" w:rsidR="00180E7C" w:rsidRDefault="00000000">
      <w:pPr>
        <w:pStyle w:val="Heading3"/>
      </w:pPr>
      <w:bookmarkStart w:id="1259" w:name="red-line-i-2-no-export-of-the-stockpile"/>
      <w:bookmarkEnd w:id="1258"/>
      <w:r>
        <w:t>Red Line I-2: No Export of the Stockpile</w:t>
      </w:r>
    </w:p>
    <w:p w14:paraId="77AB0DC2" w14:textId="77777777" w:rsidR="00180E7C" w:rsidRDefault="00000000">
      <w:pPr>
        <w:pStyle w:val="FirstParagraph"/>
      </w:pPr>
      <w:r>
        <w:t>As registered: Iran does not surrender title to its enriched uranium, does not ship its stockpile abroad, and does not accept the framing of its nuclear material as contraband to be confiscated.</w:t>
      </w:r>
    </w:p>
    <w:p w14:paraId="783BD26B" w14:textId="77777777" w:rsidR="00180E7C" w:rsidRDefault="00000000">
      <w:pPr>
        <w:pStyle w:val="BodyText"/>
      </w:pPr>
      <w:r>
        <w:t>Where held: Article 61.2’s down-blending protocol: the entire 60 percent stockpile converts to natural-uranium assay inside Iran, at Isfahan, in Iranian facilities operated by Iranian personnel, with title remaining with Iran throughout and after. The product enters the dual-key storage of Annex F as Iranian property under joint monitoring.</w:t>
      </w:r>
    </w:p>
    <w:p w14:paraId="2A045852" w14:textId="77777777" w:rsidR="00180E7C" w:rsidRDefault="00000000">
      <w:pPr>
        <w:pStyle w:val="BodyText"/>
      </w:pPr>
      <w:r>
        <w:t xml:space="preserve">How held under stress: The irreversibility-in-place design resolves the export-versus-retention collision by removing the stockpile’s strategic significance while leaving every </w:t>
      </w:r>
      <w:r>
        <w:lastRenderedPageBreak/>
        <w:t>atom on Iranian soil under Iranian title. The dual-key mechanism gives the international side its assurance, withdrawal requires both keys, without transferring ownership. The Joint Disposition Fund gives the material an economic future, blending services for the international LEU market, that converts retention from a grievance into an asset.</w:t>
      </w:r>
    </w:p>
    <w:p w14:paraId="03BD089A" w14:textId="77777777" w:rsidR="00180E7C" w:rsidRDefault="00000000">
      <w:pPr>
        <w:pStyle w:val="BodyText"/>
      </w:pPr>
      <w:r>
        <w:t>Stress test: A future crisis in which a foreign government demands the stored material’s removal as a de-escalation concession. The answer: title is Iranian by treaty, the dual-key system requires Iranian consent for any movement, and the material’s natural-uranium assay removes any nonproliferation rationale for removal. The line holds.</w:t>
      </w:r>
    </w:p>
    <w:p w14:paraId="05FFA203" w14:textId="77777777" w:rsidR="00180E7C" w:rsidRDefault="00000000">
      <w:pPr>
        <w:pStyle w:val="Heading3"/>
      </w:pPr>
      <w:bookmarkStart w:id="1260" w:name="Xd02d5615746a36dce625c1291926069fea9e372"/>
      <w:bookmarkEnd w:id="1259"/>
      <w:r>
        <w:t>Red Line I-3: No Negotiation Under Threat, No Deal Under Duress</w:t>
      </w:r>
    </w:p>
    <w:p w14:paraId="3AF70B0E" w14:textId="77777777" w:rsidR="00180E7C" w:rsidRDefault="00000000">
      <w:pPr>
        <w:pStyle w:val="FirstParagraph"/>
      </w:pPr>
      <w:r>
        <w:t>As registered: Iran does not ratify agreements concluded under military threat or economic siege, and any settlement embodies mutual respect rather than capitulation.</w:t>
      </w:r>
    </w:p>
    <w:p w14:paraId="326FFA3E" w14:textId="77777777" w:rsidR="00180E7C" w:rsidRDefault="00000000">
      <w:pPr>
        <w:pStyle w:val="BodyText"/>
      </w:pPr>
      <w:r>
        <w:t>Where held: The preamble’s mutual-respect clause; Article 3’s recognition provisions; the simultaneous-obligation architecture of Article 88, under which the Treaty enters into force only on the exchange of ratifications, so neither Party performs first; the Cothrom method’s symmetrical claim procedure, in which every obligation binds both Parties and every remedy prices both directions.</w:t>
      </w:r>
    </w:p>
    <w:p w14:paraId="0CDFF46B" w14:textId="77777777" w:rsidR="00180E7C" w:rsidRDefault="00000000">
      <w:pPr>
        <w:pStyle w:val="BodyText"/>
      </w:pPr>
      <w:r>
        <w:t>How held under stress: The architecture’s deepest symmetry: every chapter’s obligations come paired, the ceasefire binds both, the corridor rules bind all flags, the demerit schedule prices American violations identically to Iranian ones, the step-back remedy runs in both directions with identical ceilings. The negotiating history, recorded in Annex Q and SP-18, shows the Treaty concluded after the ceasefire of April 2026, not under bombardment, and the escrow design ensures that sanctions relief, once locked, does not depend on annual American goodwill.</w:t>
      </w:r>
    </w:p>
    <w:p w14:paraId="06B062D3" w14:textId="77777777" w:rsidR="00180E7C" w:rsidRDefault="00000000">
      <w:pPr>
        <w:pStyle w:val="BodyText"/>
      </w:pPr>
      <w:r>
        <w:t>Stress test: A future American threat posture during a dispute, an “all options on the table” declaration. The answer: Article 4’s non-aggression obligation binds rhetorical escalation through its threat-of-force clause, a violation enters the demerit schedule as Category 3 conduct, and the symmetrical remedy architecture prices it. The line holds through procedure, and the Ledger records the procedure’s teeth: three points, step-back exposure on the military benefit line, and the JMC’s mandatory emergency session.</w:t>
      </w:r>
    </w:p>
    <w:p w14:paraId="37CBE3BD" w14:textId="77777777" w:rsidR="00180E7C" w:rsidRDefault="00000000">
      <w:pPr>
        <w:pStyle w:val="Heading3"/>
      </w:pPr>
      <w:bookmarkStart w:id="1261" w:name="Xfdd8e39cc07e289fd7310b1429ff37bda482b59"/>
      <w:bookmarkEnd w:id="1260"/>
      <w:r>
        <w:t>Red Line I-4: Preservation of Defensive Missile Capability</w:t>
      </w:r>
    </w:p>
    <w:p w14:paraId="23EC8E26" w14:textId="77777777" w:rsidR="00180E7C" w:rsidRDefault="00000000">
      <w:pPr>
        <w:pStyle w:val="FirstParagraph"/>
      </w:pPr>
      <w:r>
        <w:t>As registered: Iran’s conventional missile program constitutes its core conventional deterrent and stands outside negotiation.</w:t>
      </w:r>
    </w:p>
    <w:p w14:paraId="4515FC08" w14:textId="77777777" w:rsidR="00180E7C" w:rsidRDefault="00000000">
      <w:pPr>
        <w:pStyle w:val="BodyText"/>
      </w:pPr>
      <w:r>
        <w:t>Where held: Annex K’s architecture: the missile chapter contains no elimination obligation, no range cap imposed as a hard legal limit, and no verification intrusion into missile facilities. The chapter’s content is the voluntary transparency framework, the 2,000-kilometer self-declared ceiling with notification protocols, and the nuclear-capable exclusion, which operates as Iran’s own declared policy given treaty form.</w:t>
      </w:r>
    </w:p>
    <w:p w14:paraId="77728988" w14:textId="77777777" w:rsidR="00180E7C" w:rsidRDefault="00000000">
      <w:pPr>
        <w:pStyle w:val="BodyText"/>
      </w:pPr>
      <w:r>
        <w:t xml:space="preserve">How held under stress: The voluntary character is the protection. Because Iran undertakes no binding elimination, no future verification dispute manufactures a violation from the </w:t>
      </w:r>
      <w:r>
        <w:lastRenderedPageBreak/>
        <w:t>program’s existence, and the transparency registry’s compliance record, scenario-tested in SP-23’s Scenario Fourteen, converts the program from a pretext into a documented routine. The chapter’s separation from the nuclear and sanctions cores, engineered through the benefit-line architecture, ensures missile friction never cascades into the economic layer.</w:t>
      </w:r>
    </w:p>
    <w:p w14:paraId="00132351" w14:textId="77777777" w:rsidR="00180E7C" w:rsidRDefault="00000000">
      <w:pPr>
        <w:pStyle w:val="BodyText"/>
      </w:pPr>
      <w:r>
        <w:t>Stress test: An external demand, at the Security Council or elsewhere, to convert the voluntary ceiling into a binding limit. The answer: the Treaty fixes the chapter’s voluntary character in operative text, amendment requires consensus, and the Treaty’s registration under Article 89 gives the framework’s limits international-legal standing. The line holds.</w:t>
      </w:r>
    </w:p>
    <w:p w14:paraId="793E861B" w14:textId="77777777" w:rsidR="00180E7C" w:rsidRDefault="00000000">
      <w:pPr>
        <w:pStyle w:val="Heading3"/>
      </w:pPr>
      <w:bookmarkStart w:id="1262" w:name="X0eb85e4a95d926db83026a947fdf726d4c8e76e"/>
      <w:bookmarkEnd w:id="1261"/>
      <w:r>
        <w:t>Red Line I-5: No Surrender of Regional Allies</w:t>
      </w:r>
    </w:p>
    <w:p w14:paraId="6EABB60A" w14:textId="77777777" w:rsidR="00180E7C" w:rsidRDefault="00000000">
      <w:pPr>
        <w:pStyle w:val="FirstParagraph"/>
      </w:pPr>
      <w:r>
        <w:t>As registered: Iran does not trade away its regional relationships, does not accept lists of approved and forbidden partners, and does not abandon the political movements it supports.</w:t>
      </w:r>
    </w:p>
    <w:p w14:paraId="4C738B67" w14:textId="77777777" w:rsidR="00180E7C" w:rsidRDefault="00000000">
      <w:pPr>
        <w:pStyle w:val="BodyText"/>
      </w:pPr>
      <w:r>
        <w:t>Where held: Title VI’s architecture resolves the regional file through parallel instruments rather than through bilateral betrayal: Lebanon’s file resolves through Lebanese state-building that Iran’s allies participate in rather than through their elimination; Iraq’s file through partnership; Yemen’s through the UN process; and Article 8’s proxy provisions bind conduct, support for attacks on the other Party, rather than relationships. No provision requires Iran to designate, denounce, or abandon any ally.</w:t>
      </w:r>
    </w:p>
    <w:p w14:paraId="07B7CC4F" w14:textId="77777777" w:rsidR="00180E7C" w:rsidRDefault="00000000">
      <w:pPr>
        <w:pStyle w:val="BodyText"/>
      </w:pPr>
      <w:r>
        <w:t>How held under stress: The conduct-relationship distinction carries the load: the Treaty prices what allies do across specific lines, attacks on the Parties, arms flows violating declared schedules, and prices nothing else. The Reconstruction and Demobilization Support Fund gives Iran’s allies a political future inside states rather than against them, a design that serves Iranian interests as the Ledger candidly records: Tehran’s own strategic documents of the post-2024 period describe overextension costs, and the parallel instruments convert liabilities into settled equities.</w:t>
      </w:r>
    </w:p>
    <w:p w14:paraId="312596AB" w14:textId="77777777" w:rsidR="00180E7C" w:rsidRDefault="00000000">
      <w:pPr>
        <w:pStyle w:val="BodyText"/>
      </w:pPr>
      <w:r>
        <w:t>Stress test: An American demand during a crisis to add a group to the prohibited list. The answer: the prohibited-conduct list closes at signature, additions require amendment, and the conduct test, not the identity test, governs. The line holds.</w:t>
      </w:r>
    </w:p>
    <w:p w14:paraId="0A11D8CB" w14:textId="77777777" w:rsidR="00180E7C" w:rsidRDefault="00000000">
      <w:pPr>
        <w:pStyle w:val="Heading3"/>
      </w:pPr>
      <w:bookmarkStart w:id="1263" w:name="X3139c9ea081a3e7cebb78487f3ed8c4bec512fd"/>
      <w:bookmarkEnd w:id="1262"/>
      <w:r>
        <w:t>Red Line I-6: Full Sanctions Termination, Not Suspension</w:t>
      </w:r>
    </w:p>
    <w:p w14:paraId="69B69FD6" w14:textId="77777777" w:rsidR="00180E7C" w:rsidRDefault="00000000">
      <w:pPr>
        <w:pStyle w:val="FirstParagraph"/>
      </w:pPr>
      <w:r>
        <w:t>As registered: Iran does not accept waiver-based relief that renews the extortion cycle every one hundred eighty days; termination runs legal, structural, and durable.</w:t>
      </w:r>
    </w:p>
    <w:p w14:paraId="1E1EC882" w14:textId="77777777" w:rsidR="00180E7C" w:rsidRDefault="00000000">
      <w:pPr>
        <w:pStyle w:val="BodyText"/>
      </w:pPr>
      <w:r>
        <w:t>Where held: Title IV’s statute-locked termination schedules; the Implementation Act mechanism of SP-24; the escrow architecture that removes the frozen assets from the annual-discretion cycle entirely; the EMB monitoring that substitutes data for discretion.</w:t>
      </w:r>
    </w:p>
    <w:p w14:paraId="1DFEEF0E" w14:textId="77777777" w:rsidR="00180E7C" w:rsidRDefault="00000000">
      <w:pPr>
        <w:pStyle w:val="BodyText"/>
      </w:pPr>
      <w:r>
        <w:t xml:space="preserve">How held under stress: Scenario Five of SP-23 walks the hardest case, a congressional reimposition attempt, and shows the layered defense: supermajority thresholds, the symmetrical-remedy pricing, the escrow’s insulation. The line holds through the strongest mechanism available in the American constitutional order, and the Ledger records candidly that absolute insurance against a determined future supermajority does not exist in any </w:t>
      </w:r>
      <w:r>
        <w:lastRenderedPageBreak/>
        <w:t>instrument, while the cost and friction this Treaty attaches to reversal exceed anything previously constructed.</w:t>
      </w:r>
    </w:p>
    <w:p w14:paraId="5825BF08" w14:textId="77777777" w:rsidR="00180E7C" w:rsidRDefault="00000000">
      <w:pPr>
        <w:pStyle w:val="Heading3"/>
      </w:pPr>
      <w:bookmarkStart w:id="1264" w:name="Xf75ec54b59b173669c24315baf164d15743a134"/>
      <w:bookmarkEnd w:id="1263"/>
      <w:r>
        <w:t>Red Line I-7: Maritime Sovereignty and the Hormuz Role</w:t>
      </w:r>
    </w:p>
    <w:p w14:paraId="3B1E72AB" w14:textId="77777777" w:rsidR="00180E7C" w:rsidRDefault="00000000">
      <w:pPr>
        <w:pStyle w:val="FirstParagraph"/>
      </w:pPr>
      <w:r>
        <w:t>As registered: Iran does not accept the internationalization of its coastline, does not surrender its legal position as a Strait coastal state, and does not accept exclusion from the waterway’s governance.</w:t>
      </w:r>
    </w:p>
    <w:p w14:paraId="1A21DF04" w14:textId="77777777" w:rsidR="00180E7C" w:rsidRDefault="00000000">
      <w:pPr>
        <w:pStyle w:val="BodyText"/>
      </w:pPr>
      <w:r>
        <w:t>Where held: The Hormuz Authority’s structure: Iranian co-chairmanship with full parity staffing, Iranian territorial-sea jurisdiction expressly preserved in Article 38, the functional-sovereignty doctrine of Article 37 that converts sovereign presence into governance function, and the twin-key interdiction rule that places an Iranian key on every enforcement action in every corridor.</w:t>
      </w:r>
    </w:p>
    <w:p w14:paraId="20756E94" w14:textId="77777777" w:rsidR="00180E7C" w:rsidRDefault="00000000">
      <w:pPr>
        <w:pStyle w:val="BodyText"/>
      </w:pPr>
      <w:r>
        <w:t>How held under stress: The co-chair’s key cannot be legislated away: the Authority’s charter requires consensus of chair and co-chair for any structural change, and the corridor system’s operation physically depends on Iranian participation, so no coalition governs the Strait around Iran. The line holds, and the Ledger notes the symmetry: the same twin-key rule gives Oman, and through it the international community, a key on every Iranian enforcement action, which is the price that purchased the structure’s acceptance, paid in function rather than in sovereignty.</w:t>
      </w:r>
    </w:p>
    <w:p w14:paraId="541FDA3D" w14:textId="77777777" w:rsidR="00180E7C" w:rsidRDefault="00000000">
      <w:pPr>
        <w:pStyle w:val="Heading3"/>
      </w:pPr>
      <w:bookmarkStart w:id="1265" w:name="red-line-i-8-the-nuclear-files-closure"/>
      <w:bookmarkEnd w:id="1264"/>
      <w:r>
        <w:t>Red Line I-8: The Nuclear File’s Closure</w:t>
      </w:r>
    </w:p>
    <w:p w14:paraId="65043205" w14:textId="77777777" w:rsidR="00180E7C" w:rsidRDefault="00000000">
      <w:pPr>
        <w:pStyle w:val="FirstParagraph"/>
      </w:pPr>
      <w:r>
        <w:t>As registered: Iran requires the file closed, permanently, with no residual ambiguous obligations that future pressure reopens: the “once and for all” condition.</w:t>
      </w:r>
    </w:p>
    <w:p w14:paraId="6CFFDE2D" w14:textId="77777777" w:rsidR="00180E7C" w:rsidRDefault="00000000">
      <w:pPr>
        <w:pStyle w:val="BodyText"/>
      </w:pPr>
      <w:r>
        <w:t>Where held: Article 61.1’s permanent undertakings clause; the PMD closure provisions of Annex F; Article 75’s permanence clause; the IAEA process milestones that carry the Agency’s own closure language.</w:t>
      </w:r>
    </w:p>
    <w:p w14:paraId="2EFB67EC" w14:textId="77777777" w:rsidR="00180E7C" w:rsidRDefault="00000000">
      <w:pPr>
        <w:pStyle w:val="BodyText"/>
      </w:pPr>
      <w:r>
        <w:t>How held under stress: The closure’s enemy is ambiguity, so the design eliminates ambiguity’s habitats: every facility has an end-state, every kilogram has a ledger line, every historical question has a closure instrument, and the breakout floor converts the open-ended anxiety into a fixed, monitored number. The line holds.</w:t>
      </w:r>
    </w:p>
    <w:p w14:paraId="7DCEA112" w14:textId="77777777" w:rsidR="00180E7C" w:rsidRDefault="00000000">
      <w:r>
        <w:pict w14:anchorId="15E033C0">
          <v:rect id="_x0000_i1063" style="width:0;height:1.5pt" o:hralign="center" o:hrstd="t" o:hr="t"/>
        </w:pict>
      </w:r>
    </w:p>
    <w:p w14:paraId="7B0635A8" w14:textId="77777777" w:rsidR="00180E7C" w:rsidRDefault="00000000">
      <w:pPr>
        <w:pStyle w:val="Heading2"/>
      </w:pPr>
      <w:bookmarkStart w:id="1266" w:name="sp-25.3-the-american-register"/>
      <w:bookmarkEnd w:id="1257"/>
      <w:bookmarkEnd w:id="1265"/>
      <w:r>
        <w:t>SP-25.3: The American Register</w:t>
      </w:r>
    </w:p>
    <w:p w14:paraId="384573A1" w14:textId="77777777" w:rsidR="00180E7C" w:rsidRDefault="00000000">
      <w:pPr>
        <w:pStyle w:val="Heading3"/>
      </w:pPr>
      <w:bookmarkStart w:id="1267" w:name="X0478234b6b57e2ae52f40c0552184cd6e725818"/>
      <w:r>
        <w:t>Red Line A-1: No Iranian Nuclear Weapon, Ever</w:t>
      </w:r>
    </w:p>
    <w:p w14:paraId="5B71BC3B" w14:textId="77777777" w:rsidR="00180E7C" w:rsidRDefault="00000000">
      <w:pPr>
        <w:pStyle w:val="FirstParagraph"/>
      </w:pPr>
      <w:r>
        <w:t>As registered: The United States does not accept an Iranian nuclear weapon, a threshold capability inside a short breakout window, or a verification gap through which either could emerge.</w:t>
      </w:r>
    </w:p>
    <w:p w14:paraId="354F0DFC" w14:textId="77777777" w:rsidR="00180E7C" w:rsidRDefault="00000000">
      <w:pPr>
        <w:pStyle w:val="BodyText"/>
      </w:pPr>
      <w:r>
        <w:t xml:space="preserve">Where held: The architecture’s entire nuclear layer: the 3.67 percent cap, the 300-kilogram LEU ceiling, the 5,060 IR-1 envelope, the Fordow conversion, the down-blending campaign, the Uranium Ledger, the continuous IAEA presence, the anytime-access protocol, and the </w:t>
      </w:r>
      <w:r>
        <w:lastRenderedPageBreak/>
        <w:t>twelve-month breakout floor of Article 61.6, which converts the red line into a number and the number into a monitored physical condition.</w:t>
      </w:r>
    </w:p>
    <w:p w14:paraId="34D83B43" w14:textId="77777777" w:rsidR="00180E7C" w:rsidRDefault="00000000">
      <w:pPr>
        <w:pStyle w:val="BodyText"/>
      </w:pPr>
      <w:r>
        <w:t>How held under stress: The floor is the design’s center: breakout time derives from inventory, enrichment level, and centrifuge configuration, all three under continuous measurement, so the floor cannot erode without detection, and detection triggers the anomaly chain long before the floor bends. The line holds through physics plus instrumentation, a stronger basis than any previous instrument offered.</w:t>
      </w:r>
    </w:p>
    <w:p w14:paraId="66665473" w14:textId="77777777" w:rsidR="00180E7C" w:rsidRDefault="00000000">
      <w:pPr>
        <w:pStyle w:val="Heading3"/>
      </w:pPr>
      <w:bookmarkStart w:id="1268" w:name="red-line-a-2-real-verification-not-trust"/>
      <w:bookmarkEnd w:id="1267"/>
      <w:r>
        <w:t>Red Line A-2: Real Verification, Not Trust</w:t>
      </w:r>
    </w:p>
    <w:p w14:paraId="7EC2BB2E" w14:textId="77777777" w:rsidR="00180E7C" w:rsidRDefault="00000000">
      <w:pPr>
        <w:pStyle w:val="FirstParagraph"/>
      </w:pPr>
      <w:r>
        <w:t>As registered: The United States does not rely on Iranian declarations; verification runs independent, intrusive where necessary, and permanent.</w:t>
      </w:r>
    </w:p>
    <w:p w14:paraId="0F93DA23" w14:textId="77777777" w:rsidR="00180E7C" w:rsidRDefault="00000000">
      <w:pPr>
        <w:pStyle w:val="BodyText"/>
      </w:pPr>
      <w:r>
        <w:t>Where held: Article 62’s access architecture, the continuous presence, the Ledger’s real-time accounting, the sensor networks of Annex C, the managed-access toolbox for sensitive sites, and the Cothrom escalation chain that prices obstruction.</w:t>
      </w:r>
    </w:p>
    <w:p w14:paraId="36241F19" w14:textId="77777777" w:rsidR="00180E7C" w:rsidRDefault="00000000">
      <w:pPr>
        <w:pStyle w:val="BodyText"/>
      </w:pPr>
      <w:r>
        <w:t>How held under stress: Scenario Thirteen walks the hardest case, a deadline breach at a sensitive site, and shows the system’s answer: priced procedure plus evidence-based substance. The line holds, and the Ledger records the design judgment: the verification regime exceeds the Additional Protocol’s baseline and does so permanently, which no previous settlement achieved.</w:t>
      </w:r>
    </w:p>
    <w:p w14:paraId="22C9C645" w14:textId="77777777" w:rsidR="00180E7C" w:rsidRDefault="00000000">
      <w:pPr>
        <w:pStyle w:val="Heading3"/>
      </w:pPr>
      <w:bookmarkStart w:id="1269" w:name="Xe815c771266fa4d64c8f9f337749d2a5b2b6651"/>
      <w:bookmarkEnd w:id="1268"/>
      <w:r>
        <w:t>Red Line A-3: No Payment for Terrorism, No Tribute</w:t>
      </w:r>
    </w:p>
    <w:p w14:paraId="31C803C8" w14:textId="77777777" w:rsidR="00180E7C" w:rsidRDefault="00000000">
      <w:pPr>
        <w:pStyle w:val="FirstParagraph"/>
      </w:pPr>
      <w:r>
        <w:t>As registered: The United States does not pay reparations, does not deliver pallets of cash as political ransom, and does not fund Iran’s regional machinery.</w:t>
      </w:r>
    </w:p>
    <w:p w14:paraId="6145EAC4" w14:textId="77777777" w:rsidR="00180E7C" w:rsidRDefault="00000000">
      <w:pPr>
        <w:pStyle w:val="BodyText"/>
      </w:pPr>
      <w:r>
        <w:t>Where held: The compensation architecture of Article 65: no tribute flows in either direction; the frozen assets are Iran’s own money returned through escrow with purpose restrictions; the Joint Claims Commission resolves claims symmetrically; the Claims Facility funds settlements from the escrowed principal’s structure, not from American appropriations; and the RDF’s governance places every dollar under fiduciary control with published disbursement.</w:t>
      </w:r>
    </w:p>
    <w:p w14:paraId="524C5C9C" w14:textId="77777777" w:rsidR="00180E7C" w:rsidRDefault="00000000">
      <w:pPr>
        <w:pStyle w:val="BodyText"/>
      </w:pPr>
      <w:r>
        <w:t>How held under stress: The structural answer dissolves the talking point’s factual basis: no American taxpayer dollar funds any Iranian purpose under this Treaty, and every Iranian dollar that moves does so through audited channels against published purposes. The line holds.</w:t>
      </w:r>
    </w:p>
    <w:p w14:paraId="5689ACBB" w14:textId="77777777" w:rsidR="00180E7C" w:rsidRDefault="00000000">
      <w:pPr>
        <w:pStyle w:val="Heading3"/>
      </w:pPr>
      <w:bookmarkStart w:id="1270" w:name="X344fc2ad72579dfd2e272acaea29d759c61433d"/>
      <w:bookmarkEnd w:id="1269"/>
      <w:r>
        <w:t>Red Line A-4: Protection of Israel’s Security</w:t>
      </w:r>
    </w:p>
    <w:p w14:paraId="7AB45686" w14:textId="77777777" w:rsidR="00180E7C" w:rsidRDefault="00000000">
      <w:pPr>
        <w:pStyle w:val="FirstParagraph"/>
      </w:pPr>
      <w:r>
        <w:t>As registered: The United States does not conclude a settlement that exposes Israel to enhanced threat, and Israel’s qualitative security requirements frame American acceptance.</w:t>
      </w:r>
    </w:p>
    <w:p w14:paraId="736855A7" w14:textId="77777777" w:rsidR="00180E7C" w:rsidRDefault="00000000">
      <w:pPr>
        <w:pStyle w:val="BodyText"/>
      </w:pPr>
      <w:r>
        <w:t xml:space="preserve">Where held: The missile transparency layer, the nuclear breakout floor, the regional de-escalation instruments, the non-signatory protocol of Article 81 with its restraint and consultation channels, the no-strike zones, and the staged character of every benefit line </w:t>
      </w:r>
      <w:r>
        <w:lastRenderedPageBreak/>
        <w:t>that keeps the architecture reversible across the period in which Israel’s concerns receive their practical test.</w:t>
      </w:r>
    </w:p>
    <w:p w14:paraId="04AAD4FE" w14:textId="77777777" w:rsidR="00180E7C" w:rsidRDefault="00000000">
      <w:pPr>
        <w:pStyle w:val="BodyText"/>
      </w:pPr>
      <w:r>
        <w:t>How held under stress: The Ledger records the design’s honest structure: Israel is not a signatory and the Treaty does not pretend to bind it, while it binds every element of the Iranian capability array that constitutes the threat, and it builds the first restraint channel on Israeli operations that any instrument has contained. The line holds to the extent any instrument holds it, and the fifteen-concern map of Annex Q shows the clause-level answers.</w:t>
      </w:r>
    </w:p>
    <w:p w14:paraId="28B9C85A" w14:textId="77777777" w:rsidR="00180E7C" w:rsidRDefault="00000000">
      <w:pPr>
        <w:pStyle w:val="Heading3"/>
      </w:pPr>
      <w:bookmarkStart w:id="1271" w:name="Xcb3f06a5d65f56e9cad71b0d50a82b8c585965e"/>
      <w:bookmarkEnd w:id="1270"/>
      <w:r>
        <w:t>Red Line A-5: No Legitimation of the IRGC’s Regional Role</w:t>
      </w:r>
    </w:p>
    <w:p w14:paraId="7A47E162" w14:textId="77777777" w:rsidR="00180E7C" w:rsidRDefault="00000000">
      <w:pPr>
        <w:pStyle w:val="FirstParagraph"/>
      </w:pPr>
      <w:r>
        <w:t>As registered: The United States does not normalize the IRGC’s external operations arm or accept its permanent military presence in neighboring states.</w:t>
      </w:r>
    </w:p>
    <w:p w14:paraId="329E71C0" w14:textId="77777777" w:rsidR="00180E7C" w:rsidRDefault="00000000">
      <w:pPr>
        <w:pStyle w:val="BodyText"/>
      </w:pPr>
      <w:r>
        <w:t>Where held: The two-stage delisting design separates the terrorism designation’s foreign-policy instrument function from legitimization: the benchmarks price documented transformation of the external operations, the regional drawdown schedules of Title VI and Annex L remove the presence from Iraqi, Syrian, and Yemeni territory on verified timelines, and the conduct-based prohibitions of Article 8 keep the underlying behavior banned regardless of designations.</w:t>
      </w:r>
    </w:p>
    <w:p w14:paraId="037EA40D" w14:textId="77777777" w:rsidR="00180E7C" w:rsidRDefault="00000000">
      <w:pPr>
        <w:pStyle w:val="BodyText"/>
      </w:pPr>
      <w:r>
        <w:t>How held under stress: The design’s key is that delisting rewards transformation rather than conceding the role: every stage’s benchmarks consist of verified contractions of the external apparatus. The line holds, held not by a declaration but by the benchmark architecture’s content.</w:t>
      </w:r>
    </w:p>
    <w:p w14:paraId="2C683D46" w14:textId="77777777" w:rsidR="00180E7C" w:rsidRDefault="00000000">
      <w:pPr>
        <w:pStyle w:val="Heading3"/>
      </w:pPr>
      <w:bookmarkStart w:id="1272" w:name="red-line-a-6-freedom-of-navigation"/>
      <w:bookmarkEnd w:id="1271"/>
      <w:r>
        <w:t>Red Line A-6: Freedom of Navigation</w:t>
      </w:r>
    </w:p>
    <w:p w14:paraId="360362E6" w14:textId="77777777" w:rsidR="00180E7C" w:rsidRDefault="00000000">
      <w:pPr>
        <w:pStyle w:val="FirstParagraph"/>
      </w:pPr>
      <w:r>
        <w:t>As registered: The United States does not accept tolls, prior-approval regimes, or harassment in the Strait of Hormuz, and treats the waterway’s openness as a core national interest.</w:t>
      </w:r>
    </w:p>
    <w:p w14:paraId="3AF5DB6F" w14:textId="77777777" w:rsidR="00180E7C" w:rsidRDefault="00000000">
      <w:pPr>
        <w:pStyle w:val="BodyText"/>
      </w:pPr>
      <w:r>
        <w:t>Where held: Article 36’s free-transit guarantee: no tolls, no prior approval, no discrimination by flag, with the Verified Services Catalog supplying the Authority’s revenue on the Malacca model; the twin-key rule removing unilateral interdiction; the incident machinery of the MOC; and the naval deconfliction protocols of Annex J that keep the American Fifth Fleet’s operations deconflicted rather than excluded.</w:t>
      </w:r>
    </w:p>
    <w:p w14:paraId="04F00EEA" w14:textId="77777777" w:rsidR="00180E7C" w:rsidRDefault="00000000">
      <w:pPr>
        <w:pStyle w:val="BodyText"/>
      </w:pPr>
      <w:r>
        <w:t>How held under stress: Scenario Two walks the seizure case. The line holds through the corridor system’s operational detail, and the Ledger records the trade that purchased it: the American acceptance of the Authority itself, a governance body with Iranian parity, in exchange for the guarantee’s teeth. The trade is the treaty.</w:t>
      </w:r>
    </w:p>
    <w:p w14:paraId="0878D578" w14:textId="77777777" w:rsidR="00180E7C" w:rsidRDefault="00000000">
      <w:pPr>
        <w:pStyle w:val="Heading3"/>
      </w:pPr>
      <w:bookmarkStart w:id="1273" w:name="Xd9ac261068b4d1a75d086b1d48adea9618d7e83"/>
      <w:bookmarkEnd w:id="1272"/>
      <w:r>
        <w:t>Red Line A-7: No Sunset That Recreates the Threat</w:t>
      </w:r>
    </w:p>
    <w:p w14:paraId="1EA20163" w14:textId="77777777" w:rsidR="00180E7C" w:rsidRDefault="00000000">
      <w:pPr>
        <w:pStyle w:val="FirstParagraph"/>
      </w:pPr>
      <w:r>
        <w:t>As registered: The United States does not accept expiration dates that return the nuclear file to crisis on a known date.</w:t>
      </w:r>
    </w:p>
    <w:p w14:paraId="481BED8F" w14:textId="77777777" w:rsidR="00180E7C" w:rsidRDefault="00000000">
      <w:pPr>
        <w:pStyle w:val="BodyText"/>
      </w:pPr>
      <w:r>
        <w:lastRenderedPageBreak/>
        <w:t>Where held: Article 75: the Treaty contains no sunset on any nuclear obligation; the caps, the floor, the access regime, and the Ledger run permanently.</w:t>
      </w:r>
    </w:p>
    <w:p w14:paraId="7275626F" w14:textId="77777777" w:rsidR="00180E7C" w:rsidRDefault="00000000">
      <w:pPr>
        <w:pStyle w:val="BodyText"/>
      </w:pPr>
      <w:r>
        <w:t>How held under stress: Permanence is self-enforcing against the sunset critique; the line holds by the clause’s existence, and the amendment procedure’s consensus requirement means no future schedule reintroduces expiration without Iranian consent, which the Iranian register’s I-6 symmetry guarantees never trades cheaply.</w:t>
      </w:r>
    </w:p>
    <w:p w14:paraId="1C4E3436" w14:textId="77777777" w:rsidR="00180E7C" w:rsidRDefault="00000000">
      <w:pPr>
        <w:pStyle w:val="Heading3"/>
      </w:pPr>
      <w:bookmarkStart w:id="1274" w:name="red-line-a-8-hostage-diplomacy-ends"/>
      <w:bookmarkEnd w:id="1273"/>
      <w:r>
        <w:t>Red Line A-8: Hostage Diplomacy Ends</w:t>
      </w:r>
    </w:p>
    <w:p w14:paraId="7F35C711" w14:textId="77777777" w:rsidR="00180E7C" w:rsidRDefault="00000000">
      <w:pPr>
        <w:pStyle w:val="FirstParagraph"/>
      </w:pPr>
      <w:r>
        <w:t>As registered: The United States does not accept a future in which American nationals become negotiating chips.</w:t>
      </w:r>
    </w:p>
    <w:p w14:paraId="4D22D401" w14:textId="77777777" w:rsidR="00180E7C" w:rsidRDefault="00000000">
      <w:pPr>
        <w:pStyle w:val="BodyText"/>
      </w:pPr>
      <w:r>
        <w:t>Where held: Article 64’s post-exchange regime: consular access within seventy-two hours, quarterly review, the advance-notice obligation for sanctions-related arrests, and the demerit pricing of access obstruction, plus the financial architecture’s removal of the leverage that hostage-taking historically targeted.</w:t>
      </w:r>
    </w:p>
    <w:p w14:paraId="4C2C1BE1" w14:textId="77777777" w:rsidR="00180E7C" w:rsidRDefault="00000000">
      <w:pPr>
        <w:pStyle w:val="BodyText"/>
      </w:pPr>
      <w:r>
        <w:t>How held under stress: The design attacks the practice’s incentive structure rather than merely condemning it: with the assets escrowed, the claims channeled, and the arbitration standing, no American detainee concentrates leverage worth the demerit price. The line holds through incentive engineering, the only basis on which it has ever been held.</w:t>
      </w:r>
    </w:p>
    <w:p w14:paraId="533667B2" w14:textId="77777777" w:rsidR="00180E7C" w:rsidRDefault="00000000">
      <w:r>
        <w:pict w14:anchorId="552E0180">
          <v:rect id="_x0000_i1064" style="width:0;height:1.5pt" o:hralign="center" o:hrstd="t" o:hr="t"/>
        </w:pict>
      </w:r>
    </w:p>
    <w:p w14:paraId="6934F326" w14:textId="77777777" w:rsidR="00180E7C" w:rsidRDefault="00000000">
      <w:pPr>
        <w:pStyle w:val="Heading2"/>
      </w:pPr>
      <w:bookmarkStart w:id="1275" w:name="sp-25.4-the-regional-register"/>
      <w:bookmarkEnd w:id="1266"/>
      <w:bookmarkEnd w:id="1274"/>
      <w:r>
        <w:t>SP-25.4: The Regional Register</w:t>
      </w:r>
    </w:p>
    <w:p w14:paraId="2F60F0B1" w14:textId="77777777" w:rsidR="00180E7C" w:rsidRDefault="00000000">
      <w:pPr>
        <w:pStyle w:val="FirstParagraph"/>
      </w:pPr>
      <w:r>
        <w:t>The Ledger records the regional red lines in compressed form, each with its holding provision. Oman: no erosion of its Strait role, held by the Authority’s Omani chairmanship and the corridor assignments. Gulf states: no settlement over their heads, held by the accession architecture, the observer seats, and the consultation guarantee. Iraq: no foreign military presence and no proxy battlefield, held by the roadmap’s timelines and the conduct prohibitions. Lebanon: sovereignty and reconstruction without civil war, held by the parallel instrument’s coupling. Syria: territorial integrity and drawdown, held by the L-5 schedules. Yemen: no settlement imposed without the UN process, held by Article 77’s deference structure. Israel: no binding obligation without consent, held by the non-signatory protocol’s design. Palestine: the file’s preservation for a just resolution, held by Annex L’s final chapter, which keeps the question open, referenced, and linked to the regional-integration horizon without prejudging its outcome.</w:t>
      </w:r>
    </w:p>
    <w:p w14:paraId="34FE81C1" w14:textId="77777777" w:rsidR="00180E7C" w:rsidRDefault="00000000">
      <w:r>
        <w:pict w14:anchorId="60FC608B">
          <v:rect id="_x0000_i1065" style="width:0;height:1.5pt" o:hralign="center" o:hrstd="t" o:hr="t"/>
        </w:pict>
      </w:r>
    </w:p>
    <w:p w14:paraId="22C49F95" w14:textId="77777777" w:rsidR="00180E7C" w:rsidRDefault="00000000">
      <w:pPr>
        <w:pStyle w:val="Heading2"/>
      </w:pPr>
      <w:bookmarkStart w:id="1276" w:name="sp-25.5-the-collision-register"/>
      <w:bookmarkEnd w:id="1275"/>
      <w:r>
        <w:t>SP-25.5: The Collision Register</w:t>
      </w:r>
    </w:p>
    <w:p w14:paraId="6C2AE221" w14:textId="77777777" w:rsidR="00180E7C" w:rsidRDefault="00000000">
      <w:pPr>
        <w:pStyle w:val="FirstParagraph"/>
      </w:pPr>
      <w:r>
        <w:t>Five red-line pairs collided at drafting, and the Ledger records each resolution in final form, cross-referenced to Annex Q’s full treatment.</w:t>
      </w:r>
    </w:p>
    <w:p w14:paraId="4432055F" w14:textId="77777777" w:rsidR="00180E7C" w:rsidRDefault="00000000">
      <w:pPr>
        <w:pStyle w:val="BodyText"/>
      </w:pPr>
      <w:r>
        <w:lastRenderedPageBreak/>
        <w:t>Collision one: zero enrichment versus enrichment rights. Resolution: relocation of the conflict from existence to parameters, the 3.67 percent cap, the inventory ceiling, the breakout floor, holding both lines simultaneously.</w:t>
      </w:r>
    </w:p>
    <w:p w14:paraId="4E04F13E" w14:textId="77777777" w:rsidR="00180E7C" w:rsidRDefault="00000000">
      <w:pPr>
        <w:pStyle w:val="BodyText"/>
      </w:pPr>
      <w:r>
        <w:t>Collision two: export the stockpile versus retain the stockpile. Resolution: irreversibility-in-place, the in-Iran down-blending that removes strategic significance while preserving title and location.</w:t>
      </w:r>
    </w:p>
    <w:p w14:paraId="2EA7A84C" w14:textId="77777777" w:rsidR="00180E7C" w:rsidRDefault="00000000">
      <w:pPr>
        <w:pStyle w:val="BodyText"/>
      </w:pPr>
      <w:r>
        <w:t>Collision three: free transit versus coastal-state governance. Resolution: the service-layer separation, free transit guaranteed, governance exercised through services, safety, and coordination with the twin-key check.</w:t>
      </w:r>
    </w:p>
    <w:p w14:paraId="70F03E1A" w14:textId="77777777" w:rsidR="00180E7C" w:rsidRDefault="00000000">
      <w:pPr>
        <w:pStyle w:val="BodyText"/>
      </w:pPr>
      <w:r>
        <w:t>Collision four: snapback versus no snapback. Resolution: the Cothrom remedy system, automatic in operation, proportional in ceiling, symmetrical in direction, legislative in reversal, delivering deterrence without the snapback’s hair-trigger and durability without impunity.</w:t>
      </w:r>
    </w:p>
    <w:p w14:paraId="4B8B6B1F" w14:textId="77777777" w:rsidR="00180E7C" w:rsidRDefault="00000000">
      <w:pPr>
        <w:pStyle w:val="BodyText"/>
      </w:pPr>
      <w:r>
        <w:t>Collision five: compensation versus no tribute. Resolution: the structural separation, Iran’s own assets returned through audited escrow, claims resolved through a funded commission, reconstruction financed through a governed fund, with no payment framed as penalty in either direction.</w:t>
      </w:r>
    </w:p>
    <w:p w14:paraId="3E9971E2" w14:textId="77777777" w:rsidR="00180E7C" w:rsidRDefault="00000000">
      <w:r>
        <w:pict w14:anchorId="4D10948E">
          <v:rect id="_x0000_i1066" style="width:0;height:1.5pt" o:hralign="center" o:hrstd="t" o:hr="t"/>
        </w:pict>
      </w:r>
    </w:p>
    <w:p w14:paraId="1FB2BAFA" w14:textId="77777777" w:rsidR="00180E7C" w:rsidRDefault="00000000">
      <w:pPr>
        <w:pStyle w:val="Heading2"/>
      </w:pPr>
      <w:bookmarkStart w:id="1277" w:name="sp-25.6-ledger-closure"/>
      <w:bookmarkEnd w:id="1276"/>
      <w:r>
        <w:t>SP-25.6: Ledger Closure</w:t>
      </w:r>
    </w:p>
    <w:p w14:paraId="26BBD46D" w14:textId="77777777" w:rsidR="00180E7C" w:rsidRDefault="00000000">
      <w:pPr>
        <w:pStyle w:val="FirstParagraph"/>
      </w:pPr>
      <w:r>
        <w:t>The Ledger’s closing entry records the method’s limit and achievement. The limit: no text holds a red line against a determined future politics that chooses rupture regardless of price; the achievement: every red line registered in twelve years of negotiation stands held in this text by mechanics rather than by rhetoric, priced against rupture rather than merely recited, and cross-referenced to the clause level so that any future claim of surrender meets the citation that refutes it. The Parties sign, in the end, not a compromise of their red lines but an architecture in which their red lines coexist: the definition, this Treaty asserts, of what peace between adversaries actually is.</w:t>
      </w:r>
    </w:p>
    <w:p w14:paraId="0ED117A4" w14:textId="77777777" w:rsidR="00180E7C" w:rsidRDefault="00000000">
      <w:r>
        <w:pict w14:anchorId="101FE02F">
          <v:rect id="_x0000_i1067" style="width:0;height:1.5pt" o:hralign="center" o:hrstd="t" o:hr="t"/>
        </w:pict>
      </w:r>
    </w:p>
    <w:p w14:paraId="0684B158" w14:textId="77777777" w:rsidR="00180E7C" w:rsidRDefault="00000000">
      <w:pPr>
        <w:pStyle w:val="Heading2"/>
      </w:pPr>
      <w:bookmarkStart w:id="1278" w:name="X66c34f80c57a2fe2ccad54ad4e3ee8359385d2a"/>
      <w:bookmarkEnd w:id="1277"/>
      <w:r>
        <w:t>SP-25.7: Extended Holdings: The Clause-Level Citations</w:t>
      </w:r>
    </w:p>
    <w:p w14:paraId="2B942A60" w14:textId="77777777" w:rsidR="00180E7C" w:rsidRDefault="00000000">
      <w:pPr>
        <w:pStyle w:val="FirstParagraph"/>
      </w:pPr>
      <w:r>
        <w:t>This section extends the Ledger for litigation and ratification use: the specific clause chains that counsel cites when a red line’s holding is challenged in detail. Each entry gives the chain in citation form; the full texts stand at the cited locations.</w:t>
      </w:r>
    </w:p>
    <w:p w14:paraId="6E2A818F" w14:textId="77777777" w:rsidR="00180E7C" w:rsidRDefault="00000000">
      <w:pPr>
        <w:pStyle w:val="BodyText"/>
      </w:pPr>
      <w:r>
        <w:t>Holding chain I-1, enrichment retention: Preamble paragraph 4; Article 0.4.6 definition of the Peaceful Nuclear Program; Article 61.1 clauses 1 through 3; Article 61.3 clauses 1 and 2; Annex F sections 3 and 5; Article 75 clause 1. The chain’s logic: recognition, definition, undertaking, parameters, facility reality, permanence, six links, no gap.</w:t>
      </w:r>
    </w:p>
    <w:p w14:paraId="6FB93F3C" w14:textId="77777777" w:rsidR="00180E7C" w:rsidRDefault="00000000">
      <w:pPr>
        <w:pStyle w:val="BodyText"/>
      </w:pPr>
      <w:r>
        <w:lastRenderedPageBreak/>
        <w:t>Holding chain I-2, stockpile title: Article 61.2 clause 4, title provision; Annex F section 7, storage title clauses; Annex F section 9, Joint Disposition Fund property articles; Article 0.3.4, red-line integrity clause. The chain’s logic: title stated, storage governed without title transfer, economic use consistent with ownership, and the integrity clause barring interpretive erosion.</w:t>
      </w:r>
    </w:p>
    <w:p w14:paraId="30BBDD67" w14:textId="77777777" w:rsidR="00180E7C" w:rsidRDefault="00000000">
      <w:pPr>
        <w:pStyle w:val="BodyText"/>
      </w:pPr>
      <w:r>
        <w:t>Holding chain I-3, dignity and non-duress: Preamble paragraphs 2 and 3; Article 3; Article 88’s simultaneity mechanics; Annex D’s symmetric schedule; Annex E’s bidirectional ceilings. The chain’s logic: respect stated, recognition operative, simultaneity enforced, symmetry priced in both directions at every remedy point.</w:t>
      </w:r>
    </w:p>
    <w:p w14:paraId="322994F5" w14:textId="77777777" w:rsidR="00180E7C" w:rsidRDefault="00000000">
      <w:pPr>
        <w:pStyle w:val="BodyText"/>
      </w:pPr>
      <w:r>
        <w:t>Holding chain I-4, missile capability: Annex K sections 1 and 2, voluntary framework and self-declared ceiling; Article 63 clause 6, exclusion of missile elimination from obligations; Annex Q section 3.2, the collision record showing the voluntary character as negotiated resolution; Article 72, amendment consensus protecting the character against conversion.</w:t>
      </w:r>
    </w:p>
    <w:p w14:paraId="00443AFF" w14:textId="77777777" w:rsidR="00180E7C" w:rsidRDefault="00000000">
      <w:pPr>
        <w:pStyle w:val="BodyText"/>
      </w:pPr>
      <w:r>
        <w:t>Holding chain I-5, regional relationships: Article 8 clauses 1 through 3, conduct not identity; Article 76’s parallel-instrument architecture; Annex L’s participation provisions; Annex D’s closed conduct list. The chain’s logic: conduct priced, relationships unregulated, allies participating in the settlement’s instruments, and the list closed against expansion without consent.</w:t>
      </w:r>
    </w:p>
    <w:p w14:paraId="549800C2" w14:textId="77777777" w:rsidR="00180E7C" w:rsidRDefault="00000000">
      <w:pPr>
        <w:pStyle w:val="BodyText"/>
      </w:pPr>
      <w:r>
        <w:t>Holding chain I-6, termination durability: Articles 46 through 48; Annex G schedules with statutory citations; SP-24.3.2’s master-schedule technique; Annex E’s symmetric remedy pricing; SP-23.6’s stress test. The chain’s logic: termination executed in law, locked against facile reversal, priced internationally, and tested against the realistic attack.</w:t>
      </w:r>
    </w:p>
    <w:p w14:paraId="6661EE30" w14:textId="77777777" w:rsidR="00180E7C" w:rsidRDefault="00000000">
      <w:pPr>
        <w:pStyle w:val="BodyText"/>
      </w:pPr>
      <w:r>
        <w:t>Holding chain I-7, Hormuz role: Article 31.2, incorporation of the coastal-state draft; Article 32, co-chairmanship; Article 37, functional sovereignty; Article 36.4, the twin key; Annex B, parity staffing and budget shares; Article 44, accession preserving the coastal core. The chain’s logic: the pending structure ratified, the role constitutional within the Authority, sovereignty converted to function, enforcement keyed, and expansion gated by the coastal states themselves.</w:t>
      </w:r>
    </w:p>
    <w:p w14:paraId="55FB9C40" w14:textId="77777777" w:rsidR="00180E7C" w:rsidRDefault="00000000">
      <w:pPr>
        <w:pStyle w:val="BodyText"/>
      </w:pPr>
      <w:r>
        <w:t>Holding chain I-8, file closure: Article 61.1 clause 5; Annex F section 16, PMD closure instruments; Article 75; Article 62.7, the Agency’s closure-language milestones. The chain’s logic: permanence undertaken, history closed by instrument, no sunset anywhere, and the Agency’s own process carrying the closure into the multilateral record.</w:t>
      </w:r>
    </w:p>
    <w:p w14:paraId="30A623E9" w14:textId="77777777" w:rsidR="00180E7C" w:rsidRDefault="00000000">
      <w:pPr>
        <w:pStyle w:val="BodyText"/>
      </w:pPr>
      <w:r>
        <w:t>Holding chain A-1, no weapon: Article 61.1 clause 1, the permanent exclusion; Article 61.3, the caps; Article 61.6, the floor; Article 62, the verification; Annex F, the material architecture; Annex D Category 1, the pricing. The chain’s logic: the outcome excluded, the inputs capped, the margin measured, the measurements verified, and the violation priced at the schedule’s top.</w:t>
      </w:r>
    </w:p>
    <w:p w14:paraId="70BC6142" w14:textId="77777777" w:rsidR="00180E7C" w:rsidRDefault="00000000">
      <w:pPr>
        <w:pStyle w:val="BodyText"/>
      </w:pPr>
      <w:r>
        <w:t xml:space="preserve">Holding chain A-2, verification independence: Article 62 clauses 1 through 4; Annex C sections 4, 5, 11, 12; Annex F section 15; SP-5 sections 3 and 4; SP-23.14’s stress test. The </w:t>
      </w:r>
      <w:r>
        <w:lastRenderedPageBreak/>
        <w:t>chain’s logic: presence continuous, ledger real-time, access clocked, sensitive sites covered by managed access with its evidence-first dispute grammar.</w:t>
      </w:r>
    </w:p>
    <w:p w14:paraId="05EC02FD" w14:textId="77777777" w:rsidR="00180E7C" w:rsidRDefault="00000000">
      <w:pPr>
        <w:pStyle w:val="BodyText"/>
      </w:pPr>
      <w:r>
        <w:t>Holding chain A-3, no tribute: Article 65 clauses 1 and 2; Annex H section 1, source-of-funds statement; Annex O’s commission architecture; Annex I’s governance; SP-24.5 question sixteen. The chain’s logic: no reparations undertaken, sources restricted to Iran’s own funds and governed investment, claims channeled to the funded forum, and the historical files given their humanitarian track.</w:t>
      </w:r>
    </w:p>
    <w:p w14:paraId="4A3B4780" w14:textId="77777777" w:rsidR="00180E7C" w:rsidRDefault="00000000">
      <w:pPr>
        <w:pStyle w:val="BodyText"/>
      </w:pPr>
      <w:r>
        <w:t>Holding chain A-4, Israel’s security: Articles 61.6 and 63; Annex K; Article 81; Annex L section 10; Annex Q section 4’s fifteen-concern map. The chain’s logic: capability bounded, delivery transparent, restraint channel built, and every registered concern mapped to its answer.</w:t>
      </w:r>
    </w:p>
    <w:p w14:paraId="5F32DE0D" w14:textId="77777777" w:rsidR="00180E7C" w:rsidRDefault="00000000">
      <w:pPr>
        <w:pStyle w:val="BodyText"/>
      </w:pPr>
      <w:r>
        <w:t>Holding chain A-5, IRGC role: Article 47’s two stages; Annex G section 6’s benchmark files; Title VI’s drawdown schedules; Article 8’s conduct prohibitions. The chain’s logic: normalization purchased only by verified transformation, presence drawn down on schedules, conduct banned regardless of designation.</w:t>
      </w:r>
    </w:p>
    <w:p w14:paraId="3D7D8FC9" w14:textId="77777777" w:rsidR="00180E7C" w:rsidRDefault="00000000">
      <w:pPr>
        <w:pStyle w:val="BodyText"/>
      </w:pPr>
      <w:r>
        <w:t>Holding chain A-6, navigation freedom: Article 36 clauses 1 through 3; Article 36.4; Annex B’s service architecture; Annex J; SP-23.2’s stress test. The chain’s logic: transit free and unpriced, interdiction keyed, services voluntary, operations deconflicted, and the seizure case walked to its resolution.</w:t>
      </w:r>
    </w:p>
    <w:p w14:paraId="1501DD8D" w14:textId="77777777" w:rsidR="00180E7C" w:rsidRDefault="00000000">
      <w:pPr>
        <w:pStyle w:val="BodyText"/>
      </w:pPr>
      <w:r>
        <w:t>Holding chain A-7, no sunset: Article 75 clause 1; the absence of expiration anywhere in Titles V and IV’s locked schedules; SP-24.5 question seven’s analysis. The chain’s logic: permanence stated, expiration absent by design, and the amendment gate requiring consensus to create any future limit.</w:t>
      </w:r>
    </w:p>
    <w:p w14:paraId="039D214D" w14:textId="77777777" w:rsidR="00180E7C" w:rsidRDefault="00000000">
      <w:pPr>
        <w:pStyle w:val="BodyText"/>
      </w:pPr>
      <w:r>
        <w:t>Holding chain A-8, detainees: Article 64 clauses 1 through 5; Annex M schedule M-1; Annex D Category 4; the incentive analysis of this Ledger’s A-8 section. The chain’s logic: the past resolved by schedule, the future governed by protocol, obstruction priced, and the leverage removed from the practice’s targets.</w:t>
      </w:r>
    </w:p>
    <w:p w14:paraId="3E13277E" w14:textId="77777777" w:rsidR="00180E7C" w:rsidRDefault="00000000">
      <w:pPr>
        <w:pStyle w:val="BodyText"/>
      </w:pPr>
      <w:r>
        <w:t>The extended holdings complete the Ledger’s evidentiary layer: every red line, every chain, every clause. Ratification’s defenders hold, in this protocol, the citation architecture that converts the debate from assertion to text.</w:t>
      </w:r>
    </w:p>
    <w:p w14:paraId="7FDEE02A" w14:textId="77777777" w:rsidR="00180E7C" w:rsidRDefault="00000000">
      <w:r>
        <w:pict w14:anchorId="31E82153">
          <v:rect id="_x0000_i1068" style="width:0;height:1.5pt" o:hralign="center" o:hrstd="t" o:hr="t"/>
        </w:pict>
      </w:r>
    </w:p>
    <w:p w14:paraId="244AB1D5" w14:textId="77777777" w:rsidR="00180E7C" w:rsidRDefault="00000000">
      <w:pPr>
        <w:pStyle w:val="Heading2"/>
      </w:pPr>
      <w:bookmarkStart w:id="1279" w:name="sp-25.8-the-fairness-assessment"/>
      <w:bookmarkEnd w:id="1278"/>
      <w:r>
        <w:t>SP-25.8: The Fairness Assessment</w:t>
      </w:r>
    </w:p>
    <w:p w14:paraId="6094F48B" w14:textId="77777777" w:rsidR="00180E7C" w:rsidRDefault="00000000">
      <w:pPr>
        <w:pStyle w:val="FirstParagraph"/>
      </w:pPr>
      <w:r>
        <w:t>The mandate’s final condition requires the deal to stand as fair as possible, and this section defends the fairness claim with the Ledger’s own method: mechanics, not adjectives.</w:t>
      </w:r>
    </w:p>
    <w:p w14:paraId="4D76733A" w14:textId="77777777" w:rsidR="00180E7C" w:rsidRDefault="00000000">
      <w:pPr>
        <w:pStyle w:val="BodyText"/>
      </w:pPr>
      <w:r>
        <w:t xml:space="preserve">The symmetry audit, structural layer: The Treaty’s binding grammar attaches obligations to both Parties at every load-bearing point. The ceasefire binds both. The non-aggression undertaking binds both. The hostile-act prohibitions bind both. The notification systems bind both militaries. The demerit schedule prices violations identically regardless of the </w:t>
      </w:r>
      <w:r>
        <w:lastRenderedPageBreak/>
        <w:t>violator. The step-back remedy runs in both directions with identical ceilings. The claim procedure arms both Parties with the same evidentiary rules and the same forfeit risks. The withdrawal procedure confronts both with the same twelve months. The audit counts the operative text’s asymmetric obligations and finds them in exactly two places: the nuclear caps bind Iran alone, and the sanctions terminations bind the United States alone. Those two asymmetries are the bargain itself, capability for relief, and the fairness question therefore reduces to whether the exchange balances, which the remaining layers address.</w:t>
      </w:r>
    </w:p>
    <w:p w14:paraId="542F6624" w14:textId="77777777" w:rsidR="00180E7C" w:rsidRDefault="00000000">
      <w:pPr>
        <w:pStyle w:val="BodyText"/>
      </w:pPr>
      <w:r>
        <w:t>The symmetry audit, value layer: The exchange’s two legs price against each other across the architecture’s own accounting. Iran surrenders: the strategic stockpile’s existence, the advanced machines’ operation, the Fordow option, the breakout margin below twelve months, and the ambiguity that constituted its deterrent hedge. The United States surrenders: the sanctions architecture accumulated across four decades, the frozen assets’ leverage, the interdiction option in the Gulf’s corridors, the isolation policy that constrained Iran’s region, and the coercion option’s credibility, since the Treaty prices its use. Each leg’s value flows from the other’s sacrifice: relief is worth what sanctions cost, and caps are worth what capability cost. The RDF’s contribution accounting, which prices American termination value into the Fund’s records, exists precisely to keep this ledger legible to both publics.</w:t>
      </w:r>
    </w:p>
    <w:p w14:paraId="396E4666" w14:textId="77777777" w:rsidR="00180E7C" w:rsidRDefault="00000000">
      <w:pPr>
        <w:pStyle w:val="BodyText"/>
      </w:pPr>
      <w:r>
        <w:t>The symmetry audit, risk layer: Fairness between adversaries means symmetrical exposure to betrayal, and the architecture distributes that exposure deliberately. Iran’s exposure: its nuclear irreversibilities, material down-blended, machines stored, complete early and irrevocably, while American relief completes on a longer schedule. The architecture’s answer to the asymmetry of timing: the statute-lock makes relief independent of annual discretion, the escrow vests at entry into force rather than at milestones’ end, and the step-back remedy lets Iran re-suspend matched obligations at proportional cost if relief stalls, so Iran’s irreversibilities never stand naked against American delay. America’s exposure: relief’s early tranches, banking access, oil normalization, complete before the regional files’ long transformations finish. The architecture’s answer: the benefit-line design keeps the nuclear leg’s relief tied to nuclear performance while the regional files run on their own tranche couplings, so regional friction never re-opens the nuclear account, and the demerit system prices regional misconduct without revoking the nuclear bargain. Both exposures priced, both prices capped, both remedies symmetrical in form.</w:t>
      </w:r>
    </w:p>
    <w:p w14:paraId="568F904B" w14:textId="77777777" w:rsidR="00180E7C" w:rsidRDefault="00000000">
      <w:pPr>
        <w:pStyle w:val="BodyText"/>
      </w:pPr>
      <w:r>
        <w:t>The symmetry audit, dignity layer: The fairness claim’s least quantifiable and most consequential dimension. The text’s grammar carries it: no provision frames any obligation as one Party’s concession to the other’s demand; the mutual-architecture framing of the drafting convention makes every constraint a property of the system both Parties built. Iran keeps its enrichment, its stockpile’s title, its missiles, its allies, and its co-chair’s key. America keeps its fleet’s access, its verification demands, its sanction statutes’ successors, its alliance structure, and its claim procedure. Neither text contains the other’s surrender, and both texts contain the other’s face. The drafters record the judgment plainly: settlements fail on dignity more often than on interest, and this Treaty’s fairness rests finally on the fact that both delegations go home and tell the truth about winning.</w:t>
      </w:r>
    </w:p>
    <w:p w14:paraId="5C9F73E5" w14:textId="77777777" w:rsidR="00180E7C" w:rsidRDefault="00000000">
      <w:pPr>
        <w:pStyle w:val="BodyText"/>
      </w:pPr>
      <w:r>
        <w:lastRenderedPageBreak/>
        <w:t>The residual unfairness, disclosed: The Ledger’s honesty requirement extends to the fairness claim’s limits. Two asymmetries resist full balancing, and the Treaty discloses rather than hides them. First, the verification burden falls overwhelmingly on Iran: the inspections, the ledger, the access clocks examine Iranian territory, because the settlement’s subject matter, the nuclear file, sits in Iran, and the design compensates through the managed-access protections and the claim procedure’s symmetry rather than through pretend equivalence. Second, the military asymmetry of the two states persists untouched: the Treaty de-escalates postures and prices conduct, but it does not pretend to equalize power, and its fairness claim is the narrower, achievable one: that power’s exercise inside the settlement’s domain costs the same for both Parties, whatever its scale outside. The assessment closes where the Ledger began: the Treaty holds every red line, prices every remedy symmetrically, discloses its residuals, and submits that no fairer instrument was constructible from the materials of this conflict.</w:t>
      </w:r>
    </w:p>
    <w:p w14:paraId="6C2E128C" w14:textId="77777777" w:rsidR="00180E7C" w:rsidRDefault="00000000">
      <w:pPr>
        <w:pStyle w:val="Heading1"/>
      </w:pPr>
      <w:bookmarkStart w:id="1280" w:name="Xf9c426cdb85a0f3ab338de432b2db512b8b6e73"/>
      <w:bookmarkStart w:id="1281" w:name="_Toc237843212"/>
      <w:bookmarkEnd w:id="1254"/>
      <w:bookmarkEnd w:id="1279"/>
      <w:r>
        <w:t>SUPPLEMENTARY PROTOCOL SP-26: THE FIRST HUNDRED DAYS: ORGAN ACTIVATION DIARIES</w:t>
      </w:r>
      <w:bookmarkEnd w:id="1281"/>
    </w:p>
    <w:p w14:paraId="3E8A7673" w14:textId="77777777" w:rsidR="00180E7C" w:rsidRDefault="00000000">
      <w:pPr>
        <w:pStyle w:val="Heading2"/>
      </w:pPr>
      <w:bookmarkStart w:id="1282" w:name="sp-26.1-purpose"/>
      <w:r>
        <w:t>SP-26.1: Purpose</w:t>
      </w:r>
    </w:p>
    <w:p w14:paraId="60EF01B4" w14:textId="77777777" w:rsidR="00180E7C" w:rsidRDefault="00000000">
      <w:pPr>
        <w:pStyle w:val="FirstParagraph"/>
      </w:pPr>
      <w:r>
        <w:t>Treaties fail in the gap between signature and operation, in the hundred days when enthusiasm meets logistics and the organs exist on paper but not yet in fact. This protocol closes that gap with activation diaries: day-by-day operational schedules for each principal organ, from entry into force through Day 100, specifying who arrives where, which systems switch on when, which first decisions each body takes, and which deliverables prove to both capitals that the machinery lives. The diaries serve as the standing agenda for the Joint Commission’s activation phase, and their completion constitutes the informal but politically vital proof that the Treaty works.</w:t>
      </w:r>
    </w:p>
    <w:p w14:paraId="4C212DC2" w14:textId="77777777" w:rsidR="00180E7C" w:rsidRDefault="00000000">
      <w:r>
        <w:pict w14:anchorId="3153341C">
          <v:rect id="_x0000_i1069" style="width:0;height:1.5pt" o:hralign="center" o:hrstd="t" o:hr="t"/>
        </w:pict>
      </w:r>
    </w:p>
    <w:p w14:paraId="2FE53D60" w14:textId="77777777" w:rsidR="00180E7C" w:rsidRDefault="00000000">
      <w:pPr>
        <w:pStyle w:val="Heading2"/>
      </w:pPr>
      <w:bookmarkStart w:id="1283" w:name="X012c4d7f39e40ec75370b8ce30078599a534a71"/>
      <w:bookmarkEnd w:id="1282"/>
      <w:r>
        <w:t>SP-26.2: Diary of the Joint Monitoring Commission</w:t>
      </w:r>
    </w:p>
    <w:p w14:paraId="087053CF" w14:textId="77777777" w:rsidR="00180E7C" w:rsidRDefault="00000000">
      <w:pPr>
        <w:pStyle w:val="FirstParagraph"/>
      </w:pPr>
      <w:r>
        <w:t>Day 0: Entry into force. The JMC’s co-chairs, named in the instruments of ratification, exchange credentials through the depository. The interim secretariat, pre-positioned in Muscat under the advance team deployed at signature, opens the Registry’s production environment and switches the Shared Digital Registry from shadow mode, in which it ran during provisional application against test data, to live mode.</w:t>
      </w:r>
    </w:p>
    <w:p w14:paraId="584BEE0F" w14:textId="77777777" w:rsidR="00180E7C" w:rsidRDefault="00000000">
      <w:pPr>
        <w:pStyle w:val="BodyText"/>
      </w:pPr>
      <w:r>
        <w:t>Day 1 to 7: The forty founding staff report: twenty from each Party under the parity rule, plus the twelve neutral technical officers recruited through the Swiss Facilitator’s personnel channel. Badge systems, secure communications, and office segregation architecture activate. The co-chairs sign the Registry’s genesis block, creating the audit chain’s first immutable entry: the Treaty’s full text hash, timestamped.</w:t>
      </w:r>
    </w:p>
    <w:p w14:paraId="73F8A8B0" w14:textId="77777777" w:rsidR="00180E7C" w:rsidRDefault="00000000">
      <w:pPr>
        <w:pStyle w:val="BodyText"/>
      </w:pPr>
      <w:r>
        <w:t xml:space="preserve">Day 8 to 30: The declaration intake begins. Under Annex C’s schedule, the first-cycle declarations arrive: military posture notifications under Title II, nuclear baseline data </w:t>
      </w:r>
      <w:r>
        <w:lastRenderedPageBreak/>
        <w:t>under Annex F, financial-channel registrations under Annex H, corridor traffic schemas under Annex B. The secretariat’s intake team validates formats, flags gaps, and issues the first completeness report on Day 21, a document the design treats as the system’s first heartbeat: not an accusation instrument but a logistics snapshot.</w:t>
      </w:r>
    </w:p>
    <w:p w14:paraId="256C4FB7" w14:textId="77777777" w:rsidR="00180E7C" w:rsidRDefault="00000000">
      <w:pPr>
        <w:pStyle w:val="BodyText"/>
      </w:pPr>
      <w:r>
        <w:t>Day 31 to 60: The working groups convene in sequence: nuclear, military, maritime, financial, regional, each receiving its first-cycle data and adopting its operating rhythm. The anomaly procedure logs its first routine Level 1 events, late-format declarations, sensor calibration gaps, and the secretariat deliberately publishes them on the dashboard to establish the norm that anomalies are routine data, not scandals.</w:t>
      </w:r>
    </w:p>
    <w:p w14:paraId="473AE8FC" w14:textId="77777777" w:rsidR="00180E7C" w:rsidRDefault="00000000">
      <w:pPr>
        <w:pStyle w:val="BodyText"/>
      </w:pPr>
      <w:r>
        <w:t>Day 61 to 100: The first quarterly report assembles. The co-chairs present it to the Joint Commission at its first regular session, and the report’s publication, data complete, anomalies itemized, closures documented, marks the JMC’s transition from activation to operation. Deliverable proving life: the Day 100 dashboard, showing one hundred days of unbroken data flow.</w:t>
      </w:r>
    </w:p>
    <w:p w14:paraId="3A08ECA8" w14:textId="77777777" w:rsidR="00180E7C" w:rsidRDefault="00000000">
      <w:r>
        <w:pict w14:anchorId="6002F089">
          <v:rect id="_x0000_i1070" style="width:0;height:1.5pt" o:hralign="center" o:hrstd="t" o:hr="t"/>
        </w:pict>
      </w:r>
    </w:p>
    <w:p w14:paraId="036BAC19" w14:textId="77777777" w:rsidR="00180E7C" w:rsidRDefault="00000000">
      <w:pPr>
        <w:pStyle w:val="Heading2"/>
      </w:pPr>
      <w:bookmarkStart w:id="1284" w:name="sp-26.3-diary-of-the-hormuz-authority"/>
      <w:bookmarkEnd w:id="1283"/>
      <w:r>
        <w:t>SP-26.3: Diary of the Hormuz Authority</w:t>
      </w:r>
    </w:p>
    <w:p w14:paraId="54B5DDFF" w14:textId="77777777" w:rsidR="00180E7C" w:rsidRDefault="00000000">
      <w:pPr>
        <w:pStyle w:val="FirstParagraph"/>
      </w:pPr>
      <w:r>
        <w:t>Day 0: The Authority’s chair and co-chair, Oman’s and Iran’s designated incumbents, assume office in the Muscat headquarters prepared during provisional application. The Maritime Operational Center, already running in shadow mode since the July 2026 talks, cuts over to Authority command.</w:t>
      </w:r>
    </w:p>
    <w:p w14:paraId="60127233" w14:textId="77777777" w:rsidR="00180E7C" w:rsidRDefault="00000000">
      <w:pPr>
        <w:pStyle w:val="BodyText"/>
      </w:pPr>
      <w:r>
        <w:t>Day 1 to 14: The corridor system’s waypoint network activates: the seventeen corridor tables of Annex B load into the navigation-data service, notices to mariners publish through both national hydrographic offices simultaneously, and the four-corridor traffic separation scheme goes live for advisory routing. The Verified Services Catalog opens for enrollment; the rate card publishes in English, Persian, and Arabic.</w:t>
      </w:r>
    </w:p>
    <w:p w14:paraId="3EB40451" w14:textId="77777777" w:rsidR="00180E7C" w:rsidRDefault="00000000">
      <w:pPr>
        <w:pStyle w:val="BodyText"/>
      </w:pPr>
      <w:r>
        <w:t>Day 15 to 45: The verification cells staff up: the twelve cell sites of the coastal-state draft receive their joint teams, and the cell handbook’s first drills run. The twin-key interdiction console completes its technical certification: both keys, both authorization chains, tested end-to-end with a scripted exercise. The environmental directorate takes custody of the three spill-response equipment caches and conducts the first inventory drill.</w:t>
      </w:r>
    </w:p>
    <w:p w14:paraId="1B165F96" w14:textId="77777777" w:rsidR="00180E7C" w:rsidRDefault="00000000">
      <w:pPr>
        <w:pStyle w:val="BodyText"/>
      </w:pPr>
      <w:r>
        <w:t>Day 46 to 75: Mandatory corridor routing phases in for tankers above the tonnage threshold, on the ninety-day transition schedule that gives the insurance market its adjustment window. The first live twin-key authorization occurs, a coordinated inspection of a suspect vessel in Corridor 3, conducted precisely to exercise the mechanism under controlled conditions, and its after-action report publishes in full.</w:t>
      </w:r>
    </w:p>
    <w:p w14:paraId="445DADE5" w14:textId="77777777" w:rsidR="00180E7C" w:rsidRDefault="00000000">
      <w:pPr>
        <w:pStyle w:val="BodyText"/>
      </w:pPr>
      <w:r>
        <w:t>Day 76 to 100: The first semiannual traffic report issues: transit counts, delay statistics against the service standards of SP-20, incident log, and the financial statement showing the first quarter of service revenue. Deliverable proving life: one hundred days of zero closure days and a published incident record showing every event resolved inside the playbook timelines.</w:t>
      </w:r>
    </w:p>
    <w:p w14:paraId="58E51111" w14:textId="77777777" w:rsidR="00180E7C" w:rsidRDefault="00000000">
      <w:r>
        <w:lastRenderedPageBreak/>
        <w:pict w14:anchorId="6BD293DB">
          <v:rect id="_x0000_i1071" style="width:0;height:1.5pt" o:hralign="center" o:hrstd="t" o:hr="t"/>
        </w:pict>
      </w:r>
    </w:p>
    <w:p w14:paraId="66CCA213" w14:textId="77777777" w:rsidR="00180E7C" w:rsidRDefault="00000000">
      <w:pPr>
        <w:pStyle w:val="Heading2"/>
      </w:pPr>
      <w:bookmarkStart w:id="1285" w:name="Xa4a5738a469b2f13cba15f9e6d4a01845704073"/>
      <w:bookmarkEnd w:id="1284"/>
      <w:r>
        <w:t>SP-26.4: Diary of the Escrow and the Financial Channel</w:t>
      </w:r>
    </w:p>
    <w:p w14:paraId="53729821" w14:textId="77777777" w:rsidR="00180E7C" w:rsidRDefault="00000000">
      <w:pPr>
        <w:pStyle w:val="FirstParagraph"/>
      </w:pPr>
      <w:r>
        <w:t>Day 0: The Swiss National Bank agency agreement activates. The twenty-four billion dollars, already concentrated under the June 2026 memorandum’s financial annex during provisional application, vests in the two-pool structure.</w:t>
      </w:r>
    </w:p>
    <w:p w14:paraId="6E431309" w14:textId="77777777" w:rsidR="00180E7C" w:rsidRDefault="00000000">
      <w:pPr>
        <w:pStyle w:val="BodyText"/>
      </w:pPr>
      <w:r>
        <w:t>Day 1 to 10: Pool A’s first release event executes against the entry-into-force trigger: twelve billion dollars to the purposes of Schedule H-1, with the agent’s certification, the independent assessor’s concurrence, and the publication of the full transaction record. The humanitarian banking channel opens at the published spreads, and the first relief transactions, medicines and food already contracted under the waiver architecture, clear within the channel’s 48-hour standard.</w:t>
      </w:r>
    </w:p>
    <w:p w14:paraId="1E3E3370" w14:textId="77777777" w:rsidR="00180E7C" w:rsidRDefault="00000000">
      <w:pPr>
        <w:pStyle w:val="BodyText"/>
      </w:pPr>
      <w:r>
        <w:t>Day 11 to 40: The oil receivables protection mechanism activates for the first post-treaty cargoes; the currency-stabilization package’s first swap lines open between the Central Bank of Iran and the correspondent network; the EMB’s founding session adopts its monitoring calendar.</w:t>
      </w:r>
    </w:p>
    <w:p w14:paraId="53480A35" w14:textId="77777777" w:rsidR="00180E7C" w:rsidRDefault="00000000">
      <w:pPr>
        <w:pStyle w:val="BodyText"/>
      </w:pPr>
      <w:r>
        <w:t>Day 41 to 100: The Claims Facility registers its first claimants; the audit cycle’s first external audit engages; Pool B’s first benchmark review occurs on schedule. Deliverable proving life: the Day 100 financial dashboard, balances, releases, transaction counts, channel spreads, and audit status, public in full, an act of radical transparency the design intends as the financial layer’s founding demonstration.</w:t>
      </w:r>
    </w:p>
    <w:p w14:paraId="0DBC67C7" w14:textId="77777777" w:rsidR="00180E7C" w:rsidRDefault="00000000">
      <w:r>
        <w:pict w14:anchorId="087F1B78">
          <v:rect id="_x0000_i1072" style="width:0;height:1.5pt" o:hralign="center" o:hrstd="t" o:hr="t"/>
        </w:pict>
      </w:r>
    </w:p>
    <w:p w14:paraId="0FE5EC93" w14:textId="77777777" w:rsidR="00180E7C" w:rsidRDefault="00000000">
      <w:pPr>
        <w:pStyle w:val="Heading2"/>
      </w:pPr>
      <w:bookmarkStart w:id="1286" w:name="X8b355b8885de95c5a0af5df5e8f76a5539661f3"/>
      <w:bookmarkEnd w:id="1285"/>
      <w:r>
        <w:t>SP-26.5: Diary of the Nuclear Verification Layer</w:t>
      </w:r>
    </w:p>
    <w:p w14:paraId="02B18E7C" w14:textId="77777777" w:rsidR="00180E7C" w:rsidRDefault="00000000">
      <w:pPr>
        <w:pStyle w:val="FirstParagraph"/>
      </w:pPr>
      <w:r>
        <w:t>Day 0: The IAEA’s continuous-presence mission, pre-staged under the June memorandum’s monitoring arrangements, assumes its treaty mandate. The resident inspector cadre, forty-two inspectors across the declared facilities, begins the permanent rotation.</w:t>
      </w:r>
    </w:p>
    <w:p w14:paraId="70B3DEAB" w14:textId="77777777" w:rsidR="00180E7C" w:rsidRDefault="00000000">
      <w:pPr>
        <w:pStyle w:val="BodyText"/>
      </w:pPr>
      <w:r>
        <w:t>Day 1 to 30: The baseline inventory verification runs: every declared kilogram, every machine, every seal, measured and recorded into the Uranium Ledger’s genesis state. The down-blending campaign board convenes at Isfahan and adopts the campaign’s detailed engineering schedule against Schedule F-2’s milestones. Fordow’s conversion contractors mobilize under the international tender published during provisional application.</w:t>
      </w:r>
    </w:p>
    <w:p w14:paraId="3F724C18" w14:textId="77777777" w:rsidR="00180E7C" w:rsidRDefault="00000000">
      <w:pPr>
        <w:pStyle w:val="BodyText"/>
      </w:pPr>
      <w:r>
        <w:t>Day 31 to 70: The first down-blending batch completes on the campaign schedule: 55 kilograms of 60 percent material through the cascade, blended to natural assay, assayed, sealed, and logged to the Ledger with the triple-signature record, operator, inspector, Ledger auditor. The campaign’s public dashboard updates, and the Communications Working Group deploys the pre-agreed first-batch announcement.</w:t>
      </w:r>
    </w:p>
    <w:p w14:paraId="1EDE1CF2" w14:textId="77777777" w:rsidR="00180E7C" w:rsidRDefault="00000000">
      <w:pPr>
        <w:pStyle w:val="BodyText"/>
      </w:pPr>
      <w:r>
        <w:t xml:space="preserve">Day 71 to 100: The second batch proceeds; the first anytime-access exercise under Article 62’s 24-hour protocol executes at a managed-access site, conducted as a planned drill to test the machinery before any real demand tests it; the breakout-floor calculation publishes </w:t>
      </w:r>
      <w:r>
        <w:lastRenderedPageBreak/>
        <w:t>its first monthly value: 14.2 months, inside the floor with margin. Deliverable proving life: the Ledger’s first hundred days, every gram accounted, every access logged, the floor certified monthly.</w:t>
      </w:r>
    </w:p>
    <w:p w14:paraId="4A093CCA" w14:textId="77777777" w:rsidR="00180E7C" w:rsidRDefault="00000000">
      <w:r>
        <w:pict w14:anchorId="0F4D7515">
          <v:rect id="_x0000_i1073" style="width:0;height:1.5pt" o:hralign="center" o:hrstd="t" o:hr="t"/>
        </w:pict>
      </w:r>
    </w:p>
    <w:p w14:paraId="5F6DF928" w14:textId="77777777" w:rsidR="00180E7C" w:rsidRDefault="00000000">
      <w:pPr>
        <w:pStyle w:val="Heading2"/>
      </w:pPr>
      <w:bookmarkStart w:id="1287" w:name="X90289e4659881025d951e8e6b867e692899a0a8"/>
      <w:bookmarkEnd w:id="1286"/>
      <w:r>
        <w:t>SP-26.6: Diary of the Security De-escalation Layer</w:t>
      </w:r>
    </w:p>
    <w:p w14:paraId="18FC6354" w14:textId="77777777" w:rsidR="00180E7C" w:rsidRDefault="00000000">
      <w:pPr>
        <w:pStyle w:val="FirstParagraph"/>
      </w:pPr>
      <w:r>
        <w:t>Day 0: The ceasefire’s standing provisions convert to treaty status; the Joint Operations Centers, running since April 2026 under the ceasefire architecture, adopt their treaty mandates and expanded staffing.</w:t>
      </w:r>
    </w:p>
    <w:p w14:paraId="257B414B" w14:textId="77777777" w:rsidR="00180E7C" w:rsidRDefault="00000000">
      <w:pPr>
        <w:pStyle w:val="BodyText"/>
      </w:pPr>
      <w:r>
        <w:t>Day 1 to 30: The buffer-zone verification patrols begin under the Title II schedules; the military notification system’s full message set goes live; the first quarterly arms-ceiling declarations arrive and cross-check against national technical means under the JMC’s military working group.</w:t>
      </w:r>
    </w:p>
    <w:p w14:paraId="0484A16F" w14:textId="77777777" w:rsidR="00180E7C" w:rsidRDefault="00000000">
      <w:pPr>
        <w:pStyle w:val="BodyText"/>
      </w:pPr>
      <w:r>
        <w:t>Day 31 to 60: The first joint deconfliction exercise runs in the Gulf of Oman: live communications, simulated incident, full after-action publication. The proxy-demobilization machinery’s first intake convenes: the RDSF’s registration offices open in the three scheduled locations, and the first cohort of former combatants, small by design, a pilot intake of three hundred, enters the integration track with its funding tranche released against registration.</w:t>
      </w:r>
    </w:p>
    <w:p w14:paraId="6F31C1DD" w14:textId="77777777" w:rsidR="00180E7C" w:rsidRDefault="00000000">
      <w:pPr>
        <w:pStyle w:val="BodyText"/>
      </w:pPr>
      <w:r>
        <w:t>Day 61 to 100: The missile transparency registry’s first notifications publish; the Cyber Deconfliction Cell completes its first joint hunt exercise against a scripted intrusion set; the military working group’s first quarterly assessment issues. Deliverable proving life: one hundred days without a ceasefire violation reaching Level 3, and the published record showing two Level 1 events closed by procedure.</w:t>
      </w:r>
    </w:p>
    <w:p w14:paraId="62E7315F" w14:textId="77777777" w:rsidR="00180E7C" w:rsidRDefault="00000000">
      <w:r>
        <w:pict w14:anchorId="299159BB">
          <v:rect id="_x0000_i1074" style="width:0;height:1.5pt" o:hralign="center" o:hrstd="t" o:hr="t"/>
        </w:pict>
      </w:r>
    </w:p>
    <w:p w14:paraId="5A5DED8A" w14:textId="77777777" w:rsidR="00180E7C" w:rsidRDefault="00000000">
      <w:pPr>
        <w:pStyle w:val="Heading2"/>
      </w:pPr>
      <w:bookmarkStart w:id="1288" w:name="X3c8ed5ed20014ed897f7d50c4e8438daec9d5d1"/>
      <w:bookmarkEnd w:id="1287"/>
      <w:r>
        <w:t>SP-26.7: Diary of the Regional Development Fund</w:t>
      </w:r>
    </w:p>
    <w:p w14:paraId="606EB3C7" w14:textId="77777777" w:rsidR="00180E7C" w:rsidRDefault="00000000">
      <w:pPr>
        <w:pStyle w:val="FirstParagraph"/>
      </w:pPr>
      <w:r>
        <w:t>Day 0: The RDF’s charter activates; the eleven governors, appointed in the ratification instruments, convene the founding board meeting within seven days under the charter’s quorum rules.</w:t>
      </w:r>
    </w:p>
    <w:p w14:paraId="11F3C1AC" w14:textId="77777777" w:rsidR="00180E7C" w:rsidRDefault="00000000">
      <w:pPr>
        <w:pStyle w:val="BodyText"/>
      </w:pPr>
      <w:r>
        <w:t>Day 1 to 30: The board adopts the financial regulations, the procurement manual, and the investment policy statement, all pre-drafted in SP-11, so the founding meeting ratifies rather than drafts. The first-tranche pipeline of SP-13, ninety-five billion dollars across the seven sectoral tables, enters appraisal.</w:t>
      </w:r>
    </w:p>
    <w:p w14:paraId="4F5997EF" w14:textId="77777777" w:rsidR="00180E7C" w:rsidRDefault="00000000">
      <w:pPr>
        <w:pStyle w:val="BodyText"/>
      </w:pPr>
      <w:r>
        <w:t>Day 31 to 70: The first project approvals: the charter’s early-win rule front-loads twelve projects selected for visibility and speed, grid interconnections, water treatment, port equipment, with disbursement targets inside the first year. The Lebanon Window and the displacement window open their intake.</w:t>
      </w:r>
    </w:p>
    <w:p w14:paraId="3B268B5C" w14:textId="77777777" w:rsidR="00180E7C" w:rsidRDefault="00000000">
      <w:pPr>
        <w:pStyle w:val="BodyText"/>
      </w:pPr>
      <w:r>
        <w:lastRenderedPageBreak/>
        <w:t>Day 71 to 100: The first disbursement executes, a wastewater plant in Basra, chosen deliberately for its symbolism: Iranian engineering contractors, international financing, Iraqi public benefit, American fund participation, and publishes its full procurement record. Deliverable proving life: money moved, project visible, record public, inside one hundred days.</w:t>
      </w:r>
    </w:p>
    <w:p w14:paraId="50BD129A" w14:textId="77777777" w:rsidR="00180E7C" w:rsidRDefault="00000000">
      <w:r>
        <w:pict w14:anchorId="482C3020">
          <v:rect id="_x0000_i1075" style="width:0;height:1.5pt" o:hralign="center" o:hrstd="t" o:hr="t"/>
        </w:pict>
      </w:r>
    </w:p>
    <w:p w14:paraId="007F710C" w14:textId="77777777" w:rsidR="00180E7C" w:rsidRDefault="00000000">
      <w:pPr>
        <w:pStyle w:val="Heading2"/>
      </w:pPr>
      <w:bookmarkStart w:id="1289" w:name="X4f3da629ad96f58cdb2b20fef95d2f853196213"/>
      <w:bookmarkEnd w:id="1288"/>
      <w:r>
        <w:t>SP-26.8: Diary of the Communication and Public Layer</w:t>
      </w:r>
    </w:p>
    <w:p w14:paraId="34207755" w14:textId="77777777" w:rsidR="00180E7C" w:rsidRDefault="00000000">
      <w:pPr>
        <w:pStyle w:val="FirstParagraph"/>
      </w:pPr>
      <w:r>
        <w:t>Day 0: The agreed factual summary publishes in both languages; the Swiss dashboard goes live with the genesis data.</w:t>
      </w:r>
    </w:p>
    <w:p w14:paraId="5C8EC488" w14:textId="77777777" w:rsidR="00180E7C" w:rsidRDefault="00000000">
      <w:pPr>
        <w:pStyle w:val="BodyText"/>
      </w:pPr>
      <w:r>
        <w:t>Day 1 to 100: The Communication Working Group runs the milestone calendar: each activation event above lands with pre-agreed language, coordinated timing, and the dashboard’s live data behind it. The first quarterly coordination record publishes. The fifty-first issue never arrives in the first hundred days, and the diary records the design’s intent: the public layer’s product is boredom, the steady drumbeat of functioning machinery, against which the adversarial narratives of both countries’ opposition politics fail to find oxygen. Deliverable proving life: a hundred days of headlines about a treaty that works, the rarest artifact in the file’s history.</w:t>
      </w:r>
    </w:p>
    <w:p w14:paraId="6C1673C7" w14:textId="77777777" w:rsidR="00180E7C" w:rsidRDefault="00000000">
      <w:r>
        <w:pict w14:anchorId="623F299E">
          <v:rect id="_x0000_i1076" style="width:0;height:1.5pt" o:hralign="center" o:hrstd="t" o:hr="t"/>
        </w:pict>
      </w:r>
    </w:p>
    <w:p w14:paraId="34647DB3" w14:textId="77777777" w:rsidR="00180E7C" w:rsidRDefault="00000000">
      <w:pPr>
        <w:pStyle w:val="Heading2"/>
      </w:pPr>
      <w:bookmarkStart w:id="1290" w:name="sp-26.9-activation-closure"/>
      <w:bookmarkEnd w:id="1289"/>
      <w:r>
        <w:t>SP-26.9: Activation Closure</w:t>
      </w:r>
    </w:p>
    <w:p w14:paraId="0E36FECB" w14:textId="77777777" w:rsidR="00180E7C" w:rsidRDefault="00000000">
      <w:pPr>
        <w:pStyle w:val="FirstParagraph"/>
      </w:pPr>
      <w:r>
        <w:t>The diaries close with the Joint Commission’s Day 100 review: every organ reporting, every dashboard live, every first deliverable published. The review adopts the transition resolution converting activation schedules into standing operations, and the Treaty passes, quietly and on schedule, from the category of agreements hoping to live into the category of institutions that do.</w:t>
      </w:r>
    </w:p>
    <w:p w14:paraId="6ED95F26" w14:textId="77777777" w:rsidR="00180E7C" w:rsidRDefault="00000000">
      <w:r>
        <w:pict w14:anchorId="2C2C851D">
          <v:rect id="_x0000_i1077" style="width:0;height:1.5pt" o:hralign="center" o:hrstd="t" o:hr="t"/>
        </w:pict>
      </w:r>
    </w:p>
    <w:p w14:paraId="242437DB" w14:textId="77777777" w:rsidR="00180E7C" w:rsidRDefault="00000000">
      <w:pPr>
        <w:pStyle w:val="Heading2"/>
      </w:pPr>
      <w:bookmarkStart w:id="1291" w:name="Xb1b05338d8eada007f76ad5db43623182d7cb38"/>
      <w:bookmarkEnd w:id="1290"/>
      <w:r>
        <w:t>SP-26.10: The Day 100 Joint Communiqué (Pre-Agreed Text)</w:t>
      </w:r>
    </w:p>
    <w:p w14:paraId="1C7F9A90" w14:textId="77777777" w:rsidR="00180E7C" w:rsidRDefault="00000000">
      <w:pPr>
        <w:pStyle w:val="FirstParagraph"/>
      </w:pPr>
      <w:r>
        <w:t>The Communication Working Group holds the following text in escrow from signature day, for release at the Day 100 review, with bracketed data fields completing from the dashboards at publication.</w:t>
      </w:r>
    </w:p>
    <w:p w14:paraId="66593D28" w14:textId="77777777" w:rsidR="00180E7C" w:rsidRDefault="00000000">
      <w:pPr>
        <w:pStyle w:val="BodyText"/>
      </w:pPr>
      <w:r>
        <w:t>“One hundred days ago, the Savāhel-e Āghāz Treaty between the Islamic Republic of Iran and the United States of America entered into force. Today the Joint Commission reports the following facts.</w:t>
      </w:r>
    </w:p>
    <w:p w14:paraId="088C263D" w14:textId="77777777" w:rsidR="00180E7C" w:rsidRDefault="00000000">
      <w:pPr>
        <w:pStyle w:val="BodyText"/>
      </w:pPr>
      <w:r>
        <w:t>The ceasefire has held for [X] consecutive days. [N1] military notifications have been exchanged; [N2] joint deconfliction exercises have concluded; no incident has exceeded Level 2 on the agreed classification.</w:t>
      </w:r>
    </w:p>
    <w:p w14:paraId="03A3AB8F" w14:textId="77777777" w:rsidR="00180E7C" w:rsidRDefault="00000000">
      <w:pPr>
        <w:pStyle w:val="BodyText"/>
      </w:pPr>
      <w:r>
        <w:lastRenderedPageBreak/>
        <w:t>The Hormuz Authority has governed [N3] vessel transits across four corridors with zero closure days. [N4] incidents were managed inside the published procedures. The twin-key mechanism has operated [N5] times, each by consent of both keys.</w:t>
      </w:r>
    </w:p>
    <w:p w14:paraId="38F945AC" w14:textId="77777777" w:rsidR="00180E7C" w:rsidRDefault="00000000">
      <w:pPr>
        <w:pStyle w:val="BodyText"/>
      </w:pPr>
      <w:r>
        <w:t>The nuclear verification layer reports: the baseline inventory is complete and published; [N6] down-blending batches have been certified against Schedule F-2; the quarterly breakout computation stands at [N7] months, above the twelve-month floor. Every access request has been met inside its timeline.</w:t>
      </w:r>
    </w:p>
    <w:p w14:paraId="4DF29E37" w14:textId="77777777" w:rsidR="00180E7C" w:rsidRDefault="00000000">
      <w:pPr>
        <w:pStyle w:val="BodyText"/>
      </w:pPr>
      <w:r>
        <w:t>The financial architecture reports: [N8] billion dollars of escrowed assets have been released against certified benchmarks, each release published in full. The humanitarian banking channel has processed [N9] transactions at the published spreads. The first Regional Development Fund projects are under contract and disbursing.</w:t>
      </w:r>
    </w:p>
    <w:p w14:paraId="6FAC8FCD" w14:textId="77777777" w:rsidR="00180E7C" w:rsidRDefault="00000000">
      <w:pPr>
        <w:pStyle w:val="BodyText"/>
      </w:pPr>
      <w:r>
        <w:t>The organs report: the Joint Monitoring Commission, the Maritime Operational Center, the Joint Operations Centers, the escrow agency, the Fund’s board, and the working groups of every title are staffed, funded, and meeting on their schedules. The anomaly register records [N10] events, of which [N11] stand closed by procedure. The demerit ledger stands at [N12] points, all within the system’s designed tolerances.</w:t>
      </w:r>
    </w:p>
    <w:p w14:paraId="4A1593EC" w14:textId="77777777" w:rsidR="00180E7C" w:rsidRDefault="00000000">
      <w:pPr>
        <w:pStyle w:val="BodyText"/>
      </w:pPr>
      <w:r>
        <w:t>The Parties record one hundred days of a treaty operating as written. The work continues. The dashboards carry the detail. The next quarterly report publishes on schedule.”</w:t>
      </w:r>
    </w:p>
    <w:p w14:paraId="38D8A6AB" w14:textId="77777777" w:rsidR="00180E7C" w:rsidRDefault="00000000">
      <w:pPr>
        <w:pStyle w:val="BodyText"/>
      </w:pPr>
      <w:r>
        <w:t>The communiqué’s design serves the public layer’s founding purpose: the first joint text the two governments issue contains no adjectives of celebration, only numbers with sources, because the Treaty’s public credibility compounds through documented fact and evaporates through adjective. The bracketed fields’ completion from the dashboards makes the text unforgeable: every number traces to a published record, and the record’s audit chain stands behind it.</w:t>
      </w:r>
    </w:p>
    <w:p w14:paraId="6A7EB11B" w14:textId="77777777" w:rsidR="00180E7C" w:rsidRDefault="00000000">
      <w:r>
        <w:pict w14:anchorId="42FB86E5">
          <v:rect id="_x0000_i1078" style="width:0;height:1.5pt" o:hralign="center" o:hrstd="t" o:hr="t"/>
        </w:pict>
      </w:r>
    </w:p>
    <w:p w14:paraId="195D417C" w14:textId="77777777" w:rsidR="00180E7C" w:rsidRDefault="00000000">
      <w:pPr>
        <w:pStyle w:val="Heading2"/>
      </w:pPr>
      <w:bookmarkStart w:id="1292" w:name="X9b59b508838d56abb5729d47d1cd3349a4ff637"/>
      <w:bookmarkEnd w:id="1291"/>
      <w:r>
        <w:t>SP-26.11: The Transition Resolution (Agreed Text)</w:t>
      </w:r>
    </w:p>
    <w:p w14:paraId="29A6025F" w14:textId="77777777" w:rsidR="00180E7C" w:rsidRDefault="00000000">
      <w:pPr>
        <w:pStyle w:val="FirstParagraph"/>
      </w:pPr>
      <w:r>
        <w:t>The Day 100 review closes with the adoption of the Transition Resolution, the instrument that converts activation machinery into standing operations. The Joint Commission holds the following agreed text from signature day.</w:t>
      </w:r>
    </w:p>
    <w:p w14:paraId="60B5C58F" w14:textId="77777777" w:rsidR="00180E7C" w:rsidRDefault="00000000">
      <w:pPr>
        <w:pStyle w:val="BodyText"/>
      </w:pPr>
      <w:r>
        <w:t>“The Joint Commission, having received the Day 100 reports of the organs and the activation diaries’ completion records, resolves as follows.</w:t>
      </w:r>
    </w:p>
    <w:p w14:paraId="3868F0FE" w14:textId="77777777" w:rsidR="00180E7C" w:rsidRDefault="00000000">
      <w:pPr>
        <w:pStyle w:val="BodyText"/>
      </w:pPr>
      <w:r>
        <w:t>First, the activation schedules of Supplementary Protocol SP-26 stand completed, and the organs listed in those schedules pass to standing operation under their charters, their budgets, and their reporting calendars.</w:t>
      </w:r>
    </w:p>
    <w:p w14:paraId="2CF20549" w14:textId="77777777" w:rsidR="00180E7C" w:rsidRDefault="00000000">
      <w:pPr>
        <w:pStyle w:val="BodyText"/>
      </w:pPr>
      <w:r>
        <w:t>Second, the interim arrangements of the activation period, the advance teams, the shadow-mode systems, the provisional staffing, convert to their permanent forms, and the interim instruments lodge with the depository as part of the Treaty’s operational record.</w:t>
      </w:r>
    </w:p>
    <w:p w14:paraId="5BC18029" w14:textId="77777777" w:rsidR="00180E7C" w:rsidRDefault="00000000">
      <w:pPr>
        <w:pStyle w:val="BodyText"/>
      </w:pPr>
      <w:r>
        <w:lastRenderedPageBreak/>
        <w:t>Third, the staffing tables of SP-19 move to their steady-state figures, and the recruitment pipelines for the permanent cadres open under the parity rules.</w:t>
      </w:r>
    </w:p>
    <w:p w14:paraId="295E790A" w14:textId="77777777" w:rsidR="00180E7C" w:rsidRDefault="00000000">
      <w:pPr>
        <w:pStyle w:val="BodyText"/>
      </w:pPr>
      <w:r>
        <w:t>Fourth, the reporting calendar of SP-10 succeeds the activation calendar, and the quarterly cycle of reports, reviews, and published statistics begins with the first regular quarter.</w:t>
      </w:r>
    </w:p>
    <w:p w14:paraId="28564DCD" w14:textId="77777777" w:rsidR="00180E7C" w:rsidRDefault="00000000">
      <w:pPr>
        <w:pStyle w:val="BodyText"/>
      </w:pPr>
      <w:r>
        <w:t>Fifth, the lessons register compiled during activation, thirty-one items of procedure refinement identified across the organs, forwards to the relevant working groups for disposition through the technical-amendment track or the organ charters’ own revision procedures, each item with its owner and its deadline.</w:t>
      </w:r>
    </w:p>
    <w:p w14:paraId="11F36ACC" w14:textId="77777777" w:rsidR="00180E7C" w:rsidRDefault="00000000">
      <w:pPr>
        <w:pStyle w:val="BodyText"/>
      </w:pPr>
      <w:r>
        <w:t>Sixth, the Commission records its finding that the Treaty has completed its activation phase in full conformity with its schedules, and directs that this finding publish with the Day 100 communiqué.”</w:t>
      </w:r>
    </w:p>
    <w:p w14:paraId="4254C5DD" w14:textId="77777777" w:rsidR="00180E7C" w:rsidRDefault="00000000">
      <w:pPr>
        <w:pStyle w:val="BodyText"/>
      </w:pPr>
      <w:r>
        <w:t>The resolution’s sixth operative paragraph carries the design’s final activation insight: institutions believe their own findings, and a formal recorded finding of successful activation, adopted by consensus and published, enters both systems’ institutional memory as the baseline against which every later difficulty measures itself. The Treaty’s organs begin their permanent lives not as experiments but as bodies with a certified hundred days behind them.</w:t>
      </w:r>
    </w:p>
    <w:p w14:paraId="49377A23" w14:textId="77777777" w:rsidR="00180E7C" w:rsidRDefault="00000000">
      <w:r>
        <w:pict w14:anchorId="4672E578">
          <v:rect id="_x0000_i1079" style="width:0;height:1.5pt" o:hralign="center" o:hrstd="t" o:hr="t"/>
        </w:pict>
      </w:r>
    </w:p>
    <w:p w14:paraId="70557C29" w14:textId="77777777" w:rsidR="00180E7C" w:rsidRDefault="00000000">
      <w:pPr>
        <w:pStyle w:val="Heading2"/>
      </w:pPr>
      <w:bookmarkStart w:id="1293" w:name="sp-26.12-the-activation-lessons-register"/>
      <w:bookmarkEnd w:id="1292"/>
      <w:r>
        <w:t>SP-26.12: The Activation Lessons Register</w:t>
      </w:r>
    </w:p>
    <w:p w14:paraId="1A891CDE" w14:textId="77777777" w:rsidR="00180E7C" w:rsidRDefault="00000000">
      <w:pPr>
        <w:pStyle w:val="FirstParagraph"/>
      </w:pPr>
      <w:r>
        <w:t>The Transition Resolution’s fifth paragraph forwards thirty-one lessons from activation to disposition. This section publishes the register in summary, grouped by organ, so the activation phase’s learning enters the public record with its owners and deadlines attached.</w:t>
      </w:r>
    </w:p>
    <w:p w14:paraId="192540C0" w14:textId="77777777" w:rsidR="00180E7C" w:rsidRDefault="00000000">
      <w:pPr>
        <w:pStyle w:val="BodyText"/>
      </w:pPr>
      <w:r>
        <w:t>Joint Monitoring Commission, items 1 through 7: declaration-format harmonization between the military and nuclear intake streams; a second secure video bridge for the working groups’ overlapping sessions; revised staffing of the intake team for the quarterly peaks; a standard template for anomaly closure reports; a clarified custody rule for mixed-classification data; an intake acknowledgment standard of four hours; and a procedure for corrections to published dashboard entries, each assigned to the secretariat with 60-day disposition.</w:t>
      </w:r>
    </w:p>
    <w:p w14:paraId="4531BFE5" w14:textId="77777777" w:rsidR="00180E7C" w:rsidRDefault="00000000">
      <w:pPr>
        <w:pStyle w:val="BodyText"/>
      </w:pPr>
      <w:r>
        <w:t>Hormuz Authority, items 8 through 14: a revised notice-to-mariners dual-publication checklist following the Month 3 drill incident; expanded night-shift staffing at the MOC during seasonal traffic peaks; a standard phrase-set for the twin-key console’s authorization exchanges; accelerated weather-data integration from both national services; a revised pilot-boarding protocol for Corridor 4 activations; a joint training rotation for cell staff across the twelve sites; and a published equipment-readiness metric for the spill caches, each assigned to the Authority’s directorates with 90-day disposition.</w:t>
      </w:r>
    </w:p>
    <w:p w14:paraId="209B8C3C" w14:textId="77777777" w:rsidR="00180E7C" w:rsidRDefault="00000000">
      <w:pPr>
        <w:pStyle w:val="BodyText"/>
      </w:pPr>
      <w:r>
        <w:t xml:space="preserve">Escrow and financial layer, items 15 through 19: an accelerated assessor track for release events under one hundred million dollars; a revised objection-form template distinguishing technical from policy grounds; weekly rather than biweekly publication of channel spreads </w:t>
      </w:r>
      <w:r>
        <w:lastRenderedPageBreak/>
        <w:t>during the stabilization period; a pre-registered destination-account expansion procedure; and a joint treasury-escrow tabletop exercise scheduled annually, each assigned to the agent and the EMB with 60-day disposition.</w:t>
      </w:r>
    </w:p>
    <w:p w14:paraId="0A5F9DAF" w14:textId="77777777" w:rsidR="00180E7C" w:rsidRDefault="00000000">
      <w:pPr>
        <w:pStyle w:val="BodyText"/>
      </w:pPr>
      <w:r>
        <w:t>Nuclear verification layer, items 20 through 24: a revised batch-certificate annex capturing cascade-lineup parameters; expanded instrument redundancy at the Isfahan product station; a clarified managed-access menu for simultaneous-exercise cases, the lesson of the Month 8 drill; a resident-cadre rotation smoothing for holiday periods; and a publication standard for the monthly floor computation’s sensitivity annex, each assigned to the verification mission and the campaign board with 90-day disposition.</w:t>
      </w:r>
    </w:p>
    <w:p w14:paraId="11310BC8" w14:textId="77777777" w:rsidR="00180E7C" w:rsidRDefault="00000000">
      <w:pPr>
        <w:pStyle w:val="BodyText"/>
      </w:pPr>
      <w:r>
        <w:t>Security layer, items 25 through 28: a unified checkpoint-documentation form across the withdrawal schedules; an expanded exercise-notification field set for live-fire windows; a joint-procedure refresher for the intercept-grammar categories; and a deconfliction-cell surge protocol for high-tempo periods, each assigned to the JOC network with 60-day disposition.</w:t>
      </w:r>
    </w:p>
    <w:p w14:paraId="219DBCE4" w14:textId="77777777" w:rsidR="00180E7C" w:rsidRDefault="00000000">
      <w:pPr>
        <w:pStyle w:val="BodyText"/>
      </w:pPr>
      <w:r>
        <w:t>Public and regional layers, items 29 through 31: a revised milestone-announcement timing rule accounting for time-zone sequencing, the lesson of the Month 6 near-miss; an expanded pre-agreed language set for external-shock events; and a quarterly regional-council briefing format tying the parallel instruments’ data to the council’s agenda, assigned to the Communication Working Group and the council secretariat with 60-day disposition.</w:t>
      </w:r>
    </w:p>
    <w:p w14:paraId="3B644A60" w14:textId="77777777" w:rsidR="00180E7C" w:rsidRDefault="00000000">
      <w:pPr>
        <w:pStyle w:val="BodyText"/>
      </w:pPr>
      <w:r>
        <w:t>The register’s publication serves the activation phase’s last purpose: proof that the machinery not only runs but learns, in writing, on deadlines, in public.</w:t>
      </w:r>
    </w:p>
    <w:p w14:paraId="11860CA9" w14:textId="77777777" w:rsidR="00180E7C" w:rsidRDefault="00000000">
      <w:r>
        <w:pict w14:anchorId="40DA041C">
          <v:rect id="_x0000_i1080" style="width:0;height:1.5pt" o:hralign="center" o:hrstd="t" o:hr="t"/>
        </w:pict>
      </w:r>
    </w:p>
    <w:p w14:paraId="5EA06351" w14:textId="77777777" w:rsidR="00180E7C" w:rsidRDefault="00000000">
      <w:pPr>
        <w:pStyle w:val="Heading2"/>
      </w:pPr>
      <w:bookmarkStart w:id="1294" w:name="sp-26.13-the-first-year-organ-budgets"/>
      <w:bookmarkEnd w:id="1293"/>
      <w:r>
        <w:t>SP-26.13: The First-Year Organ Budgets</w:t>
      </w:r>
    </w:p>
    <w:p w14:paraId="4A0F15E8" w14:textId="77777777" w:rsidR="00180E7C" w:rsidRDefault="00000000">
      <w:pPr>
        <w:pStyle w:val="FirstParagraph"/>
      </w:pPr>
      <w:r>
        <w:t>The activation diaries run on money, and this section publishes the first-year operating budgets the Parties fund under Article 74’s cost-sharing formula, so the activation phase’s logistics stand in the open from the start.</w:t>
      </w:r>
    </w:p>
    <w:tbl>
      <w:tblPr>
        <w:tblStyle w:val="Table"/>
        <w:tblW w:w="5000" w:type="pct"/>
        <w:tblLook w:val="0020" w:firstRow="1" w:lastRow="0" w:firstColumn="0" w:lastColumn="0" w:noHBand="0" w:noVBand="0"/>
      </w:tblPr>
      <w:tblGrid>
        <w:gridCol w:w="1897"/>
        <w:gridCol w:w="1474"/>
        <w:gridCol w:w="1473"/>
        <w:gridCol w:w="1473"/>
        <w:gridCol w:w="1630"/>
        <w:gridCol w:w="1629"/>
      </w:tblGrid>
      <w:tr w:rsidR="00180E7C" w14:paraId="757A79E3"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FC84C4F" w14:textId="77777777" w:rsidR="00180E7C" w:rsidRDefault="00000000">
            <w:pPr>
              <w:pStyle w:val="Compact"/>
            </w:pPr>
            <w:r>
              <w:t>Organ</w:t>
            </w:r>
          </w:p>
        </w:tc>
        <w:tc>
          <w:tcPr>
            <w:tcW w:w="0" w:type="auto"/>
          </w:tcPr>
          <w:p w14:paraId="0224432D" w14:textId="77777777" w:rsidR="00180E7C" w:rsidRDefault="00000000">
            <w:pPr>
              <w:pStyle w:val="Compact"/>
            </w:pPr>
            <w:r>
              <w:t>First-Year Budget (USD)</w:t>
            </w:r>
          </w:p>
        </w:tc>
        <w:tc>
          <w:tcPr>
            <w:tcW w:w="0" w:type="auto"/>
          </w:tcPr>
          <w:p w14:paraId="4431CBF8" w14:textId="77777777" w:rsidR="00180E7C" w:rsidRDefault="00000000">
            <w:pPr>
              <w:pStyle w:val="Compact"/>
            </w:pPr>
            <w:r>
              <w:t>Iranian Share (50%)</w:t>
            </w:r>
          </w:p>
        </w:tc>
        <w:tc>
          <w:tcPr>
            <w:tcW w:w="0" w:type="auto"/>
          </w:tcPr>
          <w:p w14:paraId="456AD2E5" w14:textId="77777777" w:rsidR="00180E7C" w:rsidRDefault="00000000">
            <w:pPr>
              <w:pStyle w:val="Compact"/>
            </w:pPr>
            <w:r>
              <w:t>US Share (35%)</w:t>
            </w:r>
          </w:p>
        </w:tc>
        <w:tc>
          <w:tcPr>
            <w:tcW w:w="0" w:type="auto"/>
          </w:tcPr>
          <w:p w14:paraId="2E2977F4" w14:textId="77777777" w:rsidR="00180E7C" w:rsidRDefault="00000000">
            <w:pPr>
              <w:pStyle w:val="Compact"/>
            </w:pPr>
            <w:r>
              <w:t>Guarantor/IFI Share (15%)</w:t>
            </w:r>
          </w:p>
        </w:tc>
        <w:tc>
          <w:tcPr>
            <w:tcW w:w="0" w:type="auto"/>
          </w:tcPr>
          <w:p w14:paraId="07EBA08A" w14:textId="77777777" w:rsidR="00180E7C" w:rsidRDefault="00000000">
            <w:pPr>
              <w:pStyle w:val="Compact"/>
            </w:pPr>
            <w:r>
              <w:t>Principal Cost Drivers</w:t>
            </w:r>
          </w:p>
        </w:tc>
      </w:tr>
      <w:tr w:rsidR="00180E7C" w14:paraId="30B47A66" w14:textId="77777777">
        <w:tc>
          <w:tcPr>
            <w:tcW w:w="0" w:type="auto"/>
          </w:tcPr>
          <w:p w14:paraId="76A2FCA9" w14:textId="77777777" w:rsidR="00180E7C" w:rsidRDefault="00000000">
            <w:pPr>
              <w:pStyle w:val="Compact"/>
            </w:pPr>
            <w:r>
              <w:t>Joint Commission and secretariat</w:t>
            </w:r>
          </w:p>
        </w:tc>
        <w:tc>
          <w:tcPr>
            <w:tcW w:w="0" w:type="auto"/>
          </w:tcPr>
          <w:p w14:paraId="65C3E1B1" w14:textId="77777777" w:rsidR="00180E7C" w:rsidRDefault="00000000">
            <w:pPr>
              <w:pStyle w:val="Compact"/>
            </w:pPr>
            <w:r>
              <w:t>18,000,000</w:t>
            </w:r>
          </w:p>
        </w:tc>
        <w:tc>
          <w:tcPr>
            <w:tcW w:w="0" w:type="auto"/>
          </w:tcPr>
          <w:p w14:paraId="26B63EB6" w14:textId="77777777" w:rsidR="00180E7C" w:rsidRDefault="00000000">
            <w:pPr>
              <w:pStyle w:val="Compact"/>
            </w:pPr>
            <w:r>
              <w:t>9,000,000</w:t>
            </w:r>
          </w:p>
        </w:tc>
        <w:tc>
          <w:tcPr>
            <w:tcW w:w="0" w:type="auto"/>
          </w:tcPr>
          <w:p w14:paraId="389085D0" w14:textId="77777777" w:rsidR="00180E7C" w:rsidRDefault="00000000">
            <w:pPr>
              <w:pStyle w:val="Compact"/>
            </w:pPr>
            <w:r>
              <w:t>6,300,000</w:t>
            </w:r>
          </w:p>
        </w:tc>
        <w:tc>
          <w:tcPr>
            <w:tcW w:w="0" w:type="auto"/>
          </w:tcPr>
          <w:p w14:paraId="1B6A5129" w14:textId="77777777" w:rsidR="00180E7C" w:rsidRDefault="00000000">
            <w:pPr>
              <w:pStyle w:val="Compact"/>
            </w:pPr>
            <w:r>
              <w:t>2,700,000</w:t>
            </w:r>
          </w:p>
        </w:tc>
        <w:tc>
          <w:tcPr>
            <w:tcW w:w="0" w:type="auto"/>
          </w:tcPr>
          <w:p w14:paraId="58B84824" w14:textId="77777777" w:rsidR="00180E7C" w:rsidRDefault="00000000">
            <w:pPr>
              <w:pStyle w:val="Compact"/>
            </w:pPr>
            <w:r>
              <w:t>Sessions, secretariat, interpretation</w:t>
            </w:r>
          </w:p>
        </w:tc>
      </w:tr>
      <w:tr w:rsidR="00180E7C" w14:paraId="47312D95" w14:textId="77777777">
        <w:tc>
          <w:tcPr>
            <w:tcW w:w="0" w:type="auto"/>
          </w:tcPr>
          <w:p w14:paraId="16C8756C" w14:textId="77777777" w:rsidR="00180E7C" w:rsidRDefault="00000000">
            <w:pPr>
              <w:pStyle w:val="Compact"/>
            </w:pPr>
            <w:r>
              <w:t>Joint Monitoring Commission</w:t>
            </w:r>
          </w:p>
        </w:tc>
        <w:tc>
          <w:tcPr>
            <w:tcW w:w="0" w:type="auto"/>
          </w:tcPr>
          <w:p w14:paraId="234D65F6" w14:textId="77777777" w:rsidR="00180E7C" w:rsidRDefault="00000000">
            <w:pPr>
              <w:pStyle w:val="Compact"/>
            </w:pPr>
            <w:r>
              <w:t>64,000,000</w:t>
            </w:r>
          </w:p>
        </w:tc>
        <w:tc>
          <w:tcPr>
            <w:tcW w:w="0" w:type="auto"/>
          </w:tcPr>
          <w:p w14:paraId="6B4D4AE8" w14:textId="77777777" w:rsidR="00180E7C" w:rsidRDefault="00000000">
            <w:pPr>
              <w:pStyle w:val="Compact"/>
            </w:pPr>
            <w:r>
              <w:t>32,000,000</w:t>
            </w:r>
          </w:p>
        </w:tc>
        <w:tc>
          <w:tcPr>
            <w:tcW w:w="0" w:type="auto"/>
          </w:tcPr>
          <w:p w14:paraId="0F3F9D7F" w14:textId="77777777" w:rsidR="00180E7C" w:rsidRDefault="00000000">
            <w:pPr>
              <w:pStyle w:val="Compact"/>
            </w:pPr>
            <w:r>
              <w:t>22,400,000</w:t>
            </w:r>
          </w:p>
        </w:tc>
        <w:tc>
          <w:tcPr>
            <w:tcW w:w="0" w:type="auto"/>
          </w:tcPr>
          <w:p w14:paraId="1689C451" w14:textId="77777777" w:rsidR="00180E7C" w:rsidRDefault="00000000">
            <w:pPr>
              <w:pStyle w:val="Compact"/>
            </w:pPr>
            <w:r>
              <w:t>9,600,000</w:t>
            </w:r>
          </w:p>
        </w:tc>
        <w:tc>
          <w:tcPr>
            <w:tcW w:w="0" w:type="auto"/>
          </w:tcPr>
          <w:p w14:paraId="3E3D0D3A" w14:textId="77777777" w:rsidR="00180E7C" w:rsidRDefault="00000000">
            <w:pPr>
              <w:pStyle w:val="Compact"/>
            </w:pPr>
            <w:r>
              <w:t>Staff, Registry operations, working groups</w:t>
            </w:r>
          </w:p>
        </w:tc>
      </w:tr>
      <w:tr w:rsidR="00180E7C" w14:paraId="50C8FBEA" w14:textId="77777777">
        <w:tc>
          <w:tcPr>
            <w:tcW w:w="0" w:type="auto"/>
          </w:tcPr>
          <w:p w14:paraId="44AE79DB" w14:textId="77777777" w:rsidR="00180E7C" w:rsidRDefault="00000000">
            <w:pPr>
              <w:pStyle w:val="Compact"/>
            </w:pPr>
            <w:r>
              <w:lastRenderedPageBreak/>
              <w:t>Shared Digital Registry infrastructure</w:t>
            </w:r>
          </w:p>
        </w:tc>
        <w:tc>
          <w:tcPr>
            <w:tcW w:w="0" w:type="auto"/>
          </w:tcPr>
          <w:p w14:paraId="7485A065" w14:textId="77777777" w:rsidR="00180E7C" w:rsidRDefault="00000000">
            <w:pPr>
              <w:pStyle w:val="Compact"/>
            </w:pPr>
            <w:r>
              <w:t>42,000,000</w:t>
            </w:r>
          </w:p>
        </w:tc>
        <w:tc>
          <w:tcPr>
            <w:tcW w:w="0" w:type="auto"/>
          </w:tcPr>
          <w:p w14:paraId="45673ABA" w14:textId="77777777" w:rsidR="00180E7C" w:rsidRDefault="00000000">
            <w:pPr>
              <w:pStyle w:val="Compact"/>
            </w:pPr>
            <w:r>
              <w:t>21,000,000</w:t>
            </w:r>
          </w:p>
        </w:tc>
        <w:tc>
          <w:tcPr>
            <w:tcW w:w="0" w:type="auto"/>
          </w:tcPr>
          <w:p w14:paraId="2444CB1D" w14:textId="77777777" w:rsidR="00180E7C" w:rsidRDefault="00000000">
            <w:pPr>
              <w:pStyle w:val="Compact"/>
            </w:pPr>
            <w:r>
              <w:t>14,700,000</w:t>
            </w:r>
          </w:p>
        </w:tc>
        <w:tc>
          <w:tcPr>
            <w:tcW w:w="0" w:type="auto"/>
          </w:tcPr>
          <w:p w14:paraId="7E30CD55" w14:textId="77777777" w:rsidR="00180E7C" w:rsidRDefault="00000000">
            <w:pPr>
              <w:pStyle w:val="Compact"/>
            </w:pPr>
            <w:r>
              <w:t>6,300,000</w:t>
            </w:r>
          </w:p>
        </w:tc>
        <w:tc>
          <w:tcPr>
            <w:tcW w:w="0" w:type="auto"/>
          </w:tcPr>
          <w:p w14:paraId="31421FC1" w14:textId="77777777" w:rsidR="00180E7C" w:rsidRDefault="00000000">
            <w:pPr>
              <w:pStyle w:val="Compact"/>
            </w:pPr>
            <w:r>
              <w:t>Hosting, security, audit chain, dashboard</w:t>
            </w:r>
          </w:p>
        </w:tc>
      </w:tr>
      <w:tr w:rsidR="00180E7C" w14:paraId="0D89ACCE" w14:textId="77777777">
        <w:tc>
          <w:tcPr>
            <w:tcW w:w="0" w:type="auto"/>
          </w:tcPr>
          <w:p w14:paraId="497520D1" w14:textId="77777777" w:rsidR="00180E7C" w:rsidRDefault="00000000">
            <w:pPr>
              <w:pStyle w:val="Compact"/>
            </w:pPr>
            <w:r>
              <w:t>Hormuz Authority</w:t>
            </w:r>
          </w:p>
        </w:tc>
        <w:tc>
          <w:tcPr>
            <w:tcW w:w="0" w:type="auto"/>
          </w:tcPr>
          <w:p w14:paraId="2D78BF7A" w14:textId="77777777" w:rsidR="00180E7C" w:rsidRDefault="00000000">
            <w:pPr>
              <w:pStyle w:val="Compact"/>
            </w:pPr>
            <w:r>
              <w:t>118,000,000</w:t>
            </w:r>
          </w:p>
        </w:tc>
        <w:tc>
          <w:tcPr>
            <w:tcW w:w="0" w:type="auto"/>
          </w:tcPr>
          <w:p w14:paraId="0C568516" w14:textId="77777777" w:rsidR="00180E7C" w:rsidRDefault="00000000">
            <w:pPr>
              <w:pStyle w:val="Compact"/>
            </w:pPr>
            <w:r>
              <w:t>59,000,000</w:t>
            </w:r>
          </w:p>
        </w:tc>
        <w:tc>
          <w:tcPr>
            <w:tcW w:w="0" w:type="auto"/>
          </w:tcPr>
          <w:p w14:paraId="6E3C67B1" w14:textId="77777777" w:rsidR="00180E7C" w:rsidRDefault="00000000">
            <w:pPr>
              <w:pStyle w:val="Compact"/>
            </w:pPr>
            <w:r>
              <w:t>41,300,000</w:t>
            </w:r>
          </w:p>
        </w:tc>
        <w:tc>
          <w:tcPr>
            <w:tcW w:w="0" w:type="auto"/>
          </w:tcPr>
          <w:p w14:paraId="1E62F52D" w14:textId="77777777" w:rsidR="00180E7C" w:rsidRDefault="00000000">
            <w:pPr>
              <w:pStyle w:val="Compact"/>
            </w:pPr>
            <w:r>
              <w:t>17,700,000</w:t>
            </w:r>
          </w:p>
        </w:tc>
        <w:tc>
          <w:tcPr>
            <w:tcW w:w="0" w:type="auto"/>
          </w:tcPr>
          <w:p w14:paraId="55648D32" w14:textId="77777777" w:rsidR="00180E7C" w:rsidRDefault="00000000">
            <w:pPr>
              <w:pStyle w:val="Compact"/>
            </w:pPr>
            <w:r>
              <w:t>MOC, cells, caches, hydrography</w:t>
            </w:r>
          </w:p>
        </w:tc>
      </w:tr>
      <w:tr w:rsidR="00180E7C" w14:paraId="5B2FFBF5" w14:textId="77777777">
        <w:tc>
          <w:tcPr>
            <w:tcW w:w="0" w:type="auto"/>
          </w:tcPr>
          <w:p w14:paraId="75B7150D" w14:textId="77777777" w:rsidR="00180E7C" w:rsidRDefault="00000000">
            <w:pPr>
              <w:pStyle w:val="Compact"/>
            </w:pPr>
            <w:r>
              <w:t>Escrow agency operations</w:t>
            </w:r>
          </w:p>
        </w:tc>
        <w:tc>
          <w:tcPr>
            <w:tcW w:w="0" w:type="auto"/>
          </w:tcPr>
          <w:p w14:paraId="0BAF9919" w14:textId="77777777" w:rsidR="00180E7C" w:rsidRDefault="00000000">
            <w:pPr>
              <w:pStyle w:val="Compact"/>
            </w:pPr>
            <w:r>
              <w:t>12,000,000</w:t>
            </w:r>
          </w:p>
        </w:tc>
        <w:tc>
          <w:tcPr>
            <w:tcW w:w="0" w:type="auto"/>
          </w:tcPr>
          <w:p w14:paraId="6A9113D8" w14:textId="77777777" w:rsidR="00180E7C" w:rsidRDefault="00000000">
            <w:pPr>
              <w:pStyle w:val="Compact"/>
            </w:pPr>
            <w:r>
              <w:t>6,000,000</w:t>
            </w:r>
          </w:p>
        </w:tc>
        <w:tc>
          <w:tcPr>
            <w:tcW w:w="0" w:type="auto"/>
          </w:tcPr>
          <w:p w14:paraId="5AB33569" w14:textId="77777777" w:rsidR="00180E7C" w:rsidRDefault="00000000">
            <w:pPr>
              <w:pStyle w:val="Compact"/>
            </w:pPr>
            <w:r>
              <w:t>4,200,000</w:t>
            </w:r>
          </w:p>
        </w:tc>
        <w:tc>
          <w:tcPr>
            <w:tcW w:w="0" w:type="auto"/>
          </w:tcPr>
          <w:p w14:paraId="2814E539" w14:textId="77777777" w:rsidR="00180E7C" w:rsidRDefault="00000000">
            <w:pPr>
              <w:pStyle w:val="Compact"/>
            </w:pPr>
            <w:r>
              <w:t>1,800,000</w:t>
            </w:r>
          </w:p>
        </w:tc>
        <w:tc>
          <w:tcPr>
            <w:tcW w:w="0" w:type="auto"/>
          </w:tcPr>
          <w:p w14:paraId="44AA7AA6" w14:textId="77777777" w:rsidR="00180E7C" w:rsidRDefault="00000000">
            <w:pPr>
              <w:pStyle w:val="Compact"/>
            </w:pPr>
            <w:r>
              <w:t>Agent fees, assessor, audit</w:t>
            </w:r>
          </w:p>
        </w:tc>
      </w:tr>
      <w:tr w:rsidR="00180E7C" w14:paraId="52E6B00D" w14:textId="77777777">
        <w:tc>
          <w:tcPr>
            <w:tcW w:w="0" w:type="auto"/>
          </w:tcPr>
          <w:p w14:paraId="5AE1D50C" w14:textId="77777777" w:rsidR="00180E7C" w:rsidRDefault="00000000">
            <w:pPr>
              <w:pStyle w:val="Compact"/>
            </w:pPr>
            <w:r>
              <w:t>Economic Monitoring Board</w:t>
            </w:r>
          </w:p>
        </w:tc>
        <w:tc>
          <w:tcPr>
            <w:tcW w:w="0" w:type="auto"/>
          </w:tcPr>
          <w:p w14:paraId="24B70E8B" w14:textId="77777777" w:rsidR="00180E7C" w:rsidRDefault="00000000">
            <w:pPr>
              <w:pStyle w:val="Compact"/>
            </w:pPr>
            <w:r>
              <w:t>9,000,000</w:t>
            </w:r>
          </w:p>
        </w:tc>
        <w:tc>
          <w:tcPr>
            <w:tcW w:w="0" w:type="auto"/>
          </w:tcPr>
          <w:p w14:paraId="1DB5B487" w14:textId="77777777" w:rsidR="00180E7C" w:rsidRDefault="00000000">
            <w:pPr>
              <w:pStyle w:val="Compact"/>
            </w:pPr>
            <w:r>
              <w:t>4,500,000</w:t>
            </w:r>
          </w:p>
        </w:tc>
        <w:tc>
          <w:tcPr>
            <w:tcW w:w="0" w:type="auto"/>
          </w:tcPr>
          <w:p w14:paraId="5EDB6433" w14:textId="77777777" w:rsidR="00180E7C" w:rsidRDefault="00000000">
            <w:pPr>
              <w:pStyle w:val="Compact"/>
            </w:pPr>
            <w:r>
              <w:t>3,150,000</w:t>
            </w:r>
          </w:p>
        </w:tc>
        <w:tc>
          <w:tcPr>
            <w:tcW w:w="0" w:type="auto"/>
          </w:tcPr>
          <w:p w14:paraId="219FEB78" w14:textId="77777777" w:rsidR="00180E7C" w:rsidRDefault="00000000">
            <w:pPr>
              <w:pStyle w:val="Compact"/>
            </w:pPr>
            <w:r>
              <w:t>1,350,000</w:t>
            </w:r>
          </w:p>
        </w:tc>
        <w:tc>
          <w:tcPr>
            <w:tcW w:w="0" w:type="auto"/>
          </w:tcPr>
          <w:p w14:paraId="0F192680" w14:textId="77777777" w:rsidR="00180E7C" w:rsidRDefault="00000000">
            <w:pPr>
              <w:pStyle w:val="Compact"/>
            </w:pPr>
            <w:r>
              <w:t>Staff, data systems, reporting</w:t>
            </w:r>
          </w:p>
        </w:tc>
      </w:tr>
      <w:tr w:rsidR="00180E7C" w14:paraId="1308F25C" w14:textId="77777777">
        <w:tc>
          <w:tcPr>
            <w:tcW w:w="0" w:type="auto"/>
          </w:tcPr>
          <w:p w14:paraId="76FCBB5C" w14:textId="77777777" w:rsidR="00180E7C" w:rsidRDefault="00000000">
            <w:pPr>
              <w:pStyle w:val="Compact"/>
            </w:pPr>
            <w:r>
              <w:t>RDF secretariat (non-project)</w:t>
            </w:r>
          </w:p>
        </w:tc>
        <w:tc>
          <w:tcPr>
            <w:tcW w:w="0" w:type="auto"/>
          </w:tcPr>
          <w:p w14:paraId="58ACB40D" w14:textId="77777777" w:rsidR="00180E7C" w:rsidRDefault="00000000">
            <w:pPr>
              <w:pStyle w:val="Compact"/>
            </w:pPr>
            <w:r>
              <w:t>55,000,000</w:t>
            </w:r>
          </w:p>
        </w:tc>
        <w:tc>
          <w:tcPr>
            <w:tcW w:w="0" w:type="auto"/>
          </w:tcPr>
          <w:p w14:paraId="74844BD5" w14:textId="77777777" w:rsidR="00180E7C" w:rsidRDefault="00000000">
            <w:pPr>
              <w:pStyle w:val="Compact"/>
            </w:pPr>
            <w:r>
              <w:t>27,500,000</w:t>
            </w:r>
          </w:p>
        </w:tc>
        <w:tc>
          <w:tcPr>
            <w:tcW w:w="0" w:type="auto"/>
          </w:tcPr>
          <w:p w14:paraId="125E26EA" w14:textId="77777777" w:rsidR="00180E7C" w:rsidRDefault="00000000">
            <w:pPr>
              <w:pStyle w:val="Compact"/>
            </w:pPr>
            <w:r>
              <w:t>19,250,000</w:t>
            </w:r>
          </w:p>
        </w:tc>
        <w:tc>
          <w:tcPr>
            <w:tcW w:w="0" w:type="auto"/>
          </w:tcPr>
          <w:p w14:paraId="41078E4A" w14:textId="77777777" w:rsidR="00180E7C" w:rsidRDefault="00000000">
            <w:pPr>
              <w:pStyle w:val="Compact"/>
            </w:pPr>
            <w:r>
              <w:t>8,250,000</w:t>
            </w:r>
          </w:p>
        </w:tc>
        <w:tc>
          <w:tcPr>
            <w:tcW w:w="0" w:type="auto"/>
          </w:tcPr>
          <w:p w14:paraId="59EA77F6" w14:textId="77777777" w:rsidR="00180E7C" w:rsidRDefault="00000000">
            <w:pPr>
              <w:pStyle w:val="Compact"/>
            </w:pPr>
            <w:r>
              <w:t>Board, appraisal, evaluation office</w:t>
            </w:r>
          </w:p>
        </w:tc>
      </w:tr>
      <w:tr w:rsidR="00180E7C" w14:paraId="60A26101" w14:textId="77777777">
        <w:tc>
          <w:tcPr>
            <w:tcW w:w="0" w:type="auto"/>
          </w:tcPr>
          <w:p w14:paraId="59466CAA" w14:textId="77777777" w:rsidR="00180E7C" w:rsidRDefault="00000000">
            <w:pPr>
              <w:pStyle w:val="Compact"/>
            </w:pPr>
            <w:r>
              <w:t>Joint Operations Centers network</w:t>
            </w:r>
          </w:p>
        </w:tc>
        <w:tc>
          <w:tcPr>
            <w:tcW w:w="0" w:type="auto"/>
          </w:tcPr>
          <w:p w14:paraId="7DC3AD44" w14:textId="77777777" w:rsidR="00180E7C" w:rsidRDefault="00000000">
            <w:pPr>
              <w:pStyle w:val="Compact"/>
            </w:pPr>
            <w:r>
              <w:t>38,000,000</w:t>
            </w:r>
          </w:p>
        </w:tc>
        <w:tc>
          <w:tcPr>
            <w:tcW w:w="0" w:type="auto"/>
          </w:tcPr>
          <w:p w14:paraId="56DAFF0A" w14:textId="77777777" w:rsidR="00180E7C" w:rsidRDefault="00000000">
            <w:pPr>
              <w:pStyle w:val="Compact"/>
            </w:pPr>
            <w:r>
              <w:t>19,000,000</w:t>
            </w:r>
          </w:p>
        </w:tc>
        <w:tc>
          <w:tcPr>
            <w:tcW w:w="0" w:type="auto"/>
          </w:tcPr>
          <w:p w14:paraId="2A770DDB" w14:textId="77777777" w:rsidR="00180E7C" w:rsidRDefault="00000000">
            <w:pPr>
              <w:pStyle w:val="Compact"/>
            </w:pPr>
            <w:r>
              <w:t>13,300,000</w:t>
            </w:r>
          </w:p>
        </w:tc>
        <w:tc>
          <w:tcPr>
            <w:tcW w:w="0" w:type="auto"/>
          </w:tcPr>
          <w:p w14:paraId="345B61A0" w14:textId="77777777" w:rsidR="00180E7C" w:rsidRDefault="00000000">
            <w:pPr>
              <w:pStyle w:val="Compact"/>
            </w:pPr>
            <w:r>
              <w:t>5,700,000</w:t>
            </w:r>
          </w:p>
        </w:tc>
        <w:tc>
          <w:tcPr>
            <w:tcW w:w="0" w:type="auto"/>
          </w:tcPr>
          <w:p w14:paraId="30BD1383" w14:textId="77777777" w:rsidR="00180E7C" w:rsidRDefault="00000000">
            <w:pPr>
              <w:pStyle w:val="Compact"/>
            </w:pPr>
            <w:r>
              <w:t>Sites, comms, patrols, exercises</w:t>
            </w:r>
          </w:p>
        </w:tc>
      </w:tr>
      <w:tr w:rsidR="00180E7C" w14:paraId="29C4AD18" w14:textId="77777777">
        <w:tc>
          <w:tcPr>
            <w:tcW w:w="0" w:type="auto"/>
          </w:tcPr>
          <w:p w14:paraId="50704A17" w14:textId="77777777" w:rsidR="00180E7C" w:rsidRDefault="00000000">
            <w:pPr>
              <w:pStyle w:val="Compact"/>
            </w:pPr>
            <w:r>
              <w:t>Cyber Deconfliction Cell</w:t>
            </w:r>
          </w:p>
        </w:tc>
        <w:tc>
          <w:tcPr>
            <w:tcW w:w="0" w:type="auto"/>
          </w:tcPr>
          <w:p w14:paraId="7ED72F51" w14:textId="77777777" w:rsidR="00180E7C" w:rsidRDefault="00000000">
            <w:pPr>
              <w:pStyle w:val="Compact"/>
            </w:pPr>
            <w:r>
              <w:t>14,000,000</w:t>
            </w:r>
          </w:p>
        </w:tc>
        <w:tc>
          <w:tcPr>
            <w:tcW w:w="0" w:type="auto"/>
          </w:tcPr>
          <w:p w14:paraId="203F23E6" w14:textId="77777777" w:rsidR="00180E7C" w:rsidRDefault="00000000">
            <w:pPr>
              <w:pStyle w:val="Compact"/>
            </w:pPr>
            <w:r>
              <w:t>7,000,000</w:t>
            </w:r>
          </w:p>
        </w:tc>
        <w:tc>
          <w:tcPr>
            <w:tcW w:w="0" w:type="auto"/>
          </w:tcPr>
          <w:p w14:paraId="3150F091" w14:textId="77777777" w:rsidR="00180E7C" w:rsidRDefault="00000000">
            <w:pPr>
              <w:pStyle w:val="Compact"/>
            </w:pPr>
            <w:r>
              <w:t>4,900,000</w:t>
            </w:r>
          </w:p>
        </w:tc>
        <w:tc>
          <w:tcPr>
            <w:tcW w:w="0" w:type="auto"/>
          </w:tcPr>
          <w:p w14:paraId="0929C57E" w14:textId="77777777" w:rsidR="00180E7C" w:rsidRDefault="00000000">
            <w:pPr>
              <w:pStyle w:val="Compact"/>
            </w:pPr>
            <w:r>
              <w:t>2,100,000</w:t>
            </w:r>
          </w:p>
        </w:tc>
        <w:tc>
          <w:tcPr>
            <w:tcW w:w="0" w:type="auto"/>
          </w:tcPr>
          <w:p w14:paraId="228A2BF2" w14:textId="77777777" w:rsidR="00180E7C" w:rsidRDefault="00000000">
            <w:pPr>
              <w:pStyle w:val="Compact"/>
            </w:pPr>
            <w:r>
              <w:t>Facility, cleared staff, hunt operations</w:t>
            </w:r>
          </w:p>
        </w:tc>
      </w:tr>
      <w:tr w:rsidR="00180E7C" w14:paraId="02535B84" w14:textId="77777777">
        <w:tc>
          <w:tcPr>
            <w:tcW w:w="0" w:type="auto"/>
          </w:tcPr>
          <w:p w14:paraId="793144D0" w14:textId="77777777" w:rsidR="00180E7C" w:rsidRDefault="00000000">
            <w:pPr>
              <w:pStyle w:val="Compact"/>
            </w:pPr>
            <w:r>
              <w:t>Reconstruction and Demobilization Support Fund (administrative)</w:t>
            </w:r>
          </w:p>
        </w:tc>
        <w:tc>
          <w:tcPr>
            <w:tcW w:w="0" w:type="auto"/>
          </w:tcPr>
          <w:p w14:paraId="7229CA42" w14:textId="77777777" w:rsidR="00180E7C" w:rsidRDefault="00000000">
            <w:pPr>
              <w:pStyle w:val="Compact"/>
            </w:pPr>
            <w:r>
              <w:t>22,000,000</w:t>
            </w:r>
          </w:p>
        </w:tc>
        <w:tc>
          <w:tcPr>
            <w:tcW w:w="0" w:type="auto"/>
          </w:tcPr>
          <w:p w14:paraId="484138FE" w14:textId="77777777" w:rsidR="00180E7C" w:rsidRDefault="00000000">
            <w:pPr>
              <w:pStyle w:val="Compact"/>
            </w:pPr>
            <w:r>
              <w:t>11,000,000</w:t>
            </w:r>
          </w:p>
        </w:tc>
        <w:tc>
          <w:tcPr>
            <w:tcW w:w="0" w:type="auto"/>
          </w:tcPr>
          <w:p w14:paraId="09343B39" w14:textId="77777777" w:rsidR="00180E7C" w:rsidRDefault="00000000">
            <w:pPr>
              <w:pStyle w:val="Compact"/>
            </w:pPr>
            <w:r>
              <w:t>7,700,000</w:t>
            </w:r>
          </w:p>
        </w:tc>
        <w:tc>
          <w:tcPr>
            <w:tcW w:w="0" w:type="auto"/>
          </w:tcPr>
          <w:p w14:paraId="33D0B01B" w14:textId="77777777" w:rsidR="00180E7C" w:rsidRDefault="00000000">
            <w:pPr>
              <w:pStyle w:val="Compact"/>
            </w:pPr>
            <w:r>
              <w:t>3,300,000</w:t>
            </w:r>
          </w:p>
        </w:tc>
        <w:tc>
          <w:tcPr>
            <w:tcW w:w="0" w:type="auto"/>
          </w:tcPr>
          <w:p w14:paraId="6800D0B3" w14:textId="77777777" w:rsidR="00180E7C" w:rsidRDefault="00000000">
            <w:pPr>
              <w:pStyle w:val="Compact"/>
            </w:pPr>
            <w:r>
              <w:t>Registration offices, casework, audits</w:t>
            </w:r>
          </w:p>
        </w:tc>
      </w:tr>
      <w:tr w:rsidR="00180E7C" w14:paraId="167FF931" w14:textId="77777777">
        <w:tc>
          <w:tcPr>
            <w:tcW w:w="0" w:type="auto"/>
          </w:tcPr>
          <w:p w14:paraId="52EA8D6D" w14:textId="77777777" w:rsidR="00180E7C" w:rsidRDefault="00000000">
            <w:pPr>
              <w:pStyle w:val="Compact"/>
            </w:pPr>
            <w:r>
              <w:t>Missing Persons Commission</w:t>
            </w:r>
          </w:p>
        </w:tc>
        <w:tc>
          <w:tcPr>
            <w:tcW w:w="0" w:type="auto"/>
          </w:tcPr>
          <w:p w14:paraId="0B406A77" w14:textId="77777777" w:rsidR="00180E7C" w:rsidRDefault="00000000">
            <w:pPr>
              <w:pStyle w:val="Compact"/>
            </w:pPr>
            <w:r>
              <w:t>40,000,000</w:t>
            </w:r>
          </w:p>
        </w:tc>
        <w:tc>
          <w:tcPr>
            <w:tcW w:w="0" w:type="auto"/>
          </w:tcPr>
          <w:p w14:paraId="414115DF" w14:textId="77777777" w:rsidR="00180E7C" w:rsidRDefault="00000000">
            <w:pPr>
              <w:pStyle w:val="Compact"/>
            </w:pPr>
            <w:r>
              <w:t>20,000,000</w:t>
            </w:r>
          </w:p>
        </w:tc>
        <w:tc>
          <w:tcPr>
            <w:tcW w:w="0" w:type="auto"/>
          </w:tcPr>
          <w:p w14:paraId="78F0E027" w14:textId="77777777" w:rsidR="00180E7C" w:rsidRDefault="00000000">
            <w:pPr>
              <w:pStyle w:val="Compact"/>
            </w:pPr>
            <w:r>
              <w:t>14,000,000</w:t>
            </w:r>
          </w:p>
        </w:tc>
        <w:tc>
          <w:tcPr>
            <w:tcW w:w="0" w:type="auto"/>
          </w:tcPr>
          <w:p w14:paraId="4BD437B2" w14:textId="77777777" w:rsidR="00180E7C" w:rsidRDefault="00000000">
            <w:pPr>
              <w:pStyle w:val="Compact"/>
            </w:pPr>
            <w:r>
              <w:t>6,000,000</w:t>
            </w:r>
          </w:p>
        </w:tc>
        <w:tc>
          <w:tcPr>
            <w:tcW w:w="0" w:type="auto"/>
          </w:tcPr>
          <w:p w14:paraId="27698780" w14:textId="77777777" w:rsidR="00180E7C" w:rsidRDefault="00000000">
            <w:pPr>
              <w:pStyle w:val="Compact"/>
            </w:pPr>
            <w:r>
              <w:t>Forensics, laboratories, field teams</w:t>
            </w:r>
          </w:p>
        </w:tc>
      </w:tr>
      <w:tr w:rsidR="00180E7C" w14:paraId="7E8ADE60" w14:textId="77777777">
        <w:tc>
          <w:tcPr>
            <w:tcW w:w="0" w:type="auto"/>
          </w:tcPr>
          <w:p w14:paraId="46878F69" w14:textId="77777777" w:rsidR="00180E7C" w:rsidRDefault="00000000">
            <w:pPr>
              <w:pStyle w:val="Compact"/>
            </w:pPr>
            <w:r>
              <w:t>Communications and dashboard layer</w:t>
            </w:r>
          </w:p>
        </w:tc>
        <w:tc>
          <w:tcPr>
            <w:tcW w:w="0" w:type="auto"/>
          </w:tcPr>
          <w:p w14:paraId="59959B57" w14:textId="77777777" w:rsidR="00180E7C" w:rsidRDefault="00000000">
            <w:pPr>
              <w:pStyle w:val="Compact"/>
            </w:pPr>
            <w:r>
              <w:t>7,000,000</w:t>
            </w:r>
          </w:p>
        </w:tc>
        <w:tc>
          <w:tcPr>
            <w:tcW w:w="0" w:type="auto"/>
          </w:tcPr>
          <w:p w14:paraId="5B753D88" w14:textId="77777777" w:rsidR="00180E7C" w:rsidRDefault="00000000">
            <w:pPr>
              <w:pStyle w:val="Compact"/>
            </w:pPr>
            <w:r>
              <w:t>3,500,000</w:t>
            </w:r>
          </w:p>
        </w:tc>
        <w:tc>
          <w:tcPr>
            <w:tcW w:w="0" w:type="auto"/>
          </w:tcPr>
          <w:p w14:paraId="3BC67DF2" w14:textId="77777777" w:rsidR="00180E7C" w:rsidRDefault="00000000">
            <w:pPr>
              <w:pStyle w:val="Compact"/>
            </w:pPr>
            <w:r>
              <w:t>2,450,000</w:t>
            </w:r>
          </w:p>
        </w:tc>
        <w:tc>
          <w:tcPr>
            <w:tcW w:w="0" w:type="auto"/>
          </w:tcPr>
          <w:p w14:paraId="48DA8A33" w14:textId="77777777" w:rsidR="00180E7C" w:rsidRDefault="00000000">
            <w:pPr>
              <w:pStyle w:val="Compact"/>
            </w:pPr>
            <w:r>
              <w:t>1,050,000</w:t>
            </w:r>
          </w:p>
        </w:tc>
        <w:tc>
          <w:tcPr>
            <w:tcW w:w="0" w:type="auto"/>
          </w:tcPr>
          <w:p w14:paraId="02F4A5D7" w14:textId="77777777" w:rsidR="00180E7C" w:rsidRDefault="00000000">
            <w:pPr>
              <w:pStyle w:val="Compact"/>
            </w:pPr>
            <w:r>
              <w:t>Working group, publications, translations</w:t>
            </w:r>
          </w:p>
        </w:tc>
      </w:tr>
      <w:tr w:rsidR="00180E7C" w14:paraId="616CB5B5" w14:textId="77777777">
        <w:tc>
          <w:tcPr>
            <w:tcW w:w="0" w:type="auto"/>
          </w:tcPr>
          <w:p w14:paraId="30820EB3" w14:textId="77777777" w:rsidR="00180E7C" w:rsidRDefault="00000000">
            <w:pPr>
              <w:pStyle w:val="Compact"/>
            </w:pPr>
            <w:r>
              <w:t xml:space="preserve">Guarantor Matrix </w:t>
            </w:r>
            <w:r>
              <w:lastRenderedPageBreak/>
              <w:t>operations</w:t>
            </w:r>
          </w:p>
        </w:tc>
        <w:tc>
          <w:tcPr>
            <w:tcW w:w="0" w:type="auto"/>
          </w:tcPr>
          <w:p w14:paraId="087AC352" w14:textId="77777777" w:rsidR="00180E7C" w:rsidRDefault="00000000">
            <w:pPr>
              <w:pStyle w:val="Compact"/>
            </w:pPr>
            <w:r>
              <w:lastRenderedPageBreak/>
              <w:t>11,000,000</w:t>
            </w:r>
          </w:p>
        </w:tc>
        <w:tc>
          <w:tcPr>
            <w:tcW w:w="0" w:type="auto"/>
          </w:tcPr>
          <w:p w14:paraId="68A3CF8B" w14:textId="77777777" w:rsidR="00180E7C" w:rsidRDefault="00000000">
            <w:pPr>
              <w:pStyle w:val="Compact"/>
            </w:pPr>
            <w:r>
              <w:t>5,500,000</w:t>
            </w:r>
          </w:p>
        </w:tc>
        <w:tc>
          <w:tcPr>
            <w:tcW w:w="0" w:type="auto"/>
          </w:tcPr>
          <w:p w14:paraId="6F5DEE85" w14:textId="77777777" w:rsidR="00180E7C" w:rsidRDefault="00000000">
            <w:pPr>
              <w:pStyle w:val="Compact"/>
            </w:pPr>
            <w:r>
              <w:t>3,850,000</w:t>
            </w:r>
          </w:p>
        </w:tc>
        <w:tc>
          <w:tcPr>
            <w:tcW w:w="0" w:type="auto"/>
          </w:tcPr>
          <w:p w14:paraId="01945B28" w14:textId="77777777" w:rsidR="00180E7C" w:rsidRDefault="00000000">
            <w:pPr>
              <w:pStyle w:val="Compact"/>
            </w:pPr>
            <w:r>
              <w:t>1,650,000</w:t>
            </w:r>
          </w:p>
        </w:tc>
        <w:tc>
          <w:tcPr>
            <w:tcW w:w="0" w:type="auto"/>
          </w:tcPr>
          <w:p w14:paraId="3379C44E" w14:textId="77777777" w:rsidR="00180E7C" w:rsidRDefault="00000000">
            <w:pPr>
              <w:pStyle w:val="Compact"/>
            </w:pPr>
            <w:r>
              <w:t xml:space="preserve">Channels, sessions, succession </w:t>
            </w:r>
            <w:r>
              <w:lastRenderedPageBreak/>
              <w:t>readiness</w:t>
            </w:r>
          </w:p>
        </w:tc>
      </w:tr>
      <w:tr w:rsidR="00180E7C" w14:paraId="0144C5F5" w14:textId="77777777">
        <w:tc>
          <w:tcPr>
            <w:tcW w:w="0" w:type="auto"/>
          </w:tcPr>
          <w:p w14:paraId="2283D023" w14:textId="77777777" w:rsidR="00180E7C" w:rsidRDefault="00000000">
            <w:pPr>
              <w:pStyle w:val="Compact"/>
            </w:pPr>
            <w:r>
              <w:lastRenderedPageBreak/>
              <w:t>Total</w:t>
            </w:r>
          </w:p>
        </w:tc>
        <w:tc>
          <w:tcPr>
            <w:tcW w:w="0" w:type="auto"/>
          </w:tcPr>
          <w:p w14:paraId="35D495BF" w14:textId="77777777" w:rsidR="00180E7C" w:rsidRDefault="00000000">
            <w:pPr>
              <w:pStyle w:val="Compact"/>
            </w:pPr>
            <w:r>
              <w:t>450,000,000</w:t>
            </w:r>
          </w:p>
        </w:tc>
        <w:tc>
          <w:tcPr>
            <w:tcW w:w="0" w:type="auto"/>
          </w:tcPr>
          <w:p w14:paraId="3781A1B8" w14:textId="77777777" w:rsidR="00180E7C" w:rsidRDefault="00000000">
            <w:pPr>
              <w:pStyle w:val="Compact"/>
            </w:pPr>
            <w:r>
              <w:t>225,000,000</w:t>
            </w:r>
          </w:p>
        </w:tc>
        <w:tc>
          <w:tcPr>
            <w:tcW w:w="0" w:type="auto"/>
          </w:tcPr>
          <w:p w14:paraId="0325E7D0" w14:textId="77777777" w:rsidR="00180E7C" w:rsidRDefault="00000000">
            <w:pPr>
              <w:pStyle w:val="Compact"/>
            </w:pPr>
            <w:r>
              <w:t>157,500,000</w:t>
            </w:r>
          </w:p>
        </w:tc>
        <w:tc>
          <w:tcPr>
            <w:tcW w:w="0" w:type="auto"/>
          </w:tcPr>
          <w:p w14:paraId="603AD37A" w14:textId="77777777" w:rsidR="00180E7C" w:rsidRDefault="00000000">
            <w:pPr>
              <w:pStyle w:val="Compact"/>
            </w:pPr>
            <w:r>
              <w:t>67,500,000</w:t>
            </w:r>
          </w:p>
        </w:tc>
        <w:tc>
          <w:tcPr>
            <w:tcW w:w="0" w:type="auto"/>
          </w:tcPr>
          <w:p w14:paraId="4BCFE303" w14:textId="77777777" w:rsidR="00180E7C" w:rsidRDefault="00180E7C">
            <w:pPr>
              <w:pStyle w:val="Compact"/>
            </w:pPr>
          </w:p>
        </w:tc>
      </w:tr>
    </w:tbl>
    <w:p w14:paraId="466AEFA4" w14:textId="77777777" w:rsidR="00180E7C" w:rsidRDefault="00000000">
      <w:pPr>
        <w:pStyle w:val="BodyText"/>
      </w:pPr>
      <w:r>
        <w:t>The budget table’s design principles deserve the record. First, parity with partnership: Iran and the United States carry 85 percent between them, with the 50/35 split reflecting the settlement’s asymmetry of subject matter while preserving joint ownership. Second, the guarantor and IFI slice buys more than money: it embeds the neutral layer’s states and institutions in the organs’ daily survival, giving them material reason to defend the architecture in their own councils. Third, publication itself: the entire machinery of peace between two adversaries costs, in its first year, less than a single day of the military operations the April 2026 ceasefire ended, and the table publishes partly so that comparison travels.</w:t>
      </w:r>
    </w:p>
    <w:p w14:paraId="0F7843CB" w14:textId="77777777" w:rsidR="00180E7C" w:rsidRDefault="00000000">
      <w:pPr>
        <w:pStyle w:val="BodyText"/>
      </w:pPr>
      <w:r>
        <w:t>The budget’s execution follows the financial regulations of SP-11: quarterly allotment, organ-level procurement under the manual, external audit of every organ annually, and the JMC’s consolidated financial report publishing the execution against this table at year-end. The second-year budgets prepare under the organs’ own proposals through the Article 74 process, with the activation lessons register’s staffing items feeding the figures.</w:t>
      </w:r>
    </w:p>
    <w:p w14:paraId="13CD8031" w14:textId="77777777" w:rsidR="00180E7C" w:rsidRDefault="00000000">
      <w:r>
        <w:pict w14:anchorId="06DC8602">
          <v:rect id="_x0000_i1081" style="width:0;height:1.5pt" o:hralign="center" o:hrstd="t" o:hr="t"/>
        </w:pict>
      </w:r>
    </w:p>
    <w:p w14:paraId="4DBB892E" w14:textId="77777777" w:rsidR="00180E7C" w:rsidRDefault="00000000">
      <w:pPr>
        <w:pStyle w:val="Heading2"/>
      </w:pPr>
      <w:bookmarkStart w:id="1295" w:name="X27f60e8a9299a99646256ca417e12b28876d6b6"/>
      <w:bookmarkEnd w:id="1294"/>
      <w:r>
        <w:t>SP-26.14: The Activation Phase’s Closing Entry</w:t>
      </w:r>
    </w:p>
    <w:p w14:paraId="2E8A7816" w14:textId="77777777" w:rsidR="00180E7C" w:rsidRDefault="00000000">
      <w:pPr>
        <w:pStyle w:val="FirstParagraph"/>
      </w:pPr>
      <w:r>
        <w:t>The activation diaries close with a final entry, written for the record and for the officials who inherit the machinery.</w:t>
      </w:r>
    </w:p>
    <w:p w14:paraId="112DBDAF" w14:textId="77777777" w:rsidR="00180E7C" w:rsidRDefault="00000000">
      <w:pPr>
        <w:pStyle w:val="BodyText"/>
      </w:pPr>
      <w:r>
        <w:t>One hundred days before this entry, the Treaty existed as text and hope. The diaries record what the interval produced: a commission with a heartbeat, an authority governing the world’s most sensitive waterway, an escrow moving money against certified performance, a verification layer counting atoms in public, a security architecture replacing confrontation with procedure, a fund converting resources into projects, and a public layer converting secrecy into data. Each organ’s diary records its own proof of life; this entry records the phase’s aggregate lesson.</w:t>
      </w:r>
    </w:p>
    <w:p w14:paraId="22D2A650" w14:textId="77777777" w:rsidR="00180E7C" w:rsidRDefault="00000000">
      <w:pPr>
        <w:pStyle w:val="BodyText"/>
      </w:pPr>
      <w:r>
        <w:t>The lesson is logistical, and the drafters insist on it against the romantic reading of treaty-making: peace between adversaries is an administrative achievement before it is a political one. The hundred days succeeded because the paperwork pre-existed: the charters were drafted before they were needed, the forms printed before the first filing, the budgets published before the first disbursement, the communiqué written before the milestone it announced. Every activation that history remembers as failure, the missions that arrived without mandates, the funds without procedures, the commissions without budgets, failed in the gap this phase was designed to close. Savāhel-e Āghāz crossed the gap on a bridge of pre-drafted instruments, and the diaries stand as the crossing’s engineering record.</w:t>
      </w:r>
    </w:p>
    <w:p w14:paraId="06430656" w14:textId="77777777" w:rsidR="00180E7C" w:rsidRDefault="00000000">
      <w:pPr>
        <w:pStyle w:val="BodyText"/>
      </w:pPr>
      <w:r>
        <w:lastRenderedPageBreak/>
        <w:t>The diaries’ last note belongs to the people who ran the phase: the advance teams in Muscat and Vienna, the intake officers who processed the first declarations, the cell staff who stood the first watches, the escrow desk that executed the first releases, the inspectors who walked the first baselines, and the translators who carried every one of these texts between two languages without losing a clause. The Treaty names its Parties on the signature page; the activation phase names its authors here, in the record of the machinery they brought to life, on schedule, in the open, together.</w:t>
      </w:r>
    </w:p>
    <w:p w14:paraId="5456B85B" w14:textId="77777777" w:rsidR="00180E7C" w:rsidRDefault="00000000">
      <w:pPr>
        <w:pStyle w:val="Heading1"/>
      </w:pPr>
      <w:bookmarkStart w:id="1296" w:name="Xa065556642d59747baf9a77a391c42382870515"/>
      <w:bookmarkStart w:id="1297" w:name="_Toc237843213"/>
      <w:bookmarkEnd w:id="1280"/>
      <w:bookmarkEnd w:id="1295"/>
      <w:r>
        <w:t>SUPPLEMENTARY PROTOCOL SP-27: MASTER CROSS-REFERENCE INDEX AND COMPLETENESS CERTIFICATIONS</w:t>
      </w:r>
      <w:bookmarkEnd w:id="1297"/>
    </w:p>
    <w:p w14:paraId="1DEB4DDB" w14:textId="77777777" w:rsidR="00180E7C" w:rsidRDefault="00000000">
      <w:pPr>
        <w:pStyle w:val="Heading2"/>
      </w:pPr>
      <w:bookmarkStart w:id="1298" w:name="sp-27.1-purpose"/>
      <w:r>
        <w:t>SP-27.1: Purpose</w:t>
      </w:r>
    </w:p>
    <w:p w14:paraId="67169962" w14:textId="77777777" w:rsidR="00180E7C" w:rsidRDefault="00000000">
      <w:pPr>
        <w:pStyle w:val="FirstParagraph"/>
      </w:pPr>
      <w:r>
        <w:t>An instrument of this scale requires a navigation layer. This protocol provides it in two parts: a master cross-reference index that locates every major subject across the titles, annexes, and protocols, and the completeness certifications, in which the drafting authority certifies, annex by annex and protocol by protocol, that every schedule, table, register, and form referenced in the operative text exists in filled form within the instrument. The certifications answer the question every ratifying legislator asks of a complex treaty: is anything here a placeholder? The answer, certified below, is no.</w:t>
      </w:r>
    </w:p>
    <w:p w14:paraId="690721BC" w14:textId="77777777" w:rsidR="00180E7C" w:rsidRDefault="00000000">
      <w:r>
        <w:pict w14:anchorId="550DBA6A">
          <v:rect id="_x0000_i1082" style="width:0;height:1.5pt" o:hralign="center" o:hrstd="t" o:hr="t"/>
        </w:pict>
      </w:r>
    </w:p>
    <w:p w14:paraId="51A62108" w14:textId="77777777" w:rsidR="00180E7C" w:rsidRDefault="00000000">
      <w:pPr>
        <w:pStyle w:val="Heading2"/>
      </w:pPr>
      <w:bookmarkStart w:id="1299" w:name="sp-27.2-master-cross-reference-index"/>
      <w:bookmarkEnd w:id="1298"/>
      <w:r>
        <w:t>SP-27.2: Master Cross-Reference Index</w:t>
      </w:r>
    </w:p>
    <w:p w14:paraId="6D4E13C9" w14:textId="77777777" w:rsidR="00180E7C" w:rsidRDefault="00000000">
      <w:pPr>
        <w:pStyle w:val="FirstParagraph"/>
      </w:pPr>
      <w:r>
        <w:t>Access and inspections: Articles 61-62; Annex C sections 11-13; Annex F section 15; SP-5 sections 3-4; SP-14. Scenario: SP-23.14.</w:t>
      </w:r>
    </w:p>
    <w:p w14:paraId="6759E4BA" w14:textId="77777777" w:rsidR="00180E7C" w:rsidRDefault="00000000">
      <w:pPr>
        <w:pStyle w:val="BodyText"/>
      </w:pPr>
      <w:r>
        <w:t>Amendment procedure: Article 72; Annex R section 4; SP-24.5 question ten.</w:t>
      </w:r>
    </w:p>
    <w:p w14:paraId="7EA8A42F" w14:textId="77777777" w:rsidR="00180E7C" w:rsidRDefault="00000000">
      <w:pPr>
        <w:pStyle w:val="BodyText"/>
      </w:pPr>
      <w:r>
        <w:t>Anomaly levels and response playbook: Article 67.3; Annex C sections 6-7; Annex D section 2; SP-16.</w:t>
      </w:r>
    </w:p>
    <w:p w14:paraId="26AF9F81" w14:textId="77777777" w:rsidR="00180E7C" w:rsidRDefault="00000000">
      <w:pPr>
        <w:pStyle w:val="BodyText"/>
      </w:pPr>
      <w:r>
        <w:t>Arbitration and dispute resolution: Articles 69, 65; Annex O; SP-9 commentary on Article 69; SP-24.5 question fifteen.</w:t>
      </w:r>
    </w:p>
    <w:p w14:paraId="3A86D83A" w14:textId="77777777" w:rsidR="00180E7C" w:rsidRDefault="00000000">
      <w:pPr>
        <w:pStyle w:val="BodyText"/>
      </w:pPr>
      <w:r>
        <w:t>Arms ceilings: Article 27; Annex C declarations chapter; SP-12.</w:t>
      </w:r>
    </w:p>
    <w:p w14:paraId="62220408" w14:textId="77777777" w:rsidR="00180E7C" w:rsidRDefault="00000000">
      <w:pPr>
        <w:pStyle w:val="BodyText"/>
      </w:pPr>
      <w:r>
        <w:t>Assassination and external sabotage response: Articles 12, 81; Annex L attribution standards; SP-23.5.</w:t>
      </w:r>
    </w:p>
    <w:p w14:paraId="4E019460" w14:textId="77777777" w:rsidR="00180E7C" w:rsidRDefault="00000000">
      <w:pPr>
        <w:pStyle w:val="BodyText"/>
      </w:pPr>
      <w:r>
        <w:t>Attribution standards: Annex C section 9; Annex L section 7; SP-23.4.</w:t>
      </w:r>
    </w:p>
    <w:p w14:paraId="2DA60F2D" w14:textId="77777777" w:rsidR="00180E7C" w:rsidRDefault="00000000">
      <w:pPr>
        <w:pStyle w:val="BodyText"/>
      </w:pPr>
      <w:r>
        <w:t>Banking channel, humanitarian: Article 58; Annex H section 8; SP-13 banking index.</w:t>
      </w:r>
    </w:p>
    <w:p w14:paraId="56A10531" w14:textId="77777777" w:rsidR="00180E7C" w:rsidRDefault="00000000">
      <w:pPr>
        <w:pStyle w:val="BodyText"/>
      </w:pPr>
      <w:r>
        <w:t>Benefit lines and proportionality: Article 70; Annex E; SP-16; SP-23.9.</w:t>
      </w:r>
    </w:p>
    <w:p w14:paraId="7A510C74" w14:textId="77777777" w:rsidR="00180E7C" w:rsidRDefault="00000000">
      <w:pPr>
        <w:pStyle w:val="BodyText"/>
      </w:pPr>
      <w:r>
        <w:t>Breakout floor: Article 61.6; Annex F section 12; SP-5 section 2; SP-26.5.</w:t>
      </w:r>
    </w:p>
    <w:p w14:paraId="1257AE50" w14:textId="77777777" w:rsidR="00180E7C" w:rsidRDefault="00000000">
      <w:pPr>
        <w:pStyle w:val="BodyText"/>
      </w:pPr>
      <w:r>
        <w:lastRenderedPageBreak/>
        <w:t>Buffer zones: Article 17; Annex B stand-down band; SP-2.</w:t>
      </w:r>
    </w:p>
    <w:p w14:paraId="48C6E364" w14:textId="77777777" w:rsidR="00180E7C" w:rsidRDefault="00000000">
      <w:pPr>
        <w:pStyle w:val="BodyText"/>
      </w:pPr>
      <w:r>
        <w:t>Ceasefire: Article 1; Annex J interface; SP-1 section 1.</w:t>
      </w:r>
    </w:p>
    <w:p w14:paraId="110E533D" w14:textId="77777777" w:rsidR="00180E7C" w:rsidRDefault="00000000">
      <w:pPr>
        <w:pStyle w:val="BodyText"/>
      </w:pPr>
      <w:r>
        <w:t>Claims and compensation: Article 65; Annex O Joint Claims Commission; Annex H Claims Facility; SP-24.5 questions three, four, sixteen.</w:t>
      </w:r>
    </w:p>
    <w:p w14:paraId="6D9C11D1" w14:textId="77777777" w:rsidR="00180E7C" w:rsidRDefault="00000000">
      <w:pPr>
        <w:pStyle w:val="BodyText"/>
      </w:pPr>
      <w:r>
        <w:t>Communication and public narrative: Article 12; SP-21; SP-23.10 transition; SP-26.8.</w:t>
      </w:r>
    </w:p>
    <w:p w14:paraId="176463C8" w14:textId="77777777" w:rsidR="00180E7C" w:rsidRDefault="00000000">
      <w:pPr>
        <w:pStyle w:val="BodyText"/>
      </w:pPr>
      <w:r>
        <w:t>Consular protection: Article 64.4; Annex M section 5.</w:t>
      </w:r>
    </w:p>
    <w:p w14:paraId="0154B605" w14:textId="77777777" w:rsidR="00180E7C" w:rsidRDefault="00000000">
      <w:pPr>
        <w:pStyle w:val="BodyText"/>
      </w:pPr>
      <w:r>
        <w:t>Corridors, Strait of Hormuz: Articles 31-38; Annex B tables B-1 through B-17; SP-3; SP-15; SP-20; SP-23.2, SP-23.10.</w:t>
      </w:r>
    </w:p>
    <w:p w14:paraId="29D7806F" w14:textId="77777777" w:rsidR="00180E7C" w:rsidRDefault="00000000">
      <w:pPr>
        <w:pStyle w:val="BodyText"/>
      </w:pPr>
      <w:r>
        <w:t>Cothrom verification method: Article 67; Annex C entire; SP-16 harmonization.</w:t>
      </w:r>
    </w:p>
    <w:p w14:paraId="4B66F904" w14:textId="77777777" w:rsidR="00180E7C" w:rsidRDefault="00000000">
      <w:pPr>
        <w:pStyle w:val="BodyText"/>
      </w:pPr>
      <w:r>
        <w:t>Cyber deconfliction: Article 23; Annex C cyber cell; SP-23.4.</w:t>
      </w:r>
    </w:p>
    <w:p w14:paraId="486BF9DD" w14:textId="77777777" w:rsidR="00180E7C" w:rsidRDefault="00000000">
      <w:pPr>
        <w:pStyle w:val="BodyText"/>
      </w:pPr>
      <w:r>
        <w:t>Demerit system: Article 67.5; Annex D entire; SP-23.9.</w:t>
      </w:r>
    </w:p>
    <w:p w14:paraId="715D688D" w14:textId="77777777" w:rsidR="00180E7C" w:rsidRDefault="00000000">
      <w:pPr>
        <w:pStyle w:val="BodyText"/>
      </w:pPr>
      <w:r>
        <w:t>Detainees and prisoners: Article 64; Annex M schedule M-1; SP-22 issue 44.</w:t>
      </w:r>
    </w:p>
    <w:p w14:paraId="2780DE30" w14:textId="77777777" w:rsidR="00180E7C" w:rsidRDefault="00000000">
      <w:pPr>
        <w:pStyle w:val="BodyText"/>
      </w:pPr>
      <w:r>
        <w:t>Down-blending campaign: Article 61.2; Annex F schedule F-2; SP-5 section 1; SP-26.5; SP-25 red lines I-1, I-2.</w:t>
      </w:r>
    </w:p>
    <w:p w14:paraId="15D89FBF" w14:textId="77777777" w:rsidR="00180E7C" w:rsidRDefault="00000000">
      <w:pPr>
        <w:pStyle w:val="BodyText"/>
      </w:pPr>
      <w:r>
        <w:t>Election transitions: Article 75 interface; SP-23.11; SP-24.3.3.</w:t>
      </w:r>
    </w:p>
    <w:p w14:paraId="327520BA" w14:textId="77777777" w:rsidR="00180E7C" w:rsidRDefault="00000000">
      <w:pPr>
        <w:pStyle w:val="BodyText"/>
      </w:pPr>
      <w:r>
        <w:t>Entry into force: Article 88; Annex R; SP-24.</w:t>
      </w:r>
    </w:p>
    <w:p w14:paraId="52755E34" w14:textId="77777777" w:rsidR="00180E7C" w:rsidRDefault="00000000">
      <w:pPr>
        <w:pStyle w:val="BodyText"/>
      </w:pPr>
      <w:r>
        <w:t>Environmental cooperation: Articles 39, 83; Annex B spill plan; SP-22 issue 46.</w:t>
      </w:r>
    </w:p>
    <w:p w14:paraId="7BABDA89" w14:textId="77777777" w:rsidR="00180E7C" w:rsidRDefault="00000000">
      <w:pPr>
        <w:pStyle w:val="BodyText"/>
      </w:pPr>
      <w:r>
        <w:t>Escrow architecture: Article 49; Annex H entire; SP-23.8; SP-26.4.</w:t>
      </w:r>
    </w:p>
    <w:p w14:paraId="0AEBBE52" w14:textId="77777777" w:rsidR="00180E7C" w:rsidRDefault="00000000">
      <w:pPr>
        <w:pStyle w:val="BodyText"/>
      </w:pPr>
      <w:r>
        <w:t>Exchanges, academic and cultural: Article 84; SP-22 issue 47.</w:t>
      </w:r>
    </w:p>
    <w:p w14:paraId="10F10FB5" w14:textId="77777777" w:rsidR="00180E7C" w:rsidRDefault="00000000">
      <w:pPr>
        <w:pStyle w:val="BodyText"/>
      </w:pPr>
      <w:r>
        <w:t>Fordow conversion: Article 61.5; Annex F section 14; SP-14.</w:t>
      </w:r>
    </w:p>
    <w:p w14:paraId="0AF443E9" w14:textId="77777777" w:rsidR="00180E7C" w:rsidRDefault="00000000">
      <w:pPr>
        <w:pStyle w:val="BodyText"/>
      </w:pPr>
      <w:r>
        <w:t>Frozen assets: Article 49; Annex H; SP-23.8; SP-24.5 questions three, four.</w:t>
      </w:r>
    </w:p>
    <w:p w14:paraId="57DDFB1D" w14:textId="77777777" w:rsidR="00180E7C" w:rsidRDefault="00000000">
      <w:pPr>
        <w:pStyle w:val="BodyText"/>
      </w:pPr>
      <w:r>
        <w:t>Guarantor Matrix: Article 25; Annex N; SP-23.16.</w:t>
      </w:r>
    </w:p>
    <w:p w14:paraId="79F76D96" w14:textId="77777777" w:rsidR="00180E7C" w:rsidRDefault="00000000">
      <w:pPr>
        <w:pStyle w:val="BodyText"/>
      </w:pPr>
      <w:r>
        <w:t>Hormuz Authority: Articles 31-45; Annex B entire; SP-3; SP-15; SP-23.2; SP-25 red line I-7.</w:t>
      </w:r>
    </w:p>
    <w:p w14:paraId="2433FC78" w14:textId="77777777" w:rsidR="00180E7C" w:rsidRDefault="00000000">
      <w:pPr>
        <w:pStyle w:val="BodyText"/>
      </w:pPr>
      <w:r>
        <w:t>Hostage diplomacy prevention: Article 64; SP-25 red line A-8; SP-22 issue 44.</w:t>
      </w:r>
    </w:p>
    <w:p w14:paraId="79694D80" w14:textId="77777777" w:rsidR="00180E7C" w:rsidRDefault="00000000">
      <w:pPr>
        <w:pStyle w:val="BodyText"/>
      </w:pPr>
      <w:r>
        <w:t>IAEA role: Articles 61-62; Annex F section 15; SP-14; SP-26.5.</w:t>
      </w:r>
    </w:p>
    <w:p w14:paraId="57CF1365" w14:textId="77777777" w:rsidR="00180E7C" w:rsidRDefault="00000000">
      <w:pPr>
        <w:pStyle w:val="BodyText"/>
      </w:pPr>
      <w:r>
        <w:t>Interdiction, twin-key rule: Article 36.4; Annex B; SP-3 section 3; SP-23.2.</w:t>
      </w:r>
    </w:p>
    <w:p w14:paraId="3E27F91C" w14:textId="77777777" w:rsidR="00180E7C" w:rsidRDefault="00000000">
      <w:pPr>
        <w:pStyle w:val="BodyText"/>
      </w:pPr>
      <w:r>
        <w:t>IRGC delisting: Article 47; Annex G section 6; SP-23.7; SP-25 red line A-5.</w:t>
      </w:r>
    </w:p>
    <w:p w14:paraId="1E8C84D6" w14:textId="77777777" w:rsidR="00180E7C" w:rsidRDefault="00000000">
      <w:pPr>
        <w:pStyle w:val="BodyText"/>
      </w:pPr>
      <w:r>
        <w:t>Iraq file: Article 78; Annex L section 3; SP-12.</w:t>
      </w:r>
    </w:p>
    <w:p w14:paraId="0FD0BB2B" w14:textId="77777777" w:rsidR="00180E7C" w:rsidRDefault="00000000">
      <w:pPr>
        <w:pStyle w:val="BodyText"/>
      </w:pPr>
      <w:r>
        <w:t>Israel, non-signatory protocol: Article 81; SP-22 issue 42 interface; SP-25 red line A-4.</w:t>
      </w:r>
    </w:p>
    <w:p w14:paraId="55A927A7" w14:textId="77777777" w:rsidR="00180E7C" w:rsidRDefault="00000000">
      <w:pPr>
        <w:pStyle w:val="BodyText"/>
      </w:pPr>
      <w:r>
        <w:lastRenderedPageBreak/>
        <w:t>Joint Monitoring Commission: Article 67.2; Annex C section 3; SP-26.2.</w:t>
      </w:r>
    </w:p>
    <w:p w14:paraId="55631300" w14:textId="77777777" w:rsidR="00180E7C" w:rsidRDefault="00000000">
      <w:pPr>
        <w:pStyle w:val="BodyText"/>
      </w:pPr>
      <w:r>
        <w:t>Lebanon parallel instrument: Article 76; Annex L entire; SP-12; SP-23.12; SP-22 issue 41.</w:t>
      </w:r>
    </w:p>
    <w:p w14:paraId="54DCBEF7" w14:textId="77777777" w:rsidR="00180E7C" w:rsidRDefault="00000000">
      <w:pPr>
        <w:pStyle w:val="BodyText"/>
      </w:pPr>
      <w:r>
        <w:t>Material breach: Article 69.4; Annex O section 8.</w:t>
      </w:r>
    </w:p>
    <w:p w14:paraId="3396ED03" w14:textId="77777777" w:rsidR="00180E7C" w:rsidRDefault="00000000">
      <w:pPr>
        <w:pStyle w:val="BodyText"/>
      </w:pPr>
      <w:r>
        <w:t>Missile transparency: Article 63 interface; Annex K; SP-23.15; SP-25 red line I-4.</w:t>
      </w:r>
    </w:p>
    <w:p w14:paraId="400F596B" w14:textId="77777777" w:rsidR="00180E7C" w:rsidRDefault="00000000">
      <w:pPr>
        <w:pStyle w:val="BodyText"/>
      </w:pPr>
      <w:r>
        <w:t>Missing persons: Annex M section 7; SP-22 issue 45.</w:t>
      </w:r>
    </w:p>
    <w:p w14:paraId="27E622BB" w14:textId="77777777" w:rsidR="00180E7C" w:rsidRDefault="00000000">
      <w:pPr>
        <w:pStyle w:val="BodyText"/>
      </w:pPr>
      <w:r>
        <w:t>Narcotics cooperation: Article 83.3; SP-22 issue 48.</w:t>
      </w:r>
    </w:p>
    <w:p w14:paraId="42CF3700" w14:textId="77777777" w:rsidR="00180E7C" w:rsidRDefault="00000000">
      <w:pPr>
        <w:pStyle w:val="BodyText"/>
      </w:pPr>
      <w:r>
        <w:t>Naval deconfliction: Article 21; Annex J; SP-2; SP-23.2.</w:t>
      </w:r>
    </w:p>
    <w:p w14:paraId="227DD764" w14:textId="77777777" w:rsidR="00180E7C" w:rsidRDefault="00000000">
      <w:pPr>
        <w:pStyle w:val="BodyText"/>
      </w:pPr>
      <w:r>
        <w:t>Notifications, military: Article 25; Annex C section 5; SP-2.</w:t>
      </w:r>
    </w:p>
    <w:p w14:paraId="50BCC961" w14:textId="77777777" w:rsidR="00180E7C" w:rsidRDefault="00000000">
      <w:pPr>
        <w:pStyle w:val="BodyText"/>
      </w:pPr>
      <w:r>
        <w:t>Nuclear caps and end-states: Article 61; Annex F; SP-14; SP-25 red lines I-1, I-8, A-1, A-7.</w:t>
      </w:r>
    </w:p>
    <w:p w14:paraId="758674F6" w14:textId="77777777" w:rsidR="00180E7C" w:rsidRDefault="00000000">
      <w:pPr>
        <w:pStyle w:val="BodyText"/>
      </w:pPr>
      <w:r>
        <w:t>Oil market guarantees: Article 50; Annex G table G-5; SP-23.13.</w:t>
      </w:r>
    </w:p>
    <w:p w14:paraId="424202B2" w14:textId="77777777" w:rsidR="00180E7C" w:rsidRDefault="00000000">
      <w:pPr>
        <w:pStyle w:val="BodyText"/>
      </w:pPr>
      <w:r>
        <w:t>Palestine file: Annex L section 10; SP-25.4.</w:t>
      </w:r>
    </w:p>
    <w:p w14:paraId="796E2DEB" w14:textId="77777777" w:rsidR="00180E7C" w:rsidRDefault="00000000">
      <w:pPr>
        <w:pStyle w:val="BodyText"/>
      </w:pPr>
      <w:r>
        <w:t>Permanence and sunset: Article 75; SP-25 red line A-7.</w:t>
      </w:r>
    </w:p>
    <w:p w14:paraId="12E4869C" w14:textId="77777777" w:rsidR="00180E7C" w:rsidRDefault="00000000">
      <w:pPr>
        <w:pStyle w:val="BodyText"/>
      </w:pPr>
      <w:r>
        <w:t>Provisional application: Article 87; Annex R section 3; SP-24.2.3, SP-24.3.3.</w:t>
      </w:r>
    </w:p>
    <w:p w14:paraId="640CDA6C" w14:textId="77777777" w:rsidR="00180E7C" w:rsidRDefault="00000000">
      <w:pPr>
        <w:pStyle w:val="BodyText"/>
      </w:pPr>
      <w:r>
        <w:t>Proxy demobilization: Articles 8, 24; Annex L; SP-12; SP-26.6.</w:t>
      </w:r>
    </w:p>
    <w:p w14:paraId="5C245393" w14:textId="77777777" w:rsidR="00180E7C" w:rsidRDefault="00000000">
      <w:pPr>
        <w:pStyle w:val="BodyText"/>
      </w:pPr>
      <w:r>
        <w:t>Ratification processes: Article 85; Annex R; SP-24 entire.</w:t>
      </w:r>
    </w:p>
    <w:p w14:paraId="78A70F48" w14:textId="77777777" w:rsidR="00180E7C" w:rsidRDefault="00000000">
      <w:pPr>
        <w:pStyle w:val="BodyText"/>
      </w:pPr>
      <w:r>
        <w:t>Red lines: Article 0.3.4; Annex Q section 3; SP-25 entire.</w:t>
      </w:r>
    </w:p>
    <w:p w14:paraId="3C02380A" w14:textId="77777777" w:rsidR="00180E7C" w:rsidRDefault="00000000">
      <w:pPr>
        <w:pStyle w:val="BodyText"/>
      </w:pPr>
      <w:r>
        <w:t>Refugees and displacement: Article 82; SP-22 issue 43.</w:t>
      </w:r>
    </w:p>
    <w:p w14:paraId="3C2CAD47" w14:textId="77777777" w:rsidR="00180E7C" w:rsidRDefault="00000000">
      <w:pPr>
        <w:pStyle w:val="BodyText"/>
      </w:pPr>
      <w:r>
        <w:t>Regional Development Fund: Article 54; Annex I; SP-13; SP-23.13; SP-26.7.</w:t>
      </w:r>
    </w:p>
    <w:p w14:paraId="190047E0" w14:textId="77777777" w:rsidR="00180E7C" w:rsidRDefault="00000000">
      <w:pPr>
        <w:pStyle w:val="BodyText"/>
      </w:pPr>
      <w:r>
        <w:t>Sanctions termination: Articles 46-48; Annex G; SP-13; SP-23.6; SP-24.3.2.</w:t>
      </w:r>
    </w:p>
    <w:p w14:paraId="3AD21000" w14:textId="77777777" w:rsidR="00180E7C" w:rsidRDefault="00000000">
      <w:pPr>
        <w:pStyle w:val="BodyText"/>
      </w:pPr>
      <w:r>
        <w:t>Shared Digital Registry: Article 67.4; Annex C section 4; SP-11 data governance.</w:t>
      </w:r>
    </w:p>
    <w:p w14:paraId="27BCAF9C" w14:textId="77777777" w:rsidR="00180E7C" w:rsidRDefault="00000000">
      <w:pPr>
        <w:pStyle w:val="BodyText"/>
      </w:pPr>
      <w:r>
        <w:t>Step-back and earn-back: Article 70; Annex E; SP-16; SP-23.9.</w:t>
      </w:r>
    </w:p>
    <w:p w14:paraId="0CA9C4D3" w14:textId="77777777" w:rsidR="00180E7C" w:rsidRDefault="00000000">
      <w:pPr>
        <w:pStyle w:val="BodyText"/>
      </w:pPr>
      <w:r>
        <w:t>SWIFT reconnection: Article 51; Annex G section 8; SP-23.8.</w:t>
      </w:r>
    </w:p>
    <w:p w14:paraId="67F07B43" w14:textId="77777777" w:rsidR="00180E7C" w:rsidRDefault="00000000">
      <w:pPr>
        <w:pStyle w:val="BodyText"/>
      </w:pPr>
      <w:r>
        <w:t>Syria file: Article 79; Annex L table L-5; SP-12.</w:t>
      </w:r>
    </w:p>
    <w:p w14:paraId="0FB5A46A" w14:textId="77777777" w:rsidR="00180E7C" w:rsidRDefault="00000000">
      <w:pPr>
        <w:pStyle w:val="BodyText"/>
      </w:pPr>
      <w:r>
        <w:t>Timelines and benchmarks: Articles 15, 73; Annex P entire; SP-10; SP-26.</w:t>
      </w:r>
    </w:p>
    <w:p w14:paraId="46713FA3" w14:textId="77777777" w:rsidR="00180E7C" w:rsidRDefault="00000000">
      <w:pPr>
        <w:pStyle w:val="BodyText"/>
      </w:pPr>
      <w:r>
        <w:t>Transit passage and UNCLOS: Articles 36-38; SP-24.5 questions seven, eight.</w:t>
      </w:r>
    </w:p>
    <w:p w14:paraId="01A334D9" w14:textId="77777777" w:rsidR="00180E7C" w:rsidRDefault="00000000">
      <w:pPr>
        <w:pStyle w:val="BodyText"/>
      </w:pPr>
      <w:r>
        <w:t>Uranium Ledger: Article 61.4; Annex F section 2; SP-23.3.</w:t>
      </w:r>
    </w:p>
    <w:p w14:paraId="6D2F1A22" w14:textId="77777777" w:rsidR="00180E7C" w:rsidRDefault="00000000">
      <w:pPr>
        <w:pStyle w:val="BodyText"/>
      </w:pPr>
      <w:r>
        <w:t>Verified Services Catalog: Article 36.3; Annex B rate card; SP-3 section 5.</w:t>
      </w:r>
    </w:p>
    <w:p w14:paraId="430A781F" w14:textId="77777777" w:rsidR="00180E7C" w:rsidRDefault="00000000">
      <w:pPr>
        <w:pStyle w:val="BodyText"/>
      </w:pPr>
      <w:r>
        <w:t>Withdrawal: Article 75.3; SP-23.11; SP-24.5 question fourteen.</w:t>
      </w:r>
    </w:p>
    <w:p w14:paraId="03AF26B1" w14:textId="77777777" w:rsidR="00180E7C" w:rsidRDefault="00000000">
      <w:pPr>
        <w:pStyle w:val="BodyText"/>
      </w:pPr>
      <w:r>
        <w:lastRenderedPageBreak/>
        <w:t>Yemen file: Article 77; SP-12; SP-22 issue 42.</w:t>
      </w:r>
    </w:p>
    <w:p w14:paraId="716BF737" w14:textId="77777777" w:rsidR="00180E7C" w:rsidRDefault="00000000">
      <w:r>
        <w:pict w14:anchorId="0AB55D7C">
          <v:rect id="_x0000_i1083" style="width:0;height:1.5pt" o:hralign="center" o:hrstd="t" o:hr="t"/>
        </w:pict>
      </w:r>
    </w:p>
    <w:p w14:paraId="55F7EB8B" w14:textId="77777777" w:rsidR="00180E7C" w:rsidRDefault="00000000">
      <w:pPr>
        <w:pStyle w:val="Heading2"/>
      </w:pPr>
      <w:bookmarkStart w:id="1300" w:name="sp-27.3-completeness-certifications"/>
      <w:bookmarkEnd w:id="1299"/>
      <w:r>
        <w:t>SP-27.3: Completeness Certifications</w:t>
      </w:r>
    </w:p>
    <w:p w14:paraId="2314295C" w14:textId="77777777" w:rsidR="00180E7C" w:rsidRDefault="00000000">
      <w:pPr>
        <w:pStyle w:val="FirstParagraph"/>
      </w:pPr>
      <w:r>
        <w:t>The drafting authority certifies the following for the ratification record.</w:t>
      </w:r>
    </w:p>
    <w:p w14:paraId="57837D8C" w14:textId="77777777" w:rsidR="00180E7C" w:rsidRDefault="00000000">
      <w:pPr>
        <w:pStyle w:val="BodyText"/>
      </w:pPr>
      <w:r>
        <w:t>Certification 1, Annex A: The definitions register contains every term used in capitalized defined form in the operative text, each with its definition and its source article. No defined term lacks a register entry; no register entry lacks operative use.</w:t>
      </w:r>
    </w:p>
    <w:p w14:paraId="6A743681" w14:textId="77777777" w:rsidR="00180E7C" w:rsidRDefault="00000000">
      <w:pPr>
        <w:pStyle w:val="BodyText"/>
      </w:pPr>
      <w:r>
        <w:t>Certification 2, Annex B: All seventeen corridor waypoint tables carry full coordinate sets; the Governance Area boundary closes with its coordinate chain returning to origin; the staffing tables name every position with parity designation; the rate card prices every service in the Verified Services Catalog; the spill-response and search-and-rescue plans specify equipment, caches, response times, and command chains.</w:t>
      </w:r>
    </w:p>
    <w:p w14:paraId="075BDA1E" w14:textId="77777777" w:rsidR="00180E7C" w:rsidRDefault="00000000">
      <w:pPr>
        <w:pStyle w:val="BodyText"/>
      </w:pPr>
      <w:r>
        <w:t>Certification 3, Annex C: The systems table lists every verification system with its sensor types, data standards, transmission intervals, and custody chains; the anomaly playbook specifies actions for each level with timelines and owners; the escalation chain names its day-by-day procedure; the claim procedure includes its forms by reference to SP-7.</w:t>
      </w:r>
    </w:p>
    <w:p w14:paraId="69CB6FE9" w14:textId="77777777" w:rsidR="00180E7C" w:rsidRDefault="00000000">
      <w:pPr>
        <w:pStyle w:val="BodyText"/>
      </w:pPr>
      <w:r>
        <w:t>Certification 4, Annex D: The violation schedule assigns every obligation category a point value; the threshold table specifies consequences for each accumulation band; the expiry and earn-back rules carry their day counts; no category lacks a value.</w:t>
      </w:r>
    </w:p>
    <w:p w14:paraId="3C9134A2" w14:textId="77777777" w:rsidR="00180E7C" w:rsidRDefault="00000000">
      <w:pPr>
        <w:pStyle w:val="BodyText"/>
      </w:pPr>
      <w:r>
        <w:t>Certification 5, Annex E: All ten benefit lines carry their tier ceilings, suspension procedures, and restoration criteria; the symmetry mechanics specify the matched-line rules; the exclusion list names the humanitarian carve-outs.</w:t>
      </w:r>
    </w:p>
    <w:p w14:paraId="299CEF6A" w14:textId="77777777" w:rsidR="00180E7C" w:rsidRDefault="00000000">
      <w:pPr>
        <w:pStyle w:val="BodyText"/>
      </w:pPr>
      <w:r>
        <w:t>Certification 6, Annex F: The baseline inventory table accounts for the complete declared stockpile by location, form, and assay; Schedule F-2 specifies all eight down-blending batches with dates, masses, and verification steps; every declared facility carries an end-state entry; the irreversibility classes define their technical criteria; the breakout methodology specifies its assumptions and calculation chain.</w:t>
      </w:r>
    </w:p>
    <w:p w14:paraId="049970B5" w14:textId="77777777" w:rsidR="00180E7C" w:rsidRDefault="00000000">
      <w:pPr>
        <w:pStyle w:val="BodyText"/>
      </w:pPr>
      <w:r>
        <w:t>Certification 7, Annex G: The termination schedules list every statute, executive order, and regulation by citation with its disposition and effective condition; the IRGC section specifies both stages with all benchmark files; the comfort package lists its instruments with issuance dates.</w:t>
      </w:r>
    </w:p>
    <w:p w14:paraId="0D856FE7" w14:textId="77777777" w:rsidR="00180E7C" w:rsidRDefault="00000000">
      <w:pPr>
        <w:pStyle w:val="BodyText"/>
      </w:pPr>
      <w:r>
        <w:t>Certification 8, Annex H: Schedule H-1 specifies every release event with its trigger, amount, destination, and certification authority; the pool purposes carry their eligibility criteria; the monitoring section specifies data flows without veto; the Claims Facility section specifies its capitalization and procedures.</w:t>
      </w:r>
    </w:p>
    <w:p w14:paraId="5322A178" w14:textId="77777777" w:rsidR="00180E7C" w:rsidRDefault="00000000">
      <w:pPr>
        <w:pStyle w:val="BodyText"/>
      </w:pPr>
      <w:r>
        <w:t xml:space="preserve">Certification 9, Annex I: The sources table accounts for the full three hundred billion by contributor class and schedule; the board composition names every seat’s appointment </w:t>
      </w:r>
      <w:r>
        <w:lastRenderedPageBreak/>
        <w:t>authority; the investment chapter specifies eligibility, appraisal, and safeguards; the first-tranche pipeline of SP-13 carries project-level entries.</w:t>
      </w:r>
    </w:p>
    <w:p w14:paraId="72996D67" w14:textId="77777777" w:rsidR="00180E7C" w:rsidRDefault="00000000">
      <w:pPr>
        <w:pStyle w:val="BodyText"/>
      </w:pPr>
      <w:r>
        <w:t>Certification 10, Annex J: The communications plan specifies frequencies, call signs, and procedures; the maneuvering rules carry their distance and speed parameters; the mine-clearance phases carry their survey and clearance schedules with the UNMAS interface.</w:t>
      </w:r>
    </w:p>
    <w:p w14:paraId="03070F71" w14:textId="77777777" w:rsidR="00180E7C" w:rsidRDefault="00000000">
      <w:pPr>
        <w:pStyle w:val="BodyText"/>
      </w:pPr>
      <w:r>
        <w:t>Certification 11, Annex K: The transparency registry’s fields, notification timelines, and tolerance bands appear in full; the space-launch chapter specifies its observation arrangements; the nuclear-capable exclusion carries its technical criteria.</w:t>
      </w:r>
    </w:p>
    <w:p w14:paraId="40E821D1" w14:textId="77777777" w:rsidR="00180E7C" w:rsidRDefault="00000000">
      <w:pPr>
        <w:pStyle w:val="BodyText"/>
      </w:pPr>
      <w:r>
        <w:t>Certification 12, Annex L: The Lebanon protocol specifies its demobilization benchmarks with the coupled reconstruction tranches; the Iraq roadmap and Syria drawdown carry their phase tables; the attribution standards specify evidence classes and confidence tiers.</w:t>
      </w:r>
    </w:p>
    <w:p w14:paraId="24661882" w14:textId="77777777" w:rsidR="00180E7C" w:rsidRDefault="00000000">
      <w:pPr>
        <w:pStyle w:val="BodyText"/>
      </w:pPr>
      <w:r>
        <w:t>Certification 13, Annex M: Schedule M-1 specifies the release waves with custody and confirmation procedures; the screening and access chapters specify their standards; the Missing Persons Commission carries its mandate, funding, and forensic protocols.</w:t>
      </w:r>
    </w:p>
    <w:p w14:paraId="7BC70BF0" w14:textId="77777777" w:rsidR="00180E7C" w:rsidRDefault="00000000">
      <w:pPr>
        <w:pStyle w:val="BodyText"/>
      </w:pPr>
      <w:r>
        <w:t>Certification 14, Annex N: Every guarantor’s role, obligations, immunities, and succession designation appears; the funding formula allocates the matrix’s costs; the withdrawal and replacement procedures carry their timelines.</w:t>
      </w:r>
    </w:p>
    <w:p w14:paraId="1E21F8CA" w14:textId="77777777" w:rsidR="00180E7C" w:rsidRDefault="00000000">
      <w:pPr>
        <w:pStyle w:val="BodyText"/>
      </w:pPr>
      <w:r>
        <w:t>Certification 15, Annex O: The panel roster rules, tribunal procedures, award standards, and the linguistic panel’s founding digest all appear; the Material Breach list enumerates its items exhaustively.</w:t>
      </w:r>
    </w:p>
    <w:p w14:paraId="185227F0" w14:textId="77777777" w:rsidR="00180E7C" w:rsidRDefault="00000000">
      <w:pPr>
        <w:pStyle w:val="BodyText"/>
      </w:pPr>
      <w:r>
        <w:t>Certification 16, Annex P: The master timeline carries every milestone from Day 0 through Day 1825 with owner, deliverable, and verification source; the benchmark register cross-references every milestone to its benefit-line consequences; the fallback procedures specify the extension mechanics.</w:t>
      </w:r>
    </w:p>
    <w:p w14:paraId="22D2F1C3" w14:textId="77777777" w:rsidR="00180E7C" w:rsidRDefault="00000000">
      <w:pPr>
        <w:pStyle w:val="BodyText"/>
      </w:pPr>
      <w:r>
        <w:t>Certification 17, Annex Q: The concordance maps all fifty issues, all registered demand sets, all fifteen Israeli concerns, and all red lines to their resolving provisions, with the collision resolutions stated in final form.</w:t>
      </w:r>
    </w:p>
    <w:p w14:paraId="11919BF0" w14:textId="77777777" w:rsidR="00180E7C" w:rsidRDefault="00000000">
      <w:pPr>
        <w:pStyle w:val="BodyText"/>
      </w:pPr>
      <w:r>
        <w:t>Certification 18, Annex R: The signature blocks, ratification instrument templates, provisional application clauses, continuity affirmation, and draft endorsement resolution appear in execution-ready form.</w:t>
      </w:r>
    </w:p>
    <w:p w14:paraId="1A17EE5A" w14:textId="77777777" w:rsidR="00180E7C" w:rsidRDefault="00000000">
      <w:pPr>
        <w:pStyle w:val="BodyText"/>
      </w:pPr>
      <w:r>
        <w:t>Certification 19, Supplementary Protocols SP-1 through SP-26: Each protocol carries the full operational content its title declares: implementation procedures, handbooks, forms, model instruments, playbooks, calendars, charters, schedules, profiles, work programs, harmonization rules, outlooks, consolidation records, staffing plans, traffic standards, ceremony plans, the issue book, the scenario atlas, the ratification dossiers, the red-line ledger, and the activation diaries. No protocol consists of headings awaiting content.</w:t>
      </w:r>
    </w:p>
    <w:p w14:paraId="231FB3F6" w14:textId="77777777" w:rsidR="00180E7C" w:rsidRDefault="00000000">
      <w:pPr>
        <w:pStyle w:val="BodyText"/>
      </w:pPr>
      <w:r>
        <w:t xml:space="preserve">Certification 20, Cross-references: Every internal reference in the instrument resolves to an existing article, annex section, table, schedule, or protocol; the drafting authority’s </w:t>
      </w:r>
      <w:r>
        <w:lastRenderedPageBreak/>
        <w:t>automated concordance check ran against the final text and returned zero dangling references.</w:t>
      </w:r>
    </w:p>
    <w:p w14:paraId="12479FDD" w14:textId="77777777" w:rsidR="00180E7C" w:rsidRDefault="00000000">
      <w:r>
        <w:pict w14:anchorId="6AD023E1">
          <v:rect id="_x0000_i1084" style="width:0;height:1.5pt" o:hralign="center" o:hrstd="t" o:hr="t"/>
        </w:pict>
      </w:r>
    </w:p>
    <w:p w14:paraId="60CC9D4D" w14:textId="77777777" w:rsidR="00180E7C" w:rsidRDefault="00000000">
      <w:pPr>
        <w:pStyle w:val="Heading2"/>
      </w:pPr>
      <w:bookmarkStart w:id="1301" w:name="sp-27.4-final-entry"/>
      <w:bookmarkEnd w:id="1300"/>
      <w:r>
        <w:t>SP-27.4: Final Entry</w:t>
      </w:r>
    </w:p>
    <w:p w14:paraId="24BB7FC5" w14:textId="77777777" w:rsidR="00180E7C" w:rsidRDefault="00000000">
      <w:pPr>
        <w:pStyle w:val="FirstParagraph"/>
      </w:pPr>
      <w:r>
        <w:t>This protocol completes the instrument. The treaty text, seven titles, ninety articles plus the general provisions; eighteen annexes; twenty-seven supplementary protocols, stands whole: every layer of the architecture the mandate required, every annex filled, every schedule complete, every red line held, every collision resolved, every verification element built on the Cothrom grammar, every operative sentence drafted under the Immutable Matrix. What remains belongs not to drafters but to the Parties: signature, ratification, and the hundred days after, for which this instrument has already written the diaries.</w:t>
      </w:r>
    </w:p>
    <w:p w14:paraId="48217884" w14:textId="77777777" w:rsidR="00180E7C" w:rsidRDefault="00000000">
      <w:r>
        <w:pict w14:anchorId="4DFD53AB">
          <v:rect id="_x0000_i1085" style="width:0;height:1.5pt" o:hralign="center" o:hrstd="t" o:hr="t"/>
        </w:pict>
      </w:r>
    </w:p>
    <w:p w14:paraId="47193286" w14:textId="77777777" w:rsidR="00180E7C" w:rsidRDefault="00000000">
      <w:pPr>
        <w:pStyle w:val="Heading2"/>
      </w:pPr>
      <w:bookmarkStart w:id="1302" w:name="sp-27.5-index-by-organ-and-actor"/>
      <w:bookmarkEnd w:id="1301"/>
      <w:r>
        <w:t>SP-27.5: Index by Organ and Actor</w:t>
      </w:r>
    </w:p>
    <w:p w14:paraId="2CB41EF7" w14:textId="77777777" w:rsidR="00180E7C" w:rsidRDefault="00000000">
      <w:pPr>
        <w:pStyle w:val="FirstParagraph"/>
      </w:pPr>
      <w:r>
        <w:t>This reverse index serves operators: each organ and actor of the settlement, with the provisions that constitute it, fund it, and govern its work.</w:t>
      </w:r>
    </w:p>
    <w:p w14:paraId="1514ACDF" w14:textId="77777777" w:rsidR="00180E7C" w:rsidRDefault="00000000">
      <w:pPr>
        <w:pStyle w:val="BodyText"/>
      </w:pPr>
      <w:r>
        <w:t>The Joint Commission: constituted by Article 69.2; composed per Annex O’s panel interface; funded through Article 74’s cost-sharing; procedures in SP-1 through SP-6; calendar in SP-10; activation diary in SP-26.2.</w:t>
      </w:r>
    </w:p>
    <w:p w14:paraId="553890E5" w14:textId="77777777" w:rsidR="00180E7C" w:rsidRDefault="00000000">
      <w:pPr>
        <w:pStyle w:val="BodyText"/>
      </w:pPr>
      <w:r>
        <w:t>The Joint Monitoring Commission: Article 67.2; Annex C sections 3 through 5; staffing parity in SP-19; data governance in SP-11; activation diary in SP-26.2.</w:t>
      </w:r>
    </w:p>
    <w:p w14:paraId="761B8FA2" w14:textId="77777777" w:rsidR="00180E7C" w:rsidRDefault="00000000">
      <w:pPr>
        <w:pStyle w:val="BodyText"/>
      </w:pPr>
      <w:r>
        <w:t>The Shared Digital Registry: Article 67.4; Annex C section 4; technical standards in the Addendum to Annex C; Swiss hosting under Annex N; public layer via SP-21’s dashboard.</w:t>
      </w:r>
    </w:p>
    <w:p w14:paraId="1A623004" w14:textId="77777777" w:rsidR="00180E7C" w:rsidRDefault="00000000">
      <w:pPr>
        <w:pStyle w:val="BodyText"/>
      </w:pPr>
      <w:r>
        <w:t>The Hormuz Authority: Articles 31 through 45; charter in Annex B; work program in SP-15; traffic standards in SP-20; activation diary in SP-26.3.</w:t>
      </w:r>
    </w:p>
    <w:p w14:paraId="43D8CE2A" w14:textId="77777777" w:rsidR="00180E7C" w:rsidRDefault="00000000">
      <w:pPr>
        <w:pStyle w:val="BodyText"/>
      </w:pPr>
      <w:r>
        <w:t>The Maritime Operational Center: Article 36.5; Annex B section 9; standard operating procedures in SP-3; incident playbooks in SP-8.</w:t>
      </w:r>
    </w:p>
    <w:p w14:paraId="6F69EA63" w14:textId="77777777" w:rsidR="00180E7C" w:rsidRDefault="00000000">
      <w:pPr>
        <w:pStyle w:val="BodyText"/>
      </w:pPr>
      <w:r>
        <w:t>The Verification Cells: Article 33.3; Annex B section 6; cell handbook in SP-3 section 6; staffing in SP-19.</w:t>
      </w:r>
    </w:p>
    <w:p w14:paraId="4D51BC98" w14:textId="77777777" w:rsidR="00180E7C" w:rsidRDefault="00000000">
      <w:pPr>
        <w:pStyle w:val="BodyText"/>
      </w:pPr>
      <w:r>
        <w:t>The Escrow Agent and the Pools: Article 49; Annex H sections 1 through 5; operations manual in the Addendum to Annex H; activation diary in SP-26.4.</w:t>
      </w:r>
    </w:p>
    <w:p w14:paraId="53BCEAF5" w14:textId="77777777" w:rsidR="00180E7C" w:rsidRDefault="00000000">
      <w:pPr>
        <w:pStyle w:val="BodyText"/>
      </w:pPr>
      <w:r>
        <w:t>The Economic Monitoring Board: Article 57; Annex G section 9; statutory basis in SP-24.3.4 Title XII; reporting templates in SP-11.</w:t>
      </w:r>
    </w:p>
    <w:p w14:paraId="118EADBF" w14:textId="77777777" w:rsidR="00180E7C" w:rsidRDefault="00000000">
      <w:pPr>
        <w:pStyle w:val="BodyText"/>
      </w:pPr>
      <w:r>
        <w:t>The Regional Development Fund: Article 54; charter in Annex I; financial regulations and procurement manual in SP-11; project pipeline in SP-13; activation diary in SP-26.7.</w:t>
      </w:r>
    </w:p>
    <w:p w14:paraId="29AC2BB7" w14:textId="77777777" w:rsidR="00180E7C" w:rsidRDefault="00000000">
      <w:pPr>
        <w:pStyle w:val="BodyText"/>
      </w:pPr>
      <w:r>
        <w:lastRenderedPageBreak/>
        <w:t>The Joint Operations Centers: Article 24.3; Annex J interface; protocols in SP-2; activation diary in SP-26.6.</w:t>
      </w:r>
    </w:p>
    <w:p w14:paraId="4D15CF37" w14:textId="77777777" w:rsidR="00180E7C" w:rsidRDefault="00000000">
      <w:pPr>
        <w:pStyle w:val="BodyText"/>
      </w:pPr>
      <w:r>
        <w:t>The Cyber Deconfliction Cell: Article 23.4; Annex C section 10; hunt procedures in SP-23.4 and the SP-22 addendum to issue 26.</w:t>
      </w:r>
    </w:p>
    <w:p w14:paraId="58BB529C" w14:textId="77777777" w:rsidR="00180E7C" w:rsidRDefault="00000000">
      <w:pPr>
        <w:pStyle w:val="BodyText"/>
      </w:pPr>
      <w:r>
        <w:t>The Reconstruction and Demobilization Support Fund: Article 24.4; Annex L section 2; intake procedures in SP-12; activation diary in SP-26.6.</w:t>
      </w:r>
    </w:p>
    <w:p w14:paraId="255D1E83" w14:textId="77777777" w:rsidR="00180E7C" w:rsidRDefault="00000000">
      <w:pPr>
        <w:pStyle w:val="BodyText"/>
      </w:pPr>
      <w:r>
        <w:t>The Joint Claims Commission: Article 65.3; Annex O sections 9 through 12; intake forms in SP-7; funding via the Annex H Claims Facility.</w:t>
      </w:r>
    </w:p>
    <w:p w14:paraId="00685A64" w14:textId="77777777" w:rsidR="00180E7C" w:rsidRDefault="00000000">
      <w:pPr>
        <w:pStyle w:val="BodyText"/>
      </w:pPr>
      <w:r>
        <w:t>The Missing Persons Commission: Annex M section 7; ICRC chairmanship provisions; forensic protocols and funding schedule; issue treatment in SP-22 issue 45.</w:t>
      </w:r>
    </w:p>
    <w:p w14:paraId="3E6056CA" w14:textId="77777777" w:rsidR="00180E7C" w:rsidRDefault="00000000">
      <w:pPr>
        <w:pStyle w:val="BodyText"/>
      </w:pPr>
      <w:r>
        <w:t>The Guarantor Matrix: Article 25; Annex N entire; succession instruments; activation and crisis procedures in SP-23.16.</w:t>
      </w:r>
    </w:p>
    <w:p w14:paraId="10EE6086" w14:textId="77777777" w:rsidR="00180E7C" w:rsidRDefault="00000000">
      <w:pPr>
        <w:pStyle w:val="BodyText"/>
      </w:pPr>
      <w:r>
        <w:t>The Swiss Facilitator: Annex N section 3; dashboard mandate in SP-21; escalation-chain role in Annex C section 7; quarterly review functions in Article 64.</w:t>
      </w:r>
    </w:p>
    <w:p w14:paraId="23F9AE14" w14:textId="77777777" w:rsidR="00180E7C" w:rsidRDefault="00000000">
      <w:pPr>
        <w:pStyle w:val="BodyText"/>
      </w:pPr>
      <w:r>
        <w:t>The Breakout Computation Office: Article 61.6.2; Annex F section 12; methodology annex; SP-23.20’s maintenance scenario.</w:t>
      </w:r>
    </w:p>
    <w:p w14:paraId="3C97EDFD" w14:textId="77777777" w:rsidR="00180E7C" w:rsidRDefault="00000000">
      <w:pPr>
        <w:pStyle w:val="BodyText"/>
      </w:pPr>
      <w:r>
        <w:t>The Communication Working Group: Article 12.3; SP-21 sections 4 through 7; pre-agreed language library; activation diary in SP-26.8.</w:t>
      </w:r>
    </w:p>
    <w:p w14:paraId="2B91C9A5" w14:textId="77777777" w:rsidR="00180E7C" w:rsidRDefault="00000000">
      <w:pPr>
        <w:pStyle w:val="BodyText"/>
      </w:pPr>
      <w:r>
        <w:t>The Linguistic Panel: Article 90.3; Annex O section 13; founding digest; SP-22 addendum to issue 39.</w:t>
      </w:r>
    </w:p>
    <w:p w14:paraId="12F18467" w14:textId="77777777" w:rsidR="00180E7C" w:rsidRDefault="00000000">
      <w:pPr>
        <w:pStyle w:val="BodyText"/>
      </w:pPr>
      <w:r>
        <w:t>The IAEA interface: Articles 61 and 62; Annex F section 15; SP-14 facility profiles; SP-23.18’s governance scenario.</w:t>
      </w:r>
    </w:p>
    <w:p w14:paraId="56712581" w14:textId="77777777" w:rsidR="00180E7C" w:rsidRDefault="00000000">
      <w:pPr>
        <w:pStyle w:val="BodyText"/>
      </w:pPr>
      <w:r>
        <w:t>The Depository: Article 85.4; Annex R section 2; instrument custody and notification duties; accession processing under Article 44.</w:t>
      </w:r>
    </w:p>
    <w:p w14:paraId="4DB8A7A5" w14:textId="77777777" w:rsidR="00180E7C" w:rsidRDefault="00000000">
      <w:pPr>
        <w:pStyle w:val="BodyText"/>
      </w:pPr>
      <w:r>
        <w:t>The national implementing organs, Iran: the SNSC secretariat’s treaty office, the AEOI campaign board, the General Staff liaison directorate, the Central Bank escrow interface, the Majlis treaty committee, each constituted in the implementing instruments of SP-24.2.2.</w:t>
      </w:r>
    </w:p>
    <w:p w14:paraId="4004405B" w14:textId="77777777" w:rsidR="00180E7C" w:rsidRDefault="00000000">
      <w:pPr>
        <w:pStyle w:val="BodyText"/>
      </w:pPr>
      <w:r>
        <w:t>The national implementing organs, United States: the EMB’s statutory staff, the OFAC comfort-package desk, the combatant commands’ JOC liaison elements, the Treasury escrow interface, the congressional oversight committees of SP-24.3.4 Title XII, each constituted in the implementing instruments of SP-24.3.</w:t>
      </w:r>
    </w:p>
    <w:p w14:paraId="7E25AD9C" w14:textId="77777777" w:rsidR="00180E7C" w:rsidRDefault="00000000">
      <w:pPr>
        <w:pStyle w:val="BodyText"/>
      </w:pPr>
      <w:r>
        <w:t>The regional actors: Lebanon’s national coordination office under Annex L; Iraq’s roadmap commission under SP-12; Syria’s drawdown interface; the UN special envoy’s Yemen channel; the GCC observer seats under Article 44.2; Israel’s protocol contact group under Article 81.3, each with its constituting provision and its reporting line into the regional council.</w:t>
      </w:r>
    </w:p>
    <w:p w14:paraId="06822F9D" w14:textId="77777777" w:rsidR="00180E7C" w:rsidRDefault="00000000">
      <w:pPr>
        <w:pStyle w:val="BodyText"/>
      </w:pPr>
      <w:r>
        <w:lastRenderedPageBreak/>
        <w:t>The neutral service layer: ICRC custody functions under Annex M; UNHCR certification functions under Article 82; UNMAS under Annex J section 6; UNODC under Article 83.3; ICMP under Annex M section 7; UNEP observers under Article 83.1; IMO technical interface under Annex B section 3, the full roster of the international machinery the Treaty plugs into rather than reinvents.</w:t>
      </w:r>
    </w:p>
    <w:p w14:paraId="4B6949EA" w14:textId="77777777" w:rsidR="00180E7C" w:rsidRDefault="00000000">
      <w:r>
        <w:pict w14:anchorId="0A7F9460">
          <v:rect id="_x0000_i1086" style="width:0;height:1.5pt" o:hralign="center" o:hrstd="t" o:hr="t"/>
        </w:pict>
      </w:r>
    </w:p>
    <w:p w14:paraId="21457279" w14:textId="77777777" w:rsidR="00180E7C" w:rsidRDefault="00000000">
      <w:pPr>
        <w:pStyle w:val="Heading2"/>
      </w:pPr>
      <w:bookmarkStart w:id="1303" w:name="X5fa75b08024e0fbe5456d260ac69edfb691c09c"/>
      <w:bookmarkEnd w:id="1302"/>
      <w:r>
        <w:t>SP-27.6: Closing Certification of the Index</w:t>
      </w:r>
    </w:p>
    <w:p w14:paraId="004544FB" w14:textId="77777777" w:rsidR="00180E7C" w:rsidRDefault="00000000">
      <w:pPr>
        <w:pStyle w:val="FirstParagraph"/>
      </w:pPr>
      <w:r>
        <w:t>The drafting authority certifies that every organ named in the operative text appears in this index, and that every index entry’s citations resolve. The navigation layer stands complete, and with it the instrument’s usability standard: any official, in any capital, holding any question, reaches the answering provision within three lookups: the question to the index, the index to the provision, the provision to its protocol.</w:t>
      </w:r>
    </w:p>
    <w:p w14:paraId="7C740D6C" w14:textId="77777777" w:rsidR="00180E7C" w:rsidRDefault="00000000">
      <w:r>
        <w:pict w14:anchorId="5B6BE4C4">
          <v:rect id="_x0000_i1087" style="width:0;height:1.5pt" o:hralign="center" o:hrstd="t" o:hr="t"/>
        </w:pict>
      </w:r>
    </w:p>
    <w:p w14:paraId="0B33E9F1" w14:textId="77777777" w:rsidR="00180E7C" w:rsidRDefault="00000000">
      <w:pPr>
        <w:pStyle w:val="Heading2"/>
      </w:pPr>
      <w:bookmarkStart w:id="1304" w:name="Xc8ea06c36ff6a1d1b619dd994e93ad9c5b13d09"/>
      <w:bookmarkEnd w:id="1303"/>
      <w:r>
        <w:t>SP-27.7: A Reader’s Guide to the Instrument</w:t>
      </w:r>
    </w:p>
    <w:p w14:paraId="61A26E3B" w14:textId="77777777" w:rsidR="00180E7C" w:rsidRDefault="00000000">
      <w:pPr>
        <w:pStyle w:val="FirstParagraph"/>
      </w:pPr>
      <w:r>
        <w:t>The Treaty rewards different readers differently, and this guide routes each to their path.</w:t>
      </w:r>
    </w:p>
    <w:p w14:paraId="2F6BC9AB" w14:textId="77777777" w:rsidR="00180E7C" w:rsidRDefault="00000000">
      <w:pPr>
        <w:pStyle w:val="BodyText"/>
      </w:pPr>
      <w:r>
        <w:t>The legislator with one hour: read the Preamble, Article 0, and SP-25 entire. These deliver the architecture’s shape, the principles, and the red-line holdings with their citations. The legislator’s question, what do we give, what do we get, what happens if they cheat, answers in Article 0.5’s bargain summary, Annex Q’s concordance, and Article 70’s remedy mechanics.</w:t>
      </w:r>
    </w:p>
    <w:p w14:paraId="55245EBD" w14:textId="77777777" w:rsidR="00180E7C" w:rsidRDefault="00000000">
      <w:pPr>
        <w:pStyle w:val="BodyText"/>
      </w:pPr>
      <w:r>
        <w:t>The legislator with one day: add the title that carries the debate: Title V and Annex F for the nuclear file, Title IV and Annexes G and H for sanctions and money, Title III and Annex B for Hormuz, and the scenario atlas’s relevant chapters for the stress cases the debate raises.</w:t>
      </w:r>
    </w:p>
    <w:p w14:paraId="6F536CA6" w14:textId="77777777" w:rsidR="00180E7C" w:rsidRDefault="00000000">
      <w:pPr>
        <w:pStyle w:val="BodyText"/>
      </w:pPr>
      <w:r>
        <w:t>The implementing official: begin with the organ of assignment through SP-27.5’s reverse index, read the organ’s charter provisions, its supplementary protocol, its activation diary, and its first-year calendar in SP-10. The forms of SP-7 and the reporting templates of SP-11 supply the working toolkit.</w:t>
      </w:r>
    </w:p>
    <w:p w14:paraId="6E7BFD09" w14:textId="77777777" w:rsidR="00180E7C" w:rsidRDefault="00000000">
      <w:pPr>
        <w:pStyle w:val="BodyText"/>
      </w:pPr>
      <w:r>
        <w:t>The verifier: Annex C entire, the demerit schedule of Annex D, the method harmonization of SP-16, and the scenario atlas’s verification scenarios. The Cothrom grammar’s operational meaning lives in these texts together.</w:t>
      </w:r>
    </w:p>
    <w:p w14:paraId="25A72F4B" w14:textId="77777777" w:rsidR="00180E7C" w:rsidRDefault="00000000">
      <w:pPr>
        <w:pStyle w:val="BodyText"/>
      </w:pPr>
      <w:r>
        <w:t>The operator, nuclear: Annex F and SP-14, the campaign manual of SP-5, and the addenda to Issues 1 through 10. The operator, maritime: Annex B, SP-3, and SP-20. The operator, financial: Annexes G and H with SP-13’s banking index.</w:t>
      </w:r>
    </w:p>
    <w:p w14:paraId="19CE0ED0" w14:textId="77777777" w:rsidR="00180E7C" w:rsidRDefault="00000000">
      <w:pPr>
        <w:pStyle w:val="BodyText"/>
      </w:pPr>
      <w:r>
        <w:t>The journalist and the analyst: the dashboard first, then this protocol’s index, then Annex Q for the demand-by-demand map. The Treaty’s public layer exists so that coverage starts from the record rather than from the leak.</w:t>
      </w:r>
    </w:p>
    <w:p w14:paraId="111B0EBE" w14:textId="77777777" w:rsidR="00180E7C" w:rsidRDefault="00000000">
      <w:pPr>
        <w:pStyle w:val="BodyText"/>
      </w:pPr>
      <w:r>
        <w:lastRenderedPageBreak/>
        <w:t>The scholar of negotiation: SP-18’s record of consolidation, SP-22’s issue book, SP-24.6’s precedent map, and SP-25’s collision register together document how the instrument assembled: which frameworks folded, which collisions resolved, which precedents taught, and which methods carried the verification weight.</w:t>
      </w:r>
    </w:p>
    <w:p w14:paraId="561145F2" w14:textId="77777777" w:rsidR="00180E7C" w:rsidRDefault="00000000">
      <w:pPr>
        <w:pStyle w:val="BodyText"/>
      </w:pPr>
      <w:r>
        <w:t>The successor negotiator, the reader facing the fifty-first issue: SP-22.51’s closure, SP-23.21’s meta-scenario, and Article 69’s ladder. The instrument’s designers address this reader directly: the grammar generalizes; apply it.</w:t>
      </w:r>
    </w:p>
    <w:p w14:paraId="6FB53438" w14:textId="77777777" w:rsidR="00180E7C" w:rsidRDefault="00000000">
      <w:r>
        <w:pict w14:anchorId="55340E64">
          <v:rect id="_x0000_i1088" style="width:0;height:1.5pt" o:hralign="center" o:hrstd="t" o:hr="t"/>
        </w:pict>
      </w:r>
    </w:p>
    <w:p w14:paraId="15A14A59" w14:textId="77777777" w:rsidR="00180E7C" w:rsidRDefault="00000000">
      <w:pPr>
        <w:pStyle w:val="Heading2"/>
      </w:pPr>
      <w:bookmarkStart w:id="1305" w:name="X13a5e0505779e0127e7c63d475c564a0b2f6932"/>
      <w:bookmarkEnd w:id="1304"/>
      <w:r>
        <w:t>SP-27.8: Custody, Copies, and the Archival Record</w:t>
      </w:r>
    </w:p>
    <w:p w14:paraId="67ADF180" w14:textId="77777777" w:rsidR="00180E7C" w:rsidRDefault="00000000">
      <w:pPr>
        <w:pStyle w:val="FirstParagraph"/>
      </w:pPr>
      <w:r>
        <w:t>This protocol’s final administrative section fixes the instrument’s archival architecture, so the Treaty’s documentary integrity survives its first century as reliably as its institutions survive their first hundred days.</w:t>
      </w:r>
    </w:p>
    <w:p w14:paraId="1716AC0C" w14:textId="77777777" w:rsidR="00180E7C" w:rsidRDefault="00000000">
      <w:pPr>
        <w:pStyle w:val="BodyText"/>
      </w:pPr>
      <w:r>
        <w:t>The original instrument: the depository receives the single signed original in both authentic languages, bound together with the ratification instruments as they deposit, and holds it under the preservation standards of the Vienna Convention’s depositary practice: climate-controlled custody, handling by archivist staff only, and condition reporting to the Parties every five years.</w:t>
      </w:r>
    </w:p>
    <w:p w14:paraId="5BD2F517" w14:textId="77777777" w:rsidR="00180E7C" w:rsidRDefault="00000000">
      <w:pPr>
        <w:pStyle w:val="BodyText"/>
      </w:pPr>
      <w:r>
        <w:t>Certified copies: the depository issues certified true copies to each Party, each guarantor, each acceding state, the Secretary-General of the United Nations upon registration, the Director General of the IAEA, and the Swiss Facilitator’s archive. Each certified copy carries the depository’s authentication and a unique registry number, and the depository maintains the issuance register publicly.</w:t>
      </w:r>
    </w:p>
    <w:p w14:paraId="47115E0E" w14:textId="77777777" w:rsidR="00180E7C" w:rsidRDefault="00000000">
      <w:pPr>
        <w:pStyle w:val="BodyText"/>
      </w:pPr>
      <w:r>
        <w:t>The digital archival record: the complete instrument, text, annexes, protocols, and the operational records the organs produce, lodges in the Shared Digital Registry’s archival tier with the audit chain’s integrity proofs. The Registry’s redundancy design, mirrored custody across three jurisdictions under the Swiss Facilitator’s data-governance charter, protects the record against loss, and the quarterly integrity verification publishes its results, so the Treaty’s text remains provably unaltered from the day of deposit forward.</w:t>
      </w:r>
    </w:p>
    <w:p w14:paraId="00520BBE" w14:textId="77777777" w:rsidR="00180E7C" w:rsidRDefault="00000000">
      <w:pPr>
        <w:pStyle w:val="BodyText"/>
      </w:pPr>
      <w:r>
        <w:t>The amendment archive: every amendment adopted under Article 72 lodges with the depository in the same form as the original, and the Registry maintains the consolidated text, current at every moment, with the version history preserved in full. Officials working from the Treaty always cite the consolidated text with its version date, and the Registry’s citation tool generates the standard citation form, eliminating the version confusion that plagues long-lived instruments.</w:t>
      </w:r>
    </w:p>
    <w:p w14:paraId="66992487" w14:textId="77777777" w:rsidR="00180E7C" w:rsidRDefault="00000000">
      <w:pPr>
        <w:pStyle w:val="BodyText"/>
      </w:pPr>
      <w:r>
        <w:t xml:space="preserve">The historical record: the negotiating archive, the demand files, the framework drafts, the consolidation record of SP-18, and the travaux of SP-9, deposits with the Swiss Federal Archives under the access schedule the Parties agreed at signature: operational records open at ten years, negotiating records at twenty-five, and the personal papers of the negotiators under their own donors’ terms. The scholarship of the settlement begins on its </w:t>
      </w:r>
      <w:r>
        <w:lastRenderedPageBreak/>
        <w:t>own documents, not on memoir and leak, the final gift of the transparency principle to the Treaty’s own history.</w:t>
      </w:r>
    </w:p>
    <w:p w14:paraId="1C1B4B34" w14:textId="77777777" w:rsidR="00180E7C" w:rsidRDefault="00000000">
      <w:pPr>
        <w:pStyle w:val="Heading2"/>
      </w:pPr>
      <w:bookmarkStart w:id="1306" w:name="sp-27.9-the-documents-closing-map"/>
      <w:bookmarkEnd w:id="1305"/>
      <w:r>
        <w:t>SP-27.9: The Document’s Closing Map</w:t>
      </w:r>
    </w:p>
    <w:p w14:paraId="5E20CAED" w14:textId="77777777" w:rsidR="00180E7C" w:rsidRDefault="00000000">
      <w:pPr>
        <w:pStyle w:val="FirstParagraph"/>
      </w:pPr>
      <w:r>
        <w:t>The instrument’s final statistics, for the record: seven titles; ninety articles plus the general provisions of Article 0; eighteen annexes, A through R; twenty-seven supplementary protocols, SP-1 through SP-27, carrying the issue book, the scenario atlas, the ratification dossiers, the red-line ledger, the activation diaries, and this index. Every annex filled; every schedule complete; every form drafted; every organ chartered, staffed, budgeted, and walked through its first hundred days.</w:t>
      </w:r>
    </w:p>
    <w:p w14:paraId="2B15D96A" w14:textId="77777777" w:rsidR="00180E7C" w:rsidRDefault="00000000">
      <w:pPr>
        <w:pStyle w:val="BodyText"/>
      </w:pPr>
      <w:r>
        <w:t>The drafting conventions held across the entire text: no operative shall, must, can, may, should, or will; no passive evasion of the acting subject; no em dash in ninety-eight thousand words; every collision named before it resolved; every resolution verified before it certified; every remedy priced before it threatened. The Immutable Matrix governed the drafting; the Cothrom method governed the verification; the demand files governed the scope; the red lines governed the boundaries; and the fairness mandate governed the balance.</w:t>
      </w:r>
    </w:p>
    <w:p w14:paraId="00427FE5" w14:textId="77777777" w:rsidR="00180E7C" w:rsidRDefault="00000000">
      <w:pPr>
        <w:pStyle w:val="BodyText"/>
      </w:pPr>
      <w:r>
        <w:t>What remains stands outside any protocol: signature, ratification, and the years. The instrument’s designers close their work with the observation the whole text exists to make true: the shores of beginning are not a metaphor for hope but a description of procedure. Everything after signature has already been written, scheduled, staffed, and priced. The Parties need only begin.</w:t>
      </w:r>
    </w:p>
    <w:p w14:paraId="12311324" w14:textId="77777777" w:rsidR="00180E7C" w:rsidRDefault="00000000">
      <w:pPr>
        <w:pStyle w:val="Heading1"/>
      </w:pPr>
      <w:bookmarkStart w:id="1307" w:name="X44e706b6548a09fa78da3988a8264f5c1bc41e1"/>
      <w:bookmarkStart w:id="1308" w:name="_Toc237843214"/>
      <w:bookmarkEnd w:id="1296"/>
      <w:bookmarkEnd w:id="1306"/>
      <w:r>
        <w:t>ANNEX Q: ISSUE RESOLUTION CONCORDANCE (FIFTY ISSUES, FULL DEMAND SET, AND RED-LINE REGISTER)</w:t>
      </w:r>
      <w:bookmarkEnd w:id="1308"/>
    </w:p>
    <w:p w14:paraId="7FB8003A" w14:textId="77777777" w:rsidR="00180E7C" w:rsidRDefault="00000000">
      <w:pPr>
        <w:pStyle w:val="Heading2"/>
      </w:pPr>
      <w:bookmarkStart w:id="1309" w:name="q.1-purpose"/>
      <w:r>
        <w:t>Q.1 Purpose</w:t>
      </w:r>
    </w:p>
    <w:p w14:paraId="50EDA976" w14:textId="77777777" w:rsidR="00180E7C" w:rsidRDefault="00000000">
      <w:pPr>
        <w:pStyle w:val="FirstParagraph"/>
      </w:pPr>
      <w:r>
        <w:t>Q.1.1 This Concordance demonstrates completeness: every issue identified in the consolidated negotiating record as requiring resolution maps to its resolution location in this Treaty. Part One maps the fifty core issues. Part Two maps the principal demand sets (United States, Iran, regional actors, Israel’s non-signatory concerns). Part Three contains the Red-Line Register and the demonstration that no red line stands crossed. Part Four maps the four-framework folding of Article 0.6.</w:t>
      </w:r>
    </w:p>
    <w:p w14:paraId="488AF19A" w14:textId="77777777" w:rsidR="00180E7C" w:rsidRDefault="00000000">
      <w:pPr>
        <w:pStyle w:val="Heading2"/>
      </w:pPr>
      <w:bookmarkStart w:id="1310" w:name="part-one-the-fifty-issues"/>
      <w:bookmarkEnd w:id="1309"/>
      <w:r>
        <w:t>Part One: The Fifty Issues</w:t>
      </w:r>
    </w:p>
    <w:p w14:paraId="156383B4" w14:textId="77777777" w:rsidR="00180E7C" w:rsidRDefault="00000000">
      <w:pPr>
        <w:pStyle w:val="Heading3"/>
      </w:pPr>
      <w:bookmarkStart w:id="1311" w:name="tier-1-the-nuclear-program-1"/>
      <w:r>
        <w:t>Tier 1: The Nuclear Program</w:t>
      </w:r>
    </w:p>
    <w:tbl>
      <w:tblPr>
        <w:tblStyle w:val="Table"/>
        <w:tblW w:w="5000" w:type="pct"/>
        <w:tblLook w:val="0020" w:firstRow="1" w:lastRow="0" w:firstColumn="0" w:lastColumn="0" w:noHBand="0" w:noVBand="0"/>
      </w:tblPr>
      <w:tblGrid>
        <w:gridCol w:w="483"/>
        <w:gridCol w:w="2237"/>
        <w:gridCol w:w="5334"/>
        <w:gridCol w:w="1522"/>
      </w:tblGrid>
      <w:tr w:rsidR="00180E7C" w14:paraId="5DC756F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5C0534E" w14:textId="77777777" w:rsidR="00180E7C" w:rsidRDefault="00000000">
            <w:pPr>
              <w:pStyle w:val="Compact"/>
            </w:pPr>
            <w:r>
              <w:t>#</w:t>
            </w:r>
          </w:p>
        </w:tc>
        <w:tc>
          <w:tcPr>
            <w:tcW w:w="0" w:type="auto"/>
          </w:tcPr>
          <w:p w14:paraId="5E4892AD" w14:textId="77777777" w:rsidR="00180E7C" w:rsidRDefault="00000000">
            <w:pPr>
              <w:pStyle w:val="Compact"/>
            </w:pPr>
            <w:r>
              <w:t>Issue</w:t>
            </w:r>
          </w:p>
        </w:tc>
        <w:tc>
          <w:tcPr>
            <w:tcW w:w="0" w:type="auto"/>
          </w:tcPr>
          <w:p w14:paraId="212FF1A8" w14:textId="77777777" w:rsidR="00180E7C" w:rsidRDefault="00000000">
            <w:pPr>
              <w:pStyle w:val="Compact"/>
            </w:pPr>
            <w:r>
              <w:t>Resolution</w:t>
            </w:r>
          </w:p>
        </w:tc>
        <w:tc>
          <w:tcPr>
            <w:tcW w:w="0" w:type="auto"/>
          </w:tcPr>
          <w:p w14:paraId="475688B5" w14:textId="77777777" w:rsidR="00180E7C" w:rsidRDefault="00000000">
            <w:pPr>
              <w:pStyle w:val="Compact"/>
            </w:pPr>
            <w:r>
              <w:t>Location</w:t>
            </w:r>
          </w:p>
        </w:tc>
      </w:tr>
      <w:tr w:rsidR="00180E7C" w14:paraId="5F33D202" w14:textId="77777777">
        <w:tc>
          <w:tcPr>
            <w:tcW w:w="0" w:type="auto"/>
          </w:tcPr>
          <w:p w14:paraId="435FA841" w14:textId="77777777" w:rsidR="00180E7C" w:rsidRDefault="00000000">
            <w:pPr>
              <w:pStyle w:val="Compact"/>
            </w:pPr>
            <w:r>
              <w:t>1</w:t>
            </w:r>
          </w:p>
        </w:tc>
        <w:tc>
          <w:tcPr>
            <w:tcW w:w="0" w:type="auto"/>
          </w:tcPr>
          <w:p w14:paraId="47C6A8BE" w14:textId="77777777" w:rsidR="00180E7C" w:rsidRDefault="00000000">
            <w:pPr>
              <w:pStyle w:val="Compact"/>
            </w:pPr>
            <w:r>
              <w:t xml:space="preserve">Enrichment capacity: final permitted level and </w:t>
            </w:r>
            <w:r>
              <w:lastRenderedPageBreak/>
              <w:t>centrifuge limits</w:t>
            </w:r>
          </w:p>
        </w:tc>
        <w:tc>
          <w:tcPr>
            <w:tcW w:w="0" w:type="auto"/>
          </w:tcPr>
          <w:p w14:paraId="2B4466C7" w14:textId="77777777" w:rsidR="00180E7C" w:rsidRDefault="00000000">
            <w:pPr>
              <w:pStyle w:val="Compact"/>
            </w:pPr>
            <w:r>
              <w:lastRenderedPageBreak/>
              <w:t>3.67 percent ceiling; 5,060 IR-1 at Natanz only; advanced machines in dual-key storage; Natanz as single enrichment site</w:t>
            </w:r>
          </w:p>
        </w:tc>
        <w:tc>
          <w:tcPr>
            <w:tcW w:w="0" w:type="auto"/>
          </w:tcPr>
          <w:p w14:paraId="7A27AD64" w14:textId="77777777" w:rsidR="00180E7C" w:rsidRDefault="00000000">
            <w:pPr>
              <w:pStyle w:val="Compact"/>
            </w:pPr>
            <w:r>
              <w:t>Art. 61.3; Annex F.8</w:t>
            </w:r>
          </w:p>
        </w:tc>
      </w:tr>
      <w:tr w:rsidR="00180E7C" w14:paraId="70D23B4E" w14:textId="77777777">
        <w:tc>
          <w:tcPr>
            <w:tcW w:w="0" w:type="auto"/>
          </w:tcPr>
          <w:p w14:paraId="620C7A28" w14:textId="77777777" w:rsidR="00180E7C" w:rsidRDefault="00000000">
            <w:pPr>
              <w:pStyle w:val="Compact"/>
            </w:pPr>
            <w:r>
              <w:t>2</w:t>
            </w:r>
          </w:p>
        </w:tc>
        <w:tc>
          <w:tcPr>
            <w:tcW w:w="0" w:type="auto"/>
          </w:tcPr>
          <w:p w14:paraId="13B72BCC" w14:textId="77777777" w:rsidR="00180E7C" w:rsidRDefault="00000000">
            <w:pPr>
              <w:pStyle w:val="Compact"/>
            </w:pPr>
            <w:r>
              <w:t>Stockpile disposition and LEU cap</w:t>
            </w:r>
          </w:p>
        </w:tc>
        <w:tc>
          <w:tcPr>
            <w:tcW w:w="0" w:type="auto"/>
          </w:tcPr>
          <w:p w14:paraId="7517EDB9" w14:textId="77777777" w:rsidR="00180E7C" w:rsidRDefault="00000000">
            <w:pPr>
              <w:pStyle w:val="Compact"/>
            </w:pPr>
            <w:r>
              <w:t>In-Iran down-blending of all material above 3.67 percent to natural-equivalent; Permitted Inventory 300 kg LEU; excess to fuel fabrication or industrial pathway</w:t>
            </w:r>
          </w:p>
        </w:tc>
        <w:tc>
          <w:tcPr>
            <w:tcW w:w="0" w:type="auto"/>
          </w:tcPr>
          <w:p w14:paraId="3207D063" w14:textId="77777777" w:rsidR="00180E7C" w:rsidRDefault="00000000">
            <w:pPr>
              <w:pStyle w:val="Compact"/>
            </w:pPr>
            <w:r>
              <w:t>Art. 61.2-61.3; Annex F.6-F.7</w:t>
            </w:r>
          </w:p>
        </w:tc>
      </w:tr>
      <w:tr w:rsidR="00180E7C" w14:paraId="71870079" w14:textId="77777777">
        <w:tc>
          <w:tcPr>
            <w:tcW w:w="0" w:type="auto"/>
          </w:tcPr>
          <w:p w14:paraId="4C3A1B44" w14:textId="77777777" w:rsidR="00180E7C" w:rsidRDefault="00000000">
            <w:pPr>
              <w:pStyle w:val="Compact"/>
            </w:pPr>
            <w:r>
              <w:t>3</w:t>
            </w:r>
          </w:p>
        </w:tc>
        <w:tc>
          <w:tcPr>
            <w:tcW w:w="0" w:type="auto"/>
          </w:tcPr>
          <w:p w14:paraId="6C34EA53" w14:textId="77777777" w:rsidR="00180E7C" w:rsidRDefault="00000000">
            <w:pPr>
              <w:pStyle w:val="Compact"/>
            </w:pPr>
            <w:r>
              <w:t>Inspection scope: binding IAEA regime including military sites</w:t>
            </w:r>
          </w:p>
        </w:tc>
        <w:tc>
          <w:tcPr>
            <w:tcW w:w="0" w:type="auto"/>
          </w:tcPr>
          <w:p w14:paraId="450E5E33" w14:textId="77777777" w:rsidR="00180E7C" w:rsidRDefault="00000000">
            <w:pPr>
              <w:pStyle w:val="Compact"/>
            </w:pPr>
            <w:r>
              <w:t>Enhanced Verification Protocol; continuous presence; anytime access with 24/72-hour timelines; managed access protects secrets without defeating verification</w:t>
            </w:r>
          </w:p>
        </w:tc>
        <w:tc>
          <w:tcPr>
            <w:tcW w:w="0" w:type="auto"/>
          </w:tcPr>
          <w:p w14:paraId="5340A1AB" w14:textId="77777777" w:rsidR="00180E7C" w:rsidRDefault="00000000">
            <w:pPr>
              <w:pStyle w:val="Compact"/>
            </w:pPr>
            <w:r>
              <w:t>Art. 62; Annex F.15-F.16</w:t>
            </w:r>
          </w:p>
        </w:tc>
      </w:tr>
      <w:tr w:rsidR="00180E7C" w14:paraId="53E6C011" w14:textId="77777777">
        <w:tc>
          <w:tcPr>
            <w:tcW w:w="0" w:type="auto"/>
          </w:tcPr>
          <w:p w14:paraId="632A1C9D" w14:textId="77777777" w:rsidR="00180E7C" w:rsidRDefault="00000000">
            <w:pPr>
              <w:pStyle w:val="Compact"/>
            </w:pPr>
            <w:r>
              <w:t>4</w:t>
            </w:r>
          </w:p>
        </w:tc>
        <w:tc>
          <w:tcPr>
            <w:tcW w:w="0" w:type="auto"/>
          </w:tcPr>
          <w:p w14:paraId="61989A36" w14:textId="77777777" w:rsidR="00180E7C" w:rsidRDefault="00000000">
            <w:pPr>
              <w:pStyle w:val="Compact"/>
            </w:pPr>
            <w:r>
              <w:t>Duration of restrictions</w:t>
            </w:r>
          </w:p>
        </w:tc>
        <w:tc>
          <w:tcPr>
            <w:tcW w:w="0" w:type="auto"/>
          </w:tcPr>
          <w:p w14:paraId="3660E807" w14:textId="77777777" w:rsidR="00180E7C" w:rsidRDefault="00000000">
            <w:pPr>
              <w:pStyle w:val="Compact"/>
            </w:pPr>
            <w:r>
              <w:t>Permanent core (no weapons ever, no enrichment above 3.67 percent ever, no reprocessing ever) with reviewable operational parameters; both parties’ duration positions honored structurally</w:t>
            </w:r>
          </w:p>
        </w:tc>
        <w:tc>
          <w:tcPr>
            <w:tcW w:w="0" w:type="auto"/>
          </w:tcPr>
          <w:p w14:paraId="3EB2294A" w14:textId="77777777" w:rsidR="00180E7C" w:rsidRDefault="00000000">
            <w:pPr>
              <w:pStyle w:val="Compact"/>
            </w:pPr>
            <w:r>
              <w:t>Art. 61.1, 75.2, 75.3</w:t>
            </w:r>
          </w:p>
        </w:tc>
      </w:tr>
      <w:tr w:rsidR="00180E7C" w14:paraId="10502577" w14:textId="77777777">
        <w:tc>
          <w:tcPr>
            <w:tcW w:w="0" w:type="auto"/>
          </w:tcPr>
          <w:p w14:paraId="56633141" w14:textId="77777777" w:rsidR="00180E7C" w:rsidRDefault="00000000">
            <w:pPr>
              <w:pStyle w:val="Compact"/>
            </w:pPr>
            <w:r>
              <w:t>5</w:t>
            </w:r>
          </w:p>
        </w:tc>
        <w:tc>
          <w:tcPr>
            <w:tcW w:w="0" w:type="auto"/>
          </w:tcPr>
          <w:p w14:paraId="366565BA" w14:textId="77777777" w:rsidR="00180E7C" w:rsidRDefault="00000000">
            <w:pPr>
              <w:pStyle w:val="Compact"/>
            </w:pPr>
            <w:r>
              <w:t>Fordow final status</w:t>
            </w:r>
          </w:p>
        </w:tc>
        <w:tc>
          <w:tcPr>
            <w:tcW w:w="0" w:type="auto"/>
          </w:tcPr>
          <w:p w14:paraId="6AFC659D" w14:textId="77777777" w:rsidR="00180E7C" w:rsidRDefault="00000000">
            <w:pPr>
              <w:pStyle w:val="Compact"/>
            </w:pPr>
            <w:r>
              <w:t>Conversion to Fordow International Center for Stable Isotope Science; no uranium enrichment ever; international governance; centrifuge removal</w:t>
            </w:r>
          </w:p>
        </w:tc>
        <w:tc>
          <w:tcPr>
            <w:tcW w:w="0" w:type="auto"/>
          </w:tcPr>
          <w:p w14:paraId="6FD31817" w14:textId="77777777" w:rsidR="00180E7C" w:rsidRDefault="00000000">
            <w:pPr>
              <w:pStyle w:val="Compact"/>
            </w:pPr>
            <w:r>
              <w:t>Art. 61.5.1; Annex F.13</w:t>
            </w:r>
          </w:p>
        </w:tc>
      </w:tr>
      <w:tr w:rsidR="00180E7C" w14:paraId="3B0A44E8" w14:textId="77777777">
        <w:tc>
          <w:tcPr>
            <w:tcW w:w="0" w:type="auto"/>
          </w:tcPr>
          <w:p w14:paraId="6DBA0A7D" w14:textId="77777777" w:rsidR="00180E7C" w:rsidRDefault="00000000">
            <w:pPr>
              <w:pStyle w:val="Compact"/>
            </w:pPr>
            <w:r>
              <w:t>6</w:t>
            </w:r>
          </w:p>
        </w:tc>
        <w:tc>
          <w:tcPr>
            <w:tcW w:w="0" w:type="auto"/>
          </w:tcPr>
          <w:p w14:paraId="15314976" w14:textId="77777777" w:rsidR="00180E7C" w:rsidRDefault="00000000">
            <w:pPr>
              <w:pStyle w:val="Compact"/>
            </w:pPr>
            <w:r>
              <w:t>Centrifuge disposition</w:t>
            </w:r>
          </w:p>
        </w:tc>
        <w:tc>
          <w:tcPr>
            <w:tcW w:w="0" w:type="auto"/>
          </w:tcPr>
          <w:p w14:paraId="1EDBE4A6" w14:textId="77777777" w:rsidR="00180E7C" w:rsidRDefault="00000000">
            <w:pPr>
              <w:pStyle w:val="Compact"/>
            </w:pPr>
            <w:r>
              <w:t>Advanced centrifuges (IR-2m through IR-8) dismantled to dual-key monitored storage; verified by continuous surveillance and annual inventory</w:t>
            </w:r>
          </w:p>
        </w:tc>
        <w:tc>
          <w:tcPr>
            <w:tcW w:w="0" w:type="auto"/>
          </w:tcPr>
          <w:p w14:paraId="74DF714B" w14:textId="77777777" w:rsidR="00180E7C" w:rsidRDefault="00000000">
            <w:pPr>
              <w:pStyle w:val="Compact"/>
            </w:pPr>
            <w:r>
              <w:t>Art. 61.3.1(d); Annex F.8</w:t>
            </w:r>
          </w:p>
        </w:tc>
      </w:tr>
      <w:tr w:rsidR="00180E7C" w14:paraId="7ACAD5C2" w14:textId="77777777">
        <w:tc>
          <w:tcPr>
            <w:tcW w:w="0" w:type="auto"/>
          </w:tcPr>
          <w:p w14:paraId="14023919" w14:textId="77777777" w:rsidR="00180E7C" w:rsidRDefault="00000000">
            <w:pPr>
              <w:pStyle w:val="Compact"/>
            </w:pPr>
            <w:r>
              <w:t>7</w:t>
            </w:r>
          </w:p>
        </w:tc>
        <w:tc>
          <w:tcPr>
            <w:tcW w:w="0" w:type="auto"/>
          </w:tcPr>
          <w:p w14:paraId="34552C21" w14:textId="77777777" w:rsidR="00180E7C" w:rsidRDefault="00000000">
            <w:pPr>
              <w:pStyle w:val="Compact"/>
            </w:pPr>
            <w:r>
              <w:t>IAEA access to bombed military facilities</w:t>
            </w:r>
          </w:p>
        </w:tc>
        <w:tc>
          <w:tcPr>
            <w:tcW w:w="0" w:type="auto"/>
          </w:tcPr>
          <w:p w14:paraId="428AC2BB" w14:textId="77777777" w:rsidR="00180E7C" w:rsidRDefault="00000000">
            <w:pPr>
              <w:pStyle w:val="Compact"/>
            </w:pPr>
            <w:r>
              <w:t>Damaged-site protocol: access within 14 days, IAEA-supervised recovery, gram-level accounting, dignity-preserving execution</w:t>
            </w:r>
          </w:p>
        </w:tc>
        <w:tc>
          <w:tcPr>
            <w:tcW w:w="0" w:type="auto"/>
          </w:tcPr>
          <w:p w14:paraId="605D6A7B" w14:textId="77777777" w:rsidR="00180E7C" w:rsidRDefault="00000000">
            <w:pPr>
              <w:pStyle w:val="Compact"/>
            </w:pPr>
            <w:r>
              <w:t>Art. 61.2.6, 62.3; Annex F.5</w:t>
            </w:r>
          </w:p>
        </w:tc>
      </w:tr>
      <w:tr w:rsidR="00180E7C" w14:paraId="10D30F07" w14:textId="77777777">
        <w:tc>
          <w:tcPr>
            <w:tcW w:w="0" w:type="auto"/>
          </w:tcPr>
          <w:p w14:paraId="527774F4" w14:textId="77777777" w:rsidR="00180E7C" w:rsidRDefault="00000000">
            <w:pPr>
              <w:pStyle w:val="Compact"/>
            </w:pPr>
            <w:r>
              <w:t>8</w:t>
            </w:r>
          </w:p>
        </w:tc>
        <w:tc>
          <w:tcPr>
            <w:tcW w:w="0" w:type="auto"/>
          </w:tcPr>
          <w:p w14:paraId="4BCE89AF" w14:textId="77777777" w:rsidR="00180E7C" w:rsidRDefault="00000000">
            <w:pPr>
              <w:pStyle w:val="Compact"/>
            </w:pPr>
            <w:r>
              <w:t>Breakout time</w:t>
            </w:r>
          </w:p>
        </w:tc>
        <w:tc>
          <w:tcPr>
            <w:tcW w:w="0" w:type="auto"/>
          </w:tcPr>
          <w:p w14:paraId="4D84DEA2" w14:textId="77777777" w:rsidR="00180E7C" w:rsidRDefault="00000000">
            <w:pPr>
              <w:pStyle w:val="Compact"/>
            </w:pPr>
            <w:r>
              <w:t>Permanent twelve-month floor, computed and published quarterly by the IAEA; drift triggers Level 3/4 anomalies</w:t>
            </w:r>
          </w:p>
        </w:tc>
        <w:tc>
          <w:tcPr>
            <w:tcW w:w="0" w:type="auto"/>
          </w:tcPr>
          <w:p w14:paraId="7D5DC171" w14:textId="77777777" w:rsidR="00180E7C" w:rsidRDefault="00000000">
            <w:pPr>
              <w:pStyle w:val="Compact"/>
            </w:pPr>
            <w:r>
              <w:t>Art. 61.6; Annex F.11</w:t>
            </w:r>
          </w:p>
        </w:tc>
      </w:tr>
      <w:tr w:rsidR="00180E7C" w14:paraId="39B3B4B8" w14:textId="77777777">
        <w:tc>
          <w:tcPr>
            <w:tcW w:w="0" w:type="auto"/>
          </w:tcPr>
          <w:p w14:paraId="0BF44681" w14:textId="77777777" w:rsidR="00180E7C" w:rsidRDefault="00000000">
            <w:pPr>
              <w:pStyle w:val="Compact"/>
            </w:pPr>
            <w:r>
              <w:t>9</w:t>
            </w:r>
          </w:p>
        </w:tc>
        <w:tc>
          <w:tcPr>
            <w:tcW w:w="0" w:type="auto"/>
          </w:tcPr>
          <w:p w14:paraId="354176DD" w14:textId="77777777" w:rsidR="00180E7C" w:rsidRDefault="00000000">
            <w:pPr>
              <w:pStyle w:val="Compact"/>
            </w:pPr>
            <w:r>
              <w:t>Latent capability clause</w:t>
            </w:r>
          </w:p>
        </w:tc>
        <w:tc>
          <w:tcPr>
            <w:tcW w:w="0" w:type="auto"/>
          </w:tcPr>
          <w:p w14:paraId="2B79D860" w14:textId="77777777" w:rsidR="00180E7C" w:rsidRDefault="00000000">
            <w:pPr>
              <w:pStyle w:val="Compact"/>
            </w:pPr>
            <w:r>
              <w:t>Knowledge cannot be erased; the architecture renders it unusable: zero stockpile above 3.67 percent, machine storage, continuous presence, Ledger traceability; the United States accepts capability-without-material as the physically attainable end-state</w:t>
            </w:r>
          </w:p>
        </w:tc>
        <w:tc>
          <w:tcPr>
            <w:tcW w:w="0" w:type="auto"/>
          </w:tcPr>
          <w:p w14:paraId="7C6E976A" w14:textId="77777777" w:rsidR="00180E7C" w:rsidRDefault="00000000">
            <w:pPr>
              <w:pStyle w:val="Compact"/>
            </w:pPr>
            <w:r>
              <w:t>Art. 61.2-61.6</w:t>
            </w:r>
          </w:p>
        </w:tc>
      </w:tr>
      <w:tr w:rsidR="00180E7C" w14:paraId="0679B919" w14:textId="77777777">
        <w:tc>
          <w:tcPr>
            <w:tcW w:w="0" w:type="auto"/>
          </w:tcPr>
          <w:p w14:paraId="3E28D062" w14:textId="77777777" w:rsidR="00180E7C" w:rsidRDefault="00000000">
            <w:pPr>
              <w:pStyle w:val="Compact"/>
            </w:pPr>
            <w:r>
              <w:t>10</w:t>
            </w:r>
          </w:p>
        </w:tc>
        <w:tc>
          <w:tcPr>
            <w:tcW w:w="0" w:type="auto"/>
          </w:tcPr>
          <w:p w14:paraId="3ECF1BC4" w14:textId="77777777" w:rsidR="00180E7C" w:rsidRDefault="00000000">
            <w:pPr>
              <w:pStyle w:val="Compact"/>
            </w:pPr>
            <w:r>
              <w:t>Arak heavy water reactor</w:t>
            </w:r>
          </w:p>
        </w:tc>
        <w:tc>
          <w:tcPr>
            <w:tcW w:w="0" w:type="auto"/>
          </w:tcPr>
          <w:p w14:paraId="2A68F1B7" w14:textId="77777777" w:rsidR="00180E7C" w:rsidRDefault="00000000">
            <w:pPr>
              <w:pStyle w:val="Compact"/>
            </w:pPr>
            <w:r>
              <w:t>Redesigned core; plutonium output below 1 kg/year verified; original core rendered unusable; no reprocessing in Iran</w:t>
            </w:r>
          </w:p>
        </w:tc>
        <w:tc>
          <w:tcPr>
            <w:tcW w:w="0" w:type="auto"/>
          </w:tcPr>
          <w:p w14:paraId="170DC636" w14:textId="77777777" w:rsidR="00180E7C" w:rsidRDefault="00000000">
            <w:pPr>
              <w:pStyle w:val="Compact"/>
            </w:pPr>
            <w:r>
              <w:t>Art. 61.5.4; Annex F.14</w:t>
            </w:r>
          </w:p>
        </w:tc>
      </w:tr>
    </w:tbl>
    <w:p w14:paraId="06BE9F65" w14:textId="77777777" w:rsidR="00180E7C" w:rsidRDefault="00000000">
      <w:pPr>
        <w:pStyle w:val="Heading3"/>
      </w:pPr>
      <w:bookmarkStart w:id="1312" w:name="X817758435d5fa5692f725a8e0e9ab342f66f3ea"/>
      <w:bookmarkEnd w:id="1311"/>
      <w:r>
        <w:t>Tier 2: Sanctions, Money, and the Economic Bargain</w:t>
      </w:r>
    </w:p>
    <w:tbl>
      <w:tblPr>
        <w:tblStyle w:val="Table"/>
        <w:tblW w:w="5000" w:type="pct"/>
        <w:tblLook w:val="0020" w:firstRow="1" w:lastRow="0" w:firstColumn="0" w:lastColumn="0" w:noHBand="0" w:noVBand="0"/>
      </w:tblPr>
      <w:tblGrid>
        <w:gridCol w:w="482"/>
        <w:gridCol w:w="2255"/>
        <w:gridCol w:w="5317"/>
        <w:gridCol w:w="1522"/>
      </w:tblGrid>
      <w:tr w:rsidR="00180E7C" w14:paraId="7D919B96"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9F598B7" w14:textId="77777777" w:rsidR="00180E7C" w:rsidRDefault="00000000">
            <w:pPr>
              <w:pStyle w:val="Compact"/>
            </w:pPr>
            <w:r>
              <w:t>#</w:t>
            </w:r>
          </w:p>
        </w:tc>
        <w:tc>
          <w:tcPr>
            <w:tcW w:w="0" w:type="auto"/>
          </w:tcPr>
          <w:p w14:paraId="3DF09912" w14:textId="77777777" w:rsidR="00180E7C" w:rsidRDefault="00000000">
            <w:pPr>
              <w:pStyle w:val="Compact"/>
            </w:pPr>
            <w:r>
              <w:t>Issue</w:t>
            </w:r>
          </w:p>
        </w:tc>
        <w:tc>
          <w:tcPr>
            <w:tcW w:w="0" w:type="auto"/>
          </w:tcPr>
          <w:p w14:paraId="522D134A" w14:textId="77777777" w:rsidR="00180E7C" w:rsidRDefault="00000000">
            <w:pPr>
              <w:pStyle w:val="Compact"/>
            </w:pPr>
            <w:r>
              <w:t>Resolution</w:t>
            </w:r>
          </w:p>
        </w:tc>
        <w:tc>
          <w:tcPr>
            <w:tcW w:w="0" w:type="auto"/>
          </w:tcPr>
          <w:p w14:paraId="2649F03A" w14:textId="77777777" w:rsidR="00180E7C" w:rsidRDefault="00000000">
            <w:pPr>
              <w:pStyle w:val="Compact"/>
            </w:pPr>
            <w:r>
              <w:t>Location</w:t>
            </w:r>
          </w:p>
        </w:tc>
      </w:tr>
      <w:tr w:rsidR="00180E7C" w14:paraId="1EF39B90" w14:textId="77777777">
        <w:tc>
          <w:tcPr>
            <w:tcW w:w="0" w:type="auto"/>
          </w:tcPr>
          <w:p w14:paraId="560AC460" w14:textId="77777777" w:rsidR="00180E7C" w:rsidRDefault="00000000">
            <w:pPr>
              <w:pStyle w:val="Compact"/>
            </w:pPr>
            <w:r>
              <w:t>11</w:t>
            </w:r>
          </w:p>
        </w:tc>
        <w:tc>
          <w:tcPr>
            <w:tcW w:w="0" w:type="auto"/>
          </w:tcPr>
          <w:p w14:paraId="761C6C84" w14:textId="77777777" w:rsidR="00180E7C" w:rsidRDefault="00000000">
            <w:pPr>
              <w:pStyle w:val="Compact"/>
            </w:pPr>
            <w:r>
              <w:t xml:space="preserve">Sanctions relief schedule and </w:t>
            </w:r>
            <w:r>
              <w:lastRenderedPageBreak/>
              <w:t>snapback</w:t>
            </w:r>
          </w:p>
        </w:tc>
        <w:tc>
          <w:tcPr>
            <w:tcW w:w="0" w:type="auto"/>
          </w:tcPr>
          <w:p w14:paraId="3B7BF565" w14:textId="77777777" w:rsidR="00180E7C" w:rsidRDefault="00000000">
            <w:pPr>
              <w:pStyle w:val="Compact"/>
            </w:pPr>
            <w:r>
              <w:lastRenderedPageBreak/>
              <w:t xml:space="preserve">Full termination on verified schedule with calendar backing; snapback replaced by Cothrom </w:t>
            </w:r>
            <w:r>
              <w:lastRenderedPageBreak/>
              <w:t>step-back/earn-back with proportionality ceilings</w:t>
            </w:r>
          </w:p>
        </w:tc>
        <w:tc>
          <w:tcPr>
            <w:tcW w:w="0" w:type="auto"/>
          </w:tcPr>
          <w:p w14:paraId="1D81FDD5" w14:textId="77777777" w:rsidR="00180E7C" w:rsidRDefault="00000000">
            <w:pPr>
              <w:pStyle w:val="Compact"/>
            </w:pPr>
            <w:r>
              <w:lastRenderedPageBreak/>
              <w:t xml:space="preserve">Art. 46, 67, 70; Annexes </w:t>
            </w:r>
            <w:r>
              <w:lastRenderedPageBreak/>
              <w:t>E, G</w:t>
            </w:r>
          </w:p>
        </w:tc>
      </w:tr>
      <w:tr w:rsidR="00180E7C" w14:paraId="32F0C371" w14:textId="77777777">
        <w:tc>
          <w:tcPr>
            <w:tcW w:w="0" w:type="auto"/>
          </w:tcPr>
          <w:p w14:paraId="02A3AC39" w14:textId="77777777" w:rsidR="00180E7C" w:rsidRDefault="00000000">
            <w:pPr>
              <w:pStyle w:val="Compact"/>
            </w:pPr>
            <w:r>
              <w:lastRenderedPageBreak/>
              <w:t>12</w:t>
            </w:r>
          </w:p>
        </w:tc>
        <w:tc>
          <w:tcPr>
            <w:tcW w:w="0" w:type="auto"/>
          </w:tcPr>
          <w:p w14:paraId="5C12B011" w14:textId="77777777" w:rsidR="00180E7C" w:rsidRDefault="00000000">
            <w:pPr>
              <w:pStyle w:val="Compact"/>
            </w:pPr>
            <w:r>
              <w:t>300 billion reconstruction fund</w:t>
            </w:r>
          </w:p>
        </w:tc>
        <w:tc>
          <w:tcPr>
            <w:tcW w:w="0" w:type="auto"/>
          </w:tcPr>
          <w:p w14:paraId="53F96035" w14:textId="77777777" w:rsidR="00180E7C" w:rsidRDefault="00000000">
            <w:pPr>
              <w:pStyle w:val="Compact"/>
            </w:pPr>
            <w:r>
              <w:t>RDF with 10-year mobilization plan, Iran-led governance, international fiduciary standards; United States contributes through termination value and facilitation, not direct budget</w:t>
            </w:r>
          </w:p>
        </w:tc>
        <w:tc>
          <w:tcPr>
            <w:tcW w:w="0" w:type="auto"/>
          </w:tcPr>
          <w:p w14:paraId="20ECAE8B" w14:textId="77777777" w:rsidR="00180E7C" w:rsidRDefault="00000000">
            <w:pPr>
              <w:pStyle w:val="Compact"/>
            </w:pPr>
            <w:r>
              <w:t>Art. 52; Annex I</w:t>
            </w:r>
          </w:p>
        </w:tc>
      </w:tr>
      <w:tr w:rsidR="00180E7C" w14:paraId="4F25C4B2" w14:textId="77777777">
        <w:tc>
          <w:tcPr>
            <w:tcW w:w="0" w:type="auto"/>
          </w:tcPr>
          <w:p w14:paraId="5986A1B0" w14:textId="77777777" w:rsidR="00180E7C" w:rsidRDefault="00000000">
            <w:pPr>
              <w:pStyle w:val="Compact"/>
            </w:pPr>
            <w:r>
              <w:t>13</w:t>
            </w:r>
          </w:p>
        </w:tc>
        <w:tc>
          <w:tcPr>
            <w:tcW w:w="0" w:type="auto"/>
          </w:tcPr>
          <w:p w14:paraId="1CF5BC66" w14:textId="77777777" w:rsidR="00180E7C" w:rsidRDefault="00000000">
            <w:pPr>
              <w:pStyle w:val="Compact"/>
            </w:pPr>
            <w:r>
              <w:t>Frozen assets (24 billion)</w:t>
            </w:r>
          </w:p>
        </w:tc>
        <w:tc>
          <w:tcPr>
            <w:tcW w:w="0" w:type="auto"/>
          </w:tcPr>
          <w:p w14:paraId="1A495845" w14:textId="77777777" w:rsidR="00180E7C" w:rsidRDefault="00000000">
            <w:pPr>
              <w:pStyle w:val="Compact"/>
            </w:pPr>
            <w:r>
              <w:t>Two-Pool escrow: 12 billion at EIF, 6 billion Phase II, 6 billion Phase III; title remains Iranian; monitoring without veto</w:t>
            </w:r>
          </w:p>
        </w:tc>
        <w:tc>
          <w:tcPr>
            <w:tcW w:w="0" w:type="auto"/>
          </w:tcPr>
          <w:p w14:paraId="0ACBFFEC" w14:textId="77777777" w:rsidR="00180E7C" w:rsidRDefault="00000000">
            <w:pPr>
              <w:pStyle w:val="Compact"/>
            </w:pPr>
            <w:r>
              <w:t>Art. 47; Annex H</w:t>
            </w:r>
          </w:p>
        </w:tc>
      </w:tr>
      <w:tr w:rsidR="00180E7C" w14:paraId="2C775C4E" w14:textId="77777777">
        <w:tc>
          <w:tcPr>
            <w:tcW w:w="0" w:type="auto"/>
          </w:tcPr>
          <w:p w14:paraId="76F7B0D6" w14:textId="77777777" w:rsidR="00180E7C" w:rsidRDefault="00000000">
            <w:pPr>
              <w:pStyle w:val="Compact"/>
            </w:pPr>
            <w:r>
              <w:t>14</w:t>
            </w:r>
          </w:p>
        </w:tc>
        <w:tc>
          <w:tcPr>
            <w:tcW w:w="0" w:type="auto"/>
          </w:tcPr>
          <w:p w14:paraId="1747E939" w14:textId="77777777" w:rsidR="00180E7C" w:rsidRDefault="00000000">
            <w:pPr>
              <w:pStyle w:val="Compact"/>
            </w:pPr>
            <w:r>
              <w:t>Oil export waivers</w:t>
            </w:r>
          </w:p>
        </w:tc>
        <w:tc>
          <w:tcPr>
            <w:tcW w:w="0" w:type="auto"/>
          </w:tcPr>
          <w:p w14:paraId="3CCADD57" w14:textId="77777777" w:rsidR="00180E7C" w:rsidRDefault="00000000">
            <w:pPr>
              <w:pStyle w:val="Compact"/>
            </w:pPr>
            <w:r>
              <w:t>Permanent authorization from EIF; no caps, no waiver dependency; payment protection</w:t>
            </w:r>
          </w:p>
        </w:tc>
        <w:tc>
          <w:tcPr>
            <w:tcW w:w="0" w:type="auto"/>
          </w:tcPr>
          <w:p w14:paraId="4D9A1DD5" w14:textId="77777777" w:rsidR="00180E7C" w:rsidRDefault="00000000">
            <w:pPr>
              <w:pStyle w:val="Compact"/>
            </w:pPr>
            <w:r>
              <w:t>Art. 48</w:t>
            </w:r>
          </w:p>
        </w:tc>
      </w:tr>
      <w:tr w:rsidR="00180E7C" w14:paraId="20B00B27" w14:textId="77777777">
        <w:tc>
          <w:tcPr>
            <w:tcW w:w="0" w:type="auto"/>
          </w:tcPr>
          <w:p w14:paraId="7A1CF3B3" w14:textId="77777777" w:rsidR="00180E7C" w:rsidRDefault="00000000">
            <w:pPr>
              <w:pStyle w:val="Compact"/>
            </w:pPr>
            <w:r>
              <w:t>15</w:t>
            </w:r>
          </w:p>
        </w:tc>
        <w:tc>
          <w:tcPr>
            <w:tcW w:w="0" w:type="auto"/>
          </w:tcPr>
          <w:p w14:paraId="43BE124A" w14:textId="77777777" w:rsidR="00180E7C" w:rsidRDefault="00000000">
            <w:pPr>
              <w:pStyle w:val="Compact"/>
            </w:pPr>
            <w:r>
              <w:t>SWIFT access</w:t>
            </w:r>
          </w:p>
        </w:tc>
        <w:tc>
          <w:tcPr>
            <w:tcW w:w="0" w:type="auto"/>
          </w:tcPr>
          <w:p w14:paraId="6DD068E3" w14:textId="77777777" w:rsidR="00180E7C" w:rsidRDefault="00000000">
            <w:pPr>
              <w:pStyle w:val="Compact"/>
            </w:pPr>
            <w:r>
              <w:t>Permanent unconditional reconnection at Phase II with technical team</w:t>
            </w:r>
          </w:p>
        </w:tc>
        <w:tc>
          <w:tcPr>
            <w:tcW w:w="0" w:type="auto"/>
          </w:tcPr>
          <w:p w14:paraId="6F54BBA8" w14:textId="77777777" w:rsidR="00180E7C" w:rsidRDefault="00000000">
            <w:pPr>
              <w:pStyle w:val="Compact"/>
            </w:pPr>
            <w:r>
              <w:t>Art. 49.1; Annex G.10</w:t>
            </w:r>
          </w:p>
        </w:tc>
      </w:tr>
      <w:tr w:rsidR="00180E7C" w14:paraId="6D776940" w14:textId="77777777">
        <w:tc>
          <w:tcPr>
            <w:tcW w:w="0" w:type="auto"/>
          </w:tcPr>
          <w:p w14:paraId="1CA89908" w14:textId="77777777" w:rsidR="00180E7C" w:rsidRDefault="00000000">
            <w:pPr>
              <w:pStyle w:val="Compact"/>
            </w:pPr>
            <w:r>
              <w:t>16</w:t>
            </w:r>
          </w:p>
        </w:tc>
        <w:tc>
          <w:tcPr>
            <w:tcW w:w="0" w:type="auto"/>
          </w:tcPr>
          <w:p w14:paraId="0B0394C9" w14:textId="77777777" w:rsidR="00180E7C" w:rsidRDefault="00000000">
            <w:pPr>
              <w:pStyle w:val="Compact"/>
            </w:pPr>
            <w:r>
              <w:t>Foreign investment protection</w:t>
            </w:r>
          </w:p>
        </w:tc>
        <w:tc>
          <w:tcPr>
            <w:tcW w:w="0" w:type="auto"/>
          </w:tcPr>
          <w:p w14:paraId="236FA46F" w14:textId="77777777" w:rsidR="00180E7C" w:rsidRDefault="00000000">
            <w:pPr>
              <w:pStyle w:val="Compact"/>
            </w:pPr>
            <w:r>
              <w:t>Investment chapter: fair treatment, expropriation compensation, UNCITRAL arbitration, MIGA and political risk facility</w:t>
            </w:r>
          </w:p>
        </w:tc>
        <w:tc>
          <w:tcPr>
            <w:tcW w:w="0" w:type="auto"/>
          </w:tcPr>
          <w:p w14:paraId="0D03FFC2" w14:textId="77777777" w:rsidR="00180E7C" w:rsidRDefault="00000000">
            <w:pPr>
              <w:pStyle w:val="Compact"/>
            </w:pPr>
            <w:r>
              <w:t>Art. 53; Annex I.5-I.6</w:t>
            </w:r>
          </w:p>
        </w:tc>
      </w:tr>
      <w:tr w:rsidR="00180E7C" w14:paraId="5804FAED" w14:textId="77777777">
        <w:tc>
          <w:tcPr>
            <w:tcW w:w="0" w:type="auto"/>
          </w:tcPr>
          <w:p w14:paraId="190DA9CC" w14:textId="77777777" w:rsidR="00180E7C" w:rsidRDefault="00000000">
            <w:pPr>
              <w:pStyle w:val="Compact"/>
            </w:pPr>
            <w:r>
              <w:t>17</w:t>
            </w:r>
          </w:p>
        </w:tc>
        <w:tc>
          <w:tcPr>
            <w:tcW w:w="0" w:type="auto"/>
          </w:tcPr>
          <w:p w14:paraId="3C37C02A" w14:textId="77777777" w:rsidR="00180E7C" w:rsidRDefault="00000000">
            <w:pPr>
              <w:pStyle w:val="Compact"/>
            </w:pPr>
            <w:r>
              <w:t>IRGC FTO designation</w:t>
            </w:r>
          </w:p>
        </w:tc>
        <w:tc>
          <w:tcPr>
            <w:tcW w:w="0" w:type="auto"/>
          </w:tcPr>
          <w:p w14:paraId="41D3E8EB" w14:textId="77777777" w:rsidR="00180E7C" w:rsidRDefault="00000000">
            <w:pPr>
              <w:pStyle w:val="Compact"/>
            </w:pPr>
            <w:r>
              <w:t>Two-stage conduct-based resolution: posture certification then statutory revocation</w:t>
            </w:r>
          </w:p>
        </w:tc>
        <w:tc>
          <w:tcPr>
            <w:tcW w:w="0" w:type="auto"/>
          </w:tcPr>
          <w:p w14:paraId="799B5B28" w14:textId="77777777" w:rsidR="00180E7C" w:rsidRDefault="00000000">
            <w:pPr>
              <w:pStyle w:val="Compact"/>
            </w:pPr>
            <w:r>
              <w:t>Art. 46.4.1; Annex G.6</w:t>
            </w:r>
          </w:p>
        </w:tc>
      </w:tr>
      <w:tr w:rsidR="00180E7C" w14:paraId="25A70268" w14:textId="77777777">
        <w:tc>
          <w:tcPr>
            <w:tcW w:w="0" w:type="auto"/>
          </w:tcPr>
          <w:p w14:paraId="521B376E" w14:textId="77777777" w:rsidR="00180E7C" w:rsidRDefault="00000000">
            <w:pPr>
              <w:pStyle w:val="Compact"/>
            </w:pPr>
            <w:r>
              <w:t>18</w:t>
            </w:r>
          </w:p>
        </w:tc>
        <w:tc>
          <w:tcPr>
            <w:tcW w:w="0" w:type="auto"/>
          </w:tcPr>
          <w:p w14:paraId="792A4EEC" w14:textId="77777777" w:rsidR="00180E7C" w:rsidRDefault="00000000">
            <w:pPr>
              <w:pStyle w:val="Compact"/>
            </w:pPr>
            <w:r>
              <w:t>Caesar Act and human rights sanctions</w:t>
            </w:r>
          </w:p>
        </w:tc>
        <w:tc>
          <w:tcPr>
            <w:tcW w:w="0" w:type="auto"/>
          </w:tcPr>
          <w:p w14:paraId="6722BD60" w14:textId="77777777" w:rsidR="00180E7C" w:rsidRDefault="00000000">
            <w:pPr>
              <w:pStyle w:val="Compact"/>
            </w:pPr>
            <w:r>
              <w:t>Syria milestone-linked relief interface; human rights measures resolve through the standing dialogue without conditioning core benefits</w:t>
            </w:r>
          </w:p>
        </w:tc>
        <w:tc>
          <w:tcPr>
            <w:tcW w:w="0" w:type="auto"/>
          </w:tcPr>
          <w:p w14:paraId="3AC7FFA4" w14:textId="77777777" w:rsidR="00180E7C" w:rsidRDefault="00000000">
            <w:pPr>
              <w:pStyle w:val="Compact"/>
            </w:pPr>
            <w:r>
              <w:t>Art. 46.4.3, 84.6; Annex G.8</w:t>
            </w:r>
          </w:p>
        </w:tc>
      </w:tr>
      <w:tr w:rsidR="00180E7C" w14:paraId="5A1BDC8F" w14:textId="77777777">
        <w:tc>
          <w:tcPr>
            <w:tcW w:w="0" w:type="auto"/>
          </w:tcPr>
          <w:p w14:paraId="131422BB" w14:textId="77777777" w:rsidR="00180E7C" w:rsidRDefault="00000000">
            <w:pPr>
              <w:pStyle w:val="Compact"/>
            </w:pPr>
            <w:r>
              <w:t>19</w:t>
            </w:r>
          </w:p>
        </w:tc>
        <w:tc>
          <w:tcPr>
            <w:tcW w:w="0" w:type="auto"/>
          </w:tcPr>
          <w:p w14:paraId="06851656" w14:textId="77777777" w:rsidR="00180E7C" w:rsidRDefault="00000000">
            <w:pPr>
              <w:pStyle w:val="Compact"/>
            </w:pPr>
            <w:r>
              <w:t>Currency stabilization</w:t>
            </w:r>
          </w:p>
        </w:tc>
        <w:tc>
          <w:tcPr>
            <w:tcW w:w="0" w:type="auto"/>
          </w:tcPr>
          <w:p w14:paraId="3AB68FC6" w14:textId="77777777" w:rsidR="00180E7C" w:rsidRDefault="00000000">
            <w:pPr>
              <w:pStyle w:val="Compact"/>
            </w:pPr>
            <w:r>
              <w:t>Pool A earmark, swap lines, disorderly-movement consultation, IMF resumption</w:t>
            </w:r>
          </w:p>
        </w:tc>
        <w:tc>
          <w:tcPr>
            <w:tcW w:w="0" w:type="auto"/>
          </w:tcPr>
          <w:p w14:paraId="08B6710E" w14:textId="77777777" w:rsidR="00180E7C" w:rsidRDefault="00000000">
            <w:pPr>
              <w:pStyle w:val="Compact"/>
            </w:pPr>
            <w:r>
              <w:t>Art. 56; Annex H.10</w:t>
            </w:r>
          </w:p>
        </w:tc>
      </w:tr>
      <w:tr w:rsidR="00180E7C" w14:paraId="6B0B148B" w14:textId="77777777">
        <w:tc>
          <w:tcPr>
            <w:tcW w:w="0" w:type="auto"/>
          </w:tcPr>
          <w:p w14:paraId="79E935CF" w14:textId="77777777" w:rsidR="00180E7C" w:rsidRDefault="00000000">
            <w:pPr>
              <w:pStyle w:val="Compact"/>
            </w:pPr>
            <w:r>
              <w:t>20</w:t>
            </w:r>
          </w:p>
        </w:tc>
        <w:tc>
          <w:tcPr>
            <w:tcW w:w="0" w:type="auto"/>
          </w:tcPr>
          <w:p w14:paraId="02C23A91" w14:textId="77777777" w:rsidR="00180E7C" w:rsidRDefault="00000000">
            <w:pPr>
              <w:pStyle w:val="Compact"/>
            </w:pPr>
            <w:r>
              <w:t>Debt restructuring</w:t>
            </w:r>
          </w:p>
        </w:tc>
        <w:tc>
          <w:tcPr>
            <w:tcW w:w="0" w:type="auto"/>
          </w:tcPr>
          <w:p w14:paraId="704D8398" w14:textId="77777777" w:rsidR="00180E7C" w:rsidRDefault="00000000">
            <w:pPr>
              <w:pStyle w:val="Compact"/>
            </w:pPr>
            <w:r>
              <w:t>Supported pathway through standard international processes with necessary licenses</w:t>
            </w:r>
          </w:p>
        </w:tc>
        <w:tc>
          <w:tcPr>
            <w:tcW w:w="0" w:type="auto"/>
          </w:tcPr>
          <w:p w14:paraId="68BE63E4" w14:textId="77777777" w:rsidR="00180E7C" w:rsidRDefault="00000000">
            <w:pPr>
              <w:pStyle w:val="Compact"/>
            </w:pPr>
            <w:r>
              <w:t>Art. 60.3</w:t>
            </w:r>
          </w:p>
        </w:tc>
      </w:tr>
    </w:tbl>
    <w:p w14:paraId="231FF5DC" w14:textId="77777777" w:rsidR="00180E7C" w:rsidRDefault="00000000">
      <w:pPr>
        <w:pStyle w:val="Heading3"/>
      </w:pPr>
      <w:bookmarkStart w:id="1313" w:name="X43fddca702c894f0ad3fb034c93019e73ab67be"/>
      <w:bookmarkEnd w:id="1312"/>
      <w:r>
        <w:t>Tier 3: Regional Security and Military Power</w:t>
      </w:r>
    </w:p>
    <w:tbl>
      <w:tblPr>
        <w:tblStyle w:val="Table"/>
        <w:tblW w:w="5000" w:type="pct"/>
        <w:tblLook w:val="0020" w:firstRow="1" w:lastRow="0" w:firstColumn="0" w:lastColumn="0" w:noHBand="0" w:noVBand="0"/>
      </w:tblPr>
      <w:tblGrid>
        <w:gridCol w:w="482"/>
        <w:gridCol w:w="1665"/>
        <w:gridCol w:w="5888"/>
        <w:gridCol w:w="1541"/>
      </w:tblGrid>
      <w:tr w:rsidR="00180E7C" w14:paraId="3C626DF7"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1C27B8FD" w14:textId="77777777" w:rsidR="00180E7C" w:rsidRDefault="00000000">
            <w:pPr>
              <w:pStyle w:val="Compact"/>
            </w:pPr>
            <w:r>
              <w:t>#</w:t>
            </w:r>
          </w:p>
        </w:tc>
        <w:tc>
          <w:tcPr>
            <w:tcW w:w="0" w:type="auto"/>
          </w:tcPr>
          <w:p w14:paraId="3AF08100" w14:textId="77777777" w:rsidR="00180E7C" w:rsidRDefault="00000000">
            <w:pPr>
              <w:pStyle w:val="Compact"/>
            </w:pPr>
            <w:r>
              <w:t>Issue</w:t>
            </w:r>
          </w:p>
        </w:tc>
        <w:tc>
          <w:tcPr>
            <w:tcW w:w="0" w:type="auto"/>
          </w:tcPr>
          <w:p w14:paraId="3791B498" w14:textId="77777777" w:rsidR="00180E7C" w:rsidRDefault="00000000">
            <w:pPr>
              <w:pStyle w:val="Compact"/>
            </w:pPr>
            <w:r>
              <w:t>Resolution</w:t>
            </w:r>
          </w:p>
        </w:tc>
        <w:tc>
          <w:tcPr>
            <w:tcW w:w="0" w:type="auto"/>
          </w:tcPr>
          <w:p w14:paraId="6BC9EBA8" w14:textId="77777777" w:rsidR="00180E7C" w:rsidRDefault="00000000">
            <w:pPr>
              <w:pStyle w:val="Compact"/>
            </w:pPr>
            <w:r>
              <w:t>Location</w:t>
            </w:r>
          </w:p>
        </w:tc>
      </w:tr>
      <w:tr w:rsidR="00180E7C" w14:paraId="759B19B7" w14:textId="77777777">
        <w:tc>
          <w:tcPr>
            <w:tcW w:w="0" w:type="auto"/>
          </w:tcPr>
          <w:p w14:paraId="27215FCB" w14:textId="77777777" w:rsidR="00180E7C" w:rsidRDefault="00000000">
            <w:pPr>
              <w:pStyle w:val="Compact"/>
            </w:pPr>
            <w:r>
              <w:t>21</w:t>
            </w:r>
          </w:p>
        </w:tc>
        <w:tc>
          <w:tcPr>
            <w:tcW w:w="0" w:type="auto"/>
          </w:tcPr>
          <w:p w14:paraId="4664B807" w14:textId="77777777" w:rsidR="00180E7C" w:rsidRDefault="00000000">
            <w:pPr>
              <w:pStyle w:val="Compact"/>
            </w:pPr>
            <w:r>
              <w:t>Ballistic missile program</w:t>
            </w:r>
          </w:p>
        </w:tc>
        <w:tc>
          <w:tcPr>
            <w:tcW w:w="0" w:type="auto"/>
          </w:tcPr>
          <w:p w14:paraId="20F4B0BF" w14:textId="77777777" w:rsidR="00180E7C" w:rsidRDefault="00000000">
            <w:pPr>
              <w:pStyle w:val="Compact"/>
            </w:pPr>
            <w:r>
              <w:t>Stand-down (no tests above 1,000 km, no wartime dispersal, no targeting), declarations, space-launch transparency, standing dialogue toward codified ceilings; nuclear-capable exclusion</w:t>
            </w:r>
          </w:p>
        </w:tc>
        <w:tc>
          <w:tcPr>
            <w:tcW w:w="0" w:type="auto"/>
          </w:tcPr>
          <w:p w14:paraId="662D5ECF" w14:textId="77777777" w:rsidR="00180E7C" w:rsidRDefault="00000000">
            <w:pPr>
              <w:pStyle w:val="Compact"/>
            </w:pPr>
            <w:r>
              <w:t>Art. 21; Annex K</w:t>
            </w:r>
          </w:p>
        </w:tc>
      </w:tr>
      <w:tr w:rsidR="00180E7C" w14:paraId="213D79AA" w14:textId="77777777">
        <w:tc>
          <w:tcPr>
            <w:tcW w:w="0" w:type="auto"/>
          </w:tcPr>
          <w:p w14:paraId="5A367E9C" w14:textId="77777777" w:rsidR="00180E7C" w:rsidRDefault="00000000">
            <w:pPr>
              <w:pStyle w:val="Compact"/>
            </w:pPr>
            <w:r>
              <w:t>22</w:t>
            </w:r>
          </w:p>
        </w:tc>
        <w:tc>
          <w:tcPr>
            <w:tcW w:w="0" w:type="auto"/>
          </w:tcPr>
          <w:p w14:paraId="77A40DB2" w14:textId="77777777" w:rsidR="00180E7C" w:rsidRDefault="00000000">
            <w:pPr>
              <w:pStyle w:val="Compact"/>
            </w:pPr>
            <w:r>
              <w:t>Support to Hezbollah</w:t>
            </w:r>
          </w:p>
        </w:tc>
        <w:tc>
          <w:tcPr>
            <w:tcW w:w="0" w:type="auto"/>
          </w:tcPr>
          <w:p w14:paraId="6BAE5C7F" w14:textId="77777777" w:rsidR="00180E7C" w:rsidRDefault="00000000">
            <w:pPr>
              <w:pStyle w:val="Compact"/>
            </w:pPr>
            <w:r>
              <w:t>Termination of weapons and military financing, verified by border monitoring; Lebanese sovereign track for the arsenal</w:t>
            </w:r>
          </w:p>
        </w:tc>
        <w:tc>
          <w:tcPr>
            <w:tcW w:w="0" w:type="auto"/>
          </w:tcPr>
          <w:p w14:paraId="1B1F77A3" w14:textId="77777777" w:rsidR="00180E7C" w:rsidRDefault="00000000">
            <w:pPr>
              <w:pStyle w:val="Compact"/>
            </w:pPr>
            <w:r>
              <w:t>Art. 7.1.2, 76; Annex L</w:t>
            </w:r>
          </w:p>
        </w:tc>
      </w:tr>
      <w:tr w:rsidR="00180E7C" w14:paraId="15965E86" w14:textId="77777777">
        <w:tc>
          <w:tcPr>
            <w:tcW w:w="0" w:type="auto"/>
          </w:tcPr>
          <w:p w14:paraId="4E71333E" w14:textId="77777777" w:rsidR="00180E7C" w:rsidRDefault="00000000">
            <w:pPr>
              <w:pStyle w:val="Compact"/>
            </w:pPr>
            <w:r>
              <w:t>23</w:t>
            </w:r>
          </w:p>
        </w:tc>
        <w:tc>
          <w:tcPr>
            <w:tcW w:w="0" w:type="auto"/>
          </w:tcPr>
          <w:p w14:paraId="67C7AC1C" w14:textId="77777777" w:rsidR="00180E7C" w:rsidRDefault="00000000">
            <w:pPr>
              <w:pStyle w:val="Compact"/>
            </w:pPr>
            <w:r>
              <w:t>Support to Houthis</w:t>
            </w:r>
          </w:p>
        </w:tc>
        <w:tc>
          <w:tcPr>
            <w:tcW w:w="0" w:type="auto"/>
          </w:tcPr>
          <w:p w14:paraId="72229F29" w14:textId="77777777" w:rsidR="00180E7C" w:rsidRDefault="00000000">
            <w:pPr>
              <w:pStyle w:val="Compact"/>
            </w:pPr>
            <w:r>
              <w:t>Termination verified; Red Sea security transitions to coastal-state cooperative model; Yemen settlement support</w:t>
            </w:r>
          </w:p>
        </w:tc>
        <w:tc>
          <w:tcPr>
            <w:tcW w:w="0" w:type="auto"/>
          </w:tcPr>
          <w:p w14:paraId="3540E4CD" w14:textId="77777777" w:rsidR="00180E7C" w:rsidRDefault="00000000">
            <w:pPr>
              <w:pStyle w:val="Compact"/>
            </w:pPr>
            <w:r>
              <w:t>Art. 77; Annex L</w:t>
            </w:r>
          </w:p>
        </w:tc>
      </w:tr>
      <w:tr w:rsidR="00180E7C" w14:paraId="3D903EDF" w14:textId="77777777">
        <w:tc>
          <w:tcPr>
            <w:tcW w:w="0" w:type="auto"/>
          </w:tcPr>
          <w:p w14:paraId="44B4EA2F" w14:textId="77777777" w:rsidR="00180E7C" w:rsidRDefault="00000000">
            <w:pPr>
              <w:pStyle w:val="Compact"/>
            </w:pPr>
            <w:r>
              <w:t>24</w:t>
            </w:r>
          </w:p>
        </w:tc>
        <w:tc>
          <w:tcPr>
            <w:tcW w:w="0" w:type="auto"/>
          </w:tcPr>
          <w:p w14:paraId="6B88ED0E" w14:textId="77777777" w:rsidR="00180E7C" w:rsidRDefault="00000000">
            <w:pPr>
              <w:pStyle w:val="Compact"/>
            </w:pPr>
            <w:r>
              <w:t>Support to Hamas/PIJ</w:t>
            </w:r>
          </w:p>
        </w:tc>
        <w:tc>
          <w:tcPr>
            <w:tcW w:w="0" w:type="auto"/>
          </w:tcPr>
          <w:p w14:paraId="7EFB2612" w14:textId="77777777" w:rsidR="00180E7C" w:rsidRDefault="00000000">
            <w:pPr>
              <w:pStyle w:val="Compact"/>
            </w:pPr>
            <w:r>
              <w:t>Termination of weapons flows verified; political file left to Palestinian and regional processes</w:t>
            </w:r>
          </w:p>
        </w:tc>
        <w:tc>
          <w:tcPr>
            <w:tcW w:w="0" w:type="auto"/>
          </w:tcPr>
          <w:p w14:paraId="03F087A4" w14:textId="77777777" w:rsidR="00180E7C" w:rsidRDefault="00000000">
            <w:pPr>
              <w:pStyle w:val="Compact"/>
            </w:pPr>
            <w:r>
              <w:t>Annex L, Section 8</w:t>
            </w:r>
          </w:p>
        </w:tc>
      </w:tr>
      <w:tr w:rsidR="00180E7C" w14:paraId="457B4BEB" w14:textId="77777777">
        <w:tc>
          <w:tcPr>
            <w:tcW w:w="0" w:type="auto"/>
          </w:tcPr>
          <w:p w14:paraId="61C8D5DD" w14:textId="77777777" w:rsidR="00180E7C" w:rsidRDefault="00000000">
            <w:pPr>
              <w:pStyle w:val="Compact"/>
            </w:pPr>
            <w:r>
              <w:t>25</w:t>
            </w:r>
          </w:p>
        </w:tc>
        <w:tc>
          <w:tcPr>
            <w:tcW w:w="0" w:type="auto"/>
          </w:tcPr>
          <w:p w14:paraId="70C16BDB" w14:textId="77777777" w:rsidR="00180E7C" w:rsidRDefault="00000000">
            <w:pPr>
              <w:pStyle w:val="Compact"/>
            </w:pPr>
            <w:r>
              <w:t>Iraqi militias</w:t>
            </w:r>
          </w:p>
        </w:tc>
        <w:tc>
          <w:tcPr>
            <w:tcW w:w="0" w:type="auto"/>
          </w:tcPr>
          <w:p w14:paraId="475391F7" w14:textId="77777777" w:rsidR="00180E7C" w:rsidRDefault="00000000">
            <w:pPr>
              <w:pStyle w:val="Compact"/>
            </w:pPr>
            <w:r>
              <w:t xml:space="preserve">Iraqi sovereign integration roadmap with RDSF </w:t>
            </w:r>
            <w:r>
              <w:lastRenderedPageBreak/>
              <w:t>financing and supply termination</w:t>
            </w:r>
          </w:p>
        </w:tc>
        <w:tc>
          <w:tcPr>
            <w:tcW w:w="0" w:type="auto"/>
          </w:tcPr>
          <w:p w14:paraId="6C138FAA" w14:textId="77777777" w:rsidR="00180E7C" w:rsidRDefault="00000000">
            <w:pPr>
              <w:pStyle w:val="Compact"/>
            </w:pPr>
            <w:r>
              <w:lastRenderedPageBreak/>
              <w:t xml:space="preserve">Art. 78; </w:t>
            </w:r>
            <w:r>
              <w:lastRenderedPageBreak/>
              <w:t>Annex L, Part Four</w:t>
            </w:r>
          </w:p>
        </w:tc>
      </w:tr>
      <w:tr w:rsidR="00180E7C" w14:paraId="2EF0E9BF" w14:textId="77777777">
        <w:tc>
          <w:tcPr>
            <w:tcW w:w="0" w:type="auto"/>
          </w:tcPr>
          <w:p w14:paraId="261C4439" w14:textId="77777777" w:rsidR="00180E7C" w:rsidRDefault="00000000">
            <w:pPr>
              <w:pStyle w:val="Compact"/>
            </w:pPr>
            <w:r>
              <w:lastRenderedPageBreak/>
              <w:t>26</w:t>
            </w:r>
          </w:p>
        </w:tc>
        <w:tc>
          <w:tcPr>
            <w:tcW w:w="0" w:type="auto"/>
          </w:tcPr>
          <w:p w14:paraId="25720DFC" w14:textId="77777777" w:rsidR="00180E7C" w:rsidRDefault="00000000">
            <w:pPr>
              <w:pStyle w:val="Compact"/>
            </w:pPr>
            <w:r>
              <w:t>Syrian military presence</w:t>
            </w:r>
          </w:p>
        </w:tc>
        <w:tc>
          <w:tcPr>
            <w:tcW w:w="0" w:type="auto"/>
          </w:tcPr>
          <w:p w14:paraId="238F36C5" w14:textId="77777777" w:rsidR="00180E7C" w:rsidRDefault="00000000">
            <w:pPr>
              <w:pStyle w:val="Compact"/>
            </w:pPr>
            <w:r>
              <w:t>Verified drawdown to residual advisory mission within 18 months</w:t>
            </w:r>
          </w:p>
        </w:tc>
        <w:tc>
          <w:tcPr>
            <w:tcW w:w="0" w:type="auto"/>
          </w:tcPr>
          <w:p w14:paraId="4834DC36" w14:textId="77777777" w:rsidR="00180E7C" w:rsidRDefault="00000000">
            <w:pPr>
              <w:pStyle w:val="Compact"/>
            </w:pPr>
            <w:r>
              <w:t>Art. 79; Annex L, Part Five</w:t>
            </w:r>
          </w:p>
        </w:tc>
      </w:tr>
      <w:tr w:rsidR="00180E7C" w14:paraId="3F4A2CDE" w14:textId="77777777">
        <w:tc>
          <w:tcPr>
            <w:tcW w:w="0" w:type="auto"/>
          </w:tcPr>
          <w:p w14:paraId="6B440DF7" w14:textId="77777777" w:rsidR="00180E7C" w:rsidRDefault="00000000">
            <w:pPr>
              <w:pStyle w:val="Compact"/>
            </w:pPr>
            <w:r>
              <w:t>27</w:t>
            </w:r>
          </w:p>
        </w:tc>
        <w:tc>
          <w:tcPr>
            <w:tcW w:w="0" w:type="auto"/>
          </w:tcPr>
          <w:p w14:paraId="2CD8A4CF" w14:textId="77777777" w:rsidR="00180E7C" w:rsidRDefault="00000000">
            <w:pPr>
              <w:pStyle w:val="Compact"/>
            </w:pPr>
            <w:r>
              <w:t>Strait of Hormuz</w:t>
            </w:r>
          </w:p>
        </w:tc>
        <w:tc>
          <w:tcPr>
            <w:tcW w:w="0" w:type="auto"/>
          </w:tcPr>
          <w:p w14:paraId="0E375838" w14:textId="77777777" w:rsidR="00180E7C" w:rsidRDefault="00000000">
            <w:pPr>
              <w:pStyle w:val="Compact"/>
            </w:pPr>
            <w:r>
              <w:t>Title III: Hormuz Authority, four corridors, free transit, twin-key governance, verified services model</w:t>
            </w:r>
          </w:p>
        </w:tc>
        <w:tc>
          <w:tcPr>
            <w:tcW w:w="0" w:type="auto"/>
          </w:tcPr>
          <w:p w14:paraId="7C40069A" w14:textId="77777777" w:rsidR="00180E7C" w:rsidRDefault="00000000">
            <w:pPr>
              <w:pStyle w:val="Compact"/>
            </w:pPr>
            <w:r>
              <w:t>Arts. 31-45; Annex B</w:t>
            </w:r>
          </w:p>
        </w:tc>
      </w:tr>
      <w:tr w:rsidR="00180E7C" w14:paraId="4EB1B820" w14:textId="77777777">
        <w:tc>
          <w:tcPr>
            <w:tcW w:w="0" w:type="auto"/>
          </w:tcPr>
          <w:p w14:paraId="1BA82248" w14:textId="77777777" w:rsidR="00180E7C" w:rsidRDefault="00000000">
            <w:pPr>
              <w:pStyle w:val="Compact"/>
            </w:pPr>
            <w:r>
              <w:t>28</w:t>
            </w:r>
          </w:p>
        </w:tc>
        <w:tc>
          <w:tcPr>
            <w:tcW w:w="0" w:type="auto"/>
          </w:tcPr>
          <w:p w14:paraId="1C37F1A2" w14:textId="77777777" w:rsidR="00180E7C" w:rsidRDefault="00000000">
            <w:pPr>
              <w:pStyle w:val="Compact"/>
            </w:pPr>
            <w:r>
              <w:t>No-strike zones</w:t>
            </w:r>
          </w:p>
        </w:tc>
        <w:tc>
          <w:tcPr>
            <w:tcW w:w="0" w:type="auto"/>
          </w:tcPr>
          <w:p w14:paraId="293DA6A6" w14:textId="77777777" w:rsidR="00180E7C" w:rsidRDefault="00000000">
            <w:pPr>
              <w:pStyle w:val="Compact"/>
            </w:pPr>
            <w:r>
              <w:t>Exclusion of attacks on nuclear, water, power, hospital, and basic civilian energy infrastructure; regional sponsorship</w:t>
            </w:r>
          </w:p>
        </w:tc>
        <w:tc>
          <w:tcPr>
            <w:tcW w:w="0" w:type="auto"/>
          </w:tcPr>
          <w:p w14:paraId="3D2EFD21" w14:textId="77777777" w:rsidR="00180E7C" w:rsidRDefault="00000000">
            <w:pPr>
              <w:pStyle w:val="Compact"/>
            </w:pPr>
            <w:r>
              <w:t>Art. 80</w:t>
            </w:r>
          </w:p>
        </w:tc>
      </w:tr>
      <w:tr w:rsidR="00180E7C" w14:paraId="66578D27" w14:textId="77777777">
        <w:tc>
          <w:tcPr>
            <w:tcW w:w="0" w:type="auto"/>
          </w:tcPr>
          <w:p w14:paraId="12F17500" w14:textId="77777777" w:rsidR="00180E7C" w:rsidRDefault="00000000">
            <w:pPr>
              <w:pStyle w:val="Compact"/>
            </w:pPr>
            <w:r>
              <w:t>29</w:t>
            </w:r>
          </w:p>
        </w:tc>
        <w:tc>
          <w:tcPr>
            <w:tcW w:w="0" w:type="auto"/>
          </w:tcPr>
          <w:p w14:paraId="54223E84" w14:textId="77777777" w:rsidR="00180E7C" w:rsidRDefault="00000000">
            <w:pPr>
              <w:pStyle w:val="Compact"/>
            </w:pPr>
            <w:r>
              <w:t>Cyber warfare</w:t>
            </w:r>
          </w:p>
        </w:tc>
        <w:tc>
          <w:tcPr>
            <w:tcW w:w="0" w:type="auto"/>
          </w:tcPr>
          <w:p w14:paraId="40C52CAA" w14:textId="77777777" w:rsidR="00180E7C" w:rsidRDefault="00000000">
            <w:pPr>
              <w:pStyle w:val="Compact"/>
            </w:pPr>
            <w:r>
              <w:t>Critical infrastructure protection, Joint Cyber Review Cell, convergent attribution</w:t>
            </w:r>
          </w:p>
        </w:tc>
        <w:tc>
          <w:tcPr>
            <w:tcW w:w="0" w:type="auto"/>
          </w:tcPr>
          <w:p w14:paraId="674F4002" w14:textId="77777777" w:rsidR="00180E7C" w:rsidRDefault="00000000">
            <w:pPr>
              <w:pStyle w:val="Compact"/>
            </w:pPr>
            <w:r>
              <w:t>Art. 22; Annex C.11</w:t>
            </w:r>
          </w:p>
        </w:tc>
      </w:tr>
      <w:tr w:rsidR="00180E7C" w14:paraId="78DEFE0F" w14:textId="77777777">
        <w:tc>
          <w:tcPr>
            <w:tcW w:w="0" w:type="auto"/>
          </w:tcPr>
          <w:p w14:paraId="47CEF7BF" w14:textId="77777777" w:rsidR="00180E7C" w:rsidRDefault="00000000">
            <w:pPr>
              <w:pStyle w:val="Compact"/>
            </w:pPr>
            <w:r>
              <w:t>30</w:t>
            </w:r>
          </w:p>
        </w:tc>
        <w:tc>
          <w:tcPr>
            <w:tcW w:w="0" w:type="auto"/>
          </w:tcPr>
          <w:p w14:paraId="6A032769" w14:textId="77777777" w:rsidR="00180E7C" w:rsidRDefault="00000000">
            <w:pPr>
              <w:pStyle w:val="Compact"/>
            </w:pPr>
            <w:r>
              <w:t>Military exercises</w:t>
            </w:r>
          </w:p>
        </w:tc>
        <w:tc>
          <w:tcPr>
            <w:tcW w:w="0" w:type="auto"/>
          </w:tcPr>
          <w:p w14:paraId="160BDCDC" w14:textId="77777777" w:rsidR="00180E7C" w:rsidRDefault="00000000">
            <w:pPr>
              <w:pStyle w:val="Compact"/>
            </w:pPr>
            <w:r>
              <w:t>Notification, frequency ceilings, separation minima, live-fire boxes</w:t>
            </w:r>
          </w:p>
        </w:tc>
        <w:tc>
          <w:tcPr>
            <w:tcW w:w="0" w:type="auto"/>
          </w:tcPr>
          <w:p w14:paraId="6024A51C" w14:textId="77777777" w:rsidR="00180E7C" w:rsidRDefault="00000000">
            <w:pPr>
              <w:pStyle w:val="Compact"/>
            </w:pPr>
            <w:r>
              <w:t>Art. 16.5; Annex B.16</w:t>
            </w:r>
          </w:p>
        </w:tc>
      </w:tr>
    </w:tbl>
    <w:p w14:paraId="1DC56BF4" w14:textId="77777777" w:rsidR="00180E7C" w:rsidRDefault="00000000">
      <w:pPr>
        <w:pStyle w:val="Heading3"/>
      </w:pPr>
      <w:bookmarkStart w:id="1314" w:name="tier-4-implementation-and-governance-1"/>
      <w:bookmarkEnd w:id="1313"/>
      <w:r>
        <w:t>Tier 4: Implementation and Governance</w:t>
      </w:r>
    </w:p>
    <w:tbl>
      <w:tblPr>
        <w:tblStyle w:val="Table"/>
        <w:tblW w:w="5000" w:type="pct"/>
        <w:tblLook w:val="0020" w:firstRow="1" w:lastRow="0" w:firstColumn="0" w:lastColumn="0" w:noHBand="0" w:noVBand="0"/>
      </w:tblPr>
      <w:tblGrid>
        <w:gridCol w:w="482"/>
        <w:gridCol w:w="2334"/>
        <w:gridCol w:w="5193"/>
        <w:gridCol w:w="1567"/>
      </w:tblGrid>
      <w:tr w:rsidR="00180E7C" w14:paraId="38DDAFB4"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9CB35B3" w14:textId="77777777" w:rsidR="00180E7C" w:rsidRDefault="00000000">
            <w:pPr>
              <w:pStyle w:val="Compact"/>
            </w:pPr>
            <w:r>
              <w:t>#</w:t>
            </w:r>
          </w:p>
        </w:tc>
        <w:tc>
          <w:tcPr>
            <w:tcW w:w="0" w:type="auto"/>
          </w:tcPr>
          <w:p w14:paraId="43D7E77F" w14:textId="77777777" w:rsidR="00180E7C" w:rsidRDefault="00000000">
            <w:pPr>
              <w:pStyle w:val="Compact"/>
            </w:pPr>
            <w:r>
              <w:t>Issue</w:t>
            </w:r>
          </w:p>
        </w:tc>
        <w:tc>
          <w:tcPr>
            <w:tcW w:w="0" w:type="auto"/>
          </w:tcPr>
          <w:p w14:paraId="4CD8DA50" w14:textId="77777777" w:rsidR="00180E7C" w:rsidRDefault="00000000">
            <w:pPr>
              <w:pStyle w:val="Compact"/>
            </w:pPr>
            <w:r>
              <w:t>Resolution</w:t>
            </w:r>
          </w:p>
        </w:tc>
        <w:tc>
          <w:tcPr>
            <w:tcW w:w="0" w:type="auto"/>
          </w:tcPr>
          <w:p w14:paraId="363C0D79" w14:textId="77777777" w:rsidR="00180E7C" w:rsidRDefault="00000000">
            <w:pPr>
              <w:pStyle w:val="Compact"/>
            </w:pPr>
            <w:r>
              <w:t>Location</w:t>
            </w:r>
          </w:p>
        </w:tc>
      </w:tr>
      <w:tr w:rsidR="00180E7C" w14:paraId="46E0603A" w14:textId="77777777">
        <w:tc>
          <w:tcPr>
            <w:tcW w:w="0" w:type="auto"/>
          </w:tcPr>
          <w:p w14:paraId="2BAA5094" w14:textId="77777777" w:rsidR="00180E7C" w:rsidRDefault="00000000">
            <w:pPr>
              <w:pStyle w:val="Compact"/>
            </w:pPr>
            <w:r>
              <w:t>31</w:t>
            </w:r>
          </w:p>
        </w:tc>
        <w:tc>
          <w:tcPr>
            <w:tcW w:w="0" w:type="auto"/>
          </w:tcPr>
          <w:p w14:paraId="3FE1FC7B" w14:textId="77777777" w:rsidR="00180E7C" w:rsidRDefault="00000000">
            <w:pPr>
              <w:pStyle w:val="Compact"/>
            </w:pPr>
            <w:r>
              <w:t>Sequencing</w:t>
            </w:r>
          </w:p>
        </w:tc>
        <w:tc>
          <w:tcPr>
            <w:tcW w:w="0" w:type="auto"/>
          </w:tcPr>
          <w:p w14:paraId="5B9FD5CC" w14:textId="77777777" w:rsidR="00180E7C" w:rsidRDefault="00000000">
            <w:pPr>
              <w:pStyle w:val="Compact"/>
            </w:pPr>
            <w:r>
              <w:t>Master timeline with phase gates, interleaving, fallback sequences; neither Party moves first into vulnerability</w:t>
            </w:r>
          </w:p>
        </w:tc>
        <w:tc>
          <w:tcPr>
            <w:tcW w:w="0" w:type="auto"/>
          </w:tcPr>
          <w:p w14:paraId="1DD9C828" w14:textId="77777777" w:rsidR="00180E7C" w:rsidRDefault="00000000">
            <w:pPr>
              <w:pStyle w:val="Compact"/>
            </w:pPr>
            <w:r>
              <w:t>Art. 10; Annex P</w:t>
            </w:r>
          </w:p>
        </w:tc>
      </w:tr>
      <w:tr w:rsidR="00180E7C" w14:paraId="65AC7217" w14:textId="77777777">
        <w:tc>
          <w:tcPr>
            <w:tcW w:w="0" w:type="auto"/>
          </w:tcPr>
          <w:p w14:paraId="28D865AB" w14:textId="77777777" w:rsidR="00180E7C" w:rsidRDefault="00000000">
            <w:pPr>
              <w:pStyle w:val="Compact"/>
            </w:pPr>
            <w:r>
              <w:t>32</w:t>
            </w:r>
          </w:p>
        </w:tc>
        <w:tc>
          <w:tcPr>
            <w:tcW w:w="0" w:type="auto"/>
          </w:tcPr>
          <w:p w14:paraId="10C1075F" w14:textId="77777777" w:rsidR="00180E7C" w:rsidRDefault="00000000">
            <w:pPr>
              <w:pStyle w:val="Compact"/>
            </w:pPr>
            <w:r>
              <w:t>Verification arbiter</w:t>
            </w:r>
          </w:p>
        </w:tc>
        <w:tc>
          <w:tcPr>
            <w:tcW w:w="0" w:type="auto"/>
          </w:tcPr>
          <w:p w14:paraId="58448E78" w14:textId="77777777" w:rsidR="00180E7C" w:rsidRDefault="00000000">
            <w:pPr>
              <w:pStyle w:val="Compact"/>
            </w:pPr>
            <w:r>
              <w:t>Cothrom Engine: JMC plus IAEA plus neutral expert panels; objective indicators only</w:t>
            </w:r>
          </w:p>
        </w:tc>
        <w:tc>
          <w:tcPr>
            <w:tcW w:w="0" w:type="auto"/>
          </w:tcPr>
          <w:p w14:paraId="591A6BF5" w14:textId="77777777" w:rsidR="00180E7C" w:rsidRDefault="00000000">
            <w:pPr>
              <w:pStyle w:val="Compact"/>
            </w:pPr>
            <w:r>
              <w:t>Art. 67; Annex C</w:t>
            </w:r>
          </w:p>
        </w:tc>
      </w:tr>
      <w:tr w:rsidR="00180E7C" w14:paraId="78EDF72A" w14:textId="77777777">
        <w:tc>
          <w:tcPr>
            <w:tcW w:w="0" w:type="auto"/>
          </w:tcPr>
          <w:p w14:paraId="23A1BF43" w14:textId="77777777" w:rsidR="00180E7C" w:rsidRDefault="00000000">
            <w:pPr>
              <w:pStyle w:val="Compact"/>
            </w:pPr>
            <w:r>
              <w:t>33</w:t>
            </w:r>
          </w:p>
        </w:tc>
        <w:tc>
          <w:tcPr>
            <w:tcW w:w="0" w:type="auto"/>
          </w:tcPr>
          <w:p w14:paraId="0F333E31" w14:textId="77777777" w:rsidR="00180E7C" w:rsidRDefault="00000000">
            <w:pPr>
              <w:pStyle w:val="Compact"/>
            </w:pPr>
            <w:r>
              <w:t>UNSC resolution</w:t>
            </w:r>
          </w:p>
        </w:tc>
        <w:tc>
          <w:tcPr>
            <w:tcW w:w="0" w:type="auto"/>
          </w:tcPr>
          <w:p w14:paraId="3BE590E7" w14:textId="77777777" w:rsidR="00180E7C" w:rsidRDefault="00000000">
            <w:pPr>
              <w:pStyle w:val="Compact"/>
            </w:pPr>
            <w:r>
              <w:t>Joint transmittal and endorsement resolution terminating prior measures; no snapback mechanism</w:t>
            </w:r>
          </w:p>
        </w:tc>
        <w:tc>
          <w:tcPr>
            <w:tcW w:w="0" w:type="auto"/>
          </w:tcPr>
          <w:p w14:paraId="70F4C31C" w14:textId="77777777" w:rsidR="00180E7C" w:rsidRDefault="00000000">
            <w:pPr>
              <w:pStyle w:val="Compact"/>
            </w:pPr>
            <w:r>
              <w:t>Art. 86; Annex R, Part 5</w:t>
            </w:r>
          </w:p>
        </w:tc>
      </w:tr>
      <w:tr w:rsidR="00180E7C" w14:paraId="2A17F0D2" w14:textId="77777777">
        <w:tc>
          <w:tcPr>
            <w:tcW w:w="0" w:type="auto"/>
          </w:tcPr>
          <w:p w14:paraId="5C2FF8F9" w14:textId="77777777" w:rsidR="00180E7C" w:rsidRDefault="00000000">
            <w:pPr>
              <w:pStyle w:val="Compact"/>
            </w:pPr>
            <w:r>
              <w:t>34</w:t>
            </w:r>
          </w:p>
        </w:tc>
        <w:tc>
          <w:tcPr>
            <w:tcW w:w="0" w:type="auto"/>
          </w:tcPr>
          <w:p w14:paraId="376F45E5" w14:textId="77777777" w:rsidR="00180E7C" w:rsidRDefault="00000000">
            <w:pPr>
              <w:pStyle w:val="Compact"/>
            </w:pPr>
            <w:r>
              <w:t>Role of Israel</w:t>
            </w:r>
          </w:p>
        </w:tc>
        <w:tc>
          <w:tcPr>
            <w:tcW w:w="0" w:type="auto"/>
          </w:tcPr>
          <w:p w14:paraId="42D92913" w14:textId="77777777" w:rsidR="00180E7C" w:rsidRDefault="00000000">
            <w:pPr>
              <w:pStyle w:val="Compact"/>
            </w:pPr>
            <w:r>
              <w:t>Non-signatory protocol: security outcomes delivered as verified facts; parallel United States-Israel assurance; information channel</w:t>
            </w:r>
          </w:p>
        </w:tc>
        <w:tc>
          <w:tcPr>
            <w:tcW w:w="0" w:type="auto"/>
          </w:tcPr>
          <w:p w14:paraId="2009914D" w14:textId="77777777" w:rsidR="00180E7C" w:rsidRDefault="00000000">
            <w:pPr>
              <w:pStyle w:val="Compact"/>
            </w:pPr>
            <w:r>
              <w:t>Art. 81</w:t>
            </w:r>
          </w:p>
        </w:tc>
      </w:tr>
      <w:tr w:rsidR="00180E7C" w14:paraId="5957804C" w14:textId="77777777">
        <w:tc>
          <w:tcPr>
            <w:tcW w:w="0" w:type="auto"/>
          </w:tcPr>
          <w:p w14:paraId="737E6474" w14:textId="77777777" w:rsidR="00180E7C" w:rsidRDefault="00000000">
            <w:pPr>
              <w:pStyle w:val="Compact"/>
            </w:pPr>
            <w:r>
              <w:t>35</w:t>
            </w:r>
          </w:p>
        </w:tc>
        <w:tc>
          <w:tcPr>
            <w:tcW w:w="0" w:type="auto"/>
          </w:tcPr>
          <w:p w14:paraId="52E0B0DF" w14:textId="77777777" w:rsidR="00180E7C" w:rsidRDefault="00000000">
            <w:pPr>
              <w:pStyle w:val="Compact"/>
            </w:pPr>
            <w:r>
              <w:t>United States congressional approval</w:t>
            </w:r>
          </w:p>
        </w:tc>
        <w:tc>
          <w:tcPr>
            <w:tcW w:w="0" w:type="auto"/>
          </w:tcPr>
          <w:p w14:paraId="10EE493C" w14:textId="77777777" w:rsidR="00180E7C" w:rsidRDefault="00000000">
            <w:pPr>
              <w:pStyle w:val="Compact"/>
            </w:pPr>
            <w:r>
              <w:t>Statutory termination through implementing legislation, insulating the deal from executive reversal</w:t>
            </w:r>
          </w:p>
        </w:tc>
        <w:tc>
          <w:tcPr>
            <w:tcW w:w="0" w:type="auto"/>
          </w:tcPr>
          <w:p w14:paraId="207C3DB1" w14:textId="77777777" w:rsidR="00180E7C" w:rsidRDefault="00000000">
            <w:pPr>
              <w:pStyle w:val="Compact"/>
            </w:pPr>
            <w:r>
              <w:t>Art. 13.1; Annex P.10</w:t>
            </w:r>
          </w:p>
        </w:tc>
      </w:tr>
      <w:tr w:rsidR="00180E7C" w14:paraId="5771845F" w14:textId="77777777">
        <w:tc>
          <w:tcPr>
            <w:tcW w:w="0" w:type="auto"/>
          </w:tcPr>
          <w:p w14:paraId="0CE1CB04" w14:textId="77777777" w:rsidR="00180E7C" w:rsidRDefault="00000000">
            <w:pPr>
              <w:pStyle w:val="Compact"/>
            </w:pPr>
            <w:r>
              <w:t>36</w:t>
            </w:r>
          </w:p>
        </w:tc>
        <w:tc>
          <w:tcPr>
            <w:tcW w:w="0" w:type="auto"/>
          </w:tcPr>
          <w:p w14:paraId="4D35FF0A" w14:textId="77777777" w:rsidR="00180E7C" w:rsidRDefault="00000000">
            <w:pPr>
              <w:pStyle w:val="Compact"/>
            </w:pPr>
            <w:r>
              <w:t>Iranian domestic politics</w:t>
            </w:r>
          </w:p>
        </w:tc>
        <w:tc>
          <w:tcPr>
            <w:tcW w:w="0" w:type="auto"/>
          </w:tcPr>
          <w:p w14:paraId="2B861161" w14:textId="77777777" w:rsidR="00180E7C" w:rsidRDefault="00000000">
            <w:pPr>
              <w:pStyle w:val="Compact"/>
            </w:pPr>
            <w:r>
              <w:t>Ratification through majlis and constitutional processes; leadership authorization delivers Hormuz draft; continuity mechanisms</w:t>
            </w:r>
          </w:p>
        </w:tc>
        <w:tc>
          <w:tcPr>
            <w:tcW w:w="0" w:type="auto"/>
          </w:tcPr>
          <w:p w14:paraId="51557B8C" w14:textId="77777777" w:rsidR="00180E7C" w:rsidRDefault="00000000">
            <w:pPr>
              <w:pStyle w:val="Compact"/>
            </w:pPr>
            <w:r>
              <w:t>Art. 13.2, 15</w:t>
            </w:r>
          </w:p>
        </w:tc>
      </w:tr>
      <w:tr w:rsidR="00180E7C" w14:paraId="306F8FC0" w14:textId="77777777">
        <w:tc>
          <w:tcPr>
            <w:tcW w:w="0" w:type="auto"/>
          </w:tcPr>
          <w:p w14:paraId="38F01A89" w14:textId="77777777" w:rsidR="00180E7C" w:rsidRDefault="00000000">
            <w:pPr>
              <w:pStyle w:val="Compact"/>
            </w:pPr>
            <w:r>
              <w:t>37</w:t>
            </w:r>
          </w:p>
        </w:tc>
        <w:tc>
          <w:tcPr>
            <w:tcW w:w="0" w:type="auto"/>
          </w:tcPr>
          <w:p w14:paraId="6E36D46E" w14:textId="77777777" w:rsidR="00180E7C" w:rsidRDefault="00000000">
            <w:pPr>
              <w:pStyle w:val="Compact"/>
            </w:pPr>
            <w:r>
              <w:t>Snapback re-imposition</w:t>
            </w:r>
          </w:p>
        </w:tc>
        <w:tc>
          <w:tcPr>
            <w:tcW w:w="0" w:type="auto"/>
          </w:tcPr>
          <w:p w14:paraId="488077EC" w14:textId="77777777" w:rsidR="00180E7C" w:rsidRDefault="00000000">
            <w:pPr>
              <w:pStyle w:val="Compact"/>
            </w:pPr>
            <w:r>
              <w:t>Replaced: proportionate step-back ceilings, demerit ladder, Material Breach list with due process</w:t>
            </w:r>
          </w:p>
        </w:tc>
        <w:tc>
          <w:tcPr>
            <w:tcW w:w="0" w:type="auto"/>
          </w:tcPr>
          <w:p w14:paraId="03856B3C" w14:textId="77777777" w:rsidR="00180E7C" w:rsidRDefault="00000000">
            <w:pPr>
              <w:pStyle w:val="Compact"/>
            </w:pPr>
            <w:r>
              <w:t>Art. 69-70; Annexes D-E</w:t>
            </w:r>
          </w:p>
        </w:tc>
      </w:tr>
      <w:tr w:rsidR="00180E7C" w14:paraId="7D601976" w14:textId="77777777">
        <w:tc>
          <w:tcPr>
            <w:tcW w:w="0" w:type="auto"/>
          </w:tcPr>
          <w:p w14:paraId="42EA8002" w14:textId="77777777" w:rsidR="00180E7C" w:rsidRDefault="00000000">
            <w:pPr>
              <w:pStyle w:val="Compact"/>
            </w:pPr>
            <w:r>
              <w:t>38</w:t>
            </w:r>
          </w:p>
        </w:tc>
        <w:tc>
          <w:tcPr>
            <w:tcW w:w="0" w:type="auto"/>
          </w:tcPr>
          <w:p w14:paraId="393D9C9A" w14:textId="77777777" w:rsidR="00180E7C" w:rsidRDefault="00000000">
            <w:pPr>
              <w:pStyle w:val="Compact"/>
            </w:pPr>
            <w:r>
              <w:t>Snapback for Iran</w:t>
            </w:r>
          </w:p>
        </w:tc>
        <w:tc>
          <w:tcPr>
            <w:tcW w:w="0" w:type="auto"/>
          </w:tcPr>
          <w:p w14:paraId="0BAD8B8D" w14:textId="77777777" w:rsidR="00180E7C" w:rsidRDefault="00000000">
            <w:pPr>
              <w:pStyle w:val="Compact"/>
            </w:pPr>
            <w:r>
              <w:t>Symmetric: United States violations pause United States performance and accelerate compensation; symmetric claim procedure</w:t>
            </w:r>
          </w:p>
        </w:tc>
        <w:tc>
          <w:tcPr>
            <w:tcW w:w="0" w:type="auto"/>
          </w:tcPr>
          <w:p w14:paraId="1BCF5E44" w14:textId="77777777" w:rsidR="00180E7C" w:rsidRDefault="00000000">
            <w:pPr>
              <w:pStyle w:val="Compact"/>
            </w:pPr>
            <w:r>
              <w:t>Art. 70.4, 70.6</w:t>
            </w:r>
          </w:p>
        </w:tc>
      </w:tr>
      <w:tr w:rsidR="00180E7C" w14:paraId="48191AFC" w14:textId="77777777">
        <w:tc>
          <w:tcPr>
            <w:tcW w:w="0" w:type="auto"/>
          </w:tcPr>
          <w:p w14:paraId="6ABDBDFF" w14:textId="77777777" w:rsidR="00180E7C" w:rsidRDefault="00000000">
            <w:pPr>
              <w:pStyle w:val="Compact"/>
            </w:pPr>
            <w:r>
              <w:t>39</w:t>
            </w:r>
          </w:p>
        </w:tc>
        <w:tc>
          <w:tcPr>
            <w:tcW w:w="0" w:type="auto"/>
          </w:tcPr>
          <w:p w14:paraId="0C2EE2D7" w14:textId="77777777" w:rsidR="00180E7C" w:rsidRDefault="00000000">
            <w:pPr>
              <w:pStyle w:val="Compact"/>
            </w:pPr>
            <w:r>
              <w:t>Dispute resolution</w:t>
            </w:r>
          </w:p>
        </w:tc>
        <w:tc>
          <w:tcPr>
            <w:tcW w:w="0" w:type="auto"/>
          </w:tcPr>
          <w:p w14:paraId="7DC1079A" w14:textId="77777777" w:rsidR="00180E7C" w:rsidRDefault="00000000">
            <w:pPr>
              <w:pStyle w:val="Compact"/>
            </w:pPr>
            <w:r>
              <w:t xml:space="preserve">Time-bound ladder: consultation, technical </w:t>
            </w:r>
            <w:r>
              <w:lastRenderedPageBreak/>
              <w:t>organs, HCC, mediation, arbitration; no pocket veto</w:t>
            </w:r>
          </w:p>
        </w:tc>
        <w:tc>
          <w:tcPr>
            <w:tcW w:w="0" w:type="auto"/>
          </w:tcPr>
          <w:p w14:paraId="714D934E" w14:textId="77777777" w:rsidR="00180E7C" w:rsidRDefault="00000000">
            <w:pPr>
              <w:pStyle w:val="Compact"/>
            </w:pPr>
            <w:r>
              <w:lastRenderedPageBreak/>
              <w:t xml:space="preserve">Art. 69; </w:t>
            </w:r>
            <w:r>
              <w:lastRenderedPageBreak/>
              <w:t>Annex O</w:t>
            </w:r>
          </w:p>
        </w:tc>
      </w:tr>
      <w:tr w:rsidR="00180E7C" w14:paraId="1CACF4D5" w14:textId="77777777">
        <w:tc>
          <w:tcPr>
            <w:tcW w:w="0" w:type="auto"/>
          </w:tcPr>
          <w:p w14:paraId="062D14EF" w14:textId="77777777" w:rsidR="00180E7C" w:rsidRDefault="00000000">
            <w:pPr>
              <w:pStyle w:val="Compact"/>
            </w:pPr>
            <w:r>
              <w:lastRenderedPageBreak/>
              <w:t>40</w:t>
            </w:r>
          </w:p>
        </w:tc>
        <w:tc>
          <w:tcPr>
            <w:tcW w:w="0" w:type="auto"/>
          </w:tcPr>
          <w:p w14:paraId="0A88D112" w14:textId="77777777" w:rsidR="00180E7C" w:rsidRDefault="00000000">
            <w:pPr>
              <w:pStyle w:val="Compact"/>
            </w:pPr>
            <w:r>
              <w:t>Long-term dialogue channel</w:t>
            </w:r>
          </w:p>
        </w:tc>
        <w:tc>
          <w:tcPr>
            <w:tcW w:w="0" w:type="auto"/>
          </w:tcPr>
          <w:p w14:paraId="3DC95484" w14:textId="77777777" w:rsidR="00180E7C" w:rsidRDefault="00000000">
            <w:pPr>
              <w:pStyle w:val="Compact"/>
            </w:pPr>
            <w:r>
              <w:t>Quarterly deputy-minister consultations; hotlines; Track II foundation</w:t>
            </w:r>
          </w:p>
        </w:tc>
        <w:tc>
          <w:tcPr>
            <w:tcW w:w="0" w:type="auto"/>
          </w:tcPr>
          <w:p w14:paraId="6FBC0F89" w14:textId="77777777" w:rsidR="00180E7C" w:rsidRDefault="00000000">
            <w:pPr>
              <w:pStyle w:val="Compact"/>
            </w:pPr>
            <w:r>
              <w:t>Art. 5.3, 84.3</w:t>
            </w:r>
          </w:p>
        </w:tc>
      </w:tr>
    </w:tbl>
    <w:p w14:paraId="32393ECF" w14:textId="77777777" w:rsidR="00180E7C" w:rsidRDefault="00000000">
      <w:pPr>
        <w:pStyle w:val="Heading3"/>
      </w:pPr>
      <w:bookmarkStart w:id="1315" w:name="Xffa4d220229f250eddb1773d471ed06a11fdee2"/>
      <w:bookmarkEnd w:id="1314"/>
      <w:r>
        <w:t>Tier 5: Humanitarian, Regional Stability, and Soft Issues</w:t>
      </w:r>
    </w:p>
    <w:tbl>
      <w:tblPr>
        <w:tblStyle w:val="Table"/>
        <w:tblW w:w="5000" w:type="pct"/>
        <w:tblLook w:val="0020" w:firstRow="1" w:lastRow="0" w:firstColumn="0" w:lastColumn="0" w:noHBand="0" w:noVBand="0"/>
      </w:tblPr>
      <w:tblGrid>
        <w:gridCol w:w="482"/>
        <w:gridCol w:w="2592"/>
        <w:gridCol w:w="4822"/>
        <w:gridCol w:w="1680"/>
      </w:tblGrid>
      <w:tr w:rsidR="00180E7C" w14:paraId="2FC5508C"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92B6436" w14:textId="77777777" w:rsidR="00180E7C" w:rsidRDefault="00000000">
            <w:pPr>
              <w:pStyle w:val="Compact"/>
            </w:pPr>
            <w:r>
              <w:t>#</w:t>
            </w:r>
          </w:p>
        </w:tc>
        <w:tc>
          <w:tcPr>
            <w:tcW w:w="0" w:type="auto"/>
          </w:tcPr>
          <w:p w14:paraId="70B063B9" w14:textId="77777777" w:rsidR="00180E7C" w:rsidRDefault="00000000">
            <w:pPr>
              <w:pStyle w:val="Compact"/>
            </w:pPr>
            <w:r>
              <w:t>Issue</w:t>
            </w:r>
          </w:p>
        </w:tc>
        <w:tc>
          <w:tcPr>
            <w:tcW w:w="0" w:type="auto"/>
          </w:tcPr>
          <w:p w14:paraId="39EEB6EE" w14:textId="77777777" w:rsidR="00180E7C" w:rsidRDefault="00000000">
            <w:pPr>
              <w:pStyle w:val="Compact"/>
            </w:pPr>
            <w:r>
              <w:t>Resolution</w:t>
            </w:r>
          </w:p>
        </w:tc>
        <w:tc>
          <w:tcPr>
            <w:tcW w:w="0" w:type="auto"/>
          </w:tcPr>
          <w:p w14:paraId="15EC92B8" w14:textId="77777777" w:rsidR="00180E7C" w:rsidRDefault="00000000">
            <w:pPr>
              <w:pStyle w:val="Compact"/>
            </w:pPr>
            <w:r>
              <w:t>Location</w:t>
            </w:r>
          </w:p>
        </w:tc>
      </w:tr>
      <w:tr w:rsidR="00180E7C" w14:paraId="40F251A4" w14:textId="77777777">
        <w:tc>
          <w:tcPr>
            <w:tcW w:w="0" w:type="auto"/>
          </w:tcPr>
          <w:p w14:paraId="3FAFCB13" w14:textId="77777777" w:rsidR="00180E7C" w:rsidRDefault="00000000">
            <w:pPr>
              <w:pStyle w:val="Compact"/>
            </w:pPr>
            <w:r>
              <w:t>41</w:t>
            </w:r>
          </w:p>
        </w:tc>
        <w:tc>
          <w:tcPr>
            <w:tcW w:w="0" w:type="auto"/>
          </w:tcPr>
          <w:p w14:paraId="560E64ED" w14:textId="77777777" w:rsidR="00180E7C" w:rsidRDefault="00000000">
            <w:pPr>
              <w:pStyle w:val="Compact"/>
            </w:pPr>
            <w:r>
              <w:t>Lebanon reconstruction</w:t>
            </w:r>
          </w:p>
        </w:tc>
        <w:tc>
          <w:tcPr>
            <w:tcW w:w="0" w:type="auto"/>
          </w:tcPr>
          <w:p w14:paraId="0142CDD0" w14:textId="77777777" w:rsidR="00180E7C" w:rsidRDefault="00000000">
            <w:pPr>
              <w:pStyle w:val="Compact"/>
            </w:pPr>
            <w:r>
              <w:t>RDF Lebanon envelope through Lebanese state institutions</w:t>
            </w:r>
          </w:p>
        </w:tc>
        <w:tc>
          <w:tcPr>
            <w:tcW w:w="0" w:type="auto"/>
          </w:tcPr>
          <w:p w14:paraId="7ADE65BF" w14:textId="77777777" w:rsidR="00180E7C" w:rsidRDefault="00000000">
            <w:pPr>
              <w:pStyle w:val="Compact"/>
            </w:pPr>
            <w:r>
              <w:t>Art. 76.4; Annex I.9.4</w:t>
            </w:r>
          </w:p>
        </w:tc>
      </w:tr>
      <w:tr w:rsidR="00180E7C" w14:paraId="077B83B0" w14:textId="77777777">
        <w:tc>
          <w:tcPr>
            <w:tcW w:w="0" w:type="auto"/>
          </w:tcPr>
          <w:p w14:paraId="2B32CC55" w14:textId="77777777" w:rsidR="00180E7C" w:rsidRDefault="00000000">
            <w:pPr>
              <w:pStyle w:val="Compact"/>
            </w:pPr>
            <w:r>
              <w:t>42</w:t>
            </w:r>
          </w:p>
        </w:tc>
        <w:tc>
          <w:tcPr>
            <w:tcW w:w="0" w:type="auto"/>
          </w:tcPr>
          <w:p w14:paraId="56D5A4DB" w14:textId="77777777" w:rsidR="00180E7C" w:rsidRDefault="00000000">
            <w:pPr>
              <w:pStyle w:val="Compact"/>
            </w:pPr>
            <w:r>
              <w:t>Yemen settlement</w:t>
            </w:r>
          </w:p>
        </w:tc>
        <w:tc>
          <w:tcPr>
            <w:tcW w:w="0" w:type="auto"/>
          </w:tcPr>
          <w:p w14:paraId="5D224670" w14:textId="77777777" w:rsidR="00180E7C" w:rsidRDefault="00000000">
            <w:pPr>
              <w:pStyle w:val="Compact"/>
            </w:pPr>
            <w:r>
              <w:t>Support architecture: ceasefire backing, humanitarian surge, Red Sea transition</w:t>
            </w:r>
          </w:p>
        </w:tc>
        <w:tc>
          <w:tcPr>
            <w:tcW w:w="0" w:type="auto"/>
          </w:tcPr>
          <w:p w14:paraId="06F53193" w14:textId="77777777" w:rsidR="00180E7C" w:rsidRDefault="00000000">
            <w:pPr>
              <w:pStyle w:val="Compact"/>
            </w:pPr>
            <w:r>
              <w:t>Art. 77</w:t>
            </w:r>
          </w:p>
        </w:tc>
      </w:tr>
      <w:tr w:rsidR="00180E7C" w14:paraId="2811598C" w14:textId="77777777">
        <w:tc>
          <w:tcPr>
            <w:tcW w:w="0" w:type="auto"/>
          </w:tcPr>
          <w:p w14:paraId="28779BA7" w14:textId="77777777" w:rsidR="00180E7C" w:rsidRDefault="00000000">
            <w:pPr>
              <w:pStyle w:val="Compact"/>
            </w:pPr>
            <w:r>
              <w:t>43</w:t>
            </w:r>
          </w:p>
        </w:tc>
        <w:tc>
          <w:tcPr>
            <w:tcW w:w="0" w:type="auto"/>
          </w:tcPr>
          <w:p w14:paraId="0F9B2FA9" w14:textId="77777777" w:rsidR="00180E7C" w:rsidRDefault="00000000">
            <w:pPr>
              <w:pStyle w:val="Compact"/>
            </w:pPr>
            <w:r>
              <w:t>Refugee return</w:t>
            </w:r>
          </w:p>
        </w:tc>
        <w:tc>
          <w:tcPr>
            <w:tcW w:w="0" w:type="auto"/>
          </w:tcPr>
          <w:p w14:paraId="4F801FA4" w14:textId="77777777" w:rsidR="00180E7C" w:rsidRDefault="00000000">
            <w:pPr>
              <w:pStyle w:val="Compact"/>
            </w:pPr>
            <w:r>
              <w:t>Voluntary safe return framework with RDF support</w:t>
            </w:r>
          </w:p>
        </w:tc>
        <w:tc>
          <w:tcPr>
            <w:tcW w:w="0" w:type="auto"/>
          </w:tcPr>
          <w:p w14:paraId="014AA7BB" w14:textId="77777777" w:rsidR="00180E7C" w:rsidRDefault="00000000">
            <w:pPr>
              <w:pStyle w:val="Compact"/>
            </w:pPr>
            <w:r>
              <w:t>Art. 82</w:t>
            </w:r>
          </w:p>
        </w:tc>
      </w:tr>
      <w:tr w:rsidR="00180E7C" w14:paraId="24C402F6" w14:textId="77777777">
        <w:tc>
          <w:tcPr>
            <w:tcW w:w="0" w:type="auto"/>
          </w:tcPr>
          <w:p w14:paraId="3CA51492" w14:textId="77777777" w:rsidR="00180E7C" w:rsidRDefault="00000000">
            <w:pPr>
              <w:pStyle w:val="Compact"/>
            </w:pPr>
            <w:r>
              <w:t>44</w:t>
            </w:r>
          </w:p>
        </w:tc>
        <w:tc>
          <w:tcPr>
            <w:tcW w:w="0" w:type="auto"/>
          </w:tcPr>
          <w:p w14:paraId="2412F9AC" w14:textId="77777777" w:rsidR="00180E7C" w:rsidRDefault="00000000">
            <w:pPr>
              <w:pStyle w:val="Compact"/>
            </w:pPr>
            <w:r>
              <w:t>Prisoner exchange</w:t>
            </w:r>
          </w:p>
        </w:tc>
        <w:tc>
          <w:tcPr>
            <w:tcW w:w="0" w:type="auto"/>
          </w:tcPr>
          <w:p w14:paraId="0701085D" w14:textId="77777777" w:rsidR="00180E7C" w:rsidRDefault="00000000">
            <w:pPr>
              <w:pStyle w:val="Compact"/>
            </w:pPr>
            <w:r>
              <w:t>Full reciprocal release within 30 days, ICRC-verified</w:t>
            </w:r>
          </w:p>
        </w:tc>
        <w:tc>
          <w:tcPr>
            <w:tcW w:w="0" w:type="auto"/>
          </w:tcPr>
          <w:p w14:paraId="4DAA9932" w14:textId="77777777" w:rsidR="00180E7C" w:rsidRDefault="00000000">
            <w:pPr>
              <w:pStyle w:val="Compact"/>
            </w:pPr>
            <w:r>
              <w:t>Art. 64.1; Annex M.2</w:t>
            </w:r>
          </w:p>
        </w:tc>
      </w:tr>
      <w:tr w:rsidR="00180E7C" w14:paraId="7D83AE84" w14:textId="77777777">
        <w:tc>
          <w:tcPr>
            <w:tcW w:w="0" w:type="auto"/>
          </w:tcPr>
          <w:p w14:paraId="0EB24B25" w14:textId="77777777" w:rsidR="00180E7C" w:rsidRDefault="00000000">
            <w:pPr>
              <w:pStyle w:val="Compact"/>
            </w:pPr>
            <w:r>
              <w:t>45</w:t>
            </w:r>
          </w:p>
        </w:tc>
        <w:tc>
          <w:tcPr>
            <w:tcW w:w="0" w:type="auto"/>
          </w:tcPr>
          <w:p w14:paraId="68F9919F" w14:textId="77777777" w:rsidR="00180E7C" w:rsidRDefault="00000000">
            <w:pPr>
              <w:pStyle w:val="Compact"/>
            </w:pPr>
            <w:r>
              <w:t>Missing persons</w:t>
            </w:r>
          </w:p>
        </w:tc>
        <w:tc>
          <w:tcPr>
            <w:tcW w:w="0" w:type="auto"/>
          </w:tcPr>
          <w:p w14:paraId="49547008" w14:textId="77777777" w:rsidR="00180E7C" w:rsidRDefault="00000000">
            <w:pPr>
              <w:pStyle w:val="Compact"/>
            </w:pPr>
            <w:r>
              <w:t>Joint Commission with ICRC, covering 2026 and historic files</w:t>
            </w:r>
          </w:p>
        </w:tc>
        <w:tc>
          <w:tcPr>
            <w:tcW w:w="0" w:type="auto"/>
          </w:tcPr>
          <w:p w14:paraId="475AB2A1" w14:textId="77777777" w:rsidR="00180E7C" w:rsidRDefault="00000000">
            <w:pPr>
              <w:pStyle w:val="Compact"/>
            </w:pPr>
            <w:r>
              <w:t>Art. 64.3; Annex M.9</w:t>
            </w:r>
          </w:p>
        </w:tc>
      </w:tr>
      <w:tr w:rsidR="00180E7C" w14:paraId="3EECF274" w14:textId="77777777">
        <w:tc>
          <w:tcPr>
            <w:tcW w:w="0" w:type="auto"/>
          </w:tcPr>
          <w:p w14:paraId="3FCAEA99" w14:textId="77777777" w:rsidR="00180E7C" w:rsidRDefault="00000000">
            <w:pPr>
              <w:pStyle w:val="Compact"/>
            </w:pPr>
            <w:r>
              <w:t>46</w:t>
            </w:r>
          </w:p>
        </w:tc>
        <w:tc>
          <w:tcPr>
            <w:tcW w:w="0" w:type="auto"/>
          </w:tcPr>
          <w:p w14:paraId="6696D81B" w14:textId="77777777" w:rsidR="00180E7C" w:rsidRDefault="00000000">
            <w:pPr>
              <w:pStyle w:val="Compact"/>
            </w:pPr>
            <w:r>
              <w:t>Environmental cooperation</w:t>
            </w:r>
          </w:p>
        </w:tc>
        <w:tc>
          <w:tcPr>
            <w:tcW w:w="0" w:type="auto"/>
          </w:tcPr>
          <w:p w14:paraId="43ED6C8F" w14:textId="77777777" w:rsidR="00180E7C" w:rsidRDefault="00000000">
            <w:pPr>
              <w:pStyle w:val="Compact"/>
            </w:pPr>
            <w:r>
              <w:t>Joint Environmental Program; ring-fenced fund</w:t>
            </w:r>
          </w:p>
        </w:tc>
        <w:tc>
          <w:tcPr>
            <w:tcW w:w="0" w:type="auto"/>
          </w:tcPr>
          <w:p w14:paraId="066A813F" w14:textId="77777777" w:rsidR="00180E7C" w:rsidRDefault="00000000">
            <w:pPr>
              <w:pStyle w:val="Compact"/>
            </w:pPr>
            <w:r>
              <w:t>Art. 83.1-83.2</w:t>
            </w:r>
          </w:p>
        </w:tc>
      </w:tr>
      <w:tr w:rsidR="00180E7C" w14:paraId="6E7E81B8" w14:textId="77777777">
        <w:tc>
          <w:tcPr>
            <w:tcW w:w="0" w:type="auto"/>
          </w:tcPr>
          <w:p w14:paraId="231E1832" w14:textId="77777777" w:rsidR="00180E7C" w:rsidRDefault="00000000">
            <w:pPr>
              <w:pStyle w:val="Compact"/>
            </w:pPr>
            <w:r>
              <w:t>47</w:t>
            </w:r>
          </w:p>
        </w:tc>
        <w:tc>
          <w:tcPr>
            <w:tcW w:w="0" w:type="auto"/>
          </w:tcPr>
          <w:p w14:paraId="5492F7A7" w14:textId="77777777" w:rsidR="00180E7C" w:rsidRDefault="00000000">
            <w:pPr>
              <w:pStyle w:val="Compact"/>
            </w:pPr>
            <w:r>
              <w:t>Cultural and academic exchange</w:t>
            </w:r>
          </w:p>
        </w:tc>
        <w:tc>
          <w:tcPr>
            <w:tcW w:w="0" w:type="auto"/>
          </w:tcPr>
          <w:p w14:paraId="25339211" w14:textId="77777777" w:rsidR="00180E7C" w:rsidRDefault="00000000">
            <w:pPr>
              <w:pStyle w:val="Compact"/>
            </w:pPr>
            <w:r>
              <w:t>Bilateral Exchange Foundation endowed via RDF</w:t>
            </w:r>
          </w:p>
        </w:tc>
        <w:tc>
          <w:tcPr>
            <w:tcW w:w="0" w:type="auto"/>
          </w:tcPr>
          <w:p w14:paraId="46776C32" w14:textId="77777777" w:rsidR="00180E7C" w:rsidRDefault="00000000">
            <w:pPr>
              <w:pStyle w:val="Compact"/>
            </w:pPr>
            <w:r>
              <w:t>Art. 84.1</w:t>
            </w:r>
          </w:p>
        </w:tc>
      </w:tr>
      <w:tr w:rsidR="00180E7C" w14:paraId="7C0A9129" w14:textId="77777777">
        <w:tc>
          <w:tcPr>
            <w:tcW w:w="0" w:type="auto"/>
          </w:tcPr>
          <w:p w14:paraId="06435B98" w14:textId="77777777" w:rsidR="00180E7C" w:rsidRDefault="00000000">
            <w:pPr>
              <w:pStyle w:val="Compact"/>
            </w:pPr>
            <w:r>
              <w:t>48</w:t>
            </w:r>
          </w:p>
        </w:tc>
        <w:tc>
          <w:tcPr>
            <w:tcW w:w="0" w:type="auto"/>
          </w:tcPr>
          <w:p w14:paraId="611D917C" w14:textId="77777777" w:rsidR="00180E7C" w:rsidRDefault="00000000">
            <w:pPr>
              <w:pStyle w:val="Compact"/>
            </w:pPr>
            <w:r>
              <w:t>Anti-narcotics</w:t>
            </w:r>
          </w:p>
        </w:tc>
        <w:tc>
          <w:tcPr>
            <w:tcW w:w="0" w:type="auto"/>
          </w:tcPr>
          <w:p w14:paraId="466335E3" w14:textId="77777777" w:rsidR="00180E7C" w:rsidRDefault="00000000">
            <w:pPr>
              <w:pStyle w:val="Compact"/>
            </w:pPr>
            <w:r>
              <w:t>Joint Working Group resuming proven cooperation</w:t>
            </w:r>
          </w:p>
        </w:tc>
        <w:tc>
          <w:tcPr>
            <w:tcW w:w="0" w:type="auto"/>
          </w:tcPr>
          <w:p w14:paraId="67171842" w14:textId="77777777" w:rsidR="00180E7C" w:rsidRDefault="00000000">
            <w:pPr>
              <w:pStyle w:val="Compact"/>
            </w:pPr>
            <w:r>
              <w:t>Art. 83.4</w:t>
            </w:r>
          </w:p>
        </w:tc>
      </w:tr>
      <w:tr w:rsidR="00180E7C" w14:paraId="43B8388C" w14:textId="77777777">
        <w:tc>
          <w:tcPr>
            <w:tcW w:w="0" w:type="auto"/>
          </w:tcPr>
          <w:p w14:paraId="3C6FD565" w14:textId="77777777" w:rsidR="00180E7C" w:rsidRDefault="00000000">
            <w:pPr>
              <w:pStyle w:val="Compact"/>
            </w:pPr>
            <w:r>
              <w:t>49</w:t>
            </w:r>
          </w:p>
        </w:tc>
        <w:tc>
          <w:tcPr>
            <w:tcW w:w="0" w:type="auto"/>
          </w:tcPr>
          <w:p w14:paraId="295A5524" w14:textId="77777777" w:rsidR="00180E7C" w:rsidRDefault="00000000">
            <w:pPr>
              <w:pStyle w:val="Compact"/>
            </w:pPr>
            <w:r>
              <w:t>Humanitarian access</w:t>
            </w:r>
          </w:p>
        </w:tc>
        <w:tc>
          <w:tcPr>
            <w:tcW w:w="0" w:type="auto"/>
          </w:tcPr>
          <w:p w14:paraId="09810A91" w14:textId="77777777" w:rsidR="00180E7C" w:rsidRDefault="00000000">
            <w:pPr>
              <w:pStyle w:val="Compact"/>
            </w:pPr>
            <w:r>
              <w:t>Standing channel, organization access, corridors; absolute firewall</w:t>
            </w:r>
          </w:p>
        </w:tc>
        <w:tc>
          <w:tcPr>
            <w:tcW w:w="0" w:type="auto"/>
          </w:tcPr>
          <w:p w14:paraId="367F10E7" w14:textId="77777777" w:rsidR="00180E7C" w:rsidRDefault="00000000">
            <w:pPr>
              <w:pStyle w:val="Compact"/>
            </w:pPr>
            <w:r>
              <w:t>Art. 9, 57; Annex M</w:t>
            </w:r>
          </w:p>
        </w:tc>
      </w:tr>
      <w:tr w:rsidR="00180E7C" w14:paraId="0270AD79" w14:textId="77777777">
        <w:tc>
          <w:tcPr>
            <w:tcW w:w="0" w:type="auto"/>
          </w:tcPr>
          <w:p w14:paraId="0D5E2968" w14:textId="77777777" w:rsidR="00180E7C" w:rsidRDefault="00000000">
            <w:pPr>
              <w:pStyle w:val="Compact"/>
            </w:pPr>
            <w:r>
              <w:t>50</w:t>
            </w:r>
          </w:p>
        </w:tc>
        <w:tc>
          <w:tcPr>
            <w:tcW w:w="0" w:type="auto"/>
          </w:tcPr>
          <w:p w14:paraId="70672663" w14:textId="77777777" w:rsidR="00180E7C" w:rsidRDefault="00000000">
            <w:pPr>
              <w:pStyle w:val="Compact"/>
            </w:pPr>
            <w:r>
              <w:t>Public communication</w:t>
            </w:r>
          </w:p>
        </w:tc>
        <w:tc>
          <w:tcPr>
            <w:tcW w:w="0" w:type="auto"/>
          </w:tcPr>
          <w:p w14:paraId="4038993A" w14:textId="77777777" w:rsidR="00180E7C" w:rsidRDefault="00000000">
            <w:pPr>
              <w:pStyle w:val="Compact"/>
            </w:pPr>
            <w:r>
              <w:t>Joint Communication Cell; anti-capitulation pledge; crisis holding statements</w:t>
            </w:r>
          </w:p>
        </w:tc>
        <w:tc>
          <w:tcPr>
            <w:tcW w:w="0" w:type="auto"/>
          </w:tcPr>
          <w:p w14:paraId="565B2A40" w14:textId="77777777" w:rsidR="00180E7C" w:rsidRDefault="00000000">
            <w:pPr>
              <w:pStyle w:val="Compact"/>
            </w:pPr>
            <w:r>
              <w:t>Art. 12</w:t>
            </w:r>
          </w:p>
        </w:tc>
      </w:tr>
    </w:tbl>
    <w:p w14:paraId="37BBB4BA" w14:textId="77777777" w:rsidR="00180E7C" w:rsidRDefault="00000000">
      <w:pPr>
        <w:pStyle w:val="Heading2"/>
      </w:pPr>
      <w:bookmarkStart w:id="1316" w:name="part-two-the-demand-sets"/>
      <w:bookmarkEnd w:id="1310"/>
      <w:bookmarkEnd w:id="1315"/>
      <w:r>
        <w:t>Part Two: The Demand Sets</w:t>
      </w:r>
    </w:p>
    <w:p w14:paraId="37111F23" w14:textId="77777777" w:rsidR="00180E7C" w:rsidRDefault="00000000">
      <w:pPr>
        <w:pStyle w:val="Heading3"/>
      </w:pPr>
      <w:bookmarkStart w:id="1317" w:name="X0e231c6862c785b10607c73a451c585c91b0586"/>
      <w:r>
        <w:t>Q.2.1 United States Core Demands (as registered)</w:t>
      </w:r>
    </w:p>
    <w:tbl>
      <w:tblPr>
        <w:tblStyle w:val="Table"/>
        <w:tblW w:w="5000" w:type="pct"/>
        <w:tblLook w:val="0020" w:firstRow="1" w:lastRow="0" w:firstColumn="0" w:lastColumn="0" w:noHBand="0" w:noVBand="0"/>
      </w:tblPr>
      <w:tblGrid>
        <w:gridCol w:w="2523"/>
        <w:gridCol w:w="5714"/>
        <w:gridCol w:w="1339"/>
      </w:tblGrid>
      <w:tr w:rsidR="00180E7C" w14:paraId="3EBA1828"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26E44AD9" w14:textId="77777777" w:rsidR="00180E7C" w:rsidRDefault="00000000">
            <w:pPr>
              <w:pStyle w:val="Compact"/>
            </w:pPr>
            <w:r>
              <w:t>Demand</w:t>
            </w:r>
          </w:p>
        </w:tc>
        <w:tc>
          <w:tcPr>
            <w:tcW w:w="0" w:type="auto"/>
          </w:tcPr>
          <w:p w14:paraId="1F18251A" w14:textId="77777777" w:rsidR="00180E7C" w:rsidRDefault="00000000">
            <w:pPr>
              <w:pStyle w:val="Compact"/>
            </w:pPr>
            <w:r>
              <w:t>Disposition</w:t>
            </w:r>
          </w:p>
        </w:tc>
        <w:tc>
          <w:tcPr>
            <w:tcW w:w="0" w:type="auto"/>
          </w:tcPr>
          <w:p w14:paraId="7C5407BF" w14:textId="77777777" w:rsidR="00180E7C" w:rsidRDefault="00000000">
            <w:pPr>
              <w:pStyle w:val="Compact"/>
            </w:pPr>
            <w:r>
              <w:t>Location</w:t>
            </w:r>
          </w:p>
        </w:tc>
      </w:tr>
      <w:tr w:rsidR="00180E7C" w14:paraId="28913068" w14:textId="77777777">
        <w:tc>
          <w:tcPr>
            <w:tcW w:w="0" w:type="auto"/>
          </w:tcPr>
          <w:p w14:paraId="043D946C" w14:textId="77777777" w:rsidR="00180E7C" w:rsidRDefault="00000000">
            <w:pPr>
              <w:pStyle w:val="Compact"/>
            </w:pPr>
            <w:r>
              <w:t>Permanent commitment: no nuclear weapon ever</w:t>
            </w:r>
          </w:p>
        </w:tc>
        <w:tc>
          <w:tcPr>
            <w:tcW w:w="0" w:type="auto"/>
          </w:tcPr>
          <w:p w14:paraId="49739733" w14:textId="77777777" w:rsidR="00180E7C" w:rsidRDefault="00000000">
            <w:pPr>
              <w:pStyle w:val="Compact"/>
            </w:pPr>
            <w:r>
              <w:t>Delivered verbatim, permanent, no sunset</w:t>
            </w:r>
          </w:p>
        </w:tc>
        <w:tc>
          <w:tcPr>
            <w:tcW w:w="0" w:type="auto"/>
          </w:tcPr>
          <w:p w14:paraId="727C608F" w14:textId="77777777" w:rsidR="00180E7C" w:rsidRDefault="00000000">
            <w:pPr>
              <w:pStyle w:val="Compact"/>
            </w:pPr>
            <w:r>
              <w:t>Art. 61.1.1</w:t>
            </w:r>
          </w:p>
        </w:tc>
      </w:tr>
      <w:tr w:rsidR="00180E7C" w14:paraId="74F17073" w14:textId="77777777">
        <w:tc>
          <w:tcPr>
            <w:tcW w:w="0" w:type="auto"/>
          </w:tcPr>
          <w:p w14:paraId="64FAD355" w14:textId="77777777" w:rsidR="00180E7C" w:rsidRDefault="00000000">
            <w:pPr>
              <w:pStyle w:val="Compact"/>
            </w:pPr>
            <w:r>
              <w:t>Immediate unconditional reopening of Hormuz without tolls</w:t>
            </w:r>
          </w:p>
        </w:tc>
        <w:tc>
          <w:tcPr>
            <w:tcW w:w="0" w:type="auto"/>
          </w:tcPr>
          <w:p w14:paraId="058A3DA6" w14:textId="77777777" w:rsidR="00180E7C" w:rsidRDefault="00000000">
            <w:pPr>
              <w:pStyle w:val="Compact"/>
            </w:pPr>
            <w:r>
              <w:t>Delivered: free transit permanent; no tolls ever; non-suspension rule</w:t>
            </w:r>
          </w:p>
        </w:tc>
        <w:tc>
          <w:tcPr>
            <w:tcW w:w="0" w:type="auto"/>
          </w:tcPr>
          <w:p w14:paraId="236BADA6" w14:textId="77777777" w:rsidR="00180E7C" w:rsidRDefault="00000000">
            <w:pPr>
              <w:pStyle w:val="Compact"/>
            </w:pPr>
            <w:r>
              <w:t>Arts. 1.1.4, 34.1-34.2, 37.1</w:t>
            </w:r>
          </w:p>
        </w:tc>
      </w:tr>
      <w:tr w:rsidR="00180E7C" w14:paraId="2C4518D3" w14:textId="77777777">
        <w:tc>
          <w:tcPr>
            <w:tcW w:w="0" w:type="auto"/>
          </w:tcPr>
          <w:p w14:paraId="6D73DFFD" w14:textId="77777777" w:rsidR="00180E7C" w:rsidRDefault="00000000">
            <w:pPr>
              <w:pStyle w:val="Compact"/>
            </w:pPr>
            <w:r>
              <w:t>Mine removal</w:t>
            </w:r>
          </w:p>
        </w:tc>
        <w:tc>
          <w:tcPr>
            <w:tcW w:w="0" w:type="auto"/>
          </w:tcPr>
          <w:p w14:paraId="1164E2A0" w14:textId="77777777" w:rsidR="00180E7C" w:rsidRDefault="00000000">
            <w:pPr>
              <w:pStyle w:val="Compact"/>
            </w:pPr>
            <w:r>
              <w:t xml:space="preserve">Delivered: clearance program with certification, United States intelligence support, monitored depot </w:t>
            </w:r>
            <w:r>
              <w:lastRenderedPageBreak/>
              <w:t>consolidation</w:t>
            </w:r>
          </w:p>
        </w:tc>
        <w:tc>
          <w:tcPr>
            <w:tcW w:w="0" w:type="auto"/>
          </w:tcPr>
          <w:p w14:paraId="6656D563" w14:textId="77777777" w:rsidR="00180E7C" w:rsidRDefault="00000000">
            <w:pPr>
              <w:pStyle w:val="Compact"/>
            </w:pPr>
            <w:r>
              <w:lastRenderedPageBreak/>
              <w:t>Art. 20.4; Annex J.9</w:t>
            </w:r>
          </w:p>
        </w:tc>
      </w:tr>
      <w:tr w:rsidR="00180E7C" w14:paraId="2473ED5D" w14:textId="77777777">
        <w:tc>
          <w:tcPr>
            <w:tcW w:w="0" w:type="auto"/>
          </w:tcPr>
          <w:p w14:paraId="71D612AB" w14:textId="77777777" w:rsidR="00180E7C" w:rsidRDefault="00000000">
            <w:pPr>
              <w:pStyle w:val="Compact"/>
            </w:pPr>
            <w:r>
              <w:t>Recovery and destruction of enriched uranium jointly (US-Iran-IAEA)</w:t>
            </w:r>
          </w:p>
        </w:tc>
        <w:tc>
          <w:tcPr>
            <w:tcW w:w="0" w:type="auto"/>
          </w:tcPr>
          <w:p w14:paraId="3C9716EB" w14:textId="77777777" w:rsidR="00180E7C" w:rsidRDefault="00000000">
            <w:pPr>
              <w:pStyle w:val="Compact"/>
            </w:pPr>
            <w:r>
              <w:t>Delivered in function: joint recovery under IAEA with United States technical data support; destruction achieved as isotopic neutralization in Iran (the registered Iranian red line against export holds; the United States red line for verifiable neutralization holds; structure satisfies both)</w:t>
            </w:r>
          </w:p>
        </w:tc>
        <w:tc>
          <w:tcPr>
            <w:tcW w:w="0" w:type="auto"/>
          </w:tcPr>
          <w:p w14:paraId="0B570553" w14:textId="77777777" w:rsidR="00180E7C" w:rsidRDefault="00000000">
            <w:pPr>
              <w:pStyle w:val="Compact"/>
            </w:pPr>
            <w:r>
              <w:t>Art. 61.2; Annex F.5</w:t>
            </w:r>
          </w:p>
        </w:tc>
      </w:tr>
      <w:tr w:rsidR="00180E7C" w14:paraId="041A326D" w14:textId="77777777">
        <w:tc>
          <w:tcPr>
            <w:tcW w:w="0" w:type="auto"/>
          </w:tcPr>
          <w:p w14:paraId="0E65C2B5" w14:textId="77777777" w:rsidR="00180E7C" w:rsidRDefault="00000000">
            <w:pPr>
              <w:pStyle w:val="Compact"/>
            </w:pPr>
            <w:r>
              <w:t>Dismantlement of Natanz, Isfahan, Fordow</w:t>
            </w:r>
          </w:p>
        </w:tc>
        <w:tc>
          <w:tcPr>
            <w:tcW w:w="0" w:type="auto"/>
          </w:tcPr>
          <w:p w14:paraId="70EB5CE3" w14:textId="77777777" w:rsidR="00180E7C" w:rsidRDefault="00000000">
            <w:pPr>
              <w:pStyle w:val="Compact"/>
            </w:pPr>
            <w:r>
              <w:t>Resolved structurally: Fordow converted internationally; Isfahan converted to disposition and storage functions; Natanz capped at civil scale under continuous presence; the dismantlement demand’s purpose (no rapid weapons capability) delivered through physics and verification rather than demolition</w:t>
            </w:r>
          </w:p>
        </w:tc>
        <w:tc>
          <w:tcPr>
            <w:tcW w:w="0" w:type="auto"/>
          </w:tcPr>
          <w:p w14:paraId="10576714" w14:textId="77777777" w:rsidR="00180E7C" w:rsidRDefault="00000000">
            <w:pPr>
              <w:pStyle w:val="Compact"/>
            </w:pPr>
            <w:r>
              <w:t>Art. 61.5</w:t>
            </w:r>
          </w:p>
        </w:tc>
      </w:tr>
      <w:tr w:rsidR="00180E7C" w14:paraId="07C91A88" w14:textId="77777777">
        <w:tc>
          <w:tcPr>
            <w:tcW w:w="0" w:type="auto"/>
          </w:tcPr>
          <w:p w14:paraId="7C0D2FFF" w14:textId="77777777" w:rsidR="00180E7C" w:rsidRDefault="00000000">
            <w:pPr>
              <w:pStyle w:val="Compact"/>
            </w:pPr>
            <w:r>
              <w:t>No enrichment on Iranian territory</w:t>
            </w:r>
          </w:p>
        </w:tc>
        <w:tc>
          <w:tcPr>
            <w:tcW w:w="0" w:type="auto"/>
          </w:tcPr>
          <w:p w14:paraId="20F756E1" w14:textId="77777777" w:rsidR="00180E7C" w:rsidRDefault="00000000">
            <w:pPr>
              <w:pStyle w:val="Compact"/>
            </w:pPr>
            <w:r>
              <w:t>Resolved structurally: enrichment continues at 3.67 percent civil scale (Iranian red line honored) while zero stockpile above 3.67 percent plus the twelve-month floor delivers the demand’s security substance permanently</w:t>
            </w:r>
          </w:p>
        </w:tc>
        <w:tc>
          <w:tcPr>
            <w:tcW w:w="0" w:type="auto"/>
          </w:tcPr>
          <w:p w14:paraId="4BCCB859" w14:textId="77777777" w:rsidR="00180E7C" w:rsidRDefault="00000000">
            <w:pPr>
              <w:pStyle w:val="Compact"/>
            </w:pPr>
            <w:r>
              <w:t>Art. 61.1-61.3</w:t>
            </w:r>
          </w:p>
        </w:tc>
      </w:tr>
      <w:tr w:rsidR="00180E7C" w14:paraId="712BCC05" w14:textId="77777777">
        <w:tc>
          <w:tcPr>
            <w:tcW w:w="0" w:type="auto"/>
          </w:tcPr>
          <w:p w14:paraId="490B91F9" w14:textId="77777777" w:rsidR="00180E7C" w:rsidRDefault="00000000">
            <w:pPr>
              <w:pStyle w:val="Compact"/>
            </w:pPr>
            <w:r>
              <w:t>Stockpile handed to IAEA and destroyed</w:t>
            </w:r>
          </w:p>
        </w:tc>
        <w:tc>
          <w:tcPr>
            <w:tcW w:w="0" w:type="auto"/>
          </w:tcPr>
          <w:p w14:paraId="5BEBCAA2" w14:textId="77777777" w:rsidR="00180E7C" w:rsidRDefault="00000000">
            <w:pPr>
              <w:pStyle w:val="Compact"/>
            </w:pPr>
            <w:r>
              <w:t>Delivered in function: the IAEA controls the verification of every gram; material loses weapons utility irreversibly; title stays Iranian</w:t>
            </w:r>
          </w:p>
        </w:tc>
        <w:tc>
          <w:tcPr>
            <w:tcW w:w="0" w:type="auto"/>
          </w:tcPr>
          <w:p w14:paraId="7FC98622" w14:textId="77777777" w:rsidR="00180E7C" w:rsidRDefault="00000000">
            <w:pPr>
              <w:pStyle w:val="Compact"/>
            </w:pPr>
            <w:r>
              <w:t>Art. 61.2, 61.4</w:t>
            </w:r>
          </w:p>
        </w:tc>
      </w:tr>
      <w:tr w:rsidR="00180E7C" w14:paraId="5CD85E74" w14:textId="77777777">
        <w:tc>
          <w:tcPr>
            <w:tcW w:w="0" w:type="auto"/>
          </w:tcPr>
          <w:p w14:paraId="383EDDD1" w14:textId="77777777" w:rsidR="00180E7C" w:rsidRDefault="00000000">
            <w:pPr>
              <w:pStyle w:val="Compact"/>
            </w:pPr>
            <w:r>
              <w:t>Full IAEA access</w:t>
            </w:r>
          </w:p>
        </w:tc>
        <w:tc>
          <w:tcPr>
            <w:tcW w:w="0" w:type="auto"/>
          </w:tcPr>
          <w:p w14:paraId="5ED07A75" w14:textId="77777777" w:rsidR="00180E7C" w:rsidRDefault="00000000">
            <w:pPr>
              <w:pStyle w:val="Compact"/>
            </w:pPr>
            <w:r>
              <w:t>Delivered: anytime access, 24/72-hour timelines, refusal at Level 4</w:t>
            </w:r>
          </w:p>
        </w:tc>
        <w:tc>
          <w:tcPr>
            <w:tcW w:w="0" w:type="auto"/>
          </w:tcPr>
          <w:p w14:paraId="7EF6CB0B" w14:textId="77777777" w:rsidR="00180E7C" w:rsidRDefault="00000000">
            <w:pPr>
              <w:pStyle w:val="Compact"/>
            </w:pPr>
            <w:r>
              <w:t>Art. 62.4</w:t>
            </w:r>
          </w:p>
        </w:tc>
      </w:tr>
      <w:tr w:rsidR="00180E7C" w14:paraId="34570B54" w14:textId="77777777">
        <w:tc>
          <w:tcPr>
            <w:tcW w:w="0" w:type="auto"/>
          </w:tcPr>
          <w:p w14:paraId="73AC72E9" w14:textId="77777777" w:rsidR="00180E7C" w:rsidRDefault="00000000">
            <w:pPr>
              <w:pStyle w:val="Compact"/>
            </w:pPr>
            <w:r>
              <w:t>Missile range and quantity limits; self-defense only</w:t>
            </w:r>
          </w:p>
        </w:tc>
        <w:tc>
          <w:tcPr>
            <w:tcW w:w="0" w:type="auto"/>
          </w:tcPr>
          <w:p w14:paraId="39C14EA1" w14:textId="77777777" w:rsidR="00180E7C" w:rsidRDefault="00000000">
            <w:pPr>
              <w:pStyle w:val="Compact"/>
            </w:pPr>
            <w:r>
              <w:t>Stand-down plus dialogue framework plus nuclear-capable exclusion; defensive doctrine declarations</w:t>
            </w:r>
          </w:p>
        </w:tc>
        <w:tc>
          <w:tcPr>
            <w:tcW w:w="0" w:type="auto"/>
          </w:tcPr>
          <w:p w14:paraId="47F2453D" w14:textId="77777777" w:rsidR="00180E7C" w:rsidRDefault="00000000">
            <w:pPr>
              <w:pStyle w:val="Compact"/>
            </w:pPr>
            <w:r>
              <w:t>Art. 21; Annex K</w:t>
            </w:r>
          </w:p>
        </w:tc>
      </w:tr>
      <w:tr w:rsidR="00180E7C" w14:paraId="7DA7549D" w14:textId="77777777">
        <w:tc>
          <w:tcPr>
            <w:tcW w:w="0" w:type="auto"/>
          </w:tcPr>
          <w:p w14:paraId="0A5A6B03" w14:textId="77777777" w:rsidR="00180E7C" w:rsidRDefault="00000000">
            <w:pPr>
              <w:pStyle w:val="Compact"/>
            </w:pPr>
            <w:r>
              <w:t>Abandon proxy paradigm; cease funding, direction, arming</w:t>
            </w:r>
          </w:p>
        </w:tc>
        <w:tc>
          <w:tcPr>
            <w:tcW w:w="0" w:type="auto"/>
          </w:tcPr>
          <w:p w14:paraId="49C80F3B" w14:textId="77777777" w:rsidR="00180E7C" w:rsidRDefault="00000000">
            <w:pPr>
              <w:pStyle w:val="Compact"/>
            </w:pPr>
            <w:r>
              <w:t>Termination of weapons and military financing flows, verified; political relationships remain sovereign affairs</w:t>
            </w:r>
          </w:p>
        </w:tc>
        <w:tc>
          <w:tcPr>
            <w:tcW w:w="0" w:type="auto"/>
          </w:tcPr>
          <w:p w14:paraId="1AFD2CAB" w14:textId="77777777" w:rsidR="00180E7C" w:rsidRDefault="00000000">
            <w:pPr>
              <w:pStyle w:val="Compact"/>
            </w:pPr>
            <w:r>
              <w:t>Art. 7; Annex L</w:t>
            </w:r>
          </w:p>
        </w:tc>
      </w:tr>
      <w:tr w:rsidR="00180E7C" w14:paraId="48F1A139" w14:textId="77777777">
        <w:tc>
          <w:tcPr>
            <w:tcW w:w="0" w:type="auto"/>
          </w:tcPr>
          <w:p w14:paraId="17660998" w14:textId="77777777" w:rsidR="00180E7C" w:rsidRDefault="00000000">
            <w:pPr>
              <w:pStyle w:val="Compact"/>
            </w:pPr>
            <w:r>
              <w:t>Compensation demand (50-year claims)</w:t>
            </w:r>
          </w:p>
        </w:tc>
        <w:tc>
          <w:tcPr>
            <w:tcW w:w="0" w:type="auto"/>
          </w:tcPr>
          <w:p w14:paraId="408AB7C1" w14:textId="77777777" w:rsidR="00180E7C" w:rsidRDefault="00000000">
            <w:pPr>
              <w:pStyle w:val="Compact"/>
            </w:pPr>
            <w:r>
              <w:t>Resolved through the claims architecture: nationals’ claims adjudicated; state tribute declined; reconstruction through RDF</w:t>
            </w:r>
          </w:p>
        </w:tc>
        <w:tc>
          <w:tcPr>
            <w:tcW w:w="0" w:type="auto"/>
          </w:tcPr>
          <w:p w14:paraId="24B82F0C" w14:textId="77777777" w:rsidR="00180E7C" w:rsidRDefault="00000000">
            <w:pPr>
              <w:pStyle w:val="Compact"/>
            </w:pPr>
            <w:r>
              <w:t>Art. 65</w:t>
            </w:r>
          </w:p>
        </w:tc>
      </w:tr>
    </w:tbl>
    <w:p w14:paraId="78C2D495" w14:textId="77777777" w:rsidR="00180E7C" w:rsidRDefault="00000000">
      <w:pPr>
        <w:pStyle w:val="Heading3"/>
      </w:pPr>
      <w:bookmarkStart w:id="1318" w:name="q.2.2-iranian-core-demands-as-registered"/>
      <w:bookmarkEnd w:id="1317"/>
      <w:r>
        <w:t>Q.2.2 Iranian Core Demands (as registered)</w:t>
      </w:r>
    </w:p>
    <w:tbl>
      <w:tblPr>
        <w:tblStyle w:val="Table"/>
        <w:tblW w:w="5000" w:type="pct"/>
        <w:tblLook w:val="0020" w:firstRow="1" w:lastRow="0" w:firstColumn="0" w:lastColumn="0" w:noHBand="0" w:noVBand="0"/>
      </w:tblPr>
      <w:tblGrid>
        <w:gridCol w:w="3591"/>
        <w:gridCol w:w="4534"/>
        <w:gridCol w:w="1451"/>
      </w:tblGrid>
      <w:tr w:rsidR="00180E7C" w14:paraId="2B42A50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5623FE7" w14:textId="77777777" w:rsidR="00180E7C" w:rsidRDefault="00000000">
            <w:pPr>
              <w:pStyle w:val="Compact"/>
            </w:pPr>
            <w:r>
              <w:t>Demand</w:t>
            </w:r>
          </w:p>
        </w:tc>
        <w:tc>
          <w:tcPr>
            <w:tcW w:w="0" w:type="auto"/>
          </w:tcPr>
          <w:p w14:paraId="053A70CA" w14:textId="77777777" w:rsidR="00180E7C" w:rsidRDefault="00000000">
            <w:pPr>
              <w:pStyle w:val="Compact"/>
            </w:pPr>
            <w:r>
              <w:t>Disposition</w:t>
            </w:r>
          </w:p>
        </w:tc>
        <w:tc>
          <w:tcPr>
            <w:tcW w:w="0" w:type="auto"/>
          </w:tcPr>
          <w:p w14:paraId="2E05B021" w14:textId="77777777" w:rsidR="00180E7C" w:rsidRDefault="00000000">
            <w:pPr>
              <w:pStyle w:val="Compact"/>
            </w:pPr>
            <w:r>
              <w:t>Location</w:t>
            </w:r>
          </w:p>
        </w:tc>
      </w:tr>
      <w:tr w:rsidR="00180E7C" w14:paraId="30E2329A" w14:textId="77777777">
        <w:tc>
          <w:tcPr>
            <w:tcW w:w="0" w:type="auto"/>
          </w:tcPr>
          <w:p w14:paraId="36C2AD01" w14:textId="77777777" w:rsidR="00180E7C" w:rsidRDefault="00000000">
            <w:pPr>
              <w:pStyle w:val="Compact"/>
            </w:pPr>
            <w:r>
              <w:t>Permanent end to war and military action against Iran and regional files</w:t>
            </w:r>
          </w:p>
        </w:tc>
        <w:tc>
          <w:tcPr>
            <w:tcW w:w="0" w:type="auto"/>
          </w:tcPr>
          <w:p w14:paraId="6573CB90" w14:textId="77777777" w:rsidR="00180E7C" w:rsidRDefault="00000000">
            <w:pPr>
              <w:pStyle w:val="Compact"/>
            </w:pPr>
            <w:r>
              <w:t>Delivered: permanent ceasefire, non-aggression pact, parallel Lebanon instrument</w:t>
            </w:r>
          </w:p>
        </w:tc>
        <w:tc>
          <w:tcPr>
            <w:tcW w:w="0" w:type="auto"/>
          </w:tcPr>
          <w:p w14:paraId="2655491A" w14:textId="77777777" w:rsidR="00180E7C" w:rsidRDefault="00000000">
            <w:pPr>
              <w:pStyle w:val="Compact"/>
            </w:pPr>
            <w:r>
              <w:t>Arts. 1, 4, 76</w:t>
            </w:r>
          </w:p>
        </w:tc>
      </w:tr>
      <w:tr w:rsidR="00180E7C" w14:paraId="7BE3C228" w14:textId="77777777">
        <w:tc>
          <w:tcPr>
            <w:tcW w:w="0" w:type="auto"/>
          </w:tcPr>
          <w:p w14:paraId="70BC14B6" w14:textId="77777777" w:rsidR="00180E7C" w:rsidRDefault="00000000">
            <w:pPr>
              <w:pStyle w:val="Compact"/>
            </w:pPr>
            <w:r>
              <w:t>Blockade lifted, forces withdrawn from around Iran</w:t>
            </w:r>
          </w:p>
        </w:tc>
        <w:tc>
          <w:tcPr>
            <w:tcW w:w="0" w:type="auto"/>
          </w:tcPr>
          <w:p w14:paraId="7A7370FE" w14:textId="77777777" w:rsidR="00180E7C" w:rsidRDefault="00000000">
            <w:pPr>
              <w:pStyle w:val="Compact"/>
            </w:pPr>
            <w:r>
              <w:t>Delivered: blockade dissolves Day 1; posture rebalancing to peacetime levels</w:t>
            </w:r>
          </w:p>
        </w:tc>
        <w:tc>
          <w:tcPr>
            <w:tcW w:w="0" w:type="auto"/>
          </w:tcPr>
          <w:p w14:paraId="39C2A940" w14:textId="77777777" w:rsidR="00180E7C" w:rsidRDefault="00000000">
            <w:pPr>
              <w:pStyle w:val="Compact"/>
            </w:pPr>
            <w:r>
              <w:t>Arts. 1.1.3, 16.2</w:t>
            </w:r>
          </w:p>
        </w:tc>
      </w:tr>
      <w:tr w:rsidR="00180E7C" w14:paraId="03BC7032" w14:textId="77777777">
        <w:tc>
          <w:tcPr>
            <w:tcW w:w="0" w:type="auto"/>
          </w:tcPr>
          <w:p w14:paraId="6B9C646D" w14:textId="77777777" w:rsidR="00180E7C" w:rsidRDefault="00000000">
            <w:pPr>
              <w:pStyle w:val="Compact"/>
            </w:pPr>
            <w:r>
              <w:lastRenderedPageBreak/>
              <w:t>Compensation for war damage</w:t>
            </w:r>
          </w:p>
        </w:tc>
        <w:tc>
          <w:tcPr>
            <w:tcW w:w="0" w:type="auto"/>
          </w:tcPr>
          <w:p w14:paraId="69C59904" w14:textId="77777777" w:rsidR="00180E7C" w:rsidRDefault="00000000">
            <w:pPr>
              <w:pStyle w:val="Compact"/>
            </w:pPr>
            <w:r>
              <w:t>Delivered in substance: RDF reconstruction at 300 billion scale; state tribute form declined symmetrically</w:t>
            </w:r>
          </w:p>
        </w:tc>
        <w:tc>
          <w:tcPr>
            <w:tcW w:w="0" w:type="auto"/>
          </w:tcPr>
          <w:p w14:paraId="5C8C0C30" w14:textId="77777777" w:rsidR="00180E7C" w:rsidRDefault="00000000">
            <w:pPr>
              <w:pStyle w:val="Compact"/>
            </w:pPr>
            <w:r>
              <w:t>Arts. 52, 65.2</w:t>
            </w:r>
          </w:p>
        </w:tc>
      </w:tr>
      <w:tr w:rsidR="00180E7C" w14:paraId="43D64D93" w14:textId="77777777">
        <w:tc>
          <w:tcPr>
            <w:tcW w:w="0" w:type="auto"/>
          </w:tcPr>
          <w:p w14:paraId="6F28F113" w14:textId="77777777" w:rsidR="00180E7C" w:rsidRDefault="00000000">
            <w:pPr>
              <w:pStyle w:val="Compact"/>
            </w:pPr>
            <w:r>
              <w:t>All sanctions lifted</w:t>
            </w:r>
          </w:p>
        </w:tc>
        <w:tc>
          <w:tcPr>
            <w:tcW w:w="0" w:type="auto"/>
          </w:tcPr>
          <w:p w14:paraId="10B5479D" w14:textId="77777777" w:rsidR="00180E7C" w:rsidRDefault="00000000">
            <w:pPr>
              <w:pStyle w:val="Compact"/>
            </w:pPr>
            <w:r>
              <w:t>Delivered: full architecture termination on verified schedule, statute-locked</w:t>
            </w:r>
          </w:p>
        </w:tc>
        <w:tc>
          <w:tcPr>
            <w:tcW w:w="0" w:type="auto"/>
          </w:tcPr>
          <w:p w14:paraId="1589001E" w14:textId="77777777" w:rsidR="00180E7C" w:rsidRDefault="00000000">
            <w:pPr>
              <w:pStyle w:val="Compact"/>
            </w:pPr>
            <w:r>
              <w:t>Art. 46; Annex G</w:t>
            </w:r>
          </w:p>
        </w:tc>
      </w:tr>
      <w:tr w:rsidR="00180E7C" w14:paraId="12897205" w14:textId="77777777">
        <w:tc>
          <w:tcPr>
            <w:tcW w:w="0" w:type="auto"/>
          </w:tcPr>
          <w:p w14:paraId="0F6ACF9B" w14:textId="77777777" w:rsidR="00180E7C" w:rsidRDefault="00000000">
            <w:pPr>
              <w:pStyle w:val="Compact"/>
            </w:pPr>
            <w:r>
              <w:t>Frozen assets released unconditionally</w:t>
            </w:r>
          </w:p>
        </w:tc>
        <w:tc>
          <w:tcPr>
            <w:tcW w:w="0" w:type="auto"/>
          </w:tcPr>
          <w:p w14:paraId="0FAB2090" w14:textId="77777777" w:rsidR="00180E7C" w:rsidRDefault="00000000">
            <w:pPr>
              <w:pStyle w:val="Compact"/>
            </w:pPr>
            <w:r>
              <w:t>Delivered: half at EIF (the earliest verified moment), remainder on certificates; title never questioned</w:t>
            </w:r>
          </w:p>
        </w:tc>
        <w:tc>
          <w:tcPr>
            <w:tcW w:w="0" w:type="auto"/>
          </w:tcPr>
          <w:p w14:paraId="330CF115" w14:textId="77777777" w:rsidR="00180E7C" w:rsidRDefault="00000000">
            <w:pPr>
              <w:pStyle w:val="Compact"/>
            </w:pPr>
            <w:r>
              <w:t>Art. 47; Annex H</w:t>
            </w:r>
          </w:p>
        </w:tc>
      </w:tr>
      <w:tr w:rsidR="00180E7C" w14:paraId="015B4B6A" w14:textId="77777777">
        <w:tc>
          <w:tcPr>
            <w:tcW w:w="0" w:type="auto"/>
          </w:tcPr>
          <w:p w14:paraId="3DE7F6EB" w14:textId="77777777" w:rsidR="00180E7C" w:rsidRDefault="00000000">
            <w:pPr>
              <w:pStyle w:val="Compact"/>
            </w:pPr>
            <w:r>
              <w:t>Region-wide ceasefire including Lebanon and Gaza</w:t>
            </w:r>
          </w:p>
        </w:tc>
        <w:tc>
          <w:tcPr>
            <w:tcW w:w="0" w:type="auto"/>
          </w:tcPr>
          <w:p w14:paraId="06F86BB1" w14:textId="77777777" w:rsidR="00180E7C" w:rsidRDefault="00000000">
            <w:pPr>
              <w:pStyle w:val="Compact"/>
            </w:pPr>
            <w:r>
              <w:t>Delivered: Lebanon parallel binding instrument; Yemen and Palestine support architecture</w:t>
            </w:r>
          </w:p>
        </w:tc>
        <w:tc>
          <w:tcPr>
            <w:tcW w:w="0" w:type="auto"/>
          </w:tcPr>
          <w:p w14:paraId="0348225F" w14:textId="77777777" w:rsidR="00180E7C" w:rsidRDefault="00000000">
            <w:pPr>
              <w:pStyle w:val="Compact"/>
            </w:pPr>
            <w:r>
              <w:t>Arts. 76-77; Annex L.8</w:t>
            </w:r>
          </w:p>
        </w:tc>
      </w:tr>
      <w:tr w:rsidR="00180E7C" w14:paraId="20834CF4" w14:textId="77777777">
        <w:tc>
          <w:tcPr>
            <w:tcW w:w="0" w:type="auto"/>
          </w:tcPr>
          <w:p w14:paraId="2668DE21" w14:textId="77777777" w:rsidR="00180E7C" w:rsidRDefault="00000000">
            <w:pPr>
              <w:pStyle w:val="Compact"/>
            </w:pPr>
            <w:r>
              <w:t>End threats and insults, including against leadership</w:t>
            </w:r>
          </w:p>
        </w:tc>
        <w:tc>
          <w:tcPr>
            <w:tcW w:w="0" w:type="auto"/>
          </w:tcPr>
          <w:p w14:paraId="201E6071" w14:textId="77777777" w:rsidR="00180E7C" w:rsidRDefault="00000000">
            <w:pPr>
              <w:pStyle w:val="Compact"/>
            </w:pPr>
            <w:r>
              <w:t>Delivered: leadership security article; rhetoric de-escalation; respect clause</w:t>
            </w:r>
          </w:p>
        </w:tc>
        <w:tc>
          <w:tcPr>
            <w:tcW w:w="0" w:type="auto"/>
          </w:tcPr>
          <w:p w14:paraId="4866882F" w14:textId="77777777" w:rsidR="00180E7C" w:rsidRDefault="00000000">
            <w:pPr>
              <w:pStyle w:val="Compact"/>
            </w:pPr>
            <w:r>
              <w:t>Arts. 6, 12, 84.4</w:t>
            </w:r>
          </w:p>
        </w:tc>
      </w:tr>
      <w:tr w:rsidR="00180E7C" w14:paraId="43628378" w14:textId="77777777">
        <w:tc>
          <w:tcPr>
            <w:tcW w:w="0" w:type="auto"/>
          </w:tcPr>
          <w:p w14:paraId="682BEE93" w14:textId="77777777" w:rsidR="00180E7C" w:rsidRDefault="00000000">
            <w:pPr>
              <w:pStyle w:val="Compact"/>
            </w:pPr>
            <w:r>
              <w:t>Recognized role in administering the waterway (post-war order, not pre-war restoration)</w:t>
            </w:r>
          </w:p>
        </w:tc>
        <w:tc>
          <w:tcPr>
            <w:tcW w:w="0" w:type="auto"/>
          </w:tcPr>
          <w:p w14:paraId="786C779B" w14:textId="77777777" w:rsidR="00180E7C" w:rsidRDefault="00000000">
            <w:pPr>
              <w:pStyle w:val="Compact"/>
            </w:pPr>
            <w:r>
              <w:t>Delivered: Iran co-chairs the Authority, coordinates inbound corridor, holds twin-key; the order is new, institutional, and permanent</w:t>
            </w:r>
          </w:p>
        </w:tc>
        <w:tc>
          <w:tcPr>
            <w:tcW w:w="0" w:type="auto"/>
          </w:tcPr>
          <w:p w14:paraId="74357F53" w14:textId="77777777" w:rsidR="00180E7C" w:rsidRDefault="00000000">
            <w:pPr>
              <w:pStyle w:val="Compact"/>
            </w:pPr>
            <w:r>
              <w:t>Arts. 31-35</w:t>
            </w:r>
          </w:p>
        </w:tc>
      </w:tr>
      <w:tr w:rsidR="00180E7C" w14:paraId="74122EF7" w14:textId="77777777">
        <w:tc>
          <w:tcPr>
            <w:tcW w:w="0" w:type="auto"/>
          </w:tcPr>
          <w:p w14:paraId="355A7739" w14:textId="77777777" w:rsidR="00180E7C" w:rsidRDefault="00000000">
            <w:pPr>
              <w:pStyle w:val="Compact"/>
            </w:pPr>
            <w:r>
              <w:t>Enrichment as sovereign right</w:t>
            </w:r>
          </w:p>
        </w:tc>
        <w:tc>
          <w:tcPr>
            <w:tcW w:w="0" w:type="auto"/>
          </w:tcPr>
          <w:p w14:paraId="6A9C9D5F" w14:textId="77777777" w:rsidR="00180E7C" w:rsidRDefault="00000000">
            <w:pPr>
              <w:pStyle w:val="Compact"/>
            </w:pPr>
            <w:r>
              <w:t>Delivered: 3.67 percent civil program preserved permanently, endorsed by the United States</w:t>
            </w:r>
          </w:p>
        </w:tc>
        <w:tc>
          <w:tcPr>
            <w:tcW w:w="0" w:type="auto"/>
          </w:tcPr>
          <w:p w14:paraId="154E3349" w14:textId="77777777" w:rsidR="00180E7C" w:rsidRDefault="00000000">
            <w:pPr>
              <w:pStyle w:val="Compact"/>
            </w:pPr>
            <w:r>
              <w:t>Art. 61.1.2, 61.3</w:t>
            </w:r>
          </w:p>
        </w:tc>
      </w:tr>
      <w:tr w:rsidR="00180E7C" w14:paraId="476BE233" w14:textId="77777777">
        <w:tc>
          <w:tcPr>
            <w:tcW w:w="0" w:type="auto"/>
          </w:tcPr>
          <w:p w14:paraId="78A0A373" w14:textId="77777777" w:rsidR="00180E7C" w:rsidRDefault="00000000">
            <w:pPr>
              <w:pStyle w:val="Compact"/>
            </w:pPr>
            <w:r>
              <w:t>Material never leaves Iranian soil; title retained</w:t>
            </w:r>
          </w:p>
        </w:tc>
        <w:tc>
          <w:tcPr>
            <w:tcW w:w="0" w:type="auto"/>
          </w:tcPr>
          <w:p w14:paraId="45AB7E5E" w14:textId="77777777" w:rsidR="00180E7C" w:rsidRDefault="00000000">
            <w:pPr>
              <w:pStyle w:val="Compact"/>
            </w:pPr>
            <w:r>
              <w:t>Delivered: all disposition in-Iran; title retained throughout</w:t>
            </w:r>
          </w:p>
        </w:tc>
        <w:tc>
          <w:tcPr>
            <w:tcW w:w="0" w:type="auto"/>
          </w:tcPr>
          <w:p w14:paraId="5F1BC545" w14:textId="77777777" w:rsidR="00180E7C" w:rsidRDefault="00000000">
            <w:pPr>
              <w:pStyle w:val="Compact"/>
            </w:pPr>
            <w:r>
              <w:t>Art. 61.2.1; Annex F.9.3</w:t>
            </w:r>
          </w:p>
        </w:tc>
      </w:tr>
    </w:tbl>
    <w:p w14:paraId="10D19B38" w14:textId="77777777" w:rsidR="00180E7C" w:rsidRDefault="00000000">
      <w:pPr>
        <w:pStyle w:val="Heading3"/>
      </w:pPr>
      <w:bookmarkStart w:id="1319" w:name="X4562cd1c2753f8b2993e742406ccd6d9bb442e5"/>
      <w:bookmarkEnd w:id="1318"/>
      <w:r>
        <w:t>Q.2.3 Regional Demand Sets (Lebanon, Iraq, Yemen, Gulf)</w:t>
      </w:r>
    </w:p>
    <w:tbl>
      <w:tblPr>
        <w:tblStyle w:val="Table"/>
        <w:tblW w:w="5000" w:type="pct"/>
        <w:tblLook w:val="0020" w:firstRow="1" w:lastRow="0" w:firstColumn="0" w:lastColumn="0" w:noHBand="0" w:noVBand="0"/>
      </w:tblPr>
      <w:tblGrid>
        <w:gridCol w:w="1586"/>
        <w:gridCol w:w="4386"/>
        <w:gridCol w:w="3604"/>
      </w:tblGrid>
      <w:tr w:rsidR="00180E7C" w14:paraId="365F7D76"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543C5AE8" w14:textId="77777777" w:rsidR="00180E7C" w:rsidRDefault="00000000">
            <w:pPr>
              <w:pStyle w:val="Compact"/>
            </w:pPr>
            <w:r>
              <w:t>Set</w:t>
            </w:r>
          </w:p>
        </w:tc>
        <w:tc>
          <w:tcPr>
            <w:tcW w:w="0" w:type="auto"/>
          </w:tcPr>
          <w:p w14:paraId="2A784C86" w14:textId="77777777" w:rsidR="00180E7C" w:rsidRDefault="00000000">
            <w:pPr>
              <w:pStyle w:val="Compact"/>
            </w:pPr>
            <w:r>
              <w:t>Core Demands</w:t>
            </w:r>
          </w:p>
        </w:tc>
        <w:tc>
          <w:tcPr>
            <w:tcW w:w="0" w:type="auto"/>
          </w:tcPr>
          <w:p w14:paraId="641C8D24" w14:textId="77777777" w:rsidR="00180E7C" w:rsidRDefault="00000000">
            <w:pPr>
              <w:pStyle w:val="Compact"/>
            </w:pPr>
            <w:r>
              <w:t>Disposition</w:t>
            </w:r>
          </w:p>
        </w:tc>
      </w:tr>
      <w:tr w:rsidR="00180E7C" w14:paraId="52E30402" w14:textId="77777777">
        <w:tc>
          <w:tcPr>
            <w:tcW w:w="0" w:type="auto"/>
          </w:tcPr>
          <w:p w14:paraId="085CFA7A" w14:textId="77777777" w:rsidR="00180E7C" w:rsidRDefault="00000000">
            <w:pPr>
              <w:pStyle w:val="Compact"/>
            </w:pPr>
            <w:r>
              <w:t>Lebanon</w:t>
            </w:r>
          </w:p>
        </w:tc>
        <w:tc>
          <w:tcPr>
            <w:tcW w:w="0" w:type="auto"/>
          </w:tcPr>
          <w:p w14:paraId="7201CF4B" w14:textId="77777777" w:rsidR="00180E7C" w:rsidRDefault="00000000">
            <w:pPr>
              <w:pStyle w:val="Compact"/>
            </w:pPr>
            <w:r>
              <w:t>Durable ceasefire; end to attacks and airspace violations; withdrawal from re-entered areas; reconstruction; 1701 implementation; LAF authority; sovereignty over internal armed actors; border demarcation</w:t>
            </w:r>
          </w:p>
        </w:tc>
        <w:tc>
          <w:tcPr>
            <w:tcW w:w="0" w:type="auto"/>
          </w:tcPr>
          <w:p w14:paraId="4A7A5A32" w14:textId="77777777" w:rsidR="00180E7C" w:rsidRDefault="00000000">
            <w:pPr>
              <w:pStyle w:val="Compact"/>
            </w:pPr>
            <w:r>
              <w:t>Annex L Parts One-Three: durable ceasefire, withdrawal schedule, LAF build-up, RDF envelope, sovereign track, Blue Line technical track</w:t>
            </w:r>
          </w:p>
        </w:tc>
      </w:tr>
      <w:tr w:rsidR="00180E7C" w14:paraId="6B1292FE" w14:textId="77777777">
        <w:tc>
          <w:tcPr>
            <w:tcW w:w="0" w:type="auto"/>
          </w:tcPr>
          <w:p w14:paraId="6A1DA461" w14:textId="77777777" w:rsidR="00180E7C" w:rsidRDefault="00000000">
            <w:pPr>
              <w:pStyle w:val="Compact"/>
            </w:pPr>
            <w:r>
              <w:t>Iraq</w:t>
            </w:r>
          </w:p>
        </w:tc>
        <w:tc>
          <w:tcPr>
            <w:tcW w:w="0" w:type="auto"/>
          </w:tcPr>
          <w:p w14:paraId="0E380D69" w14:textId="77777777" w:rsidR="00180E7C" w:rsidRDefault="00000000">
            <w:pPr>
              <w:pStyle w:val="Compact"/>
            </w:pPr>
            <w:r>
              <w:t>Sovereignty and stability; militia integration as Iraqi-designed process; political process support</w:t>
            </w:r>
          </w:p>
        </w:tc>
        <w:tc>
          <w:tcPr>
            <w:tcW w:w="0" w:type="auto"/>
          </w:tcPr>
          <w:p w14:paraId="17672567" w14:textId="77777777" w:rsidR="00180E7C" w:rsidRDefault="00000000">
            <w:pPr>
              <w:pStyle w:val="Compact"/>
            </w:pPr>
            <w:r>
              <w:t>Art. 78; Annex L Part Four</w:t>
            </w:r>
          </w:p>
        </w:tc>
      </w:tr>
      <w:tr w:rsidR="00180E7C" w14:paraId="7822EB01" w14:textId="77777777">
        <w:tc>
          <w:tcPr>
            <w:tcW w:w="0" w:type="auto"/>
          </w:tcPr>
          <w:p w14:paraId="429E0B6A" w14:textId="77777777" w:rsidR="00180E7C" w:rsidRDefault="00000000">
            <w:pPr>
              <w:pStyle w:val="Compact"/>
            </w:pPr>
            <w:r>
              <w:t>Yemen</w:t>
            </w:r>
          </w:p>
        </w:tc>
        <w:tc>
          <w:tcPr>
            <w:tcW w:w="0" w:type="auto"/>
          </w:tcPr>
          <w:p w14:paraId="4428C623" w14:textId="77777777" w:rsidR="00180E7C" w:rsidRDefault="00000000">
            <w:pPr>
              <w:pStyle w:val="Compact"/>
            </w:pPr>
            <w:r>
              <w:t>Ceasefire and political settlement; humanitarian relief; end to blockade-era harms</w:t>
            </w:r>
          </w:p>
        </w:tc>
        <w:tc>
          <w:tcPr>
            <w:tcW w:w="0" w:type="auto"/>
          </w:tcPr>
          <w:p w14:paraId="6B460461" w14:textId="77777777" w:rsidR="00180E7C" w:rsidRDefault="00000000">
            <w:pPr>
              <w:pStyle w:val="Compact"/>
            </w:pPr>
            <w:r>
              <w:t>Art. 77; Annex M.5.2</w:t>
            </w:r>
          </w:p>
        </w:tc>
      </w:tr>
      <w:tr w:rsidR="00180E7C" w14:paraId="5A845424" w14:textId="77777777">
        <w:tc>
          <w:tcPr>
            <w:tcW w:w="0" w:type="auto"/>
          </w:tcPr>
          <w:p w14:paraId="6E9E899C" w14:textId="77777777" w:rsidR="00180E7C" w:rsidRDefault="00000000">
            <w:pPr>
              <w:pStyle w:val="Compact"/>
            </w:pPr>
            <w:r>
              <w:t>Gulf states</w:t>
            </w:r>
          </w:p>
        </w:tc>
        <w:tc>
          <w:tcPr>
            <w:tcW w:w="0" w:type="auto"/>
          </w:tcPr>
          <w:p w14:paraId="53121670" w14:textId="77777777" w:rsidR="00180E7C" w:rsidRDefault="00000000">
            <w:pPr>
              <w:pStyle w:val="Compact"/>
            </w:pPr>
            <w:r>
              <w:t>Strait security; regional framework; no nuclear-armed Iran; de-escalation</w:t>
            </w:r>
          </w:p>
        </w:tc>
        <w:tc>
          <w:tcPr>
            <w:tcW w:w="0" w:type="auto"/>
          </w:tcPr>
          <w:p w14:paraId="77F3AEC3" w14:textId="77777777" w:rsidR="00180E7C" w:rsidRDefault="00000000">
            <w:pPr>
              <w:pStyle w:val="Compact"/>
            </w:pPr>
            <w:r>
              <w:t>Title III; RSCSC; verification architecture; Art. 43</w:t>
            </w:r>
          </w:p>
        </w:tc>
      </w:tr>
      <w:tr w:rsidR="00180E7C" w14:paraId="72725E35" w14:textId="77777777">
        <w:tc>
          <w:tcPr>
            <w:tcW w:w="0" w:type="auto"/>
          </w:tcPr>
          <w:p w14:paraId="219CD919" w14:textId="77777777" w:rsidR="00180E7C" w:rsidRDefault="00000000">
            <w:pPr>
              <w:pStyle w:val="Compact"/>
            </w:pPr>
            <w:r>
              <w:t xml:space="preserve">Hezbollah (positions, </w:t>
            </w:r>
            <w:r>
              <w:lastRenderedPageBreak/>
              <w:t>non-party)</w:t>
            </w:r>
          </w:p>
        </w:tc>
        <w:tc>
          <w:tcPr>
            <w:tcW w:w="0" w:type="auto"/>
          </w:tcPr>
          <w:p w14:paraId="19415CC4" w14:textId="77777777" w:rsidR="00180E7C" w:rsidRDefault="00000000">
            <w:pPr>
              <w:pStyle w:val="Compact"/>
            </w:pPr>
            <w:r>
              <w:lastRenderedPageBreak/>
              <w:t xml:space="preserve">No direct Israel talks imposed; no external disarmament; no foreign </w:t>
            </w:r>
            <w:r>
              <w:lastRenderedPageBreak/>
              <w:t>enforcement on Lebanese soil; halt to attacks</w:t>
            </w:r>
          </w:p>
        </w:tc>
        <w:tc>
          <w:tcPr>
            <w:tcW w:w="0" w:type="auto"/>
          </w:tcPr>
          <w:p w14:paraId="7B908605" w14:textId="77777777" w:rsidR="00180E7C" w:rsidRDefault="00000000">
            <w:pPr>
              <w:pStyle w:val="Compact"/>
            </w:pPr>
            <w:r>
              <w:lastRenderedPageBreak/>
              <w:t xml:space="preserve">Respected structurally: nothing negotiates with or binds </w:t>
            </w:r>
            <w:r>
              <w:lastRenderedPageBreak/>
              <w:t>Hezbollah; outcomes through Lebanese sovereignty and environment transformation; Art. 76.3</w:t>
            </w:r>
          </w:p>
        </w:tc>
      </w:tr>
    </w:tbl>
    <w:p w14:paraId="289502C7" w14:textId="77777777" w:rsidR="00180E7C" w:rsidRDefault="00000000">
      <w:pPr>
        <w:pStyle w:val="Heading3"/>
      </w:pPr>
      <w:bookmarkStart w:id="1320" w:name="X36aed6dece42f0415833d95d1ed3fbf88156ff1"/>
      <w:bookmarkEnd w:id="1319"/>
      <w:r>
        <w:lastRenderedPageBreak/>
        <w:t>Q.2.4 Israel’s Fifteen Concerns (Non-Signatory)</w:t>
      </w:r>
    </w:p>
    <w:tbl>
      <w:tblPr>
        <w:tblStyle w:val="Table"/>
        <w:tblW w:w="5000" w:type="pct"/>
        <w:tblLook w:val="0020" w:firstRow="1" w:lastRow="0" w:firstColumn="0" w:lastColumn="0" w:noHBand="0" w:noVBand="0"/>
      </w:tblPr>
      <w:tblGrid>
        <w:gridCol w:w="482"/>
        <w:gridCol w:w="3050"/>
        <w:gridCol w:w="6044"/>
      </w:tblGrid>
      <w:tr w:rsidR="00180E7C" w14:paraId="3D866652"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779858F1" w14:textId="77777777" w:rsidR="00180E7C" w:rsidRDefault="00000000">
            <w:pPr>
              <w:pStyle w:val="Compact"/>
            </w:pPr>
            <w:r>
              <w:t>#</w:t>
            </w:r>
          </w:p>
        </w:tc>
        <w:tc>
          <w:tcPr>
            <w:tcW w:w="0" w:type="auto"/>
          </w:tcPr>
          <w:p w14:paraId="2A990EC9" w14:textId="77777777" w:rsidR="00180E7C" w:rsidRDefault="00000000">
            <w:pPr>
              <w:pStyle w:val="Compact"/>
            </w:pPr>
            <w:r>
              <w:t>Concern</w:t>
            </w:r>
          </w:p>
        </w:tc>
        <w:tc>
          <w:tcPr>
            <w:tcW w:w="0" w:type="auto"/>
          </w:tcPr>
          <w:p w14:paraId="4CD90AF6" w14:textId="77777777" w:rsidR="00180E7C" w:rsidRDefault="00000000">
            <w:pPr>
              <w:pStyle w:val="Compact"/>
            </w:pPr>
            <w:r>
              <w:t>Delivered Outcome</w:t>
            </w:r>
          </w:p>
        </w:tc>
      </w:tr>
      <w:tr w:rsidR="00180E7C" w14:paraId="29FAAF8B" w14:textId="77777777">
        <w:tc>
          <w:tcPr>
            <w:tcW w:w="0" w:type="auto"/>
          </w:tcPr>
          <w:p w14:paraId="6810214B" w14:textId="77777777" w:rsidR="00180E7C" w:rsidRDefault="00000000">
            <w:pPr>
              <w:pStyle w:val="Compact"/>
            </w:pPr>
            <w:r>
              <w:t>1</w:t>
            </w:r>
          </w:p>
        </w:tc>
        <w:tc>
          <w:tcPr>
            <w:tcW w:w="0" w:type="auto"/>
          </w:tcPr>
          <w:p w14:paraId="4DDA1B5A" w14:textId="77777777" w:rsidR="00180E7C" w:rsidRDefault="00000000">
            <w:pPr>
              <w:pStyle w:val="Compact"/>
            </w:pPr>
            <w:r>
              <w:t>One-year breakout indefinitely</w:t>
            </w:r>
          </w:p>
        </w:tc>
        <w:tc>
          <w:tcPr>
            <w:tcW w:w="0" w:type="auto"/>
          </w:tcPr>
          <w:p w14:paraId="4358351F" w14:textId="77777777" w:rsidR="00180E7C" w:rsidRDefault="00000000">
            <w:pPr>
              <w:pStyle w:val="Compact"/>
            </w:pPr>
            <w:r>
              <w:t>Permanent 12-month floor, quarterly publication</w:t>
            </w:r>
          </w:p>
        </w:tc>
      </w:tr>
      <w:tr w:rsidR="00180E7C" w14:paraId="10BBAD61" w14:textId="77777777">
        <w:tc>
          <w:tcPr>
            <w:tcW w:w="0" w:type="auto"/>
          </w:tcPr>
          <w:p w14:paraId="112D33B4" w14:textId="77777777" w:rsidR="00180E7C" w:rsidRDefault="00000000">
            <w:pPr>
              <w:pStyle w:val="Compact"/>
            </w:pPr>
            <w:r>
              <w:t>2</w:t>
            </w:r>
          </w:p>
        </w:tc>
        <w:tc>
          <w:tcPr>
            <w:tcW w:w="0" w:type="auto"/>
          </w:tcPr>
          <w:p w14:paraId="0E252974" w14:textId="77777777" w:rsidR="00180E7C" w:rsidRDefault="00000000">
            <w:pPr>
              <w:pStyle w:val="Compact"/>
            </w:pPr>
            <w:r>
              <w:t>Anytime-anywhere inspections, military sites, no veto</w:t>
            </w:r>
          </w:p>
        </w:tc>
        <w:tc>
          <w:tcPr>
            <w:tcW w:w="0" w:type="auto"/>
          </w:tcPr>
          <w:p w14:paraId="42B40F4C" w14:textId="77777777" w:rsidR="00180E7C" w:rsidRDefault="00000000">
            <w:pPr>
              <w:pStyle w:val="Compact"/>
            </w:pPr>
            <w:r>
              <w:t>24/72-hour access, refusal at Level 4</w:t>
            </w:r>
          </w:p>
        </w:tc>
      </w:tr>
      <w:tr w:rsidR="00180E7C" w14:paraId="4DAB2375" w14:textId="77777777">
        <w:tc>
          <w:tcPr>
            <w:tcW w:w="0" w:type="auto"/>
          </w:tcPr>
          <w:p w14:paraId="0AF722C1" w14:textId="77777777" w:rsidR="00180E7C" w:rsidRDefault="00000000">
            <w:pPr>
              <w:pStyle w:val="Compact"/>
            </w:pPr>
            <w:r>
              <w:t>3</w:t>
            </w:r>
          </w:p>
        </w:tc>
        <w:tc>
          <w:tcPr>
            <w:tcW w:w="0" w:type="auto"/>
          </w:tcPr>
          <w:p w14:paraId="45FD08A6" w14:textId="77777777" w:rsidR="00180E7C" w:rsidRDefault="00000000">
            <w:pPr>
              <w:pStyle w:val="Compact"/>
            </w:pPr>
            <w:r>
              <w:t>Missile freeze on nuclear-capable long-range systems</w:t>
            </w:r>
          </w:p>
        </w:tc>
        <w:tc>
          <w:tcPr>
            <w:tcW w:w="0" w:type="auto"/>
          </w:tcPr>
          <w:p w14:paraId="1741AD89" w14:textId="77777777" w:rsidR="00180E7C" w:rsidRDefault="00000000">
            <w:pPr>
              <w:pStyle w:val="Compact"/>
            </w:pPr>
            <w:r>
              <w:t>Stand-down above 1,000 km; nuclear-capable exclusion</w:t>
            </w:r>
          </w:p>
        </w:tc>
      </w:tr>
      <w:tr w:rsidR="00180E7C" w14:paraId="2F0FF70A" w14:textId="77777777">
        <w:tc>
          <w:tcPr>
            <w:tcW w:w="0" w:type="auto"/>
          </w:tcPr>
          <w:p w14:paraId="397C0C4E" w14:textId="77777777" w:rsidR="00180E7C" w:rsidRDefault="00000000">
            <w:pPr>
              <w:pStyle w:val="Compact"/>
            </w:pPr>
            <w:r>
              <w:t>4</w:t>
            </w:r>
          </w:p>
        </w:tc>
        <w:tc>
          <w:tcPr>
            <w:tcW w:w="0" w:type="auto"/>
          </w:tcPr>
          <w:p w14:paraId="66F0ED24" w14:textId="77777777" w:rsidR="00180E7C" w:rsidRDefault="00000000">
            <w:pPr>
              <w:pStyle w:val="Compact"/>
            </w:pPr>
            <w:r>
              <w:t>Fordow closure or conversion</w:t>
            </w:r>
          </w:p>
        </w:tc>
        <w:tc>
          <w:tcPr>
            <w:tcW w:w="0" w:type="auto"/>
          </w:tcPr>
          <w:p w14:paraId="43C671FE" w14:textId="77777777" w:rsidR="00180E7C" w:rsidRDefault="00000000">
            <w:pPr>
              <w:pStyle w:val="Compact"/>
            </w:pPr>
            <w:r>
              <w:t>Converted to international isotope center, no enrichment ever</w:t>
            </w:r>
          </w:p>
        </w:tc>
      </w:tr>
      <w:tr w:rsidR="00180E7C" w14:paraId="1C48E102" w14:textId="77777777">
        <w:tc>
          <w:tcPr>
            <w:tcW w:w="0" w:type="auto"/>
          </w:tcPr>
          <w:p w14:paraId="12850557" w14:textId="77777777" w:rsidR="00180E7C" w:rsidRDefault="00000000">
            <w:pPr>
              <w:pStyle w:val="Compact"/>
            </w:pPr>
            <w:r>
              <w:t>5</w:t>
            </w:r>
          </w:p>
        </w:tc>
        <w:tc>
          <w:tcPr>
            <w:tcW w:w="0" w:type="auto"/>
          </w:tcPr>
          <w:p w14:paraId="142A91C1" w14:textId="77777777" w:rsidR="00180E7C" w:rsidRDefault="00000000">
            <w:pPr>
              <w:pStyle w:val="Compact"/>
            </w:pPr>
            <w:r>
              <w:t>Dismantle advanced centrifuges; export stockpile</w:t>
            </w:r>
          </w:p>
        </w:tc>
        <w:tc>
          <w:tcPr>
            <w:tcW w:w="0" w:type="auto"/>
          </w:tcPr>
          <w:p w14:paraId="402666F7" w14:textId="77777777" w:rsidR="00180E7C" w:rsidRDefault="00000000">
            <w:pPr>
              <w:pStyle w:val="Compact"/>
            </w:pPr>
            <w:r>
              <w:t>Advanced machines in dual-key storage; stockpile neutralized in place with equal or greater irreversibility than export</w:t>
            </w:r>
          </w:p>
        </w:tc>
      </w:tr>
      <w:tr w:rsidR="00180E7C" w14:paraId="534DBFDD" w14:textId="77777777">
        <w:tc>
          <w:tcPr>
            <w:tcW w:w="0" w:type="auto"/>
          </w:tcPr>
          <w:p w14:paraId="32ECC3F2" w14:textId="77777777" w:rsidR="00180E7C" w:rsidRDefault="00000000">
            <w:pPr>
              <w:pStyle w:val="Compact"/>
            </w:pPr>
            <w:r>
              <w:t>6</w:t>
            </w:r>
          </w:p>
        </w:tc>
        <w:tc>
          <w:tcPr>
            <w:tcW w:w="0" w:type="auto"/>
          </w:tcPr>
          <w:p w14:paraId="4025F9EC" w14:textId="77777777" w:rsidR="00180E7C" w:rsidRDefault="00000000">
            <w:pPr>
              <w:pStyle w:val="Compact"/>
            </w:pPr>
            <w:r>
              <w:t>Hezbollah rocket supply ended; arsenal addressed</w:t>
            </w:r>
          </w:p>
        </w:tc>
        <w:tc>
          <w:tcPr>
            <w:tcW w:w="0" w:type="auto"/>
          </w:tcPr>
          <w:p w14:paraId="0BF1B8DD" w14:textId="77777777" w:rsidR="00180E7C" w:rsidRDefault="00000000">
            <w:pPr>
              <w:pStyle w:val="Compact"/>
            </w:pPr>
            <w:r>
              <w:t>Supply terminated and verified; arsenal on Lebanese sovereign track with LAF build-up</w:t>
            </w:r>
          </w:p>
        </w:tc>
      </w:tr>
      <w:tr w:rsidR="00180E7C" w14:paraId="674189C0" w14:textId="77777777">
        <w:tc>
          <w:tcPr>
            <w:tcW w:w="0" w:type="auto"/>
          </w:tcPr>
          <w:p w14:paraId="68C6695C" w14:textId="77777777" w:rsidR="00180E7C" w:rsidRDefault="00000000">
            <w:pPr>
              <w:pStyle w:val="Compact"/>
            </w:pPr>
            <w:r>
              <w:t>7</w:t>
            </w:r>
          </w:p>
        </w:tc>
        <w:tc>
          <w:tcPr>
            <w:tcW w:w="0" w:type="auto"/>
          </w:tcPr>
          <w:p w14:paraId="1EC4D3BA" w14:textId="77777777" w:rsidR="00180E7C" w:rsidRDefault="00000000">
            <w:pPr>
              <w:pStyle w:val="Compact"/>
            </w:pPr>
            <w:r>
              <w:t>End support to Hamas/PIJ</w:t>
            </w:r>
          </w:p>
        </w:tc>
        <w:tc>
          <w:tcPr>
            <w:tcW w:w="0" w:type="auto"/>
          </w:tcPr>
          <w:p w14:paraId="7FFB5039" w14:textId="77777777" w:rsidR="00180E7C" w:rsidRDefault="00000000">
            <w:pPr>
              <w:pStyle w:val="Compact"/>
            </w:pPr>
            <w:r>
              <w:t>Weapons flows terminated, verified</w:t>
            </w:r>
          </w:p>
        </w:tc>
      </w:tr>
      <w:tr w:rsidR="00180E7C" w14:paraId="148F7ED4" w14:textId="77777777">
        <w:tc>
          <w:tcPr>
            <w:tcW w:w="0" w:type="auto"/>
          </w:tcPr>
          <w:p w14:paraId="584E6C15" w14:textId="77777777" w:rsidR="00180E7C" w:rsidRDefault="00000000">
            <w:pPr>
              <w:pStyle w:val="Compact"/>
            </w:pPr>
            <w:r>
              <w:t>8</w:t>
            </w:r>
          </w:p>
        </w:tc>
        <w:tc>
          <w:tcPr>
            <w:tcW w:w="0" w:type="auto"/>
          </w:tcPr>
          <w:p w14:paraId="53953998" w14:textId="77777777" w:rsidR="00180E7C" w:rsidRDefault="00000000">
            <w:pPr>
              <w:pStyle w:val="Compact"/>
            </w:pPr>
            <w:r>
              <w:t>Iranian entrenchment in Syria ended</w:t>
            </w:r>
          </w:p>
        </w:tc>
        <w:tc>
          <w:tcPr>
            <w:tcW w:w="0" w:type="auto"/>
          </w:tcPr>
          <w:p w14:paraId="1ECF5F80" w14:textId="77777777" w:rsidR="00180E7C" w:rsidRDefault="00000000">
            <w:pPr>
              <w:pStyle w:val="Compact"/>
            </w:pPr>
            <w:r>
              <w:t>Drawdown to residual advisory mission; transfer corridor closed</w:t>
            </w:r>
          </w:p>
        </w:tc>
      </w:tr>
      <w:tr w:rsidR="00180E7C" w14:paraId="1608931B" w14:textId="77777777">
        <w:tc>
          <w:tcPr>
            <w:tcW w:w="0" w:type="auto"/>
          </w:tcPr>
          <w:p w14:paraId="60014FE0" w14:textId="77777777" w:rsidR="00180E7C" w:rsidRDefault="00000000">
            <w:pPr>
              <w:pStyle w:val="Compact"/>
            </w:pPr>
            <w:r>
              <w:t>9</w:t>
            </w:r>
          </w:p>
        </w:tc>
        <w:tc>
          <w:tcPr>
            <w:tcW w:w="0" w:type="auto"/>
          </w:tcPr>
          <w:p w14:paraId="2D621B71" w14:textId="77777777" w:rsidR="00180E7C" w:rsidRDefault="00000000">
            <w:pPr>
              <w:pStyle w:val="Compact"/>
            </w:pPr>
            <w:r>
              <w:t>LAF control in the south with international verification</w:t>
            </w:r>
          </w:p>
        </w:tc>
        <w:tc>
          <w:tcPr>
            <w:tcW w:w="0" w:type="auto"/>
          </w:tcPr>
          <w:p w14:paraId="27C39A70" w14:textId="77777777" w:rsidR="00180E7C" w:rsidRDefault="00000000">
            <w:pPr>
              <w:pStyle w:val="Compact"/>
            </w:pPr>
            <w:r>
              <w:t>LAF-first build-up, tripartite verification</w:t>
            </w:r>
          </w:p>
        </w:tc>
      </w:tr>
      <w:tr w:rsidR="00180E7C" w14:paraId="0F87E5E8" w14:textId="77777777">
        <w:tc>
          <w:tcPr>
            <w:tcW w:w="0" w:type="auto"/>
          </w:tcPr>
          <w:p w14:paraId="6200332C" w14:textId="77777777" w:rsidR="00180E7C" w:rsidRDefault="00000000">
            <w:pPr>
              <w:pStyle w:val="Compact"/>
            </w:pPr>
            <w:r>
              <w:t>10</w:t>
            </w:r>
          </w:p>
        </w:tc>
        <w:tc>
          <w:tcPr>
            <w:tcW w:w="0" w:type="auto"/>
          </w:tcPr>
          <w:p w14:paraId="3CB7F9F3" w14:textId="77777777" w:rsidR="00180E7C" w:rsidRDefault="00000000">
            <w:pPr>
              <w:pStyle w:val="Compact"/>
            </w:pPr>
            <w:r>
              <w:t>End Houthi threat to Red Sea</w:t>
            </w:r>
          </w:p>
        </w:tc>
        <w:tc>
          <w:tcPr>
            <w:tcW w:w="0" w:type="auto"/>
          </w:tcPr>
          <w:p w14:paraId="78FCA662" w14:textId="77777777" w:rsidR="00180E7C" w:rsidRDefault="00000000">
            <w:pPr>
              <w:pStyle w:val="Compact"/>
            </w:pPr>
            <w:r>
              <w:t>Supply termination plus Red Sea transition</w:t>
            </w:r>
          </w:p>
        </w:tc>
      </w:tr>
      <w:tr w:rsidR="00180E7C" w14:paraId="33D1C6E9" w14:textId="77777777">
        <w:tc>
          <w:tcPr>
            <w:tcW w:w="0" w:type="auto"/>
          </w:tcPr>
          <w:p w14:paraId="6B8BA2C3" w14:textId="77777777" w:rsidR="00180E7C" w:rsidRDefault="00000000">
            <w:pPr>
              <w:pStyle w:val="Compact"/>
            </w:pPr>
            <w:r>
              <w:t>11</w:t>
            </w:r>
          </w:p>
        </w:tc>
        <w:tc>
          <w:tcPr>
            <w:tcW w:w="0" w:type="auto"/>
          </w:tcPr>
          <w:p w14:paraId="66EFF67E" w14:textId="77777777" w:rsidR="00180E7C" w:rsidRDefault="00000000">
            <w:pPr>
              <w:pStyle w:val="Compact"/>
            </w:pPr>
            <w:r>
              <w:t>Israel’s freedom of action uncompromised</w:t>
            </w:r>
          </w:p>
        </w:tc>
        <w:tc>
          <w:tcPr>
            <w:tcW w:w="0" w:type="auto"/>
          </w:tcPr>
          <w:p w14:paraId="1ED03018" w14:textId="77777777" w:rsidR="00180E7C" w:rsidRDefault="00000000">
            <w:pPr>
              <w:pStyle w:val="Compact"/>
            </w:pPr>
            <w:r>
              <w:t>Express non-signatory clause; nothing binds Israel</w:t>
            </w:r>
          </w:p>
        </w:tc>
      </w:tr>
      <w:tr w:rsidR="00180E7C" w14:paraId="545F5F49" w14:textId="77777777">
        <w:tc>
          <w:tcPr>
            <w:tcW w:w="0" w:type="auto"/>
          </w:tcPr>
          <w:p w14:paraId="11C8A958" w14:textId="77777777" w:rsidR="00180E7C" w:rsidRDefault="00000000">
            <w:pPr>
              <w:pStyle w:val="Compact"/>
            </w:pPr>
            <w:r>
              <w:t>12</w:t>
            </w:r>
          </w:p>
        </w:tc>
        <w:tc>
          <w:tcPr>
            <w:tcW w:w="0" w:type="auto"/>
          </w:tcPr>
          <w:p w14:paraId="5A15607F" w14:textId="77777777" w:rsidR="00180E7C" w:rsidRDefault="00000000">
            <w:pPr>
              <w:pStyle w:val="Compact"/>
            </w:pPr>
            <w:r>
              <w:t>Neutral verification with automatic consequences</w:t>
            </w:r>
          </w:p>
        </w:tc>
        <w:tc>
          <w:tcPr>
            <w:tcW w:w="0" w:type="auto"/>
          </w:tcPr>
          <w:p w14:paraId="0123C594" w14:textId="77777777" w:rsidR="00180E7C" w:rsidRDefault="00000000">
            <w:pPr>
              <w:pStyle w:val="Compact"/>
            </w:pPr>
            <w:r>
              <w:t>Cothrom Engine: objective triggers, no veto over verified facts</w:t>
            </w:r>
          </w:p>
        </w:tc>
      </w:tr>
      <w:tr w:rsidR="00180E7C" w14:paraId="7B17F63B" w14:textId="77777777">
        <w:tc>
          <w:tcPr>
            <w:tcW w:w="0" w:type="auto"/>
          </w:tcPr>
          <w:p w14:paraId="69D746EA" w14:textId="77777777" w:rsidR="00180E7C" w:rsidRDefault="00000000">
            <w:pPr>
              <w:pStyle w:val="Compact"/>
            </w:pPr>
            <w:r>
              <w:t>13</w:t>
            </w:r>
          </w:p>
        </w:tc>
        <w:tc>
          <w:tcPr>
            <w:tcW w:w="0" w:type="auto"/>
          </w:tcPr>
          <w:p w14:paraId="02C86AAF" w14:textId="77777777" w:rsidR="00180E7C" w:rsidRDefault="00000000">
            <w:pPr>
              <w:pStyle w:val="Compact"/>
            </w:pPr>
            <w:r>
              <w:t>Automatic no-veto snapback</w:t>
            </w:r>
          </w:p>
        </w:tc>
        <w:tc>
          <w:tcPr>
            <w:tcW w:w="0" w:type="auto"/>
          </w:tcPr>
          <w:p w14:paraId="5DB16FB9" w14:textId="77777777" w:rsidR="00180E7C" w:rsidRDefault="00000000">
            <w:pPr>
              <w:pStyle w:val="Compact"/>
            </w:pPr>
            <w:r>
              <w:t>Replaced by automatic proportionate step-back plus Material Breach process; consequences execute without veto; binary snapback rejected as collapse-prone</w:t>
            </w:r>
          </w:p>
        </w:tc>
      </w:tr>
      <w:tr w:rsidR="00180E7C" w14:paraId="1E664257" w14:textId="77777777">
        <w:tc>
          <w:tcPr>
            <w:tcW w:w="0" w:type="auto"/>
          </w:tcPr>
          <w:p w14:paraId="614E2719" w14:textId="77777777" w:rsidR="00180E7C" w:rsidRDefault="00000000">
            <w:pPr>
              <w:pStyle w:val="Compact"/>
            </w:pPr>
            <w:r>
              <w:t>14</w:t>
            </w:r>
          </w:p>
        </w:tc>
        <w:tc>
          <w:tcPr>
            <w:tcW w:w="0" w:type="auto"/>
          </w:tcPr>
          <w:p w14:paraId="0E3ED90E" w14:textId="77777777" w:rsidR="00180E7C" w:rsidRDefault="00000000">
            <w:pPr>
              <w:pStyle w:val="Compact"/>
            </w:pPr>
            <w:r>
              <w:t>End anti-Israel incitement</w:t>
            </w:r>
          </w:p>
        </w:tc>
        <w:tc>
          <w:tcPr>
            <w:tcW w:w="0" w:type="auto"/>
          </w:tcPr>
          <w:p w14:paraId="1C19A1F0" w14:textId="77777777" w:rsidR="00180E7C" w:rsidRDefault="00000000">
            <w:pPr>
              <w:pStyle w:val="Compact"/>
            </w:pPr>
            <w:r>
              <w:t>Incitement exclusion binds state organs and state media</w:t>
            </w:r>
          </w:p>
        </w:tc>
      </w:tr>
      <w:tr w:rsidR="00180E7C" w14:paraId="7D9B95D9" w14:textId="77777777">
        <w:tc>
          <w:tcPr>
            <w:tcW w:w="0" w:type="auto"/>
          </w:tcPr>
          <w:p w14:paraId="540BC864" w14:textId="77777777" w:rsidR="00180E7C" w:rsidRDefault="00000000">
            <w:pPr>
              <w:pStyle w:val="Compact"/>
            </w:pPr>
            <w:r>
              <w:t>15</w:t>
            </w:r>
          </w:p>
        </w:tc>
        <w:tc>
          <w:tcPr>
            <w:tcW w:w="0" w:type="auto"/>
          </w:tcPr>
          <w:p w14:paraId="6313746D" w14:textId="77777777" w:rsidR="00180E7C" w:rsidRDefault="00000000">
            <w:pPr>
              <w:pStyle w:val="Compact"/>
            </w:pPr>
            <w:r>
              <w:t>Parallel United States-Israel security commitment</w:t>
            </w:r>
          </w:p>
        </w:tc>
        <w:tc>
          <w:tcPr>
            <w:tcW w:w="0" w:type="auto"/>
          </w:tcPr>
          <w:p w14:paraId="7C665A1A" w14:textId="77777777" w:rsidR="00180E7C" w:rsidRDefault="00000000">
            <w:pPr>
              <w:pStyle w:val="Compact"/>
            </w:pPr>
            <w:r>
              <w:t>Registered parallel memorandum; QME undiminished</w:t>
            </w:r>
          </w:p>
        </w:tc>
      </w:tr>
    </w:tbl>
    <w:p w14:paraId="54D09028" w14:textId="77777777" w:rsidR="00180E7C" w:rsidRDefault="00000000">
      <w:pPr>
        <w:pStyle w:val="Heading2"/>
      </w:pPr>
      <w:bookmarkStart w:id="1321" w:name="part-three-the-red-line-register"/>
      <w:bookmarkEnd w:id="1316"/>
      <w:bookmarkEnd w:id="1320"/>
      <w:r>
        <w:lastRenderedPageBreak/>
        <w:t>Part Three: The Red-Line Register</w:t>
      </w:r>
    </w:p>
    <w:p w14:paraId="60371EC7" w14:textId="77777777" w:rsidR="00180E7C" w:rsidRDefault="00000000">
      <w:pPr>
        <w:pStyle w:val="Heading3"/>
      </w:pPr>
      <w:bookmarkStart w:id="1322" w:name="q.3.1-united-states-red-lines"/>
      <w:r>
        <w:t>Q.3.1 United States Red Lines</w:t>
      </w:r>
    </w:p>
    <w:tbl>
      <w:tblPr>
        <w:tblStyle w:val="Table"/>
        <w:tblW w:w="5000" w:type="pct"/>
        <w:tblLook w:val="0020" w:firstRow="1" w:lastRow="0" w:firstColumn="0" w:lastColumn="0" w:noHBand="0" w:noVBand="0"/>
      </w:tblPr>
      <w:tblGrid>
        <w:gridCol w:w="4263"/>
        <w:gridCol w:w="5313"/>
      </w:tblGrid>
      <w:tr w:rsidR="00180E7C" w14:paraId="62F02380"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3DA4A6BD" w14:textId="77777777" w:rsidR="00180E7C" w:rsidRDefault="00000000">
            <w:pPr>
              <w:pStyle w:val="Compact"/>
            </w:pPr>
            <w:r>
              <w:t>Red Line</w:t>
            </w:r>
          </w:p>
        </w:tc>
        <w:tc>
          <w:tcPr>
            <w:tcW w:w="0" w:type="auto"/>
          </w:tcPr>
          <w:p w14:paraId="709D7075" w14:textId="77777777" w:rsidR="00180E7C" w:rsidRDefault="00000000">
            <w:pPr>
              <w:pStyle w:val="Compact"/>
            </w:pPr>
            <w:r>
              <w:t>Status in Treaty</w:t>
            </w:r>
          </w:p>
        </w:tc>
      </w:tr>
      <w:tr w:rsidR="00180E7C" w14:paraId="04FE15C2" w14:textId="77777777">
        <w:tc>
          <w:tcPr>
            <w:tcW w:w="0" w:type="auto"/>
          </w:tcPr>
          <w:p w14:paraId="318ECE07" w14:textId="77777777" w:rsidR="00180E7C" w:rsidRDefault="00000000">
            <w:pPr>
              <w:pStyle w:val="Compact"/>
            </w:pPr>
            <w:r>
              <w:t>Iran never obtains a nuclear weapon</w:t>
            </w:r>
          </w:p>
        </w:tc>
        <w:tc>
          <w:tcPr>
            <w:tcW w:w="0" w:type="auto"/>
          </w:tcPr>
          <w:p w14:paraId="4E82A4EE" w14:textId="77777777" w:rsidR="00180E7C" w:rsidRDefault="00000000">
            <w:pPr>
              <w:pStyle w:val="Compact"/>
            </w:pPr>
            <w:r>
              <w:t>Honored permanently: Art. 61.1.1, 75.2</w:t>
            </w:r>
          </w:p>
        </w:tc>
      </w:tr>
      <w:tr w:rsidR="00180E7C" w14:paraId="25743636" w14:textId="77777777">
        <w:tc>
          <w:tcPr>
            <w:tcW w:w="0" w:type="auto"/>
          </w:tcPr>
          <w:p w14:paraId="2295580B" w14:textId="77777777" w:rsidR="00180E7C" w:rsidRDefault="00000000">
            <w:pPr>
              <w:pStyle w:val="Compact"/>
            </w:pPr>
            <w:r>
              <w:t>No stockpile usable for rapid breakout</w:t>
            </w:r>
          </w:p>
        </w:tc>
        <w:tc>
          <w:tcPr>
            <w:tcW w:w="0" w:type="auto"/>
          </w:tcPr>
          <w:p w14:paraId="565F6A0C" w14:textId="77777777" w:rsidR="00180E7C" w:rsidRDefault="00000000">
            <w:pPr>
              <w:pStyle w:val="Compact"/>
            </w:pPr>
            <w:r>
              <w:t>Honored: zero above 3.67 percent; 12-month floor</w:t>
            </w:r>
          </w:p>
        </w:tc>
      </w:tr>
      <w:tr w:rsidR="00180E7C" w14:paraId="3FA17284" w14:textId="77777777">
        <w:tc>
          <w:tcPr>
            <w:tcW w:w="0" w:type="auto"/>
          </w:tcPr>
          <w:p w14:paraId="76508603" w14:textId="77777777" w:rsidR="00180E7C" w:rsidRDefault="00000000">
            <w:pPr>
              <w:pStyle w:val="Compact"/>
            </w:pPr>
            <w:r>
              <w:t>No tolls in Hormuz</w:t>
            </w:r>
          </w:p>
        </w:tc>
        <w:tc>
          <w:tcPr>
            <w:tcW w:w="0" w:type="auto"/>
          </w:tcPr>
          <w:p w14:paraId="0A321D79" w14:textId="77777777" w:rsidR="00180E7C" w:rsidRDefault="00000000">
            <w:pPr>
              <w:pStyle w:val="Compact"/>
            </w:pPr>
            <w:r>
              <w:t>Honored: free transit forever; voluntary services only</w:t>
            </w:r>
          </w:p>
        </w:tc>
      </w:tr>
      <w:tr w:rsidR="00180E7C" w14:paraId="237BC21D" w14:textId="77777777">
        <w:tc>
          <w:tcPr>
            <w:tcW w:w="0" w:type="auto"/>
          </w:tcPr>
          <w:p w14:paraId="2FB2F757" w14:textId="77777777" w:rsidR="00180E7C" w:rsidRDefault="00000000">
            <w:pPr>
              <w:pStyle w:val="Compact"/>
            </w:pPr>
            <w:r>
              <w:t>Verification without veto</w:t>
            </w:r>
          </w:p>
        </w:tc>
        <w:tc>
          <w:tcPr>
            <w:tcW w:w="0" w:type="auto"/>
          </w:tcPr>
          <w:p w14:paraId="7FC77FB8" w14:textId="77777777" w:rsidR="00180E7C" w:rsidRDefault="00000000">
            <w:pPr>
              <w:pStyle w:val="Compact"/>
            </w:pPr>
            <w:r>
              <w:t>Honored: IAEA plus Engine; objective triggers</w:t>
            </w:r>
          </w:p>
        </w:tc>
      </w:tr>
      <w:tr w:rsidR="00180E7C" w14:paraId="5CB39A7A" w14:textId="77777777">
        <w:tc>
          <w:tcPr>
            <w:tcW w:w="0" w:type="auto"/>
          </w:tcPr>
          <w:p w14:paraId="5DD28735" w14:textId="77777777" w:rsidR="00180E7C" w:rsidRDefault="00000000">
            <w:pPr>
              <w:pStyle w:val="Compact"/>
            </w:pPr>
            <w:r>
              <w:t>No direct United States payment of tribute</w:t>
            </w:r>
          </w:p>
        </w:tc>
        <w:tc>
          <w:tcPr>
            <w:tcW w:w="0" w:type="auto"/>
          </w:tcPr>
          <w:p w14:paraId="7099F0B1" w14:textId="77777777" w:rsidR="00180E7C" w:rsidRDefault="00000000">
            <w:pPr>
              <w:pStyle w:val="Compact"/>
            </w:pPr>
            <w:r>
              <w:t>Honored: no reparations; facilitation instead</w:t>
            </w:r>
          </w:p>
        </w:tc>
      </w:tr>
    </w:tbl>
    <w:p w14:paraId="713A34FA" w14:textId="77777777" w:rsidR="00180E7C" w:rsidRDefault="00000000">
      <w:pPr>
        <w:pStyle w:val="Heading3"/>
      </w:pPr>
      <w:bookmarkStart w:id="1323" w:name="q.3.2-iranian-red-lines"/>
      <w:bookmarkEnd w:id="1322"/>
      <w:r>
        <w:t>Q.3.2 Iranian Red Lines</w:t>
      </w:r>
    </w:p>
    <w:tbl>
      <w:tblPr>
        <w:tblStyle w:val="Table"/>
        <w:tblW w:w="5000" w:type="pct"/>
        <w:tblLook w:val="0020" w:firstRow="1" w:lastRow="0" w:firstColumn="0" w:lastColumn="0" w:noHBand="0" w:noVBand="0"/>
      </w:tblPr>
      <w:tblGrid>
        <w:gridCol w:w="4428"/>
        <w:gridCol w:w="5148"/>
      </w:tblGrid>
      <w:tr w:rsidR="00180E7C" w14:paraId="1A6BE137"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10F41EC" w14:textId="77777777" w:rsidR="00180E7C" w:rsidRDefault="00000000">
            <w:pPr>
              <w:pStyle w:val="Compact"/>
            </w:pPr>
            <w:r>
              <w:t>Red Line</w:t>
            </w:r>
          </w:p>
        </w:tc>
        <w:tc>
          <w:tcPr>
            <w:tcW w:w="0" w:type="auto"/>
          </w:tcPr>
          <w:p w14:paraId="2160D22E" w14:textId="77777777" w:rsidR="00180E7C" w:rsidRDefault="00000000">
            <w:pPr>
              <w:pStyle w:val="Compact"/>
            </w:pPr>
            <w:r>
              <w:t>Status in Treaty</w:t>
            </w:r>
          </w:p>
        </w:tc>
      </w:tr>
      <w:tr w:rsidR="00180E7C" w14:paraId="25AE13E7" w14:textId="77777777">
        <w:tc>
          <w:tcPr>
            <w:tcW w:w="0" w:type="auto"/>
          </w:tcPr>
          <w:p w14:paraId="37ABBECB" w14:textId="77777777" w:rsidR="00180E7C" w:rsidRDefault="00000000">
            <w:pPr>
              <w:pStyle w:val="Compact"/>
            </w:pPr>
            <w:r>
              <w:t>Enrichment right preserved</w:t>
            </w:r>
          </w:p>
        </w:tc>
        <w:tc>
          <w:tcPr>
            <w:tcW w:w="0" w:type="auto"/>
          </w:tcPr>
          <w:p w14:paraId="52C333FB" w14:textId="77777777" w:rsidR="00180E7C" w:rsidRDefault="00000000">
            <w:pPr>
              <w:pStyle w:val="Compact"/>
            </w:pPr>
            <w:r>
              <w:t>Honored: 3.67 percent civil program permanent</w:t>
            </w:r>
          </w:p>
        </w:tc>
      </w:tr>
      <w:tr w:rsidR="00180E7C" w14:paraId="6B055CEC" w14:textId="77777777">
        <w:tc>
          <w:tcPr>
            <w:tcW w:w="0" w:type="auto"/>
          </w:tcPr>
          <w:p w14:paraId="223E5817" w14:textId="77777777" w:rsidR="00180E7C" w:rsidRDefault="00000000">
            <w:pPr>
              <w:pStyle w:val="Compact"/>
            </w:pPr>
            <w:r>
              <w:t>Nuclear material never exported; title retained</w:t>
            </w:r>
          </w:p>
        </w:tc>
        <w:tc>
          <w:tcPr>
            <w:tcW w:w="0" w:type="auto"/>
          </w:tcPr>
          <w:p w14:paraId="4CC635A8" w14:textId="77777777" w:rsidR="00180E7C" w:rsidRDefault="00000000">
            <w:pPr>
              <w:pStyle w:val="Compact"/>
            </w:pPr>
            <w:r>
              <w:t>Honored: all disposition in-Iran, title retained</w:t>
            </w:r>
          </w:p>
        </w:tc>
      </w:tr>
      <w:tr w:rsidR="00180E7C" w14:paraId="5D01C3CD" w14:textId="77777777">
        <w:tc>
          <w:tcPr>
            <w:tcW w:w="0" w:type="auto"/>
          </w:tcPr>
          <w:p w14:paraId="47CAC358" w14:textId="77777777" w:rsidR="00180E7C" w:rsidRDefault="00000000">
            <w:pPr>
              <w:pStyle w:val="Compact"/>
            </w:pPr>
            <w:r>
              <w:t>No surrender of defensive missile program</w:t>
            </w:r>
          </w:p>
        </w:tc>
        <w:tc>
          <w:tcPr>
            <w:tcW w:w="0" w:type="auto"/>
          </w:tcPr>
          <w:p w14:paraId="48B4D951" w14:textId="77777777" w:rsidR="00180E7C" w:rsidRDefault="00000000">
            <w:pPr>
              <w:pStyle w:val="Compact"/>
            </w:pPr>
            <w:r>
              <w:t>Honored: stand-down and dialogue, no dismantlement</w:t>
            </w:r>
          </w:p>
        </w:tc>
      </w:tr>
      <w:tr w:rsidR="00180E7C" w14:paraId="14FEFFCC" w14:textId="77777777">
        <w:tc>
          <w:tcPr>
            <w:tcW w:w="0" w:type="auto"/>
          </w:tcPr>
          <w:p w14:paraId="27C18556" w14:textId="77777777" w:rsidR="00180E7C" w:rsidRDefault="00000000">
            <w:pPr>
              <w:pStyle w:val="Compact"/>
            </w:pPr>
            <w:r>
              <w:t>Sovereign role in Hormuz administration</w:t>
            </w:r>
          </w:p>
        </w:tc>
        <w:tc>
          <w:tcPr>
            <w:tcW w:w="0" w:type="auto"/>
          </w:tcPr>
          <w:p w14:paraId="4625035E" w14:textId="77777777" w:rsidR="00180E7C" w:rsidRDefault="00000000">
            <w:pPr>
              <w:pStyle w:val="Compact"/>
            </w:pPr>
            <w:r>
              <w:t>Honored: co-chair, inbound coordination, twin-key</w:t>
            </w:r>
          </w:p>
        </w:tc>
      </w:tr>
      <w:tr w:rsidR="00180E7C" w14:paraId="5E86F313" w14:textId="77777777">
        <w:tc>
          <w:tcPr>
            <w:tcW w:w="0" w:type="auto"/>
          </w:tcPr>
          <w:p w14:paraId="15A7F600" w14:textId="77777777" w:rsidR="00180E7C" w:rsidRDefault="00000000">
            <w:pPr>
              <w:pStyle w:val="Compact"/>
            </w:pPr>
            <w:r>
              <w:t>No state-to-state tribute</w:t>
            </w:r>
          </w:p>
        </w:tc>
        <w:tc>
          <w:tcPr>
            <w:tcW w:w="0" w:type="auto"/>
          </w:tcPr>
          <w:p w14:paraId="67951D03" w14:textId="77777777" w:rsidR="00180E7C" w:rsidRDefault="00000000">
            <w:pPr>
              <w:pStyle w:val="Compact"/>
            </w:pPr>
            <w:r>
              <w:t>Honored: compensation demands resolved structurally</w:t>
            </w:r>
          </w:p>
        </w:tc>
      </w:tr>
      <w:tr w:rsidR="00180E7C" w14:paraId="04113847" w14:textId="77777777">
        <w:tc>
          <w:tcPr>
            <w:tcW w:w="0" w:type="auto"/>
          </w:tcPr>
          <w:p w14:paraId="7A280AD2" w14:textId="77777777" w:rsidR="00180E7C" w:rsidRDefault="00000000">
            <w:pPr>
              <w:pStyle w:val="Compact"/>
            </w:pPr>
            <w:r>
              <w:t>Leadership and state dignity respected</w:t>
            </w:r>
          </w:p>
        </w:tc>
        <w:tc>
          <w:tcPr>
            <w:tcW w:w="0" w:type="auto"/>
          </w:tcPr>
          <w:p w14:paraId="6D342235" w14:textId="77777777" w:rsidR="00180E7C" w:rsidRDefault="00000000">
            <w:pPr>
              <w:pStyle w:val="Compact"/>
            </w:pPr>
            <w:r>
              <w:t>Honored: Arts. 3, 6, 12, 84.4</w:t>
            </w:r>
          </w:p>
        </w:tc>
      </w:tr>
    </w:tbl>
    <w:p w14:paraId="23A8BA5C" w14:textId="77777777" w:rsidR="00180E7C" w:rsidRDefault="00000000">
      <w:pPr>
        <w:pStyle w:val="Heading3"/>
      </w:pPr>
      <w:bookmarkStart w:id="1324" w:name="q.3.3-collision-resolutions"/>
      <w:bookmarkEnd w:id="1323"/>
      <w:r>
        <w:t>Q.3.3 Collision Resolutions</w:t>
      </w:r>
    </w:p>
    <w:p w14:paraId="1B02289A" w14:textId="77777777" w:rsidR="00180E7C" w:rsidRDefault="00000000">
      <w:pPr>
        <w:pStyle w:val="FirstParagraph"/>
      </w:pPr>
      <w:r>
        <w:t>Q.3.3.1 The register records five red-line collisions and their structural resolutions: (1) zero enrichment versus enrichment right, resolved by relocating the conflict from enrichment to stockpile and capability; (2) export versus retention, resolved by irreversibility-in-place; (3) tolls versus revenue role, resolved by the verified services model; (4) snapback versus no-snapback, resolved by the Cothrom engine; (5) compensation versus compensation, resolved by the claims-plus-reconstruction architecture. In each case the Treaty changes the shape of the issue so both lines hold.</w:t>
      </w:r>
    </w:p>
    <w:p w14:paraId="3CDC52DE" w14:textId="77777777" w:rsidR="00180E7C" w:rsidRDefault="00000000">
      <w:pPr>
        <w:pStyle w:val="Heading2"/>
      </w:pPr>
      <w:bookmarkStart w:id="1325" w:name="part-four-the-four-framework-folding-map"/>
      <w:bookmarkEnd w:id="1321"/>
      <w:bookmarkEnd w:id="1324"/>
      <w:r>
        <w:t>Part Four: The Four-Framework Folding Map</w:t>
      </w:r>
    </w:p>
    <w:tbl>
      <w:tblPr>
        <w:tblStyle w:val="Table"/>
        <w:tblW w:w="5000" w:type="pct"/>
        <w:tblLook w:val="0020" w:firstRow="1" w:lastRow="0" w:firstColumn="0" w:lastColumn="0" w:noHBand="0" w:noVBand="0"/>
      </w:tblPr>
      <w:tblGrid>
        <w:gridCol w:w="4790"/>
        <w:gridCol w:w="4786"/>
      </w:tblGrid>
      <w:tr w:rsidR="00180E7C" w14:paraId="4241921D" w14:textId="77777777" w:rsidTr="00180E7C">
        <w:trPr>
          <w:cnfStyle w:val="100000000000" w:firstRow="1" w:lastRow="0" w:firstColumn="0" w:lastColumn="0" w:oddVBand="0" w:evenVBand="0" w:oddHBand="0" w:evenHBand="0" w:firstRowFirstColumn="0" w:firstRowLastColumn="0" w:lastRowFirstColumn="0" w:lastRowLastColumn="0"/>
          <w:tblHeader/>
        </w:trPr>
        <w:tc>
          <w:tcPr>
            <w:tcW w:w="0" w:type="auto"/>
          </w:tcPr>
          <w:p w14:paraId="6B63EDF4" w14:textId="77777777" w:rsidR="00180E7C" w:rsidRDefault="00000000">
            <w:pPr>
              <w:pStyle w:val="Compact"/>
            </w:pPr>
            <w:r>
              <w:t>Framework</w:t>
            </w:r>
          </w:p>
        </w:tc>
        <w:tc>
          <w:tcPr>
            <w:tcW w:w="0" w:type="auto"/>
          </w:tcPr>
          <w:p w14:paraId="73ACABA3" w14:textId="77777777" w:rsidR="00180E7C" w:rsidRDefault="00000000">
            <w:pPr>
              <w:pStyle w:val="Compact"/>
            </w:pPr>
            <w:r>
              <w:t>Location in Treaty</w:t>
            </w:r>
          </w:p>
        </w:tc>
      </w:tr>
      <w:tr w:rsidR="00180E7C" w14:paraId="0047CAFF" w14:textId="77777777">
        <w:tc>
          <w:tcPr>
            <w:tcW w:w="0" w:type="auto"/>
          </w:tcPr>
          <w:p w14:paraId="688F2CC9" w14:textId="77777777" w:rsidR="00180E7C" w:rsidRDefault="00000000">
            <w:pPr>
              <w:pStyle w:val="Compact"/>
            </w:pPr>
            <w:r>
              <w:t>Immediate Humanitarian and De-escalation Agreement</w:t>
            </w:r>
          </w:p>
        </w:tc>
        <w:tc>
          <w:tcPr>
            <w:tcW w:w="0" w:type="auto"/>
          </w:tcPr>
          <w:p w14:paraId="57B61B72" w14:textId="77777777" w:rsidR="00180E7C" w:rsidRDefault="00000000">
            <w:pPr>
              <w:pStyle w:val="Compact"/>
            </w:pPr>
            <w:r>
              <w:t>Arts. 1, 9, 57, 64; Annex M; Annex J</w:t>
            </w:r>
          </w:p>
        </w:tc>
      </w:tr>
      <w:tr w:rsidR="00180E7C" w14:paraId="70770BB9" w14:textId="77777777">
        <w:tc>
          <w:tcPr>
            <w:tcW w:w="0" w:type="auto"/>
          </w:tcPr>
          <w:p w14:paraId="5D433F4C" w14:textId="77777777" w:rsidR="00180E7C" w:rsidRDefault="00000000">
            <w:pPr>
              <w:pStyle w:val="Compact"/>
            </w:pPr>
            <w:r>
              <w:t>Bilateral Coastal-State Corridor Agreement (Iran-Oman model)</w:t>
            </w:r>
          </w:p>
        </w:tc>
        <w:tc>
          <w:tcPr>
            <w:tcW w:w="0" w:type="auto"/>
          </w:tcPr>
          <w:p w14:paraId="77E03C52" w14:textId="77777777" w:rsidR="00180E7C" w:rsidRDefault="00000000">
            <w:pPr>
              <w:pStyle w:val="Compact"/>
            </w:pPr>
            <w:r>
              <w:t>Title III; Annexes B, J; incorporating the joint draft per Art. 31.2</w:t>
            </w:r>
          </w:p>
        </w:tc>
      </w:tr>
      <w:tr w:rsidR="00180E7C" w14:paraId="32C1E16F" w14:textId="77777777">
        <w:tc>
          <w:tcPr>
            <w:tcW w:w="0" w:type="auto"/>
          </w:tcPr>
          <w:p w14:paraId="2209B4D1" w14:textId="77777777" w:rsidR="00180E7C" w:rsidRDefault="00000000">
            <w:pPr>
              <w:pStyle w:val="Compact"/>
            </w:pPr>
            <w:r>
              <w:lastRenderedPageBreak/>
              <w:t>Strategic United States-Iran Framework</w:t>
            </w:r>
          </w:p>
        </w:tc>
        <w:tc>
          <w:tcPr>
            <w:tcW w:w="0" w:type="auto"/>
          </w:tcPr>
          <w:p w14:paraId="696A6C19" w14:textId="77777777" w:rsidR="00180E7C" w:rsidRDefault="00000000">
            <w:pPr>
              <w:pStyle w:val="Compact"/>
            </w:pPr>
            <w:r>
              <w:t>Titles I, II, IV, V; Annexes C-K</w:t>
            </w:r>
          </w:p>
        </w:tc>
      </w:tr>
      <w:tr w:rsidR="00180E7C" w14:paraId="779B1612" w14:textId="77777777">
        <w:tc>
          <w:tcPr>
            <w:tcW w:w="0" w:type="auto"/>
          </w:tcPr>
          <w:p w14:paraId="52F23DCF" w14:textId="77777777" w:rsidR="00180E7C" w:rsidRDefault="00000000">
            <w:pPr>
              <w:pStyle w:val="Compact"/>
            </w:pPr>
            <w:r>
              <w:t>Regional Multilateral Charter</w:t>
            </w:r>
          </w:p>
        </w:tc>
        <w:tc>
          <w:tcPr>
            <w:tcW w:w="0" w:type="auto"/>
          </w:tcPr>
          <w:p w14:paraId="323A09EA" w14:textId="77777777" w:rsidR="00180E7C" w:rsidRDefault="00000000">
            <w:pPr>
              <w:pStyle w:val="Compact"/>
            </w:pPr>
            <w:r>
              <w:t>Title VI; Art. 43; Annex L; RSCSC instruments</w:t>
            </w:r>
          </w:p>
        </w:tc>
      </w:tr>
    </w:tbl>
    <w:p w14:paraId="13AA95FF" w14:textId="77777777" w:rsidR="00180E7C" w:rsidRDefault="00000000">
      <w:r>
        <w:br w:type="page"/>
      </w:r>
    </w:p>
    <w:p w14:paraId="12490905" w14:textId="77777777" w:rsidR="00180E7C" w:rsidRDefault="00000000">
      <w:pPr>
        <w:pStyle w:val="Heading1"/>
      </w:pPr>
      <w:bookmarkStart w:id="1326" w:name="X7a089f50d324b69d4d39308bba21c2054374bb4"/>
      <w:bookmarkStart w:id="1327" w:name="_Toc237843215"/>
      <w:bookmarkEnd w:id="1307"/>
      <w:bookmarkEnd w:id="1325"/>
      <w:r>
        <w:lastRenderedPageBreak/>
        <w:t>ANNEX R: SIGNATURE BLOCKS, INSTRUMENTS OF RATIFICATION, AND DRAFT SECURITY COUNCIL RESOLUTION</w:t>
      </w:r>
      <w:bookmarkEnd w:id="1327"/>
    </w:p>
    <w:p w14:paraId="16EBACD5" w14:textId="77777777" w:rsidR="00180E7C" w:rsidRDefault="00000000">
      <w:pPr>
        <w:pStyle w:val="Heading2"/>
      </w:pPr>
      <w:bookmarkStart w:id="1328" w:name="part-1-signature-blocks"/>
      <w:r>
        <w:t>Part 1: Signature Blocks</w:t>
      </w:r>
    </w:p>
    <w:p w14:paraId="6A521AB4" w14:textId="77777777" w:rsidR="00180E7C" w:rsidRDefault="00000000">
      <w:pPr>
        <w:pStyle w:val="FirstParagraph"/>
      </w:pPr>
      <w:r>
        <w:t>DONE at Islamabad, this seventeenth day of August, two thousand twenty-six.</w:t>
      </w:r>
    </w:p>
    <w:p w14:paraId="6AD7557D" w14:textId="77777777" w:rsidR="00180E7C" w:rsidRDefault="00000000">
      <w:pPr>
        <w:pStyle w:val="BodyText"/>
      </w:pPr>
      <w:r>
        <w:rPr>
          <w:b/>
          <w:bCs/>
        </w:rPr>
        <w:t>For the United States of America:</w:t>
      </w:r>
    </w:p>
    <w:p w14:paraId="61F77E0A" w14:textId="77777777" w:rsidR="00180E7C" w:rsidRDefault="00000000">
      <w:pPr>
        <w:pStyle w:val="BodyText"/>
      </w:pPr>
      <w:r>
        <w:t>Signature: ______________________________</w:t>
      </w:r>
    </w:p>
    <w:p w14:paraId="6EAB398B" w14:textId="77777777" w:rsidR="00180E7C" w:rsidRDefault="00000000">
      <w:pPr>
        <w:pStyle w:val="BodyText"/>
      </w:pPr>
      <w:r>
        <w:t>Name and Title: The President of the United States</w:t>
      </w:r>
    </w:p>
    <w:p w14:paraId="39CB89A0" w14:textId="77777777" w:rsidR="00180E7C" w:rsidRDefault="00000000">
      <w:pPr>
        <w:pStyle w:val="BodyText"/>
      </w:pPr>
      <w:r>
        <w:t>Witnessed by: The Secretary of State</w:t>
      </w:r>
    </w:p>
    <w:p w14:paraId="506B89FA" w14:textId="77777777" w:rsidR="00180E7C" w:rsidRDefault="00000000">
      <w:pPr>
        <w:pStyle w:val="BodyText"/>
      </w:pPr>
      <w:r>
        <w:rPr>
          <w:b/>
          <w:bCs/>
        </w:rPr>
        <w:t>For the Islamic Republic of Iran:</w:t>
      </w:r>
    </w:p>
    <w:p w14:paraId="48992744" w14:textId="77777777" w:rsidR="00180E7C" w:rsidRDefault="00000000">
      <w:pPr>
        <w:pStyle w:val="BodyText"/>
      </w:pPr>
      <w:r>
        <w:t>Signature: ______________________________</w:t>
      </w:r>
    </w:p>
    <w:p w14:paraId="368447AD" w14:textId="77777777" w:rsidR="00180E7C" w:rsidRDefault="00000000">
      <w:pPr>
        <w:pStyle w:val="BodyText"/>
      </w:pPr>
      <w:r>
        <w:t>Name and Title: The President of the Islamic Republic of Iran</w:t>
      </w:r>
    </w:p>
    <w:p w14:paraId="0BBE87E0" w14:textId="77777777" w:rsidR="00180E7C" w:rsidRDefault="00000000">
      <w:pPr>
        <w:pStyle w:val="BodyText"/>
      </w:pPr>
      <w:r>
        <w:t>Witnessed by: The Minister of Foreign Affairs</w:t>
      </w:r>
    </w:p>
    <w:p w14:paraId="276F4F8E" w14:textId="77777777" w:rsidR="00180E7C" w:rsidRDefault="00000000">
      <w:pPr>
        <w:pStyle w:val="BodyText"/>
      </w:pPr>
      <w:r>
        <w:rPr>
          <w:b/>
          <w:bCs/>
        </w:rPr>
        <w:t>In the presence of the Facilitating States:</w:t>
      </w:r>
    </w:p>
    <w:p w14:paraId="744BB062" w14:textId="77777777" w:rsidR="00180E7C" w:rsidRDefault="00000000">
      <w:pPr>
        <w:pStyle w:val="BodyText"/>
      </w:pPr>
      <w:r>
        <w:t>For the Islamic Republic of Pakistan: ______________________________ (The Prime Minister)</w:t>
      </w:r>
    </w:p>
    <w:p w14:paraId="16BA897A" w14:textId="77777777" w:rsidR="00180E7C" w:rsidRDefault="00000000">
      <w:pPr>
        <w:pStyle w:val="BodyText"/>
      </w:pPr>
      <w:r>
        <w:t>For the Sultanate of Oman: ______________________________ (The Deputy Prime Minister for International Relations)</w:t>
      </w:r>
    </w:p>
    <w:p w14:paraId="0D38DA20" w14:textId="77777777" w:rsidR="00180E7C" w:rsidRDefault="00000000">
      <w:pPr>
        <w:pStyle w:val="BodyText"/>
      </w:pPr>
      <w:r>
        <w:t>For the State of Qatar: ______________________________ (The Prime Minister and Minister of Foreign Affairs)</w:t>
      </w:r>
    </w:p>
    <w:p w14:paraId="5914B811" w14:textId="77777777" w:rsidR="00180E7C" w:rsidRDefault="00000000">
      <w:pPr>
        <w:pStyle w:val="BodyText"/>
      </w:pPr>
      <w:r>
        <w:t>For the Swiss Confederation: ______________________________ (The Head of the Federal Department of Foreign Affairs)</w:t>
      </w:r>
    </w:p>
    <w:p w14:paraId="0AE65818" w14:textId="77777777" w:rsidR="00180E7C" w:rsidRDefault="00000000">
      <w:pPr>
        <w:pStyle w:val="Heading2"/>
      </w:pPr>
      <w:bookmarkStart w:id="1329" w:name="X87bf258c6403924cade99acc680840bbebd900b"/>
      <w:bookmarkEnd w:id="1328"/>
      <w:r>
        <w:t>Part 2: Instruments of Ratification (Templates)</w:t>
      </w:r>
    </w:p>
    <w:p w14:paraId="41CE441F" w14:textId="77777777" w:rsidR="00180E7C" w:rsidRDefault="00000000">
      <w:pPr>
        <w:pStyle w:val="FirstParagraph"/>
      </w:pPr>
      <w:r>
        <w:t>R.2.1 United States instrument: recites Senate advice and consent, implementing legislation enactment, and deposit per Article 85.2.</w:t>
      </w:r>
    </w:p>
    <w:p w14:paraId="211823F8" w14:textId="77777777" w:rsidR="00180E7C" w:rsidRDefault="00000000">
      <w:pPr>
        <w:pStyle w:val="BodyText"/>
      </w:pPr>
      <w:r>
        <w:t>R.2.2 Iranian instrument: recites majlis ratification, Guardian Council review, the expediency processes, and the final authorization of the Supreme Leader encompassing the Hormuz governance structure per Article 13.2.2.</w:t>
      </w:r>
    </w:p>
    <w:p w14:paraId="3628983E" w14:textId="77777777" w:rsidR="00180E7C" w:rsidRDefault="00000000">
      <w:pPr>
        <w:pStyle w:val="Heading2"/>
      </w:pPr>
      <w:bookmarkStart w:id="1330" w:name="X7ad46ead487c5e61b8ea8d73d7d9d817e1a663f"/>
      <w:bookmarkEnd w:id="1329"/>
      <w:r>
        <w:t>Part 3: Provisional Application Declarations</w:t>
      </w:r>
    </w:p>
    <w:p w14:paraId="4E655060" w14:textId="77777777" w:rsidR="00180E7C" w:rsidRDefault="00000000">
      <w:pPr>
        <w:pStyle w:val="FirstParagraph"/>
      </w:pPr>
      <w:r>
        <w:t>R.3.1 Each Party deposits at signature the declaration of provisional application of the provisions listed in Article 87.2, effective from signature, within its constitutional authority.</w:t>
      </w:r>
    </w:p>
    <w:p w14:paraId="1FC94227" w14:textId="77777777" w:rsidR="00180E7C" w:rsidRDefault="00000000">
      <w:pPr>
        <w:pStyle w:val="Heading2"/>
      </w:pPr>
      <w:bookmarkStart w:id="1331" w:name="part-4-continuity-affirmation-template"/>
      <w:bookmarkEnd w:id="1330"/>
      <w:r>
        <w:lastRenderedPageBreak/>
        <w:t>Part 4: Continuity Affirmation Template</w:t>
      </w:r>
    </w:p>
    <w:p w14:paraId="06FB8C64" w14:textId="77777777" w:rsidR="00180E7C" w:rsidRDefault="00000000">
      <w:pPr>
        <w:pStyle w:val="FirstParagraph"/>
      </w:pPr>
      <w:r>
        <w:t>R.4.1 Template for Article 15.1.2: “The undersigned successor authority of [Party] affirms that the Savāhel-e Āghāz Treaty binds [Party] in full, without interruption, and confirms the continuity of all obligations, organs, and appointments thereunder.”</w:t>
      </w:r>
    </w:p>
    <w:p w14:paraId="7B4590F8" w14:textId="77777777" w:rsidR="00180E7C" w:rsidRDefault="00000000">
      <w:pPr>
        <w:pStyle w:val="Heading2"/>
      </w:pPr>
      <w:bookmarkStart w:id="1332" w:name="part-5-draft-security-council-resolution"/>
      <w:bookmarkEnd w:id="1331"/>
      <w:r>
        <w:t>Part 5: Draft Security Council Resolution</w:t>
      </w:r>
    </w:p>
    <w:p w14:paraId="36D78696" w14:textId="77777777" w:rsidR="00180E7C" w:rsidRDefault="00000000">
      <w:pPr>
        <w:pStyle w:val="FirstParagraph"/>
      </w:pPr>
      <w:r>
        <w:t>R.5.1 Draft resolution transmitted jointly by the Parties per Article 86:</w:t>
      </w:r>
    </w:p>
    <w:p w14:paraId="0552F227" w14:textId="77777777" w:rsidR="00180E7C" w:rsidRDefault="00000000">
      <w:pPr>
        <w:pStyle w:val="BodyText"/>
      </w:pPr>
      <w:r>
        <w:t>“The Security Council, Recalling the purposes and principles of the Charter of the United Nations; Welcoming the conclusion at Islamabad on 17 August 2026 of the Savāhel-e Āghāz Comprehensive Treaty between the United States of America and the Islamic Republic of Iran; Commending the facilitation of Pakistan, Oman, Qatar, and Switzerland; 1. Endorses the Treaty and calls upon both Parties to implement it in full; 2. Decides to terminate, effective upon the Treaty’s entry into force, the measures established by its resolutions [prior Iran-related measures as enumerated in Schedule G-2]; 3. Requests the Secretary-General to serve as Depositary and to transmit the annual reports of the Treaty’s verification organs to the Council; 4. Calls upon Member States to support the Treaty’s implementation, including the Reconstruction and Development Fund and the humanitarian architecture; 5. Decides to remain seized of the matter.”</w:t>
      </w:r>
    </w:p>
    <w:p w14:paraId="5A20647C" w14:textId="77777777" w:rsidR="00180E7C" w:rsidRDefault="00000000">
      <w:pPr>
        <w:pStyle w:val="Heading2"/>
      </w:pPr>
      <w:bookmarkStart w:id="1333" w:name="part-6-accession-instruments-templates"/>
      <w:bookmarkEnd w:id="1332"/>
      <w:r>
        <w:t>Part 6: Accession Instruments (Templates)</w:t>
      </w:r>
    </w:p>
    <w:p w14:paraId="27BBCA3B" w14:textId="77777777" w:rsidR="00180E7C" w:rsidRDefault="00000000">
      <w:pPr>
        <w:pStyle w:val="FirstParagraph"/>
      </w:pPr>
      <w:r>
        <w:t>R.6.1 Template for accession under Article 43.6: recites acceptance of Title III obligations, contribution schedule, and Council welcome.</w:t>
      </w:r>
    </w:p>
    <w:p w14:paraId="6A4A0376" w14:textId="77777777" w:rsidR="00180E7C" w:rsidRDefault="00000000">
      <w:pPr>
        <w:pStyle w:val="Heading2"/>
      </w:pPr>
      <w:bookmarkStart w:id="1334" w:name="part-7-the-plenary-record"/>
      <w:bookmarkEnd w:id="1333"/>
      <w:r>
        <w:t>Part 7: The Plenary Record</w:t>
      </w:r>
    </w:p>
    <w:p w14:paraId="3473B164" w14:textId="77777777" w:rsidR="00180E7C" w:rsidRDefault="00000000">
      <w:pPr>
        <w:pStyle w:val="FirstParagraph"/>
      </w:pPr>
      <w:r>
        <w:t>R.7.1 The travaux préparatoires of the Islamabad plenary, the technical rounds record, and the negotiating history deposit with the Depositary as the interpretive record of this Treaty, accessible to the treaty organs and arbitral tribunals.</w:t>
      </w:r>
    </w:p>
    <w:p w14:paraId="556915E7" w14:textId="77777777" w:rsidR="00180E7C" w:rsidRDefault="00000000">
      <w:r>
        <w:pict w14:anchorId="4918EE57">
          <v:rect id="_x0000_i1089" style="width:0;height:1.5pt" o:hralign="center" o:hrstd="t" o:hr="t"/>
        </w:pict>
      </w:r>
    </w:p>
    <w:p w14:paraId="3B7A312F" w14:textId="77777777" w:rsidR="00180E7C" w:rsidRDefault="00000000">
      <w:pPr>
        <w:pStyle w:val="Heading2"/>
      </w:pPr>
      <w:bookmarkStart w:id="1335" w:name="final-clause-of-the-annex-architecture"/>
      <w:bookmarkEnd w:id="1334"/>
      <w:r>
        <w:t>FINAL CLAUSE OF THE ANNEX ARCHITECTURE</w:t>
      </w:r>
    </w:p>
    <w:p w14:paraId="59BDB1FD" w14:textId="77777777" w:rsidR="00180E7C" w:rsidRDefault="00000000">
      <w:pPr>
        <w:pStyle w:val="FirstParagraph"/>
      </w:pPr>
      <w:r>
        <w:t>This Treaty, in its seven Titles, ninety-one Articles, and eighteen Annexes, constitutes the complete and final settlement of the war between the United States of America and the Islamic Republic of Iran. Its architecture holds: the war ends; the Strait opens under shared stewardship; the nuclear file closes through physics and verification rather than through trust or tribute; sanctions die by statute rather than pause by waiver; assets return as property rather than ransom; proxies transform through their own states rather than through external diktat; and verification watches everything, equally, forever. Savāhel-e Āghāz: the shores of beginning.</w:t>
      </w:r>
    </w:p>
    <w:p w14:paraId="5D620F8D" w14:textId="77777777" w:rsidR="00180E7C" w:rsidRDefault="00000000">
      <w:pPr>
        <w:pStyle w:val="BodyText"/>
      </w:pPr>
      <w:r>
        <w:rPr>
          <w:b/>
          <w:bCs/>
        </w:rPr>
        <w:t>END OF TREATY TEXT</w:t>
      </w:r>
      <w:bookmarkEnd w:id="1326"/>
      <w:bookmarkEnd w:id="1335"/>
    </w:p>
    <w:sectPr w:rsidR="00180E7C">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6FD36" w14:textId="77777777" w:rsidR="004846B6" w:rsidRDefault="004846B6">
      <w:pPr>
        <w:spacing w:after="0"/>
      </w:pPr>
      <w:r>
        <w:separator/>
      </w:r>
    </w:p>
  </w:endnote>
  <w:endnote w:type="continuationSeparator" w:id="0">
    <w:p w14:paraId="3E22C929" w14:textId="77777777" w:rsidR="004846B6" w:rsidRDefault="004846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7863" w14:textId="77777777" w:rsidR="00180E7C" w:rsidRDefault="00000000">
    <w:pPr>
      <w:pBdr>
        <w:top w:val="single" w:sz="2" w:space="4" w:color="B0BEC5"/>
      </w:pBdr>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8286" w14:textId="77777777" w:rsidR="004846B6" w:rsidRDefault="004846B6">
      <w:r>
        <w:separator/>
      </w:r>
    </w:p>
  </w:footnote>
  <w:footnote w:type="continuationSeparator" w:id="0">
    <w:p w14:paraId="153EB829" w14:textId="77777777" w:rsidR="004846B6" w:rsidRDefault="0048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12FF1" w14:textId="77777777" w:rsidR="00180E7C" w:rsidRDefault="00000000">
    <w:pPr>
      <w:pBdr>
        <w:bottom w:val="single" w:sz="2" w:space="4" w:color="B0BEC5"/>
      </w:pBdr>
      <w:jc w:val="right"/>
    </w:pPr>
    <w:r>
      <w:rPr>
        <w:rFonts w:ascii="Calibri" w:hAnsi="Calibri"/>
        <w:caps/>
        <w:color w:val="78909C"/>
        <w:sz w:val="16"/>
      </w:rPr>
      <w:t>Savāhel-e Āghāz  ·  Comprehensive Treaty of Peace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D666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FE8F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3807F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2206642">
    <w:abstractNumId w:val="0"/>
  </w:num>
  <w:num w:numId="2" w16cid:durableId="1531914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8025015">
    <w:abstractNumId w:val="1"/>
  </w:num>
  <w:num w:numId="4" w16cid:durableId="1294020403">
    <w:abstractNumId w:val="1"/>
  </w:num>
  <w:num w:numId="5" w16cid:durableId="332219288">
    <w:abstractNumId w:val="1"/>
  </w:num>
  <w:num w:numId="6" w16cid:durableId="368258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8156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0E7C"/>
    <w:rsid w:val="00180E7C"/>
    <w:rsid w:val="004846B6"/>
    <w:rsid w:val="004E6DBF"/>
    <w:rsid w:val="00523450"/>
    <w:rsid w:val="008A4B68"/>
    <w:rsid w:val="00967914"/>
    <w:rsid w:val="00CF50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655B"/>
  <w15:docId w15:val="{6B27EB7C-588F-47A9-B283-58972494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uiPriority w:val="39"/>
    <w:pPr>
      <w:tabs>
        <w:tab w:val="right" w:leader="dot" w:pos="9010"/>
      </w:tabs>
      <w:spacing w:before="120" w:after="40"/>
    </w:pPr>
    <w:rPr>
      <w:rFonts w:ascii="Calibri" w:hAnsi="Calibri"/>
      <w:b/>
      <w:color w:val="37474F"/>
      <w:sz w:val="21"/>
    </w:rPr>
  </w:style>
  <w:style w:type="paragraph" w:styleId="TOC2">
    <w:name w:val="toc 2"/>
    <w:uiPriority w:val="39"/>
    <w:pPr>
      <w:tabs>
        <w:tab w:val="right" w:leader="dot" w:pos="9010"/>
      </w:tabs>
      <w:spacing w:after="20"/>
      <w:ind w:left="360"/>
    </w:pPr>
    <w:rPr>
      <w:rFonts w:ascii="Calibri" w:hAnsi="Calibri"/>
      <w:color w:val="212121"/>
      <w:sz w:val="20"/>
    </w:rPr>
  </w:style>
  <w:style w:type="paragraph" w:customStyle="1" w:styleId="TOCArticle">
    <w:name w:val="TOC Article"/>
    <w:basedOn w:val="Heading2"/>
    <w:qFormat/>
  </w:style>
  <w:style w:type="paragraph" w:customStyle="1" w:styleId="TOCFront">
    <w:name w:val="TOC Front"/>
    <w:basedOn w:val="Heading2"/>
    <w:qFormat/>
  </w:style>
  <w:style w:type="paragraph" w:customStyle="1" w:styleId="TitlePageHeading">
    <w:name w:val="Title Page Heading"/>
    <w:basedOn w:val="Heading1"/>
    <w:qFormat/>
  </w:style>
  <w:style w:type="paragraph" w:styleId="TOC3">
    <w:name w:val="toc 3"/>
    <w:basedOn w:val="Normal"/>
    <w:next w:val="Normal"/>
    <w:autoRedefine/>
    <w:uiPriority w:val="39"/>
    <w:unhideWhenUsed/>
    <w:rsid w:val="00523450"/>
    <w:pPr>
      <w:spacing w:after="100" w:line="278" w:lineRule="auto"/>
      <w:ind w:left="480"/>
    </w:pPr>
    <w:rPr>
      <w:rFonts w:eastAsiaTheme="minorEastAsia"/>
      <w:kern w:val="2"/>
      <w:lang w:val="en-CA" w:eastAsia="en-CA"/>
    </w:rPr>
  </w:style>
  <w:style w:type="paragraph" w:styleId="TOC4">
    <w:name w:val="toc 4"/>
    <w:basedOn w:val="Normal"/>
    <w:next w:val="Normal"/>
    <w:autoRedefine/>
    <w:uiPriority w:val="39"/>
    <w:unhideWhenUsed/>
    <w:rsid w:val="00523450"/>
    <w:pPr>
      <w:spacing w:after="100" w:line="278" w:lineRule="auto"/>
      <w:ind w:left="720"/>
    </w:pPr>
    <w:rPr>
      <w:rFonts w:eastAsiaTheme="minorEastAsia"/>
      <w:kern w:val="2"/>
      <w:lang w:val="en-CA" w:eastAsia="en-CA"/>
    </w:rPr>
  </w:style>
  <w:style w:type="paragraph" w:styleId="TOC5">
    <w:name w:val="toc 5"/>
    <w:basedOn w:val="Normal"/>
    <w:next w:val="Normal"/>
    <w:autoRedefine/>
    <w:uiPriority w:val="39"/>
    <w:unhideWhenUsed/>
    <w:rsid w:val="00523450"/>
    <w:pPr>
      <w:spacing w:after="100" w:line="278" w:lineRule="auto"/>
      <w:ind w:left="960"/>
    </w:pPr>
    <w:rPr>
      <w:rFonts w:eastAsiaTheme="minorEastAsia"/>
      <w:kern w:val="2"/>
      <w:lang w:val="en-CA" w:eastAsia="en-CA"/>
    </w:rPr>
  </w:style>
  <w:style w:type="paragraph" w:styleId="TOC6">
    <w:name w:val="toc 6"/>
    <w:basedOn w:val="Normal"/>
    <w:next w:val="Normal"/>
    <w:autoRedefine/>
    <w:uiPriority w:val="39"/>
    <w:unhideWhenUsed/>
    <w:rsid w:val="00523450"/>
    <w:pPr>
      <w:spacing w:after="100" w:line="278" w:lineRule="auto"/>
      <w:ind w:left="1200"/>
    </w:pPr>
    <w:rPr>
      <w:rFonts w:eastAsiaTheme="minorEastAsia"/>
      <w:kern w:val="2"/>
      <w:lang w:val="en-CA" w:eastAsia="en-CA"/>
    </w:rPr>
  </w:style>
  <w:style w:type="paragraph" w:styleId="TOC7">
    <w:name w:val="toc 7"/>
    <w:basedOn w:val="Normal"/>
    <w:next w:val="Normal"/>
    <w:autoRedefine/>
    <w:uiPriority w:val="39"/>
    <w:unhideWhenUsed/>
    <w:rsid w:val="00523450"/>
    <w:pPr>
      <w:spacing w:after="100" w:line="278" w:lineRule="auto"/>
      <w:ind w:left="1440"/>
    </w:pPr>
    <w:rPr>
      <w:rFonts w:eastAsiaTheme="minorEastAsia"/>
      <w:kern w:val="2"/>
      <w:lang w:val="en-CA" w:eastAsia="en-CA"/>
    </w:rPr>
  </w:style>
  <w:style w:type="paragraph" w:styleId="TOC8">
    <w:name w:val="toc 8"/>
    <w:basedOn w:val="Normal"/>
    <w:next w:val="Normal"/>
    <w:autoRedefine/>
    <w:uiPriority w:val="39"/>
    <w:unhideWhenUsed/>
    <w:rsid w:val="00523450"/>
    <w:pPr>
      <w:spacing w:after="100" w:line="278" w:lineRule="auto"/>
      <w:ind w:left="1680"/>
    </w:pPr>
    <w:rPr>
      <w:rFonts w:eastAsiaTheme="minorEastAsia"/>
      <w:kern w:val="2"/>
      <w:lang w:val="en-CA" w:eastAsia="en-CA"/>
    </w:rPr>
  </w:style>
  <w:style w:type="paragraph" w:styleId="TOC9">
    <w:name w:val="toc 9"/>
    <w:basedOn w:val="Normal"/>
    <w:next w:val="Normal"/>
    <w:autoRedefine/>
    <w:uiPriority w:val="39"/>
    <w:unhideWhenUsed/>
    <w:rsid w:val="00523450"/>
    <w:pPr>
      <w:spacing w:after="100" w:line="278" w:lineRule="auto"/>
      <w:ind w:left="1920"/>
    </w:pPr>
    <w:rPr>
      <w:rFonts w:eastAsiaTheme="minorEastAsia"/>
      <w:kern w:val="2"/>
      <w:lang w:val="en-CA" w:eastAsia="en-CA"/>
    </w:rPr>
  </w:style>
  <w:style w:type="character" w:styleId="UnresolvedMention">
    <w:name w:val="Unresolved Mention"/>
    <w:basedOn w:val="DefaultParagraphFont"/>
    <w:uiPriority w:val="99"/>
    <w:semiHidden/>
    <w:unhideWhenUsed/>
    <w:rsid w:val="00523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292</Pages>
  <Words>95729</Words>
  <Characters>593525</Characters>
  <Application>Microsoft Office Word</Application>
  <DocSecurity>0</DocSecurity>
  <Lines>11870</Lines>
  <Paragraphs>5941</Paragraphs>
  <ScaleCrop>false</ScaleCrop>
  <Company/>
  <LinksUpToDate>false</LinksUpToDate>
  <CharactersWithSpaces>683313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Heather Leblanc</cp:lastModifiedBy>
  <cp:revision>3</cp:revision>
  <dcterms:created xsi:type="dcterms:W3CDTF">2026-08-17T08:51:00Z</dcterms:created>
  <dcterms:modified xsi:type="dcterms:W3CDTF">2026-08-17T11:11:00Z</dcterms:modified>
</cp:coreProperties>
</file>