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1616e972c41e46c0" Type="http://schemas.openxmlformats.org/officeDocument/2006/relationships/officeDocument" Target="word/document.xml"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pPr>
        <w:pStyle w:val="Normal"/>
      </w:pPr>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Bg"/>
            <wp:cNvGraphicFramePr>
              <a:graphicFrameLocks noChangeAspect="1"/>
            </wp:cNvGraphicFramePr>
            <a:graphic>
              <a:graphicData uri="http://schemas.openxmlformats.org/drawingml/2006/picture">
                <pic:pic>
                  <pic:nvPicPr>
                    <pic:cNvPr id="0" name="CoverBg.png"/>
                    <pic:cNvPicPr/>
                  </pic:nvPicPr>
                  <pic:blipFill>
                    <a:blip r:embed="Rdd2ea09373d34ec1"/>
                    <a:stretch>
                      <a:fillRect/>
                    </a:stretch>
                  </pic:blipFill>
                  <pic:spPr>
                    <a:xfrm>
                      <a:off x="0" y="0"/>
                      <a:ext cx="7560000" cy="10692000"/>
                    </a:xfrm>
                    <a:prstGeom prst="rect"/>
                  </pic:spPr>
                </pic:pic>
              </a:graphicData>
            </a:graphic>
          </wp:anchor>
        </w:drawing>
      </w:r>
    </w:p>
    <w:p>
      <w:pPr>
        <w:pStyle w:val="Normal"/>
        <w:spacing w:before="4800"/>
      </w:pPr>
    </w:p>
    <w:p>
      <w:pPr>
        <w:pStyle w:val="Normal"/>
        <w:spacing w:after="200"/>
        <w:jc w:val="center"/>
      </w:pPr>
      <w:r>
        <w:rPr>
          <w:b/>
          <w:color w:val="FAFAF8"/>
          <w:sz w:val="72"/>
          <w:rFonts w:ascii="Calibri" w:hAnsi="Calibri" w:eastAsia="Microsoft YaHei" w:cs="Calibri"/>
          <w:szCs w:val="72"/>
          <w:spacing w:val="30"/>
        </w:rPr>
        <w:t>ANNEX 1AD</w:t>
      </w:r>
    </w:p>
    <w:p>
      <w:pPr>
        <w:pStyle w:val="Normal"/>
        <w:spacing w:after="600"/>
        <w:jc w:val="center"/>
      </w:pPr>
      <w:r>
        <w:rPr>
          <w:color w:val="8B7355"/>
          <w:sz w:val="36"/>
          <w:rFonts w:ascii="Calibri" w:hAnsi="Calibri" w:eastAsia="Microsoft YaHei" w:cs="Calibri"/>
          <w:szCs w:val="36"/>
          <w:spacing w:val="20"/>
        </w:rPr>
        <w:t>CONFIDENCE-BUILDING &amp; REVERSIBLE MEASURES</w:t>
      </w:r>
    </w:p>
    <w:p>
      <w:pPr>
        <w:pStyle w:val="Normal"/>
        <w:spacing w:after="400"/>
        <w:jc w:val="center"/>
      </w:pPr>
      <w:r>
        <w:rPr>
          <w:color w:val="FAFAF8"/>
          <w:sz w:val="24"/>
          <w:rFonts w:ascii="Calibri" w:hAnsi="Calibri" w:eastAsia="Microsoft YaHei" w:cs="Calibri"/>
          <w:szCs w:val="24"/>
        </w:rPr>
        <w:t>To the Hormuz Standardization Understanding (HSU)</w:t>
      </w:r>
    </w:p>
    <w:p>
      <w:pPr>
        <w:pStyle w:val="Normal"/>
        <w:spacing w:after="3000"/>
        <w:jc w:val="center"/>
      </w:pPr>
      <w:r>
        <w:rPr>
          <w:color w:val="78909C"/>
          <w:sz w:val="22"/>
          <w:rFonts w:ascii="Calibri" w:hAnsi="Calibri" w:eastAsia="Microsoft YaHei" w:cs="Calibri"/>
          <w:szCs w:val="22"/>
        </w:rPr>
        <w:t>The Third and Final Operational Annex Completing the HSU Implementation Architecture</w:t>
      </w:r>
    </w:p>
    <w:p>
      <w:pPr>
        <w:pStyle w:val="Normal"/>
        <w:spacing w:after="120"/>
        <w:jc w:val="center"/>
      </w:pPr>
      <w:r>
        <w:rPr>
          <w:color w:val="78909C"/>
          <w:sz w:val="20"/>
          <w:rFonts w:ascii="Calibri" w:hAnsi="Calibri" w:eastAsia="Microsoft YaHei" w:cs="Calibri"/>
          <w:szCs w:val="20"/>
        </w:rPr>
        <w:t>Effective Date: July 2026</w:t>
      </w:r>
    </w:p>
    <w:p>
      <w:pPr>
        <w:pStyle w:val="Normal"/>
        <w:spacing w:after="120"/>
        <w:jc w:val="center"/>
      </w:pPr>
      <w:r>
        <w:rPr>
          <w:color w:val="78909C"/>
          <w:sz w:val="20"/>
          <w:rFonts w:ascii="Calibri" w:hAnsi="Calibri" w:eastAsia="Microsoft YaHei" w:cs="Calibri"/>
          <w:szCs w:val="20"/>
        </w:rPr>
        <w:t>Depositary: Government of the Sultanate of Oman</w:t>
      </w:r>
    </w:p>
    <w:p>
      <w:pPr>
        <w:pStyle w:val="Normal"/>
        <w:jc w:val="center"/>
      </w:pPr>
      <w:r>
        <w:rPr>
          <w:color w:val="78909C"/>
          <w:sz w:val="20"/>
          <w:rFonts w:ascii="Calibri" w:hAnsi="Calibri" w:eastAsia="Microsoft YaHei" w:cs="Calibri"/>
          <w:szCs w:val="20"/>
        </w:rPr>
        <w:t>Classification: CONFIDENTIAL / AUTHORIZED NEGOTIATORS ONLY</w:t>
      </w:r>
    </w:p>
    <w:p>
      <w:pPr>
        <w:pStyle w:val="Normal"/>
        <w:sectPr>
          <w:type w:val="nextPage"/>
          <w:pgSz w:w="11906" w:h="16838"/>
          <w:pgMar w:top="0" w:right="0" w:bottom="0" w:left="0" w:header="0" w:footer="0"/>
          <w:titlePg/>
        </w:sectPr>
      </w:pPr>
    </w:p>
    <w:p>
      <w:pPr>
        <w:pStyle w:val="Heading1"/>
      </w:pPr>
      <w:bookmarkStart w:name="_Toc000" w:id="1"/>
      <w:r>
        <w:rPr>
          <w:rFonts w:ascii="Calibri" w:hAnsi="Calibri" w:eastAsia="Microsoft YaHei" w:cs="Calibri"/>
          <w:b/>
          <w:color w:val="37474F"/>
          <w:sz w:val="40"/>
          <w:szCs w:val="40"/>
        </w:rPr>
        <w:t>Table of Contents</w:t>
      </w:r>
      <w:bookmarkEnd w:id="1"/>
    </w:p>
    <w:p>
      <w:pPr>
        <w:pStyle w:val="Normal"/>
      </w:pPr>
      <w:r>
        <w:fldChar w:fldCharType="begin"/>
      </w:r>
      <w:r>
        <w:instrText xml:space="preserve"> TOC \o "1-3" \h \z \u </w:instrText>
      </w:r>
      <w:r>
        <w:fldChar w:fldCharType="separate"/>
      </w:r>
    </w:p>
    <w:p>
      <w:pPr>
        <w:pStyle w:val="TOC1"/>
      </w:pPr>
      <w:r>
        <w:rPr>
          <w:rFonts w:ascii="Calibri" w:hAnsi="Calibri" w:eastAsia="Microsoft YaHei" w:cs="Calibri"/>
          <w:sz w:val="22"/>
          <w:b/>
          <w:color w:val="263238"/>
          <w:szCs w:val="22"/>
        </w:rPr>
        <w:t>Section 1: Purpose and Principles</w:t>
      </w:r>
      <w:r>
        <w:rPr>
          <w:rFonts w:ascii="Calibri" w:hAnsi="Calibri" w:eastAsia="Microsoft YaHei"/>
          <w:sz w:val="22"/>
          <w:b/>
          <w:color w:val="263238"/>
        </w:rPr>
        <w:tab/>
      </w:r>
      <w:r>
        <w:rPr>
          <w:rFonts w:ascii="Calibri" w:hAnsi="Calibri" w:eastAsia="Microsoft YaHei" w:cs="Calibri"/>
          <w:sz w:val="22"/>
          <w:b/>
          <w:color w:val="263238"/>
          <w:szCs w:val="22"/>
        </w:rPr>
        <w:t>3</w:t>
      </w:r>
    </w:p>
    <w:p>
      <w:pPr>
        <w:pStyle w:val="TOC2"/>
      </w:pPr>
      <w:r>
        <w:rPr>
          <w:rFonts w:ascii="Calibri" w:hAnsi="Calibri" w:eastAsia="Microsoft YaHei" w:cs="Calibri"/>
          <w:sz w:val="22"/>
          <w:color w:val="546E7A"/>
          <w:szCs w:val="22"/>
        </w:rPr>
        <w:t>1.1 Purpose</w:t>
      </w:r>
      <w:r>
        <w:rPr>
          <w:rFonts w:ascii="Calibri" w:hAnsi="Calibri" w:eastAsia="Microsoft YaHei"/>
          <w:sz w:val="22"/>
          <w:color w:val="546E7A"/>
        </w:rPr>
        <w:tab/>
      </w:r>
      <w:r>
        <w:rPr>
          <w:rFonts w:ascii="Calibri" w:hAnsi="Calibri" w:eastAsia="Microsoft YaHei" w:cs="Calibri"/>
          <w:sz w:val="22"/>
          <w:color w:val="546E7A"/>
          <w:szCs w:val="22"/>
        </w:rPr>
        <w:t>3</w:t>
      </w:r>
    </w:p>
    <w:p>
      <w:pPr>
        <w:pStyle w:val="TOC2"/>
      </w:pPr>
      <w:r>
        <w:rPr>
          <w:rFonts w:ascii="Calibri" w:hAnsi="Calibri" w:eastAsia="Microsoft YaHei" w:cs="Calibri"/>
          <w:sz w:val="22"/>
          <w:color w:val="546E7A"/>
          <w:szCs w:val="22"/>
        </w:rPr>
        <w:t>1.2 Core Principles</w:t>
      </w:r>
      <w:r>
        <w:rPr>
          <w:rFonts w:ascii="Calibri" w:hAnsi="Calibri" w:eastAsia="Microsoft YaHei"/>
          <w:sz w:val="22"/>
          <w:color w:val="546E7A"/>
        </w:rPr>
        <w:tab/>
      </w:r>
      <w:r>
        <w:rPr>
          <w:rFonts w:ascii="Calibri" w:hAnsi="Calibri" w:eastAsia="Microsoft YaHei" w:cs="Calibri"/>
          <w:sz w:val="22"/>
          <w:color w:val="546E7A"/>
          <w:szCs w:val="22"/>
        </w:rPr>
        <w:t>3</w:t>
      </w:r>
    </w:p>
    <w:p>
      <w:pPr>
        <w:pStyle w:val="TOC1"/>
      </w:pPr>
      <w:r>
        <w:rPr>
          <w:rFonts w:ascii="Calibri" w:hAnsi="Calibri" w:eastAsia="Microsoft YaHei" w:cs="Calibri"/>
          <w:sz w:val="22"/>
          <w:b/>
          <w:color w:val="263238"/>
          <w:szCs w:val="22"/>
        </w:rPr>
        <w:t>Section 2: Phased Measures Schedule</w:t>
      </w:r>
      <w:r>
        <w:rPr>
          <w:rFonts w:ascii="Calibri" w:hAnsi="Calibri" w:eastAsia="Microsoft YaHei"/>
          <w:sz w:val="22"/>
          <w:b/>
          <w:color w:val="263238"/>
        </w:rPr>
        <w:tab/>
      </w:r>
      <w:r>
        <w:rPr>
          <w:rFonts w:ascii="Calibri" w:hAnsi="Calibri" w:eastAsia="Microsoft YaHei" w:cs="Calibri"/>
          <w:sz w:val="22"/>
          <w:b/>
          <w:color w:val="263238"/>
          <w:szCs w:val="22"/>
        </w:rPr>
        <w:t>5</w:t>
      </w:r>
    </w:p>
    <w:p>
      <w:pPr>
        <w:pStyle w:val="TOC2"/>
      </w:pPr>
      <w:r>
        <w:rPr>
          <w:rFonts w:ascii="Calibri" w:hAnsi="Calibri" w:eastAsia="Microsoft YaHei" w:cs="Calibri"/>
          <w:sz w:val="22"/>
          <w:color w:val="546E7A"/>
          <w:szCs w:val="22"/>
        </w:rPr>
        <w:t>Phase 1: Immediate Stabilization</w:t>
      </w:r>
      <w:r>
        <w:rPr>
          <w:rFonts w:ascii="Calibri" w:hAnsi="Calibri" w:eastAsia="Microsoft YaHei"/>
          <w:sz w:val="22"/>
          <w:color w:val="546E7A"/>
        </w:rPr>
        <w:tab/>
      </w:r>
      <w:r>
        <w:rPr>
          <w:rFonts w:ascii="Calibri" w:hAnsi="Calibri" w:eastAsia="Microsoft YaHei" w:cs="Calibri"/>
          <w:sz w:val="22"/>
          <w:color w:val="546E7A"/>
          <w:szCs w:val="22"/>
        </w:rPr>
        <w:t>5</w:t>
      </w:r>
    </w:p>
    <w:p>
      <w:pPr>
        <w:pStyle w:val="TOC2"/>
      </w:pPr>
      <w:r>
        <w:rPr>
          <w:rFonts w:ascii="Calibri" w:hAnsi="Calibri" w:eastAsia="Microsoft YaHei" w:cs="Calibri"/>
          <w:sz w:val="22"/>
          <w:color w:val="546E7A"/>
          <w:szCs w:val="22"/>
        </w:rPr>
        <w:t>Phase 2: De-escalation</w:t>
      </w:r>
      <w:r>
        <w:rPr>
          <w:rFonts w:ascii="Calibri" w:hAnsi="Calibri" w:eastAsia="Microsoft YaHei"/>
          <w:sz w:val="22"/>
          <w:color w:val="546E7A"/>
        </w:rPr>
        <w:tab/>
      </w:r>
      <w:r>
        <w:rPr>
          <w:rFonts w:ascii="Calibri" w:hAnsi="Calibri" w:eastAsia="Microsoft YaHei" w:cs="Calibri"/>
          <w:sz w:val="22"/>
          <w:color w:val="546E7A"/>
          <w:szCs w:val="22"/>
        </w:rPr>
        <w:t>7</w:t>
      </w:r>
    </w:p>
    <w:p>
      <w:pPr>
        <w:pStyle w:val="TOC2"/>
      </w:pPr>
      <w:r>
        <w:rPr>
          <w:rFonts w:ascii="Calibri" w:hAnsi="Calibri" w:eastAsia="Microsoft YaHei" w:cs="Calibri"/>
          <w:sz w:val="22"/>
          <w:color w:val="546E7A"/>
          <w:szCs w:val="22"/>
        </w:rPr>
        <w:t>Phase 3: Normalization</w:t>
      </w:r>
      <w:r>
        <w:rPr>
          <w:rFonts w:ascii="Calibri" w:hAnsi="Calibri" w:eastAsia="Microsoft YaHei"/>
          <w:sz w:val="22"/>
          <w:color w:val="546E7A"/>
        </w:rPr>
        <w:tab/>
      </w:r>
      <w:r>
        <w:rPr>
          <w:rFonts w:ascii="Calibri" w:hAnsi="Calibri" w:eastAsia="Microsoft YaHei" w:cs="Calibri"/>
          <w:sz w:val="22"/>
          <w:color w:val="546E7A"/>
          <w:szCs w:val="22"/>
        </w:rPr>
        <w:t>9</w:t>
      </w:r>
    </w:p>
    <w:p>
      <w:pPr>
        <w:pStyle w:val="TOC2"/>
      </w:pPr>
      <w:r>
        <w:rPr>
          <w:rFonts w:ascii="Calibri" w:hAnsi="Calibri" w:eastAsia="Microsoft YaHei" w:cs="Calibri"/>
          <w:sz w:val="22"/>
          <w:color w:val="546E7A"/>
          <w:szCs w:val="22"/>
        </w:rPr>
        <w:t>Phase 4: Institutionalization</w:t>
      </w:r>
      <w:r>
        <w:rPr>
          <w:rFonts w:ascii="Calibri" w:hAnsi="Calibri" w:eastAsia="Microsoft YaHei"/>
          <w:sz w:val="22"/>
          <w:color w:val="546E7A"/>
        </w:rPr>
        <w:tab/>
      </w:r>
      <w:r>
        <w:rPr>
          <w:rFonts w:ascii="Calibri" w:hAnsi="Calibri" w:eastAsia="Microsoft YaHei" w:cs="Calibri"/>
          <w:sz w:val="22"/>
          <w:color w:val="546E7A"/>
          <w:szCs w:val="22"/>
        </w:rPr>
        <w:t>11</w:t>
      </w:r>
    </w:p>
    <w:p>
      <w:pPr>
        <w:pStyle w:val="TOC1"/>
      </w:pPr>
      <w:r>
        <w:rPr>
          <w:rFonts w:ascii="Calibri" w:hAnsi="Calibri" w:eastAsia="Microsoft YaHei" w:cs="Calibri"/>
          <w:sz w:val="22"/>
          <w:b/>
          <w:color w:val="263238"/>
          <w:szCs w:val="22"/>
        </w:rPr>
        <w:t>Section 3: Reversibility Mechanism</w:t>
      </w:r>
      <w:r>
        <w:rPr>
          <w:rFonts w:ascii="Calibri" w:hAnsi="Calibri" w:eastAsia="Microsoft YaHei"/>
          <w:sz w:val="22"/>
          <w:b/>
          <w:color w:val="263238"/>
        </w:rPr>
        <w:tab/>
      </w:r>
      <w:r>
        <w:rPr>
          <w:rFonts w:ascii="Calibri" w:hAnsi="Calibri" w:eastAsia="Microsoft YaHei" w:cs="Calibri"/>
          <w:sz w:val="22"/>
          <w:b/>
          <w:color w:val="263238"/>
          <w:szCs w:val="22"/>
        </w:rPr>
        <w:t>13</w:t>
      </w:r>
    </w:p>
    <w:p>
      <w:pPr>
        <w:pStyle w:val="TOC2"/>
      </w:pPr>
      <w:r>
        <w:rPr>
          <w:rFonts w:ascii="Calibri" w:hAnsi="Calibri" w:eastAsia="Microsoft YaHei" w:cs="Calibri"/>
          <w:sz w:val="22"/>
          <w:color w:val="546E7A"/>
          <w:szCs w:val="22"/>
        </w:rPr>
        <w:t>3.1 The Break-Glass Clause</w:t>
      </w:r>
      <w:r>
        <w:rPr>
          <w:rFonts w:ascii="Calibri" w:hAnsi="Calibri" w:eastAsia="Microsoft YaHei"/>
          <w:sz w:val="22"/>
          <w:color w:val="546E7A"/>
        </w:rPr>
        <w:tab/>
      </w:r>
      <w:r>
        <w:rPr>
          <w:rFonts w:ascii="Calibri" w:hAnsi="Calibri" w:eastAsia="Microsoft YaHei" w:cs="Calibri"/>
          <w:sz w:val="22"/>
          <w:color w:val="546E7A"/>
          <w:szCs w:val="22"/>
        </w:rPr>
        <w:t>13</w:t>
      </w:r>
    </w:p>
    <w:p>
      <w:pPr>
        <w:pStyle w:val="TOC2"/>
      </w:pPr>
      <w:r>
        <w:rPr>
          <w:rFonts w:ascii="Calibri" w:hAnsi="Calibri" w:eastAsia="Microsoft YaHei" w:cs="Calibri"/>
          <w:sz w:val="24"/>
          <w:color w:val="546E7A"/>
          <w:szCs w:val="22"/>
          <w:b/>
        </w:rPr>
        <w:t>3.2 Emergency Suspension (Immediate Suspension)</w:t>
      </w:r>
      <w:r>
        <w:rPr>
          <w:rFonts w:ascii="Calibri" w:hAnsi="Calibri" w:eastAsia="Microsoft YaHei"/>
          <w:sz w:val="22"/>
          <w:color w:val="546E7A"/>
        </w:rPr>
        <w:tab/>
      </w:r>
      <w:r>
        <w:rPr>
          <w:rFonts w:ascii="Calibri" w:hAnsi="Calibri" w:eastAsia="Microsoft YaHei" w:cs="Calibri"/>
          <w:sz w:val="22"/>
          <w:color w:val="546E7A"/>
          <w:szCs w:val="22"/>
        </w:rPr>
        <w:t>14</w:t>
      </w:r>
    </w:p>
    <w:p>
      <w:pPr>
        <w:pStyle w:val="TOC1"/>
      </w:pPr>
      <w:r>
        <w:rPr>
          <w:rFonts w:ascii="Calibri" w:hAnsi="Calibri" w:eastAsia="Microsoft YaHei" w:cs="Calibri"/>
          <w:sz w:val="22"/>
          <w:b/>
          <w:color w:val="263238"/>
          <w:szCs w:val="22"/>
        </w:rPr>
        <w:t>Section 4: Compliance Dashboard</w:t>
      </w:r>
      <w:r>
        <w:rPr>
          <w:rFonts w:ascii="Calibri" w:hAnsi="Calibri" w:eastAsia="Microsoft YaHei"/>
          <w:sz w:val="22"/>
          <w:b/>
          <w:color w:val="263238"/>
        </w:rPr>
        <w:tab/>
      </w:r>
      <w:r>
        <w:rPr>
          <w:rFonts w:ascii="Calibri" w:hAnsi="Calibri" w:eastAsia="Microsoft YaHei" w:cs="Calibri"/>
          <w:sz w:val="22"/>
          <w:b/>
          <w:color w:val="263238"/>
          <w:szCs w:val="22"/>
        </w:rPr>
        <w:t>15</w:t>
      </w:r>
    </w:p>
    <w:p>
      <w:pPr>
        <w:pStyle w:val="TOC1"/>
      </w:pPr>
      <w:r>
        <w:rPr>
          <w:rFonts w:ascii="Calibri" w:hAnsi="Calibri" w:eastAsia="Microsoft YaHei" w:cs="Calibri"/>
          <w:sz w:val="22"/>
          <w:b/>
          <w:color w:val="263238"/>
          <w:szCs w:val="22"/>
        </w:rPr>
        <w:t>Section 5: Role of Oman as Neutral Guarantor</w:t>
      </w:r>
      <w:r>
        <w:rPr>
          <w:rFonts w:ascii="Calibri" w:hAnsi="Calibri" w:eastAsia="Microsoft YaHei"/>
          <w:sz w:val="22"/>
          <w:b/>
          <w:color w:val="263238"/>
        </w:rPr>
        <w:tab/>
      </w:r>
      <w:r>
        <w:rPr>
          <w:rFonts w:ascii="Calibri" w:hAnsi="Calibri" w:eastAsia="Microsoft YaHei" w:cs="Calibri"/>
          <w:sz w:val="22"/>
          <w:b/>
          <w:color w:val="263238"/>
          <w:szCs w:val="22"/>
        </w:rPr>
        <w:t>17</w:t>
      </w:r>
    </w:p>
    <w:p>
      <w:pPr>
        <w:pStyle w:val="TOC1"/>
      </w:pPr>
      <w:r>
        <w:rPr>
          <w:rFonts w:ascii="Calibri" w:hAnsi="Calibri" w:eastAsia="Microsoft YaHei" w:cs="Calibri"/>
          <w:sz w:val="22"/>
          <w:b/>
          <w:color w:val="263238"/>
          <w:szCs w:val="22"/>
        </w:rPr>
        <w:t>Section 6: The Waltz Synchronization Protocol</w:t>
      </w:r>
      <w:r>
        <w:rPr>
          <w:rFonts w:ascii="Calibri" w:hAnsi="Calibri" w:eastAsia="Microsoft YaHei"/>
          <w:sz w:val="22"/>
          <w:b/>
          <w:color w:val="263238"/>
        </w:rPr>
        <w:tab/>
      </w:r>
      <w:r>
        <w:rPr>
          <w:rFonts w:ascii="Calibri" w:hAnsi="Calibri" w:eastAsia="Microsoft YaHei" w:cs="Calibri"/>
          <w:sz w:val="22"/>
          <w:b/>
          <w:color w:val="263238"/>
          <w:szCs w:val="22"/>
        </w:rPr>
        <w:t>19</w:t>
      </w:r>
    </w:p>
    <w:p>
      <w:pPr>
        <w:pStyle w:val="TOC1"/>
      </w:pPr>
      <w:r>
        <w:rPr>
          <w:rFonts w:ascii="Calibri" w:hAnsi="Calibri" w:eastAsia="Microsoft YaHei" w:cs="Calibri"/>
          <w:sz w:val="22"/>
          <w:b/>
          <w:color w:val="263238"/>
          <w:szCs w:val="22"/>
        </w:rPr>
        <w:t>Section 7: Dispute Resolution</w:t>
      </w:r>
      <w:r>
        <w:rPr>
          <w:rFonts w:ascii="Calibri" w:hAnsi="Calibri" w:eastAsia="Microsoft YaHei"/>
          <w:sz w:val="22"/>
          <w:b/>
          <w:color w:val="263238"/>
        </w:rPr>
        <w:tab/>
      </w:r>
      <w:r>
        <w:rPr>
          <w:rFonts w:ascii="Calibri" w:hAnsi="Calibri" w:eastAsia="Microsoft YaHei" w:cs="Calibri"/>
          <w:sz w:val="22"/>
          <w:b/>
          <w:color w:val="263238"/>
          <w:szCs w:val="22"/>
        </w:rPr>
        <w:t>21</w:t>
      </w:r>
    </w:p>
    <w:p>
      <w:pPr>
        <w:pStyle w:val="TOC1"/>
      </w:pPr>
      <w:r>
        <w:rPr>
          <w:rFonts w:ascii="Calibri" w:hAnsi="Calibri" w:eastAsia="Microsoft YaHei" w:cs="Calibri"/>
          <w:sz w:val="22"/>
          <w:b/>
          <w:color w:val="263238"/>
          <w:szCs w:val="22"/>
        </w:rPr>
        <w:t>Section 8: Technical Review and Amendments</w:t>
      </w:r>
      <w:r>
        <w:rPr>
          <w:rFonts w:ascii="Calibri" w:hAnsi="Calibri" w:eastAsia="Microsoft YaHei"/>
          <w:sz w:val="22"/>
          <w:b/>
          <w:color w:val="263238"/>
        </w:rPr>
        <w:tab/>
      </w:r>
      <w:r>
        <w:rPr>
          <w:rFonts w:ascii="Calibri" w:hAnsi="Calibri" w:eastAsia="Microsoft YaHei" w:cs="Calibri"/>
          <w:sz w:val="22"/>
          <w:b/>
          <w:color w:val="263238"/>
          <w:szCs w:val="22"/>
        </w:rPr>
        <w:t>22</w:t>
      </w:r>
    </w:p>
    <w:p>
      <w:pPr>
        <w:pStyle w:val="TOC1"/>
      </w:pPr>
      <w:r>
        <w:rPr>
          <w:rFonts w:ascii="Calibri" w:hAnsi="Calibri" w:eastAsia="Microsoft YaHei" w:cs="Calibri"/>
          <w:sz w:val="22"/>
          <w:b/>
          <w:color w:val="263238"/>
          <w:szCs w:val="22"/>
        </w:rPr>
        <w:t>Section 9: Final Provisions</w:t>
      </w:r>
      <w:r>
        <w:rPr>
          <w:rFonts w:ascii="Calibri" w:hAnsi="Calibri" w:eastAsia="Microsoft YaHei"/>
          <w:sz w:val="22"/>
          <w:b/>
          <w:color w:val="263238"/>
        </w:rPr>
        <w:tab/>
      </w:r>
      <w:r>
        <w:rPr>
          <w:rFonts w:ascii="Calibri" w:hAnsi="Calibri" w:eastAsia="Microsoft YaHei" w:cs="Calibri"/>
          <w:sz w:val="22"/>
          <w:b/>
          <w:color w:val="263238"/>
          <w:szCs w:val="22"/>
        </w:rPr>
        <w:t>23</w:t>
      </w:r>
    </w:p>
    <w:p>
      <w:pPr>
        <w:pStyle w:val="Normal"/>
      </w:pPr>
      <w:r>
        <w:fldChar w:fldCharType="end"/>
      </w:r>
    </w:p>
    <w:p>
      <w:pPr>
        <w:pStyle w:val="Normal"/>
        <w:sectPr>
          <w:type w:val="nextPage"/>
          <w:pgSz w:w="11906" w:h="16838"/>
          <w:pgMar w:top="1800" w:right="1440" w:bottom="1440" w:left="1440" w:header="720" w:footer="720"/>
        </w:sectPr>
      </w:pPr>
    </w:p>
    <w:p>
      <w:pPr>
        <w:pStyle w:val="Heading1"/>
      </w:pPr>
      <w:bookmarkStart w:name="_Toc001" w:id="2"/>
      <w:r>
        <w:rPr>
          <w:rFonts w:ascii="Calibri" w:hAnsi="Calibri" w:eastAsia="Microsoft YaHei" w:cs="Calibri"/>
          <w:b/>
          <w:color w:val="37474F"/>
          <w:sz w:val="40"/>
          <w:szCs w:val="40"/>
        </w:rPr>
        <w:t>SECTION 1: PURPOSE AND PRINCIPLES</w:t>
      </w:r>
      <w:bookmarkEnd w:id="2"/>
    </w:p>
    <w:p>
      <w:pPr>
        <w:pStyle w:val="Heading2"/>
      </w:pPr>
      <w:r>
        <w:rPr>
          <w:rFonts w:ascii="Calibri" w:hAnsi="Calibri" w:eastAsia="Microsoft YaHei" w:cs="Calibri"/>
          <w:b/>
          <w:color w:val="263238"/>
          <w:sz w:val="28"/>
          <w:szCs w:val="28"/>
        </w:rPr>
        <w:t>1.1 Purpose</w:t>
      </w:r>
    </w:p>
    <w:p>
      <w:pPr>
        <w:pStyle w:val="Normal"/>
      </w:pPr>
      <w:r>
        <w:rPr>
          <w:rFonts w:ascii="Calibri" w:hAnsi="Calibri" w:eastAsia="Microsoft YaHei" w:cs="Calibri"/>
          <w:color w:val="263238"/>
          <w:sz w:val="22"/>
          <w:szCs w:val="22"/>
        </w:rPr>
        <w:t>This Annex establishes a structured, reciprocal, and reversible schedule of operational adjustments to military postures in and around the Strait of Hormuz. The framework architecture achieves the following purposes through this Annex:</w:t>
      </w:r>
    </w:p>
    <w:p>
      <w:pPr>
        <w:pStyle w:val="Normal"/>
        <w:spacing w:after="120"/>
        <w:ind w:left="720" w:hanging="360"/>
      </w:pPr>
      <w:r>
        <w:rPr>
          <w:b/>
          <w:rFonts w:ascii="Calibri" w:hAnsi="Calibri" w:eastAsia="Microsoft YaHei" w:cs="Calibri"/>
          <w:color w:val="263238"/>
          <w:sz w:val="22"/>
          <w:szCs w:val="22"/>
        </w:rPr>
        <w:t xml:space="preserve">1. Risk Reduction: </w:t>
      </w:r>
      <w:r>
        <w:rPr>
          <w:rFonts w:ascii="Calibri" w:hAnsi="Calibri" w:eastAsia="Microsoft YaHei" w:cs="Calibri"/>
          <w:color w:val="263238"/>
          <w:sz w:val="22"/>
          <w:szCs w:val="22"/>
        </w:rPr>
        <w:t>Each Phase reduces the probability of miscalculation and unintended confrontation through synchronized, transparent actions that create predictable operational patterns.</w:t>
      </w:r>
    </w:p>
    <w:p>
      <w:pPr>
        <w:pStyle w:val="Normal"/>
        <w:spacing w:after="120"/>
        <w:ind w:left="720" w:hanging="360"/>
      </w:pPr>
      <w:r>
        <w:rPr>
          <w:b/>
          <w:rFonts w:ascii="Calibri" w:hAnsi="Calibri" w:eastAsia="Microsoft YaHei" w:cs="Calibri"/>
          <w:color w:val="263238"/>
          <w:sz w:val="22"/>
          <w:szCs w:val="22"/>
        </w:rPr>
        <w:t xml:space="preserve">2. Operational Trust: </w:t>
      </w:r>
      <w:r>
        <w:rPr>
          <w:rFonts w:ascii="Calibri" w:hAnsi="Calibri" w:eastAsia="Microsoft YaHei" w:cs="Calibri"/>
          <w:color w:val="263238"/>
          <w:sz w:val="22"/>
          <w:szCs w:val="22"/>
        </w:rPr>
        <w:t>The Parties build operational trust through verified, mutual adjustments that demonstrate commitment to the HSU's stability objectives without sacrificing strategic position.</w:t>
      </w:r>
    </w:p>
    <w:p>
      <w:pPr>
        <w:pStyle w:val="Normal"/>
        <w:spacing w:after="120"/>
        <w:ind w:left="720" w:hanging="360"/>
      </w:pPr>
      <w:r>
        <w:rPr>
          <w:b/>
          <w:rFonts w:ascii="Calibri" w:hAnsi="Calibri" w:eastAsia="Microsoft YaHei" w:cs="Calibri"/>
          <w:color w:val="263238"/>
          <w:sz w:val="22"/>
          <w:szCs w:val="22"/>
        </w:rPr>
        <w:t xml:space="preserve">3. Cooling-Off Architecture: </w:t>
      </w:r>
      <w:r>
        <w:rPr>
          <w:rFonts w:ascii="Calibri" w:hAnsi="Calibri" w:eastAsia="Microsoft YaHei" w:cs="Calibri"/>
          <w:color w:val="263238"/>
          <w:sz w:val="22"/>
          <w:szCs w:val="22"/>
        </w:rPr>
        <w:t>The framework architecture provides a cooling-off mechanism that allows both sides to de-escalate without losing strategic position. Reversibility functions as a safety valve, not a weakness.</w:t>
      </w:r>
    </w:p>
    <w:p>
      <w:pPr>
        <w:pStyle w:val="Normal"/>
        <w:spacing w:after="120"/>
        <w:ind w:left="720" w:hanging="360"/>
      </w:pPr>
      <w:r>
        <w:rPr>
          <w:b/>
          <w:rFonts w:ascii="Calibri" w:hAnsi="Calibri" w:eastAsia="Microsoft YaHei" w:cs="Calibri"/>
          <w:color w:val="263238"/>
          <w:sz w:val="22"/>
          <w:szCs w:val="22"/>
        </w:rPr>
        <w:t xml:space="preserve">4. Public Accountability: </w:t>
      </w:r>
      <w:r>
        <w:rPr>
          <w:rFonts w:ascii="Calibri" w:hAnsi="Calibri" w:eastAsia="Microsoft YaHei" w:cs="Calibri"/>
          <w:color w:val="263238"/>
          <w:sz w:val="22"/>
          <w:szCs w:val="22"/>
        </w:rPr>
        <w:t>The JIC publishes a visible, public scorecard of progress that demonstrates tangible security benefits to all Parties, the IMO, and the international community.</w:t>
      </w:r>
    </w:p>
    <w:p>
      <w:pPr>
        <w:pStyle w:val="Heading2"/>
      </w:pPr>
      <w:r>
        <w:rPr>
          <w:rFonts w:ascii="Calibri" w:hAnsi="Calibri" w:eastAsia="Microsoft YaHei" w:cs="Calibri"/>
          <w:b/>
          <w:color w:val="263238"/>
          <w:sz w:val="28"/>
          <w:szCs w:val="28"/>
        </w:rPr>
        <w:t>1.2 Core Principles</w:t>
      </w:r>
    </w:p>
    <w:p>
      <w:pPr>
        <w:pStyle w:val="Heading3"/>
      </w:pPr>
      <w:r>
        <w:rPr>
          <w:rFonts w:ascii="Calibri" w:hAnsi="Calibri" w:eastAsia="Microsoft YaHei" w:cs="Calibri"/>
          <w:b/>
          <w:color w:val="546E7A"/>
          <w:sz w:val="24"/>
          <w:szCs w:val="24"/>
        </w:rPr>
        <w:t>1.2.1 Reciprocity</w:t>
      </w:r>
    </w:p>
    <w:p>
      <w:pPr>
        <w:pStyle w:val="Normal"/>
      </w:pPr>
      <w:r>
        <w:rPr>
          <w:rFonts w:ascii="Calibri" w:hAnsi="Calibri" w:eastAsia="Microsoft YaHei" w:cs="Calibri"/>
          <w:color w:val="546E7A"/>
          <w:sz w:val="24"/>
          <w:b/>
          <w:szCs w:val="24"/>
        </w:rPr>
        <w:t xml:space="preserve">(a) Matched Pair Principle: </w:t>
      </w:r>
      <w:r>
        <w:rPr>
          <w:rFonts w:ascii="Calibri" w:hAnsi="Calibri" w:eastAsia="Microsoft YaHei" w:cs="Calibri"/>
          <w:color w:val="263238"/>
          <w:sz w:val="20"/>
          <w:szCs w:val="20"/>
        </w:rPr>
        <w:t>Every measure under this Annex operates as a matched pair. One Party undertakes an adjustment only upon verified reciprocity that the other Party executes the corresponding adjustment. The framework architecture excludes unilateral concessions.</w:t>
      </w:r>
    </w:p>
    <w:p>
      <w:pPr>
        <w:pStyle w:val="Normal"/>
      </w:pPr>
      <w:r>
        <w:rPr>
          <w:rFonts w:ascii="Calibri" w:hAnsi="Calibri" w:eastAsia="Microsoft YaHei" w:cs="Calibri"/>
          <w:color w:val="546E7A"/>
          <w:sz w:val="24"/>
          <w:b/>
          <w:szCs w:val="24"/>
        </w:rPr>
        <w:t xml:space="preserve">(b) Verification Standard: </w:t>
      </w:r>
      <w:r>
        <w:rPr>
          <w:rFonts w:ascii="Calibri" w:hAnsi="Calibri" w:eastAsia="Microsoft YaHei" w:cs="Calibri"/>
          <w:color w:val="263238"/>
          <w:sz w:val="20"/>
          <w:szCs w:val="20"/>
        </w:rPr>
        <w:t>Reciprocity is verified when at least two independent monitoring sources confirm the other Party's execution. The monitoring sources are defined in the Compliance Dashboard. Verification occurs within 24 hours of the other Party's implementation. If verification is delayed beyond 24 hours, the implementing Party suspends its measure without penalty.</w:t>
      </w:r>
    </w:p>
    <w:p>
      <w:pPr>
        <w:pStyle w:val="Heading3"/>
      </w:pPr>
      <w:r>
        <w:rPr>
          <w:rFonts w:ascii="Calibri" w:hAnsi="Calibri" w:eastAsia="Microsoft YaHei" w:cs="Calibri"/>
          <w:b/>
          <w:color w:val="546E7A"/>
          <w:sz w:val="24"/>
          <w:szCs w:val="24"/>
        </w:rPr>
        <w:t>1.2.6 Good Faith Presumption</w:t>
      </w:r>
    </w:p>
    <w:p>
      <w:pPr>
        <w:pStyle w:val="Normal"/>
      </w:pPr>
      <w:r>
        <w:rPr>
          <w:rFonts w:ascii="Calibri" w:hAnsi="Calibri" w:eastAsia="Microsoft YaHei" w:cs="Calibri"/>
          <w:color w:val="263238"/>
          <w:sz w:val="20"/>
          <w:szCs w:val="20"/>
        </w:rPr>
        <w:t>The JIC presumes that a Party invoking any mechanism under this Annex (including but not limited to reciprocity review, Break-Glass reversal, or the operational necessity exception) is acting in good faith. If the JIC determines by a three-fourths majority that a Party invoked a mechanism without justification or abused the mechanism to avoid obligations, the Party triggers a Level 3 violation. The Party bears the burden of demonstrating good faith if challenged by the other Party or the JIC.</w:t>
      </w:r>
    </w:p>
    <w:p>
      <w:pPr>
        <w:pStyle w:val="Normal"/>
        <w:pageBreakBefore/>
      </w:pPr>
      <w:r>
        <w:rPr>
          <w:rFonts w:ascii="Calibri" w:hAnsi="Calibri" w:eastAsia="Microsoft YaHei" w:cs="Calibri"/>
          <w:color w:val="546E7A"/>
          <w:sz w:val="24"/>
          <w:b/>
          <w:szCs w:val="24"/>
        </w:rPr>
        <w:t xml:space="preserve">(c) Reciprocity Certification: </w:t>
      </w:r>
      <w:r>
        <w:rPr>
          <w:rFonts w:ascii="Calibri" w:hAnsi="Calibri" w:eastAsia="Microsoft YaHei" w:cs="Calibri"/>
          <w:color w:val="263238"/>
          <w:sz w:val="20"/>
          <w:szCs w:val="20"/>
        </w:rPr>
        <w:t>The JIC certifies reciprocity before any Phase transitions to the next Phase. The certification process reviews the verification records for each matched pair. The certification confirms that both Parties meet the operational standard defined for that measure. The certification is published in the Compliance Dashboard.</w:t>
      </w:r>
    </w:p>
    <w:p>
      <w:pPr>
        <w:pStyle w:val="Normal"/>
      </w:pPr>
      <w:r>
        <w:rPr>
          <w:rFonts w:ascii="Calibri" w:hAnsi="Calibri" w:eastAsia="Microsoft YaHei" w:cs="Calibri"/>
          <w:color w:val="546E7A"/>
          <w:sz w:val="24"/>
          <w:b/>
          <w:szCs w:val="24"/>
        </w:rPr>
        <w:t xml:space="preserve">(d) Reciprocity Failure: </w:t>
      </w:r>
      <w:r>
        <w:rPr>
          <w:rFonts w:ascii="Calibri" w:hAnsi="Calibri" w:eastAsia="Microsoft YaHei" w:cs="Calibri"/>
          <w:color w:val="263238"/>
          <w:sz w:val="20"/>
          <w:szCs w:val="20"/>
        </w:rPr>
        <w:t>If the JIC determines that a Party has not executed its matched pair: the JIC issues a Reciprocity Failure Notice within 48 hours; the non-executing Party has 72 hours to execute its obligation; if executed within 72 hours, the Failure Notice is rescinded; if not executed within 72 hours, the non-executing Party triggers a Level 2 violation; the implementing Party suspends its measure without penalty; the Phase is held until reciprocity is restored.</w:t>
      </w:r>
    </w:p>
    <w:p>
      <w:pPr>
        <w:pStyle w:val="Normal"/>
      </w:pPr>
      <w:r>
        <w:rPr>
          <w:rFonts w:ascii="Calibri" w:hAnsi="Calibri" w:eastAsia="Microsoft YaHei" w:cs="Calibri"/>
          <w:color w:val="546E7A"/>
          <w:sz w:val="24"/>
          <w:b/>
          <w:szCs w:val="24"/>
        </w:rPr>
        <w:t xml:space="preserve">(e) Good Faith Presumption: </w:t>
      </w:r>
      <w:r>
        <w:rPr>
          <w:rFonts w:ascii="Calibri" w:hAnsi="Calibri" w:eastAsia="Microsoft YaHei" w:cs="Calibri"/>
          <w:color w:val="263238"/>
          <w:sz w:val="20"/>
          <w:szCs w:val="20"/>
        </w:rPr>
        <w:t>The Good Faith Presumption under Section 1.2.6 applies to all reciprocity reviews.</w:t>
      </w:r>
    </w:p>
    <w:p>
      <w:pPr>
        <w:pStyle w:val="Heading3"/>
      </w:pPr>
      <w:r>
        <w:rPr>
          <w:rFonts w:ascii="Calibri" w:hAnsi="Calibri" w:eastAsia="Microsoft YaHei" w:cs="Calibri"/>
          <w:b/>
          <w:color w:val="546E7A"/>
          <w:sz w:val="24"/>
          <w:szCs w:val="24"/>
        </w:rPr>
        <w:t>1.2.2 Reversibility</w:t>
      </w:r>
    </w:p>
    <w:p>
      <w:pPr>
        <w:pStyle w:val="Normal"/>
      </w:pPr>
      <w:r>
        <w:rPr>
          <w:rFonts w:ascii="Calibri" w:hAnsi="Calibri" w:eastAsia="Microsoft YaHei" w:cs="Calibri"/>
          <w:color w:val="263238"/>
          <w:sz w:val="22"/>
          <w:szCs w:val="22"/>
        </w:rPr>
        <w:t>All measures under this Annex are inherently reversible. Either Party suspends its own adjustments with written notice to the JIC if that Party determines that the other Party has materially breached its corresponding obligations. The suspension timeline operates as follows:</w:t>
      </w:r>
    </w:p>
    <w:p>
      <w:pPr>
        <w:pStyle w:val="Normal"/>
        <w:spacing w:after="120"/>
        <w:ind w:left="720" w:hanging="360"/>
      </w:pPr>
      <w:r>
        <w:rPr>
          <w:b/>
          <w:rFonts w:ascii="Calibri" w:hAnsi="Calibri" w:eastAsia="Microsoft YaHei" w:cs="Calibri"/>
          <w:color w:val="263238"/>
          <w:sz w:val="22"/>
          <w:szCs w:val="22"/>
        </w:rPr>
        <w:t xml:space="preserve">1. Phase 1-2 Measures: </w:t>
      </w:r>
      <w:r>
        <w:rPr>
          <w:rFonts w:ascii="Calibri" w:hAnsi="Calibri" w:eastAsia="Microsoft YaHei" w:cs="Calibri"/>
          <w:color w:val="263238"/>
          <w:sz w:val="22"/>
          <w:szCs w:val="22"/>
        </w:rPr>
        <w:t>24 hours written notice to the JIC triggers suspension.</w:t>
      </w:r>
    </w:p>
    <w:p>
      <w:pPr>
        <w:pStyle w:val="Normal"/>
        <w:spacing w:after="120"/>
        <w:ind w:left="720" w:hanging="360"/>
      </w:pPr>
      <w:r>
        <w:rPr>
          <w:b/>
          <w:rFonts w:ascii="Calibri" w:hAnsi="Calibri" w:eastAsia="Microsoft YaHei" w:cs="Calibri"/>
          <w:color w:val="263238"/>
          <w:sz w:val="22"/>
          <w:szCs w:val="22"/>
        </w:rPr>
        <w:t xml:space="preserve">2. Phase 3-4 Measures: </w:t>
      </w:r>
      <w:r>
        <w:rPr>
          <w:rFonts w:ascii="Calibri" w:hAnsi="Calibri" w:eastAsia="Microsoft YaHei" w:cs="Calibri"/>
          <w:color w:val="263238"/>
          <w:sz w:val="22"/>
          <w:szCs w:val="22"/>
        </w:rPr>
        <w:t>48 hours written notice to the JIC triggers suspension.</w:t>
      </w:r>
    </w:p>
    <w:p>
      <w:pPr>
        <w:pStyle w:val="Normal"/>
      </w:pPr>
      <w:r>
        <w:rPr>
          <w:rFonts w:ascii="Calibri" w:hAnsi="Calibri" w:eastAsia="Microsoft YaHei" w:cs="Calibri"/>
          <w:color w:val="263238"/>
          <w:sz w:val="22"/>
          <w:szCs w:val="22"/>
        </w:rPr>
        <w:t>Reversibility strengthens the framework. The safety valve of reversible measures prevents a single incident from collapsing the entire HSU architecture. Both Parties retain the ability to protect their interests without triggering automatic escalation.</w:t>
      </w:r>
    </w:p>
    <w:p>
      <w:pPr>
        <w:pStyle w:val="Heading3"/>
      </w:pPr>
      <w:r>
        <w:rPr>
          <w:rFonts w:ascii="Calibri" w:hAnsi="Calibri" w:eastAsia="Microsoft YaHei" w:cs="Calibri"/>
          <w:b/>
          <w:color w:val="546E7A"/>
          <w:sz w:val="24"/>
          <w:szCs w:val="24"/>
        </w:rPr>
        <w:t>1.2.3 Verifiability</w:t>
      </w:r>
    </w:p>
    <w:p>
      <w:pPr>
        <w:pStyle w:val="Normal"/>
      </w:pPr>
      <w:r>
        <w:rPr>
          <w:rFonts w:ascii="Calibri" w:hAnsi="Calibri" w:eastAsia="Microsoft YaHei" w:cs="Calibri"/>
          <w:color w:val="263238"/>
          <w:sz w:val="22"/>
          <w:szCs w:val="22"/>
        </w:rPr>
        <w:t>All measures under this Annex are objectively verifiable through at least two of the following independent monitoring sources:</w:t>
      </w:r>
    </w:p>
    <w:p>
      <w:pPr>
        <w:pStyle w:val="Normal"/>
        <w:spacing w:after="80"/>
        <w:ind w:left="720" w:hanging="360"/>
      </w:pPr>
      <w:r>
        <w:rPr>
          <w:rFonts w:ascii="Calibri" w:hAnsi="Calibri" w:eastAsia="Microsoft YaHei" w:cs="Calibri"/>
          <w:color w:val="263238"/>
          <w:sz w:val="22"/>
          <w:szCs w:val="22"/>
        </w:rPr>
        <w:t>• Satellite imagery (optical and Synthetic Aperture Radar)</w:t>
      </w:r>
    </w:p>
    <w:p>
      <w:pPr>
        <w:pStyle w:val="Normal"/>
        <w:spacing w:after="80"/>
        <w:ind w:left="720" w:hanging="360"/>
      </w:pPr>
      <w:r>
        <w:rPr>
          <w:rFonts w:ascii="Calibri" w:hAnsi="Calibri" w:eastAsia="Microsoft YaHei" w:cs="Calibri"/>
          <w:color w:val="263238"/>
          <w:sz w:val="22"/>
          <w:szCs w:val="22"/>
        </w:rPr>
        <w:t>• VTS logs and AIS data feeds</w:t>
      </w:r>
    </w:p>
    <w:p>
      <w:pPr>
        <w:pStyle w:val="Normal"/>
        <w:spacing w:after="80"/>
        <w:ind w:left="720" w:hanging="360"/>
      </w:pPr>
      <w:r>
        <w:rPr>
          <w:rFonts w:ascii="Calibri" w:hAnsi="Calibri" w:eastAsia="Microsoft YaHei" w:cs="Calibri"/>
          <w:color w:val="263238"/>
          <w:sz w:val="22"/>
          <w:szCs w:val="22"/>
        </w:rPr>
        <w:t>• On-site observation by neutral parties (Oman or IMO representatives)</w:t>
      </w:r>
    </w:p>
    <w:p>
      <w:pPr>
        <w:pStyle w:val="Normal"/>
        <w:spacing w:after="80"/>
        <w:ind w:left="720" w:hanging="360"/>
      </w:pPr>
      <w:r>
        <w:rPr>
          <w:rFonts w:ascii="Calibri" w:hAnsi="Calibri" w:eastAsia="Microsoft YaHei" w:cs="Calibri"/>
          <w:color w:val="263238"/>
          <w:sz w:val="22"/>
          <w:szCs w:val="22"/>
        </w:rPr>
        <w:t>• Mutual notification and confirmation through the JIC</w:t>
      </w:r>
    </w:p>
    <w:p>
      <w:pPr>
        <w:pStyle w:val="Normal"/>
      </w:pPr>
      <w:r>
        <w:rPr>
          <w:rFonts w:ascii="Calibri" w:hAnsi="Calibri" w:eastAsia="Microsoft YaHei" w:cs="Calibri"/>
          <w:color w:val="263238"/>
          <w:sz w:val="22"/>
          <w:szCs w:val="22"/>
        </w:rPr>
        <w:t>The Technical Working Group applies the corroboration standard defined in HSU Annex 1AB: data from at least two independent sources achieves consistency before the JIC certifies compliance. A single-source finding receives provisional status pending corroboration.</w:t>
      </w:r>
    </w:p>
    <w:p>
      <w:pPr>
        <w:pStyle w:val="Heading3"/>
      </w:pPr>
      <w:r>
        <w:rPr>
          <w:rFonts w:ascii="Calibri" w:hAnsi="Calibri" w:eastAsia="Microsoft YaHei" w:cs="Calibri"/>
          <w:b/>
          <w:color w:val="546E7A"/>
          <w:sz w:val="24"/>
          <w:szCs w:val="24"/>
        </w:rPr>
        <w:t>1.2.4 Phased Implementation</w:t>
      </w:r>
    </w:p>
    <w:p>
      <w:pPr>
        <w:pStyle w:val="Normal"/>
      </w:pPr>
      <w:r>
        <w:rPr>
          <w:rFonts w:ascii="Calibri" w:hAnsi="Calibri" w:eastAsia="Microsoft YaHei" w:cs="Calibri"/>
          <w:color w:val="263238"/>
          <w:sz w:val="22"/>
          <w:szCs w:val="22"/>
        </w:rPr>
        <w:t>Measures proceed through four distinct Phases to allow for trust-building and mid-course corrections. No Phase commences until the previous Phase achieves certification as complete by the JIC. The certification standard requires that all measures in the current Phase maintain compliance for the minimum duration specified in Section 2.</w:t>
      </w:r>
    </w:p>
    <w:p>
      <w:pPr>
        <w:pStyle w:val="Normal"/>
      </w:pPr>
      <w:r>
        <w:rPr>
          <w:rFonts w:ascii="Calibri" w:hAnsi="Calibri" w:eastAsia="Microsoft YaHei" w:cs="Calibri"/>
          <w:color w:val="263238"/>
          <w:sz w:val="22"/>
          <w:szCs w:val="22"/>
        </w:rPr>
        <w:t>The framework architecture excludes automatic Phase progression. Each Phase transition requires active JIC certification based on verified evidence. The JIC issues a Phase Completion Certificate that formally authorizes entry into the next Phase.</w:t>
      </w:r>
    </w:p>
    <w:p>
      <w:pPr>
        <w:pStyle w:val="Heading3"/>
      </w:pPr>
      <w:r>
        <w:rPr>
          <w:rFonts w:ascii="Calibri" w:hAnsi="Calibri" w:eastAsia="Microsoft YaHei" w:cs="Calibri"/>
          <w:b/>
          <w:color w:val="546E7A"/>
          <w:sz w:val="24"/>
          <w:szCs w:val="24"/>
        </w:rPr>
        <w:t>1.2.5 Public Transparency</w:t>
      </w:r>
    </w:p>
    <w:p>
      <w:pPr>
        <w:pStyle w:val="Normal"/>
      </w:pPr>
      <w:r>
        <w:rPr>
          <w:rFonts w:ascii="Calibri" w:hAnsi="Calibri" w:eastAsia="Microsoft YaHei" w:cs="Calibri"/>
          <w:color w:val="263238"/>
          <w:sz w:val="22"/>
          <w:szCs w:val="22"/>
        </w:rPr>
        <w:t>The JIC publishes a weekly Compliance Dashboard, accessible to all Parties and the IMO, indicating the status of each Phase. The Dashboard displays color-coded indicators: Green for full compliance, Yellow for partial compliance, Red for material non-compliance, and White for measures not yet reached. The Dashboard appears on the JIC's public portal in English, Farsi, and Arabic. No login is required for read-only access to non-classified metrics.</w:t>
      </w:r>
    </w:p>
    <w:p>
      <w:pPr>
        <w:pStyle w:val="Normal"/>
        <w:pageBreakBefore/>
      </w:pPr>
    </w:p>
    <w:p>
      <w:pPr>
        <w:pStyle w:val="Heading1"/>
      </w:pPr>
      <w:bookmarkStart w:name="_Toc002" w:id="3"/>
      <w:r>
        <w:rPr>
          <w:rFonts w:ascii="Calibri" w:hAnsi="Calibri" w:eastAsia="Microsoft YaHei" w:cs="Calibri"/>
          <w:b/>
          <w:color w:val="37474F"/>
          <w:sz w:val="40"/>
          <w:szCs w:val="40"/>
        </w:rPr>
        <w:t>SECTION 2: PHASED MEASURES SCHEDULE</w:t>
      </w:r>
      <w:bookmarkEnd w:id="3"/>
    </w:p>
    <w:p>
      <w:pPr>
        <w:pStyle w:val="Normal"/>
      </w:pPr>
      <w:r>
        <w:rPr>
          <w:rFonts w:ascii="Calibri" w:hAnsi="Calibri" w:eastAsia="Microsoft YaHei" w:cs="Calibri"/>
          <w:color w:val="263238"/>
          <w:sz w:val="22"/>
          <w:szCs w:val="22"/>
        </w:rPr>
        <w:t>The following schedule details the reciprocal, synchronized measures that each Phase implements. Each row defines a matched pair: an obligation for each Party, coupled with the verification method that confirms execution.</w:t>
      </w:r>
    </w:p>
    <w:p>
      <w:pPr>
        <w:pStyle w:val="Heading2"/>
      </w:pPr>
      <w:r>
        <w:rPr>
          <w:rFonts w:ascii="Calibri" w:hAnsi="Calibri" w:eastAsia="Microsoft YaHei" w:cs="Calibri"/>
          <w:b/>
          <w:color w:val="263238"/>
          <w:sz w:val="28"/>
          <w:szCs w:val="28"/>
        </w:rPr>
        <w:t>Phase 1: Immediate Stabilization (Days 1-14)</w:t>
      </w:r>
    </w:p>
    <w:p>
      <w:pPr>
        <w:pStyle w:val="Normal"/>
      </w:pPr>
      <w:r>
        <w:rPr>
          <w:rFonts w:ascii="Calibri" w:hAnsi="Calibri" w:eastAsia="Microsoft YaHei" w:cs="Calibri"/>
          <w:color w:val="263238"/>
          <w:sz w:val="22"/>
          <w:szCs w:val="22"/>
        </w:rPr>
        <w:t>Objective: Reduce immediate friction points and demonstrate good faith through modest, high-impact operational adjustments.</w:t>
      </w:r>
    </w:p>
    <w:p>
      <w:pPr>
        <w:pStyle w:val="Normal"/>
      </w:pPr>
      <w:r>
        <w:rPr>
          <w:rFonts w:ascii="Calibri" w:hAnsi="Calibri" w:eastAsia="Microsoft YaHei" w:cs="Calibri"/>
          <w:color w:val="263238"/>
          <w:sz w:val="22"/>
          <w:szCs w:val="22"/>
        </w:rPr>
        <w:t>Phase 1 operates during the initial 14-day window following HSU entry into force. The JIC certifies Phase 1 completion by Day 15. All Phase 1 measures require simultaneous activation on Day 1. No Party implements its Phase 1 measures before the other Party confirms readiness through the JIC.</w:t>
      </w:r>
    </w:p>
    <w:tbl>
      <w:tblPr>
        <w:tblW w:w="5000" w:type="pct"/>
        <w:tblBorders>
          <w:top w:val="single" w:color="37474F" w:sz="12"/>
          <w:left w:val="nil"/>
          <w:bottom w:val="single" w:color="37474F" w:sz="12"/>
          <w:right w:val="nil"/>
          <w:insideH w:val="single" w:color="CFD8DC" w:sz="4"/>
          <w:insideV w:val="nil"/>
        </w:tblBorders>
      </w:tblPr>
      <w:tblGrid>
        <w:gridCol w:w="800"/>
        <w:gridCol w:w="2800"/>
        <w:gridCol w:w="2800"/>
        <w:gridCol w:w="2600"/>
      </w:tblGrid>
      <w:tr>
        <w:trPr>
          <w:tblHeader w:val="1"/>
        </w:trPr>
        <w:tc>
          <w:tcPr>
            <w:tcW w:w="800" w:type="dxa"/>
            <w:tcBorders>
              <w:bottom w:val="single" w:color="37474F" w:sz="6" w:space="0"/>
            </w:tcBorders>
            <w:shd w:val="clear" w:fill="ECEFF1" w:color="auto"/>
          </w:tcPr>
          <w:p>
            <w:pPr>
              <w:pStyle w:val="Normal"/>
              <w:spacing w:before="60" w:after="60"/>
              <w:jc w:val="center"/>
            </w:pPr>
            <w:r>
              <w:rPr>
                <w:b/>
                <w:color w:val="263238"/>
                <w:sz w:val="20"/>
                <w:rFonts w:ascii="Calibri" w:hAnsi="Calibri" w:eastAsia="Microsoft YaHei" w:cs="Calibri"/>
                <w:szCs w:val="20"/>
              </w:rPr>
              <w:t>Measure</w:t>
            </w:r>
          </w:p>
        </w:tc>
        <w:tc>
          <w:tcPr>
            <w:tcW w:w="2800" w:type="dxa"/>
            <w:tcBorders>
              <w:bottom w:val="single" w:color="37474F" w:sz="6" w:space="0"/>
            </w:tcBorders>
            <w:shd w:val="clear" w:fill="ECEFF1" w:color="auto"/>
          </w:tcPr>
          <w:p>
            <w:pPr>
              <w:pStyle w:val="Normal"/>
              <w:spacing w:before="60" w:after="60"/>
              <w:jc w:val="center"/>
            </w:pPr>
            <w:r>
              <w:rPr>
                <w:b/>
                <w:color w:val="263238"/>
                <w:sz w:val="20"/>
                <w:rFonts w:ascii="Calibri" w:hAnsi="Calibri" w:eastAsia="Microsoft YaHei" w:cs="Calibri"/>
                <w:szCs w:val="20"/>
              </w:rPr>
              <w:t>Iran's Obligation</w:t>
            </w:r>
          </w:p>
        </w:tc>
        <w:tc>
          <w:tcPr>
            <w:tcW w:w="2800" w:type="dxa"/>
            <w:tcBorders>
              <w:bottom w:val="single" w:color="37474F" w:sz="6" w:space="0"/>
            </w:tcBorders>
            <w:shd w:val="clear" w:fill="ECEFF1" w:color="auto"/>
          </w:tcPr>
          <w:p>
            <w:pPr>
              <w:pStyle w:val="Normal"/>
              <w:spacing w:before="60" w:after="60"/>
              <w:jc w:val="center"/>
            </w:pPr>
            <w:r>
              <w:rPr>
                <w:b/>
                <w:color w:val="263238"/>
                <w:sz w:val="20"/>
                <w:rFonts w:ascii="Calibri" w:hAnsi="Calibri" w:eastAsia="Microsoft YaHei" w:cs="Calibri"/>
                <w:szCs w:val="20"/>
              </w:rPr>
              <w:t>U.S. Obligation</w:t>
            </w:r>
          </w:p>
        </w:tc>
        <w:tc>
          <w:tcPr>
            <w:tcW w:w="2600" w:type="dxa"/>
            <w:tcBorders>
              <w:bottom w:val="single" w:color="37474F" w:sz="6" w:space="0"/>
            </w:tcBorders>
            <w:shd w:val="clear" w:fill="ECEFF1" w:color="auto"/>
          </w:tcPr>
          <w:p>
            <w:pPr>
              <w:pStyle w:val="Normal"/>
              <w:spacing w:before="60" w:after="60"/>
              <w:jc w:val="center"/>
            </w:pPr>
            <w:r>
              <w:rPr>
                <w:b/>
                <w:color w:val="263238"/>
                <w:sz w:val="20"/>
                <w:rFonts w:ascii="Calibri" w:hAnsi="Calibri" w:eastAsia="Microsoft YaHei" w:cs="Calibri"/>
                <w:szCs w:val="20"/>
              </w:rPr>
              <w:t>Verification Method</w:t>
            </w:r>
          </w:p>
        </w:tc>
      </w:tr>
      <w:tr>
        <w:tc>
          <w:tcPr>
            <w:tcW w:w="800" w:type="dxa"/>
          </w:tcPr>
          <w:p>
            <w:pPr>
              <w:pStyle w:val="Normal"/>
              <w:spacing w:before="40" w:after="40"/>
              <w:ind w:firstLine="0"/>
            </w:pPr>
            <w:r>
              <w:rPr>
                <w:color w:val="263238"/>
                <w:sz w:val="20"/>
                <w:rFonts w:ascii="Calibri" w:hAnsi="Calibri" w:eastAsia="Microsoft YaHei" w:cs="Calibri"/>
                <w:szCs w:val="20"/>
              </w:rPr>
              <w:t>1A</w:t>
            </w:r>
          </w:p>
        </w:tc>
        <w:tc>
          <w:tcPr>
            <w:tcW w:w="2800" w:type="dxa"/>
          </w:tcPr>
          <w:p>
            <w:pPr>
              <w:pStyle w:val="Normal"/>
              <w:spacing w:before="40" w:after="40"/>
              <w:ind w:firstLine="0"/>
            </w:pPr>
            <w:r>
              <w:rPr>
                <w:color w:val="263238"/>
                <w:sz w:val="20"/>
                <w:rFonts w:ascii="Calibri" w:hAnsi="Calibri" w:eastAsia="Microsoft YaHei" w:cs="Calibri"/>
                <w:szCs w:val="20"/>
              </w:rPr>
              <w:t>Iran suspends all permit requirements for vessels transiting the Southern Corridor (Omani coast). Vessels transit without pre-authorization documentation.</w:t>
            </w:r>
          </w:p>
        </w:tc>
        <w:tc>
          <w:tcPr>
            <w:tcW w:w="2800" w:type="dxa"/>
          </w:tcPr>
          <w:p>
            <w:pPr>
              <w:pStyle w:val="Normal"/>
              <w:spacing w:before="40" w:after="40"/>
              <w:ind w:firstLine="0"/>
            </w:pPr>
            <w:r>
              <w:rPr>
                <w:color w:val="263238"/>
                <w:sz w:val="20"/>
                <w:rFonts w:ascii="Calibri" w:hAnsi="Calibri" w:eastAsia="Microsoft YaHei" w:cs="Calibri"/>
                <w:szCs w:val="20"/>
              </w:rPr>
              <w:t>The United States suspends all overwatch drone flights over the Northern Corridor (Iranian coast) for 12 hours daily, from 06:00 to 18:00 UTC.</w:t>
            </w:r>
          </w:p>
        </w:tc>
        <w:tc>
          <w:tcPr>
            <w:tcW w:w="2600" w:type="dxa"/>
          </w:tcPr>
          <w:p>
            <w:pPr>
              <w:pStyle w:val="Normal"/>
              <w:spacing w:before="40" w:after="40"/>
              <w:ind w:firstLine="0"/>
            </w:pPr>
            <w:r>
              <w:rPr>
                <w:color w:val="263238"/>
                <w:sz w:val="20"/>
                <w:rFonts w:ascii="Calibri" w:hAnsi="Calibri" w:eastAsia="Microsoft YaHei" w:cs="Calibri"/>
                <w:szCs w:val="20"/>
              </w:rPr>
              <w:t>VTS logs / AIS data / Iran PMO notifications / JIC confirmation</w:t>
            </w:r>
          </w:p>
        </w:tc>
      </w:tr>
      <w:tr>
        <w:tc>
          <w:tcPr>
            <w:tcW w:w="800" w:type="dxa"/>
          </w:tcPr>
          <w:p>
            <w:pPr>
              <w:pStyle w:val="Normal"/>
              <w:spacing w:before="40" w:after="40"/>
              <w:ind w:firstLine="0"/>
            </w:pPr>
            <w:r>
              <w:rPr>
                <w:color w:val="263238"/>
                <w:sz w:val="20"/>
                <w:rFonts w:ascii="Calibri" w:hAnsi="Calibri" w:eastAsia="Microsoft YaHei" w:cs="Calibri"/>
                <w:szCs w:val="20"/>
              </w:rPr>
              <w:t>1B</w:t>
            </w:r>
          </w:p>
        </w:tc>
        <w:tc>
          <w:tcPr>
            <w:tcW w:w="2800" w:type="dxa"/>
          </w:tcPr>
          <w:p>
            <w:pPr>
              <w:pStyle w:val="Normal"/>
              <w:spacing w:before="40" w:after="40"/>
              <w:ind w:firstLine="0"/>
            </w:pPr>
            <w:r>
              <w:rPr>
                <w:color w:val="263238"/>
                <w:sz w:val="20"/>
                <w:rFonts w:ascii="Calibri" w:hAnsi="Calibri" w:eastAsia="Microsoft YaHei" w:cs="Calibri"/>
                <w:szCs w:val="20"/>
              </w:rPr>
              <w:t>Iran removes one IRGC forward operating base from the narrowest point of the Strait (Zone C under HSU Annex 1AB). Equipment relocates beyond 5 nautical miles of the TSS boundary.</w:t>
            </w:r>
          </w:p>
        </w:tc>
        <w:tc>
          <w:tcPr>
            <w:tcW w:w="2800" w:type="dxa"/>
          </w:tcPr>
          <w:p>
            <w:pPr>
              <w:pStyle w:val="Normal"/>
              <w:spacing w:before="40" w:after="40"/>
              <w:ind w:firstLine="0"/>
            </w:pPr>
            <w:r>
              <w:rPr>
                <w:color w:val="263238"/>
                <w:sz w:val="20"/>
                <w:rFonts w:ascii="Calibri" w:hAnsi="Calibri" w:eastAsia="Microsoft YaHei" w:cs="Calibri"/>
                <w:szCs w:val="20"/>
              </w:rPr>
              <w:t>The United States reduces U.S. naval escort frequency in the Northern Corridor by 20% from the baseline 30-day average.</w:t>
            </w:r>
          </w:p>
        </w:tc>
        <w:tc>
          <w:tcPr>
            <w:tcW w:w="2600" w:type="dxa"/>
          </w:tcPr>
          <w:p>
            <w:pPr>
              <w:pStyle w:val="Normal"/>
              <w:spacing w:before="40" w:after="40"/>
              <w:ind w:firstLine="0"/>
            </w:pPr>
            <w:r>
              <w:rPr>
                <w:color w:val="263238"/>
                <w:sz w:val="20"/>
                <w:rFonts w:ascii="Calibri" w:hAnsi="Calibri" w:eastAsia="Microsoft YaHei" w:cs="Calibri"/>
                <w:szCs w:val="20"/>
              </w:rPr>
              <w:t>Satellite imagery / VTS logs / Mutual notification through JIC</w:t>
            </w:r>
          </w:p>
        </w:tc>
      </w:tr>
      <w:tr>
        <w:tc>
          <w:tcPr>
            <w:tcW w:w="800" w:type="dxa"/>
          </w:tcPr>
          <w:p>
            <w:pPr>
              <w:pStyle w:val="Normal"/>
              <w:spacing w:before="40" w:after="40"/>
              <w:ind w:firstLine="0"/>
            </w:pPr>
            <w:r>
              <w:rPr>
                <w:color w:val="263238"/>
                <w:sz w:val="20"/>
                <w:rFonts w:ascii="Calibri" w:hAnsi="Calibri" w:eastAsia="Microsoft YaHei" w:cs="Calibri"/>
                <w:szCs w:val="20"/>
              </w:rPr>
              <w:t>1C</w:t>
            </w:r>
          </w:p>
        </w:tc>
        <w:tc>
          <w:tcPr>
            <w:tcW w:w="2800" w:type="dxa"/>
          </w:tcPr>
          <w:p>
            <w:pPr>
              <w:pStyle w:val="Normal"/>
              <w:spacing w:before="40" w:after="40"/>
              <w:ind w:firstLine="0"/>
            </w:pPr>
            <w:r>
              <w:rPr>
                <w:color w:val="263238"/>
                <w:sz w:val="20"/>
                <w:rFonts w:ascii="Calibri" w:hAnsi="Calibri" w:eastAsia="Microsoft YaHei" w:cs="Calibri"/>
                <w:szCs w:val="20"/>
              </w:rPr>
              <w:t>Iran suspends all public statements regarding Iranian sovereignty over the Strait for 14 days. Communications pauses apply to official government channels and state media.</w:t>
            </w:r>
          </w:p>
        </w:tc>
        <w:tc>
          <w:tcPr>
            <w:tcW w:w="2800" w:type="dxa"/>
          </w:tcPr>
          <w:p>
            <w:pPr>
              <w:pStyle w:val="Normal"/>
              <w:spacing w:before="40" w:after="40"/>
              <w:ind w:firstLine="0"/>
            </w:pPr>
            <w:r>
              <w:rPr>
                <w:color w:val="263238"/>
                <w:sz w:val="20"/>
                <w:rFonts w:ascii="Calibri" w:hAnsi="Calibri" w:eastAsia="Microsoft YaHei" w:cs="Calibri"/>
                <w:szCs w:val="20"/>
              </w:rPr>
              <w:t>The United States suspends all public statements regarding Iranian coercion or threats to navigation for 14 days. Communications pauses apply to official government channels.</w:t>
            </w:r>
          </w:p>
        </w:tc>
        <w:tc>
          <w:tcPr>
            <w:tcW w:w="2600" w:type="dxa"/>
          </w:tcPr>
          <w:p>
            <w:pPr>
              <w:pStyle w:val="Normal"/>
              <w:spacing w:before="40" w:after="40"/>
              <w:ind w:firstLine="0"/>
            </w:pPr>
            <w:r>
              <w:rPr>
                <w:color w:val="263238"/>
                <w:sz w:val="20"/>
                <w:rFonts w:ascii="Calibri" w:hAnsi="Calibri" w:eastAsia="Microsoft YaHei" w:cs="Calibri"/>
                <w:szCs w:val="20"/>
              </w:rPr>
              <w:t>Public monitoring / Diplomatic channels / JIC media review</w:t>
            </w:r>
          </w:p>
        </w:tc>
      </w:tr>
    </w:tbl>
    <w:p>
      <w:pPr>
        <w:pStyle w:val="Normal"/>
      </w:pPr>
      <w:r>
        <w:rPr>
          <w:rFonts w:ascii="Calibri" w:hAnsi="Calibri" w:eastAsia="Microsoft YaHei" w:cs="Calibri"/>
          <w:color w:val="263238"/>
          <w:sz w:val="22"/>
          <w:szCs w:val="22"/>
        </w:rPr>
        <w:t>Phase 1 Certification: The JIC certifies Phase 1 completion by Day 15 if and only if: (i) all three measures (1A, 1B, 1C) demonstrate verified compliance for 13 of the 14 days (92.8% compliance); (ii) no single measure has more than 1 day of non-compliance; (iii) no Level 3 or Level 4 violations occur during Phase 1; (iv) the non-compliant days are not consecutive. If the JIC does not certify by Day 15, the Omani facilitator issues a neutral technical assessment within 7 days. If the assessment finds both Parties in compliance, Phase 1 is deemed certified and Phase 2 begins on Day 16. If the assessment finds one Party in non-compliance, the non-compliant Party triggers a Level 2 violation. Phase 1 continues until the non-compliant Party remediates the failure.</w:t>
      </w:r>
    </w:p>
    <w:p>
      <w:pPr>
        <w:pStyle w:val="Normal"/>
        <w:pageBreakBefore/>
      </w:pPr>
    </w:p>
    <w:p>
      <w:pPr>
        <w:pStyle w:val="Heading2"/>
      </w:pPr>
      <w:r>
        <w:rPr>
          <w:rFonts w:ascii="Calibri" w:hAnsi="Calibri" w:eastAsia="Microsoft YaHei" w:cs="Calibri"/>
          <w:b/>
          <w:color w:val="263238"/>
          <w:sz w:val="28"/>
          <w:szCs w:val="28"/>
        </w:rPr>
        <w:t>Phase 2: De-escalation (Days 16-46)</w:t>
      </w:r>
    </w:p>
    <w:p>
      <w:pPr>
        <w:pStyle w:val="Normal"/>
      </w:pPr>
      <w:r>
        <w:rPr>
          <w:rFonts w:ascii="Calibri" w:hAnsi="Calibri" w:eastAsia="Microsoft YaHei" w:cs="Calibri"/>
          <w:color w:val="263238"/>
          <w:sz w:val="22"/>
          <w:szCs w:val="22"/>
        </w:rPr>
        <w:t>Objective: Reduce forward-deployed assets and create operational breathing room through sustained mutual adjustments.</w:t>
      </w:r>
    </w:p>
    <w:p>
      <w:pPr>
        <w:pStyle w:val="Normal"/>
      </w:pPr>
      <w:r>
        <w:rPr>
          <w:rFonts w:ascii="Calibri" w:hAnsi="Calibri" w:eastAsia="Microsoft YaHei" w:cs="Calibri"/>
          <w:color w:val="263238"/>
          <w:sz w:val="22"/>
          <w:szCs w:val="22"/>
        </w:rPr>
        <w:t>Phase 2 begins upon JIC certification of Phase 1 completion. Phase 2 measures build on the trust established in Phase 1 and introduce more significant operational adjustments. The JIC certifies Phase 2 completion by Day 46.</w:t>
      </w:r>
    </w:p>
    <w:tbl>
      <w:tblPr>
        <w:tblW w:w="5000" w:type="pct"/>
        <w:tblBorders>
          <w:top w:val="single" w:color="37474F" w:sz="12"/>
          <w:left w:val="nil"/>
          <w:bottom w:val="single" w:color="37474F" w:sz="12"/>
          <w:right w:val="nil"/>
          <w:insideH w:val="single" w:color="CFD8DC" w:sz="4"/>
          <w:insideV w:val="nil"/>
        </w:tblBorders>
      </w:tblPr>
      <w:tblGrid>
        <w:gridCol w:w="800"/>
        <w:gridCol w:w="2800"/>
        <w:gridCol w:w="2800"/>
        <w:gridCol w:w="2600"/>
      </w:tblGrid>
      <w:tr>
        <w:trPr>
          <w:tblHeader w:val="1"/>
        </w:trPr>
        <w:tc>
          <w:tcPr>
            <w:tcW w:w="800" w:type="dxa"/>
            <w:tcBorders>
              <w:bottom w:val="single" w:color="37474F" w:sz="6" w:space="0"/>
            </w:tcBorders>
            <w:shd w:val="clear" w:fill="ECEFF1" w:color="auto"/>
          </w:tcPr>
          <w:p>
            <w:pPr>
              <w:pStyle w:val="Normal"/>
              <w:spacing w:before="60" w:after="60"/>
              <w:jc w:val="center"/>
            </w:pPr>
            <w:r>
              <w:rPr>
                <w:b/>
                <w:color w:val="263238"/>
                <w:sz w:val="20"/>
                <w:rFonts w:ascii="Calibri" w:hAnsi="Calibri" w:eastAsia="Microsoft YaHei" w:cs="Calibri"/>
                <w:szCs w:val="20"/>
              </w:rPr>
              <w:t>Measure</w:t>
            </w:r>
          </w:p>
        </w:tc>
        <w:tc>
          <w:tcPr>
            <w:tcW w:w="2800" w:type="dxa"/>
            <w:tcBorders>
              <w:bottom w:val="single" w:color="37474F" w:sz="6" w:space="0"/>
            </w:tcBorders>
            <w:shd w:val="clear" w:fill="ECEFF1" w:color="auto"/>
          </w:tcPr>
          <w:p>
            <w:pPr>
              <w:pStyle w:val="Normal"/>
              <w:spacing w:before="60" w:after="60"/>
              <w:jc w:val="center"/>
            </w:pPr>
            <w:r>
              <w:rPr>
                <w:b/>
                <w:color w:val="263238"/>
                <w:sz w:val="20"/>
                <w:rFonts w:ascii="Calibri" w:hAnsi="Calibri" w:eastAsia="Microsoft YaHei" w:cs="Calibri"/>
                <w:szCs w:val="20"/>
              </w:rPr>
              <w:t>Iran's Obligation</w:t>
            </w:r>
          </w:p>
        </w:tc>
        <w:tc>
          <w:tcPr>
            <w:tcW w:w="2800" w:type="dxa"/>
            <w:tcBorders>
              <w:bottom w:val="single" w:color="37474F" w:sz="6" w:space="0"/>
            </w:tcBorders>
            <w:shd w:val="clear" w:fill="ECEFF1" w:color="auto"/>
          </w:tcPr>
          <w:p>
            <w:pPr>
              <w:pStyle w:val="Normal"/>
              <w:spacing w:before="60" w:after="60"/>
              <w:jc w:val="center"/>
            </w:pPr>
            <w:r>
              <w:rPr>
                <w:b/>
                <w:color w:val="263238"/>
                <w:sz w:val="20"/>
                <w:rFonts w:ascii="Calibri" w:hAnsi="Calibri" w:eastAsia="Microsoft YaHei" w:cs="Calibri"/>
                <w:szCs w:val="20"/>
              </w:rPr>
              <w:t>U.S. Obligation</w:t>
            </w:r>
          </w:p>
        </w:tc>
        <w:tc>
          <w:tcPr>
            <w:tcW w:w="2600" w:type="dxa"/>
            <w:tcBorders>
              <w:bottom w:val="single" w:color="37474F" w:sz="6" w:space="0"/>
            </w:tcBorders>
            <w:shd w:val="clear" w:fill="ECEFF1" w:color="auto"/>
          </w:tcPr>
          <w:p>
            <w:pPr>
              <w:pStyle w:val="Normal"/>
              <w:spacing w:before="60" w:after="60"/>
              <w:jc w:val="center"/>
            </w:pPr>
            <w:r>
              <w:rPr>
                <w:b/>
                <w:color w:val="263238"/>
                <w:sz w:val="20"/>
                <w:rFonts w:ascii="Calibri" w:hAnsi="Calibri" w:eastAsia="Microsoft YaHei" w:cs="Calibri"/>
                <w:szCs w:val="20"/>
              </w:rPr>
              <w:t>Verification Method</w:t>
            </w:r>
          </w:p>
        </w:tc>
      </w:tr>
      <w:tr>
        <w:tc>
          <w:tcPr>
            <w:tcW w:w="800" w:type="dxa"/>
          </w:tcPr>
          <w:p>
            <w:pPr>
              <w:pStyle w:val="Normal"/>
              <w:spacing w:before="40" w:after="40"/>
              <w:ind w:firstLine="0"/>
            </w:pPr>
            <w:r>
              <w:rPr>
                <w:color w:val="263238"/>
                <w:sz w:val="20"/>
                <w:rFonts w:ascii="Calibri" w:hAnsi="Calibri" w:eastAsia="Microsoft YaHei" w:cs="Calibri"/>
                <w:szCs w:val="20"/>
              </w:rPr>
              <w:t>2A</w:t>
            </w:r>
          </w:p>
        </w:tc>
        <w:tc>
          <w:tcPr>
            <w:tcW w:w="2800" w:type="dxa"/>
          </w:tcPr>
          <w:p>
            <w:pPr>
              <w:pStyle w:val="Normal"/>
              <w:spacing w:before="40" w:after="40"/>
              <w:ind w:firstLine="0"/>
            </w:pPr>
            <w:r>
              <w:rPr>
                <w:color w:val="263238"/>
                <w:sz w:val="20"/>
                <w:rFonts w:ascii="Calibri" w:hAnsi="Calibri" w:eastAsia="Microsoft YaHei" w:cs="Calibri"/>
                <w:szCs w:val="20"/>
              </w:rPr>
              <w:t>Iran reduces IRGC small craft patrols in the Strait by 30% as measured by VTS detections. The baseline is the average daily patrol count over the 30 days prior to HSU signature.</w:t>
            </w:r>
          </w:p>
        </w:tc>
        <w:tc>
          <w:tcPr>
            <w:tcW w:w="2800" w:type="dxa"/>
          </w:tcPr>
          <w:p>
            <w:pPr>
              <w:pStyle w:val="Normal"/>
              <w:spacing w:before="40" w:after="40"/>
              <w:ind w:firstLine="0"/>
            </w:pPr>
            <w:r>
              <w:rPr>
                <w:color w:val="263238"/>
                <w:sz w:val="20"/>
                <w:rFonts w:ascii="Calibri" w:hAnsi="Calibri" w:eastAsia="Microsoft YaHei" w:cs="Calibri"/>
                <w:szCs w:val="20"/>
              </w:rPr>
              <w:t>The United States reduces U.S. naval escort missions in the Strait by 30% as measured by VTS detections. The baseline is the average daily escort count over the 30 days prior to HSU signature.</w:t>
            </w:r>
          </w:p>
        </w:tc>
        <w:tc>
          <w:tcPr>
            <w:tcW w:w="2600" w:type="dxa"/>
          </w:tcPr>
          <w:p>
            <w:pPr>
              <w:pStyle w:val="Normal"/>
              <w:spacing w:before="40" w:after="40"/>
              <w:ind w:firstLine="0"/>
            </w:pPr>
            <w:r>
              <w:rPr>
                <w:color w:val="263238"/>
                <w:sz w:val="20"/>
                <w:rFonts w:ascii="Calibri" w:hAnsi="Calibri" w:eastAsia="Microsoft YaHei" w:cs="Calibri"/>
                <w:szCs w:val="20"/>
              </w:rPr>
              <w:t>VTS logs / Daily patrol reports / JIC statistical review</w:t>
            </w:r>
          </w:p>
        </w:tc>
      </w:tr>
      <w:tr>
        <w:tc>
          <w:tcPr>
            <w:tcW w:w="800" w:type="dxa"/>
          </w:tcPr>
          <w:p>
            <w:pPr>
              <w:pStyle w:val="Normal"/>
              <w:spacing w:before="40" w:after="40"/>
              <w:ind w:firstLine="0"/>
            </w:pPr>
            <w:r>
              <w:rPr>
                <w:color w:val="263238"/>
                <w:sz w:val="20"/>
                <w:rFonts w:ascii="Calibri" w:hAnsi="Calibri" w:eastAsia="Microsoft YaHei" w:cs="Calibri"/>
                <w:szCs w:val="20"/>
              </w:rPr>
              <w:t>2B</w:t>
            </w:r>
          </w:p>
        </w:tc>
        <w:tc>
          <w:tcPr>
            <w:tcW w:w="2800" w:type="dxa"/>
          </w:tcPr>
          <w:p>
            <w:pPr>
              <w:pStyle w:val="Normal"/>
              <w:spacing w:before="40" w:after="40"/>
              <w:ind w:firstLine="0"/>
            </w:pPr>
            <w:r>
              <w:rPr>
                <w:color w:val="263238"/>
                <w:sz w:val="20"/>
                <w:rFonts w:ascii="Calibri" w:hAnsi="Calibri" w:eastAsia="Microsoft YaHei" w:cs="Calibri"/>
                <w:szCs w:val="20"/>
              </w:rPr>
              <w:t>Iran relocates two IRGC fast-attack craft from Bandar Abbas to a port outside the Strait (Chabahar or equivalent). Vessels relocate beyond 15 nautical miles from the CTC boundary.</w:t>
            </w:r>
          </w:p>
        </w:tc>
        <w:tc>
          <w:tcPr>
            <w:tcW w:w="2800" w:type="dxa"/>
          </w:tcPr>
          <w:p>
            <w:pPr>
              <w:pStyle w:val="Normal"/>
              <w:spacing w:before="40" w:after="40"/>
              <w:ind w:firstLine="0"/>
            </w:pPr>
            <w:r>
              <w:rPr>
                <w:color w:val="263238"/>
                <w:sz w:val="20"/>
                <w:rFonts w:ascii="Calibri" w:hAnsi="Calibri" w:eastAsia="Microsoft YaHei" w:cs="Calibri"/>
                <w:szCs w:val="20"/>
              </w:rPr>
              <w:t>The United States relocates one U.S. destroyer from the Strait to a port outside the Gulf of Oman. Vessel relocates beyond 15 nautical miles from the CTC boundary.</w:t>
            </w:r>
          </w:p>
        </w:tc>
        <w:tc>
          <w:tcPr>
            <w:tcW w:w="2600" w:type="dxa"/>
          </w:tcPr>
          <w:p>
            <w:pPr>
              <w:pStyle w:val="Normal"/>
              <w:spacing w:before="40" w:after="40"/>
              <w:ind w:firstLine="0"/>
            </w:pPr>
            <w:r>
              <w:rPr>
                <w:color w:val="263238"/>
                <w:sz w:val="20"/>
                <w:rFonts w:ascii="Calibri" w:hAnsi="Calibri" w:eastAsia="Microsoft YaHei" w:cs="Calibri"/>
                <w:szCs w:val="20"/>
              </w:rPr>
              <w:t>Satellite imagery / Port notifications / AIS track confirmation</w:t>
            </w:r>
          </w:p>
        </w:tc>
      </w:tr>
      <w:tr>
        <w:tc>
          <w:tcPr>
            <w:tcW w:w="800" w:type="dxa"/>
          </w:tcPr>
          <w:p>
            <w:pPr>
              <w:pStyle w:val="Normal"/>
              <w:spacing w:before="40" w:after="40"/>
              <w:ind w:firstLine="0"/>
            </w:pPr>
            <w:r>
              <w:rPr>
                <w:color w:val="263238"/>
                <w:sz w:val="20"/>
                <w:rFonts w:ascii="Calibri" w:hAnsi="Calibri" w:eastAsia="Microsoft YaHei" w:cs="Calibri"/>
                <w:szCs w:val="20"/>
              </w:rPr>
              <w:t>2C</w:t>
            </w:r>
          </w:p>
        </w:tc>
        <w:tc>
          <w:tcPr>
            <w:tcW w:w="2800" w:type="dxa"/>
          </w:tcPr>
          <w:p>
            <w:pPr>
              <w:pStyle w:val="Normal"/>
              <w:spacing w:before="40" w:after="40"/>
              <w:ind w:firstLine="0"/>
            </w:pPr>
            <w:r>
              <w:rPr>
                <w:color w:val="263238"/>
                <w:sz w:val="20"/>
                <w:rFonts w:ascii="Calibri" w:hAnsi="Calibri" w:eastAsia="Microsoft YaHei" w:cs="Calibri"/>
                <w:szCs w:val="20"/>
              </w:rPr>
              <w:t>Iran suspends all military exercises within 10 nautical miles of designated transit corridors. This suspension applies to live-fire drills, naval maneuvers, and missile tests.</w:t>
            </w:r>
          </w:p>
        </w:tc>
        <w:tc>
          <w:tcPr>
            <w:tcW w:w="2800" w:type="dxa"/>
          </w:tcPr>
          <w:p>
            <w:pPr>
              <w:pStyle w:val="Normal"/>
              <w:spacing w:before="40" w:after="40"/>
              <w:ind w:firstLine="0"/>
            </w:pPr>
            <w:r>
              <w:rPr>
                <w:color w:val="263238"/>
                <w:sz w:val="20"/>
                <w:rFonts w:ascii="Calibri" w:hAnsi="Calibri" w:eastAsia="Microsoft YaHei" w:cs="Calibri"/>
                <w:szCs w:val="20"/>
              </w:rPr>
              <w:t>The United States suspends all military exercises within 10 nautical miles of designated transit corridors. This suspension applies to live-fire drills, naval maneuvers, and aircraft operations.</w:t>
            </w:r>
          </w:p>
        </w:tc>
        <w:tc>
          <w:tcPr>
            <w:tcW w:w="2600" w:type="dxa"/>
          </w:tcPr>
          <w:p>
            <w:pPr>
              <w:pStyle w:val="Normal"/>
              <w:spacing w:before="40" w:after="40"/>
              <w:ind w:firstLine="0"/>
            </w:pPr>
            <w:r>
              <w:rPr>
                <w:color w:val="263238"/>
                <w:sz w:val="20"/>
                <w:rFonts w:ascii="Calibri" w:hAnsi="Calibri" w:eastAsia="Microsoft YaHei" w:cs="Calibri"/>
                <w:szCs w:val="20"/>
              </w:rPr>
              <w:t>VTS logs / Mutual notification / JIC exercise monitoring</w:t>
            </w:r>
          </w:p>
        </w:tc>
      </w:tr>
      <w:tr>
        <w:tc>
          <w:tcPr>
            <w:tcW w:w="800" w:type="dxa"/>
          </w:tcPr>
          <w:p>
            <w:pPr>
              <w:pStyle w:val="Normal"/>
              <w:spacing w:before="40" w:after="40"/>
              <w:ind w:firstLine="0"/>
            </w:pPr>
            <w:r>
              <w:rPr>
                <w:color w:val="263238"/>
                <w:sz w:val="20"/>
                <w:rFonts w:ascii="Calibri" w:hAnsi="Calibri" w:eastAsia="Microsoft YaHei" w:cs="Calibri"/>
                <w:szCs w:val="20"/>
              </w:rPr>
              <w:t>2D</w:t>
            </w:r>
          </w:p>
        </w:tc>
        <w:tc>
          <w:tcPr>
            <w:tcW w:w="2800" w:type="dxa"/>
          </w:tcPr>
          <w:p>
            <w:pPr>
              <w:pStyle w:val="Normal"/>
              <w:spacing w:before="40" w:after="40"/>
              <w:ind w:firstLine="0"/>
            </w:pPr>
            <w:r>
              <w:rPr>
                <w:color w:val="263238"/>
                <w:sz w:val="20"/>
                <w:rFonts w:ascii="Calibri" w:hAnsi="Calibri" w:eastAsia="Microsoft YaHei" w:cs="Calibri"/>
                <w:szCs w:val="20"/>
              </w:rPr>
              <w:t>Iran provides the JIC with a 30-day forecast of IRGC naval movements in the Strait. Forecasts include general areas of operations, vessel types, and approximate durations.</w:t>
            </w:r>
          </w:p>
        </w:tc>
        <w:tc>
          <w:tcPr>
            <w:tcW w:w="2800" w:type="dxa"/>
          </w:tcPr>
          <w:p>
            <w:pPr>
              <w:pStyle w:val="Normal"/>
              <w:spacing w:before="40" w:after="40"/>
              <w:ind w:firstLine="0"/>
            </w:pPr>
            <w:r>
              <w:rPr>
                <w:color w:val="263238"/>
                <w:sz w:val="20"/>
                <w:rFonts w:ascii="Calibri" w:hAnsi="Calibri" w:eastAsia="Microsoft YaHei" w:cs="Calibri"/>
                <w:szCs w:val="20"/>
              </w:rPr>
              <w:t>The United States provides the JIC with a 30-day forecast of U.S. naval movements in the Strait. Forecasts include general areas of operations, vessel types, and approximate durations.</w:t>
            </w:r>
          </w:p>
        </w:tc>
        <w:tc>
          <w:tcPr>
            <w:tcW w:w="2600" w:type="dxa"/>
          </w:tcPr>
          <w:p>
            <w:pPr>
              <w:pStyle w:val="Normal"/>
              <w:spacing w:before="40" w:after="40"/>
              <w:ind w:firstLine="0"/>
            </w:pPr>
            <w:r>
              <w:rPr>
                <w:color w:val="263238"/>
                <w:sz w:val="20"/>
                <w:rFonts w:ascii="Calibri" w:hAnsi="Calibri" w:eastAsia="Microsoft YaHei" w:cs="Calibri"/>
                <w:szCs w:val="20"/>
              </w:rPr>
              <w:t>JIC records / Quarterly compliance reports / TWG review</w:t>
            </w:r>
          </w:p>
        </w:tc>
      </w:tr>
    </w:tbl>
    <w:p>
      <w:pPr>
        <w:pStyle w:val="Normal"/>
      </w:pPr>
      <w:r>
        <w:rPr>
          <w:rFonts w:ascii="Calibri" w:hAnsi="Calibri" w:eastAsia="Microsoft YaHei" w:cs="Calibri"/>
          <w:color w:val="263238"/>
          <w:sz w:val="22"/>
          <w:szCs w:val="22"/>
        </w:rPr>
        <w:t>Phase 2 Certification: The JIC certifies Phase 2 completion by Day 46 if and only if: (i) all four measures (2A, 2B, 2C, 2D) demonstrate verified compliance for 28 of the 31 days (90.3% compliance); (ii) no single measure has more than 2 days of non-compliance; (iii) no Level 3 or Level 4 violations occur during Phase 2; (iv) non-compliant days are not clustered in the final 7 days of the Phase. If the JIC does not certify by Day 46, the Omani facilitator issues a binding assessment. If the assessment finds both Parties in compliance, Phase 2 is deemed certified and Phase 3 begins on Day 47.</w:t>
      </w:r>
    </w:p>
    <w:p>
      <w:pPr>
        <w:pStyle w:val="Normal"/>
        <w:pageBreakBefore/>
      </w:pPr>
    </w:p>
    <w:p>
      <w:pPr>
        <w:pStyle w:val="Heading2"/>
      </w:pPr>
      <w:r>
        <w:rPr>
          <w:rFonts w:ascii="Calibri" w:hAnsi="Calibri" w:eastAsia="Microsoft YaHei" w:cs="Calibri"/>
          <w:b/>
          <w:color w:val="263238"/>
          <w:sz w:val="28"/>
          <w:szCs w:val="28"/>
        </w:rPr>
        <w:t>Phase 3: Normalization (Days 47-91)</w:t>
      </w:r>
    </w:p>
    <w:p>
      <w:pPr>
        <w:pStyle w:val="Normal"/>
      </w:pPr>
      <w:r>
        <w:rPr>
          <w:rFonts w:ascii="Calibri" w:hAnsi="Calibri" w:eastAsia="Microsoft YaHei" w:cs="Calibri"/>
          <w:color w:val="263238"/>
          <w:sz w:val="22"/>
          <w:szCs w:val="22"/>
        </w:rPr>
        <w:t>Objective: Establish a new normal of reduced military presence and enhanced civilian control over navigational safety.</w:t>
      </w:r>
    </w:p>
    <w:p>
      <w:pPr>
        <w:pStyle w:val="Normal"/>
      </w:pPr>
      <w:r>
        <w:rPr>
          <w:rFonts w:ascii="Calibri" w:hAnsi="Calibri" w:eastAsia="Microsoft YaHei" w:cs="Calibri"/>
          <w:color w:val="263238"/>
          <w:sz w:val="22"/>
          <w:szCs w:val="22"/>
        </w:rPr>
        <w:t>Phase 3 begins upon JIC certification of Phase 2 completion. Phase 3 represents the most significant operational shift: the transfer of VTS communications authority from military to civilian agencies. The JIC certifies Phase 3 completion by Day 91.</w:t>
      </w:r>
    </w:p>
    <w:tbl>
      <w:tblPr>
        <w:tblW w:w="5000" w:type="pct"/>
        <w:tblBorders>
          <w:top w:val="single" w:color="37474F" w:sz="12"/>
          <w:left w:val="nil"/>
          <w:bottom w:val="single" w:color="37474F" w:sz="12"/>
          <w:right w:val="nil"/>
          <w:insideH w:val="single" w:color="CFD8DC" w:sz="4"/>
          <w:insideV w:val="nil"/>
        </w:tblBorders>
      </w:tblPr>
      <w:tblGrid>
        <w:gridCol w:w="800"/>
        <w:gridCol w:w="2800"/>
        <w:gridCol w:w="2800"/>
        <w:gridCol w:w="2600"/>
      </w:tblGrid>
      <w:tr>
        <w:trPr>
          <w:tblHeader w:val="1"/>
        </w:trPr>
        <w:tc>
          <w:tcPr>
            <w:tcW w:w="800" w:type="dxa"/>
            <w:tcBorders>
              <w:bottom w:val="single" w:color="37474F" w:sz="6" w:space="0"/>
            </w:tcBorders>
            <w:shd w:val="clear" w:fill="ECEFF1" w:color="auto"/>
          </w:tcPr>
          <w:p>
            <w:pPr>
              <w:pStyle w:val="Normal"/>
              <w:spacing w:before="60" w:after="60"/>
              <w:jc w:val="center"/>
            </w:pPr>
            <w:r>
              <w:rPr>
                <w:b/>
                <w:color w:val="263238"/>
                <w:sz w:val="20"/>
                <w:rFonts w:ascii="Calibri" w:hAnsi="Calibri" w:eastAsia="Microsoft YaHei" w:cs="Calibri"/>
                <w:szCs w:val="20"/>
              </w:rPr>
              <w:t>Measure</w:t>
            </w:r>
          </w:p>
        </w:tc>
        <w:tc>
          <w:tcPr>
            <w:tcW w:w="2800" w:type="dxa"/>
            <w:tcBorders>
              <w:bottom w:val="single" w:color="37474F" w:sz="6" w:space="0"/>
            </w:tcBorders>
            <w:shd w:val="clear" w:fill="ECEFF1" w:color="auto"/>
          </w:tcPr>
          <w:p>
            <w:pPr>
              <w:pStyle w:val="Normal"/>
              <w:spacing w:before="60" w:after="60"/>
              <w:jc w:val="center"/>
            </w:pPr>
            <w:r>
              <w:rPr>
                <w:b/>
                <w:color w:val="263238"/>
                <w:sz w:val="20"/>
                <w:rFonts w:ascii="Calibri" w:hAnsi="Calibri" w:eastAsia="Microsoft YaHei" w:cs="Calibri"/>
                <w:szCs w:val="20"/>
              </w:rPr>
              <w:t>Iran's Obligation</w:t>
            </w:r>
          </w:p>
        </w:tc>
        <w:tc>
          <w:tcPr>
            <w:tcW w:w="2800" w:type="dxa"/>
            <w:tcBorders>
              <w:bottom w:val="single" w:color="37474F" w:sz="6" w:space="0"/>
            </w:tcBorders>
            <w:shd w:val="clear" w:fill="ECEFF1" w:color="auto"/>
          </w:tcPr>
          <w:p>
            <w:pPr>
              <w:pStyle w:val="Normal"/>
              <w:spacing w:before="60" w:after="60"/>
              <w:jc w:val="center"/>
            </w:pPr>
            <w:r>
              <w:rPr>
                <w:b/>
                <w:color w:val="263238"/>
                <w:sz w:val="20"/>
                <w:rFonts w:ascii="Calibri" w:hAnsi="Calibri" w:eastAsia="Microsoft YaHei" w:cs="Calibri"/>
                <w:szCs w:val="20"/>
              </w:rPr>
              <w:t>U.S. Obligation</w:t>
            </w:r>
          </w:p>
        </w:tc>
        <w:tc>
          <w:tcPr>
            <w:tcW w:w="2600" w:type="dxa"/>
            <w:tcBorders>
              <w:bottom w:val="single" w:color="37474F" w:sz="6" w:space="0"/>
            </w:tcBorders>
            <w:shd w:val="clear" w:fill="ECEFF1" w:color="auto"/>
          </w:tcPr>
          <w:p>
            <w:pPr>
              <w:pStyle w:val="Normal"/>
              <w:spacing w:before="60" w:after="60"/>
              <w:jc w:val="center"/>
            </w:pPr>
            <w:r>
              <w:rPr>
                <w:b/>
                <w:color w:val="263238"/>
                <w:sz w:val="20"/>
                <w:rFonts w:ascii="Calibri" w:hAnsi="Calibri" w:eastAsia="Microsoft YaHei" w:cs="Calibri"/>
                <w:szCs w:val="20"/>
              </w:rPr>
              <w:t>Verification Method</w:t>
            </w:r>
          </w:p>
        </w:tc>
      </w:tr>
      <w:tr>
        <w:tc>
          <w:tcPr>
            <w:tcW w:w="800" w:type="dxa"/>
          </w:tcPr>
          <w:p>
            <w:pPr>
              <w:pStyle w:val="Normal"/>
              <w:spacing w:before="40" w:after="40"/>
              <w:ind w:firstLine="0"/>
            </w:pPr>
            <w:r>
              <w:rPr>
                <w:color w:val="263238"/>
                <w:sz w:val="20"/>
                <w:rFonts w:ascii="Calibri" w:hAnsi="Calibri" w:eastAsia="Microsoft YaHei" w:cs="Calibri"/>
                <w:szCs w:val="20"/>
              </w:rPr>
              <w:t>3A</w:t>
            </w:r>
          </w:p>
        </w:tc>
        <w:tc>
          <w:tcPr>
            <w:tcW w:w="2800" w:type="dxa"/>
          </w:tcPr>
          <w:p>
            <w:pPr>
              <w:pStyle w:val="Normal"/>
              <w:spacing w:before="40" w:after="40"/>
              <w:ind w:firstLine="0"/>
            </w:pPr>
            <w:r>
              <w:rPr>
                <w:color w:val="263238"/>
                <w:sz w:val="20"/>
                <w:rFonts w:ascii="Calibri" w:hAnsi="Calibri" w:eastAsia="Microsoft YaHei" w:cs="Calibri"/>
                <w:szCs w:val="20"/>
              </w:rPr>
              <w:t>Iran transfers authority over VTS communications in the Northern Corridor from the IRGC to Iran's Ports and Maritime Organization (PMO). IRGC retains a security oversight role; PMO controls navigational communications.</w:t>
            </w:r>
          </w:p>
        </w:tc>
        <w:tc>
          <w:tcPr>
            <w:tcW w:w="2800" w:type="dxa"/>
          </w:tcPr>
          <w:p>
            <w:pPr>
              <w:pStyle w:val="Normal"/>
              <w:spacing w:before="40" w:after="40"/>
              <w:ind w:firstLine="0"/>
            </w:pPr>
            <w:r>
              <w:rPr>
                <w:color w:val="263238"/>
                <w:sz w:val="20"/>
                <w:rFonts w:ascii="Calibri" w:hAnsi="Calibri" w:eastAsia="Microsoft YaHei" w:cs="Calibri"/>
                <w:szCs w:val="20"/>
              </w:rPr>
              <w:t>The United States transfers authority over VTS communications in the Southern Corridor from NAVCENT to the Omani Maritime Security Centre. NAVCENT retains a security oversight role; OMSC controls navigational communications.</w:t>
            </w:r>
          </w:p>
        </w:tc>
        <w:tc>
          <w:tcPr>
            <w:tcW w:w="2600" w:type="dxa"/>
          </w:tcPr>
          <w:p>
            <w:pPr>
              <w:pStyle w:val="Normal"/>
              <w:spacing w:before="40" w:after="40"/>
              <w:ind w:firstLine="0"/>
            </w:pPr>
            <w:r>
              <w:rPr>
                <w:color w:val="263238"/>
                <w:sz w:val="20"/>
                <w:rFonts w:ascii="Calibri" w:hAnsi="Calibri" w:eastAsia="Microsoft YaHei" w:cs="Calibri"/>
                <w:szCs w:val="20"/>
              </w:rPr>
              <w:t>VTS logs / Personnel rosters / JIC certification / TWG review</w:t>
            </w:r>
          </w:p>
        </w:tc>
      </w:tr>
      <w:tr>
        <w:tc>
          <w:tcPr>
            <w:tcW w:w="800" w:type="dxa"/>
          </w:tcPr>
          <w:p>
            <w:pPr>
              <w:pStyle w:val="Normal"/>
              <w:spacing w:before="40" w:after="40"/>
              <w:ind w:firstLine="0"/>
            </w:pPr>
            <w:r>
              <w:rPr>
                <w:color w:val="263238"/>
                <w:sz w:val="20"/>
                <w:rFonts w:ascii="Calibri" w:hAnsi="Calibri" w:eastAsia="Microsoft YaHei" w:cs="Calibri"/>
                <w:szCs w:val="20"/>
              </w:rPr>
              <w:t>3B</w:t>
            </w:r>
          </w:p>
        </w:tc>
        <w:tc>
          <w:tcPr>
            <w:tcW w:w="2800" w:type="dxa"/>
          </w:tcPr>
          <w:p>
            <w:pPr>
              <w:pStyle w:val="Normal"/>
              <w:spacing w:before="40" w:after="40"/>
              <w:ind w:firstLine="0"/>
            </w:pPr>
            <w:r>
              <w:rPr>
                <w:color w:val="263238"/>
                <w:sz w:val="20"/>
                <w:rFonts w:ascii="Calibri" w:hAnsi="Calibri" w:eastAsia="Microsoft YaHei" w:cs="Calibri"/>
                <w:szCs w:val="20"/>
              </w:rPr>
              <w:t>Iran reduces total IRGC naval personnel assigned to the Strait by 20% from the Phase 2 baseline. Reduction applies to active patrol, escort, and command personnel.</w:t>
            </w:r>
          </w:p>
        </w:tc>
        <w:tc>
          <w:tcPr>
            <w:tcW w:w="2800" w:type="dxa"/>
          </w:tcPr>
          <w:p>
            <w:pPr>
              <w:pStyle w:val="Normal"/>
              <w:spacing w:before="40" w:after="40"/>
              <w:ind w:firstLine="0"/>
            </w:pPr>
            <w:r>
              <w:rPr>
                <w:color w:val="263238"/>
                <w:sz w:val="20"/>
                <w:rFonts w:ascii="Calibri" w:hAnsi="Calibri" w:eastAsia="Microsoft YaHei" w:cs="Calibri"/>
                <w:szCs w:val="20"/>
              </w:rPr>
              <w:t>The United States reduces total U.S. naval personnel assigned to the Strait by 20% from the Phase 2 baseline. Reduction applies to active patrol, escort, and command personnel.</w:t>
            </w:r>
          </w:p>
        </w:tc>
        <w:tc>
          <w:tcPr>
            <w:tcW w:w="2600" w:type="dxa"/>
          </w:tcPr>
          <w:p>
            <w:pPr>
              <w:pStyle w:val="Normal"/>
              <w:spacing w:before="40" w:after="40"/>
              <w:ind w:firstLine="0"/>
            </w:pPr>
            <w:r>
              <w:rPr>
                <w:color w:val="263238"/>
                <w:sz w:val="20"/>
                <w:rFonts w:ascii="Calibri" w:hAnsi="Calibri" w:eastAsia="Microsoft YaHei" w:cs="Calibri"/>
                <w:szCs w:val="20"/>
              </w:rPr>
              <w:t>Mutual notification / Satellite imagery / JIC personnel review</w:t>
            </w:r>
          </w:p>
        </w:tc>
      </w:tr>
      <w:tr>
        <w:tc>
          <w:tcPr>
            <w:tcW w:w="800" w:type="dxa"/>
          </w:tcPr>
          <w:p>
            <w:pPr>
              <w:pStyle w:val="Normal"/>
              <w:spacing w:before="40" w:after="40"/>
              <w:ind w:firstLine="0"/>
            </w:pPr>
            <w:r>
              <w:rPr>
                <w:color w:val="263238"/>
                <w:sz w:val="20"/>
                <w:rFonts w:ascii="Calibri" w:hAnsi="Calibri" w:eastAsia="Microsoft YaHei" w:cs="Calibri"/>
                <w:szCs w:val="20"/>
              </w:rPr>
              <w:t>3C</w:t>
            </w:r>
          </w:p>
        </w:tc>
        <w:tc>
          <w:tcPr>
            <w:tcW w:w="2800" w:type="dxa"/>
          </w:tcPr>
          <w:p>
            <w:pPr>
              <w:pStyle w:val="Normal"/>
              <w:spacing w:before="40" w:after="40"/>
              <w:ind w:firstLine="0"/>
            </w:pPr>
            <w:r>
              <w:rPr>
                <w:color w:val="263238"/>
                <w:sz w:val="20"/>
                <w:rFonts w:ascii="Calibri" w:hAnsi="Calibri" w:eastAsia="Microsoft YaHei" w:cs="Calibri"/>
                <w:szCs w:val="20"/>
              </w:rPr>
              <w:t>Iran suspends all IRGC red line declarations regarding transit routes. No public statements specify routes that Iran considers off-limits or restricted.</w:t>
            </w:r>
          </w:p>
        </w:tc>
        <w:tc>
          <w:tcPr>
            <w:tcW w:w="2800" w:type="dxa"/>
          </w:tcPr>
          <w:p>
            <w:pPr>
              <w:pStyle w:val="Normal"/>
              <w:spacing w:before="40" w:after="40"/>
              <w:ind w:firstLine="0"/>
            </w:pPr>
            <w:r>
              <w:rPr>
                <w:color w:val="263238"/>
                <w:sz w:val="20"/>
                <w:rFonts w:ascii="Calibri" w:hAnsi="Calibri" w:eastAsia="Microsoft YaHei" w:cs="Calibri"/>
                <w:szCs w:val="20"/>
              </w:rPr>
              <w:t>The United States suspends all freedom of navigation exercises in the Strait. No deliberate close-pass exercises or transit assertions occur within the Hormuz Transit Zone.</w:t>
            </w:r>
          </w:p>
        </w:tc>
        <w:tc>
          <w:tcPr>
            <w:tcW w:w="2600" w:type="dxa"/>
          </w:tcPr>
          <w:p>
            <w:pPr>
              <w:pStyle w:val="Normal"/>
              <w:spacing w:before="40" w:after="40"/>
              <w:ind w:firstLine="0"/>
            </w:pPr>
            <w:r>
              <w:rPr>
                <w:color w:val="263238"/>
                <w:sz w:val="20"/>
                <w:rFonts w:ascii="Calibri" w:hAnsi="Calibri" w:eastAsia="Microsoft YaHei" w:cs="Calibri"/>
                <w:szCs w:val="20"/>
              </w:rPr>
              <w:t>Public monitoring / Diplomatic channels / JIC media review</w:t>
            </w:r>
          </w:p>
        </w:tc>
      </w:tr>
      <w:tr>
        <w:tc>
          <w:tcPr>
            <w:tcW w:w="800" w:type="dxa"/>
          </w:tcPr>
          <w:p>
            <w:pPr>
              <w:pStyle w:val="Normal"/>
              <w:spacing w:before="40" w:after="40"/>
              <w:ind w:firstLine="0"/>
            </w:pPr>
            <w:r>
              <w:rPr>
                <w:color w:val="263238"/>
                <w:sz w:val="20"/>
                <w:rFonts w:ascii="Calibri" w:hAnsi="Calibri" w:eastAsia="Microsoft YaHei" w:cs="Calibri"/>
                <w:szCs w:val="20"/>
              </w:rPr>
              <w:t>3D</w:t>
            </w:r>
          </w:p>
        </w:tc>
        <w:tc>
          <w:tcPr>
            <w:tcW w:w="2800" w:type="dxa"/>
          </w:tcPr>
          <w:p>
            <w:pPr>
              <w:pStyle w:val="Normal"/>
              <w:spacing w:before="40" w:after="40"/>
              <w:ind w:firstLine="0"/>
            </w:pPr>
            <w:r>
              <w:rPr>
                <w:color w:val="263238"/>
                <w:sz w:val="20"/>
                <w:rFonts w:ascii="Calibri" w:hAnsi="Calibri" w:eastAsia="Microsoft YaHei" w:cs="Calibri"/>
                <w:szCs w:val="20"/>
              </w:rPr>
              <w:t>Iran agrees to a permanent hotline (not limited to the HSU term) for deconfliction between IRGC Navy and U.S. Naval Forces Central Command. Hotline operates through the JERC in Muscat.</w:t>
            </w:r>
          </w:p>
        </w:tc>
        <w:tc>
          <w:tcPr>
            <w:tcW w:w="2800" w:type="dxa"/>
          </w:tcPr>
          <w:p>
            <w:pPr>
              <w:pStyle w:val="Normal"/>
              <w:spacing w:before="40" w:after="40"/>
              <w:ind w:firstLine="0"/>
            </w:pPr>
            <w:r>
              <w:rPr>
                <w:color w:val="263238"/>
                <w:sz w:val="20"/>
                <w:rFonts w:ascii="Calibri" w:hAnsi="Calibri" w:eastAsia="Microsoft YaHei" w:cs="Calibri"/>
                <w:szCs w:val="20"/>
              </w:rPr>
              <w:t>The United States agrees to a permanent hotline (not limited to the HSU term) for deconfliction between NAVCENT and IRGC Navy. Hotline operates through the JERC in Muscat.</w:t>
            </w:r>
          </w:p>
        </w:tc>
        <w:tc>
          <w:tcPr>
            <w:tcW w:w="2600" w:type="dxa"/>
          </w:tcPr>
          <w:p>
            <w:pPr>
              <w:pStyle w:val="Normal"/>
              <w:spacing w:before="40" w:after="40"/>
              <w:ind w:firstLine="0"/>
            </w:pPr>
            <w:r>
              <w:rPr>
                <w:color w:val="263238"/>
                <w:sz w:val="20"/>
                <w:rFonts w:ascii="Calibri" w:hAnsi="Calibri" w:eastAsia="Microsoft YaHei" w:cs="Calibri"/>
                <w:szCs w:val="20"/>
              </w:rPr>
              <w:t>JIC records / Hotline logs / JERC quarterly review</w:t>
            </w:r>
          </w:p>
        </w:tc>
      </w:tr>
    </w:tbl>
    <w:p>
      <w:pPr>
        <w:pStyle w:val="Normal"/>
      </w:pPr>
      <w:r>
        <w:rPr>
          <w:rFonts w:ascii="Calibri" w:hAnsi="Calibri" w:eastAsia="Microsoft YaHei" w:cs="Calibri"/>
          <w:color w:val="263238"/>
          <w:sz w:val="22"/>
          <w:szCs w:val="22"/>
        </w:rPr>
        <w:t>Phase 3 Certification: The JIC certifies Phase 3 completion by Day 91 if and only if: (i) all four measures (3A, 3B, 3C, 3D) demonstrate verified compliance for 40 of the 45 days (88.9% compliance); (ii) no single measure has more than 3 days of non-compliance; (iii) no Level 3 or Level 4 violations occur during Phase 3; (iv) all Phase 3 measures are fully operational for the final 14 consecutive days of the Phase. If the JIC does not certify by Day 91, the matter is referred to binding arbitration under Section 7. Arbitration rules within 30 days. If arbitration finds both Parties in compliance, Phase 3 is deemed certified.</w:t>
      </w:r>
    </w:p>
    <w:p>
      <w:pPr>
        <w:pStyle w:val="Normal"/>
        <w:pageBreakBefore/>
      </w:pPr>
    </w:p>
    <w:p>
      <w:pPr>
        <w:pStyle w:val="Heading2"/>
      </w:pPr>
      <w:r>
        <w:rPr>
          <w:rFonts w:ascii="Calibri" w:hAnsi="Calibri" w:eastAsia="Microsoft YaHei" w:cs="Calibri"/>
          <w:b/>
          <w:color w:val="263238"/>
          <w:sz w:val="28"/>
          <w:szCs w:val="28"/>
        </w:rPr>
        <w:t>Phase 4: Institutionalization (Days 92-181)</w:t>
      </w:r>
    </w:p>
    <w:p>
      <w:pPr>
        <w:pStyle w:val="Normal"/>
      </w:pPr>
      <w:r>
        <w:rPr>
          <w:rFonts w:ascii="Calibri" w:hAnsi="Calibri" w:eastAsia="Microsoft YaHei" w:cs="Calibri"/>
          <w:color w:val="263238"/>
          <w:sz w:val="22"/>
          <w:szCs w:val="22"/>
        </w:rPr>
        <w:t>Objective: Embed the new operational reality into permanent structures that survive beyond the initial HSU term.</w:t>
      </w:r>
    </w:p>
    <w:p>
      <w:pPr>
        <w:pStyle w:val="Normal"/>
      </w:pPr>
      <w:r>
        <w:rPr>
          <w:rFonts w:ascii="Calibri" w:hAnsi="Calibri" w:eastAsia="Microsoft YaHei" w:cs="Calibri"/>
          <w:color w:val="263238"/>
          <w:sz w:val="22"/>
          <w:szCs w:val="22"/>
        </w:rPr>
        <w:t>Phase 4 begins upon JIC certification of Phase 3 completion. Phase 4 transforms the temporary confidence-building measures into enduring institutional arrangements. The JIC certifies Phase 4 completion by Day 181.</w:t>
      </w:r>
    </w:p>
    <w:tbl>
      <w:tblPr>
        <w:tblW w:w="5000" w:type="pct"/>
        <w:tblBorders>
          <w:top w:val="single" w:color="37474F" w:sz="12"/>
          <w:left w:val="nil"/>
          <w:bottom w:val="single" w:color="37474F" w:sz="12"/>
          <w:right w:val="nil"/>
          <w:insideH w:val="single" w:color="CFD8DC" w:sz="4"/>
          <w:insideV w:val="nil"/>
        </w:tblBorders>
      </w:tblPr>
      <w:tblGrid>
        <w:gridCol w:w="800"/>
        <w:gridCol w:w="2800"/>
        <w:gridCol w:w="2800"/>
        <w:gridCol w:w="2600"/>
      </w:tblGrid>
      <w:tr>
        <w:trPr>
          <w:tblHeader w:val="1"/>
        </w:trPr>
        <w:tc>
          <w:tcPr>
            <w:tcW w:w="800" w:type="dxa"/>
            <w:tcBorders>
              <w:bottom w:val="single" w:color="37474F" w:sz="6" w:space="0"/>
            </w:tcBorders>
            <w:shd w:val="clear" w:fill="ECEFF1" w:color="auto"/>
          </w:tcPr>
          <w:p>
            <w:pPr>
              <w:pStyle w:val="Normal"/>
              <w:spacing w:before="60" w:after="60"/>
              <w:jc w:val="center"/>
            </w:pPr>
            <w:r>
              <w:rPr>
                <w:b/>
                <w:color w:val="263238"/>
                <w:sz w:val="20"/>
                <w:rFonts w:ascii="Calibri" w:hAnsi="Calibri" w:eastAsia="Microsoft YaHei" w:cs="Calibri"/>
                <w:szCs w:val="20"/>
              </w:rPr>
              <w:t>Measure</w:t>
            </w:r>
          </w:p>
        </w:tc>
        <w:tc>
          <w:tcPr>
            <w:tcW w:w="2800" w:type="dxa"/>
            <w:tcBorders>
              <w:bottom w:val="single" w:color="37474F" w:sz="6" w:space="0"/>
            </w:tcBorders>
            <w:shd w:val="clear" w:fill="ECEFF1" w:color="auto"/>
          </w:tcPr>
          <w:p>
            <w:pPr>
              <w:pStyle w:val="Normal"/>
              <w:spacing w:before="60" w:after="60"/>
              <w:jc w:val="center"/>
            </w:pPr>
            <w:r>
              <w:rPr>
                <w:b/>
                <w:color w:val="263238"/>
                <w:sz w:val="20"/>
                <w:rFonts w:ascii="Calibri" w:hAnsi="Calibri" w:eastAsia="Microsoft YaHei" w:cs="Calibri"/>
                <w:szCs w:val="20"/>
              </w:rPr>
              <w:t>Iran's Obligation</w:t>
            </w:r>
          </w:p>
        </w:tc>
        <w:tc>
          <w:tcPr>
            <w:tcW w:w="2800" w:type="dxa"/>
            <w:tcBorders>
              <w:bottom w:val="single" w:color="37474F" w:sz="6" w:space="0"/>
            </w:tcBorders>
            <w:shd w:val="clear" w:fill="ECEFF1" w:color="auto"/>
          </w:tcPr>
          <w:p>
            <w:pPr>
              <w:pStyle w:val="Normal"/>
              <w:spacing w:before="60" w:after="60"/>
              <w:jc w:val="center"/>
            </w:pPr>
            <w:r>
              <w:rPr>
                <w:b/>
                <w:color w:val="263238"/>
                <w:sz w:val="20"/>
                <w:rFonts w:ascii="Calibri" w:hAnsi="Calibri" w:eastAsia="Microsoft YaHei" w:cs="Calibri"/>
                <w:szCs w:val="20"/>
              </w:rPr>
              <w:t>U.S. Obligation</w:t>
            </w:r>
          </w:p>
        </w:tc>
        <w:tc>
          <w:tcPr>
            <w:tcW w:w="2600" w:type="dxa"/>
            <w:tcBorders>
              <w:bottom w:val="single" w:color="37474F" w:sz="6" w:space="0"/>
            </w:tcBorders>
            <w:shd w:val="clear" w:fill="ECEFF1" w:color="auto"/>
          </w:tcPr>
          <w:p>
            <w:pPr>
              <w:pStyle w:val="Normal"/>
              <w:spacing w:before="60" w:after="60"/>
              <w:jc w:val="center"/>
            </w:pPr>
            <w:r>
              <w:rPr>
                <w:b/>
                <w:color w:val="263238"/>
                <w:sz w:val="20"/>
                <w:rFonts w:ascii="Calibri" w:hAnsi="Calibri" w:eastAsia="Microsoft YaHei" w:cs="Calibri"/>
                <w:szCs w:val="20"/>
              </w:rPr>
              <w:t>Verification Method</w:t>
            </w:r>
          </w:p>
        </w:tc>
      </w:tr>
      <w:tr>
        <w:tc>
          <w:tcPr>
            <w:tcW w:w="800" w:type="dxa"/>
          </w:tcPr>
          <w:p>
            <w:pPr>
              <w:pStyle w:val="Normal"/>
              <w:spacing w:before="40" w:after="40"/>
              <w:ind w:firstLine="0"/>
            </w:pPr>
            <w:r>
              <w:rPr>
                <w:color w:val="263238"/>
                <w:sz w:val="20"/>
                <w:rFonts w:ascii="Calibri" w:hAnsi="Calibri" w:eastAsia="Microsoft YaHei" w:cs="Calibri"/>
                <w:szCs w:val="20"/>
              </w:rPr>
              <w:t>4A</w:t>
            </w:r>
          </w:p>
        </w:tc>
        <w:tc>
          <w:tcPr>
            <w:tcW w:w="2800" w:type="dxa"/>
          </w:tcPr>
          <w:p>
            <w:pPr>
              <w:pStyle w:val="Normal"/>
              <w:spacing w:before="40" w:after="40"/>
              <w:ind w:firstLine="0"/>
            </w:pPr>
            <w:r>
              <w:rPr>
                <w:color w:val="263238"/>
                <w:sz w:val="20"/>
                <w:rFonts w:ascii="Calibri" w:hAnsi="Calibri" w:eastAsia="Microsoft YaHei" w:cs="Calibri"/>
                <w:szCs w:val="20"/>
              </w:rPr>
              <w:t>Iran recognizes the Hormuz Service Corporation (HSC) as the sole authority for collecting service fees in the Strait. No parallel fee collection mechanism operates.</w:t>
            </w:r>
          </w:p>
        </w:tc>
        <w:tc>
          <w:tcPr>
            <w:tcW w:w="2800" w:type="dxa"/>
          </w:tcPr>
          <w:p>
            <w:pPr>
              <w:pStyle w:val="Normal"/>
              <w:spacing w:before="40" w:after="40"/>
              <w:ind w:firstLine="0"/>
            </w:pPr>
            <w:r>
              <w:rPr>
                <w:color w:val="263238"/>
                <w:sz w:val="20"/>
                <w:rFonts w:ascii="Calibri" w:hAnsi="Calibri" w:eastAsia="Microsoft YaHei" w:cs="Calibri"/>
                <w:szCs w:val="20"/>
              </w:rPr>
              <w:t>The United States recognizes the Hormuz Service Corporation (HSC) as the sole authority for collecting service fees in the Strait. U.S. forces do not enforce alternative fee structures.</w:t>
            </w:r>
          </w:p>
        </w:tc>
        <w:tc>
          <w:tcPr>
            <w:tcW w:w="2600" w:type="dxa"/>
          </w:tcPr>
          <w:p>
            <w:pPr>
              <w:pStyle w:val="Normal"/>
              <w:spacing w:before="40" w:after="40"/>
              <w:ind w:firstLine="0"/>
            </w:pPr>
            <w:r>
              <w:rPr>
                <w:color w:val="263238"/>
                <w:sz w:val="20"/>
                <w:rFonts w:ascii="Calibri" w:hAnsi="Calibri" w:eastAsia="Microsoft YaHei" w:cs="Calibri"/>
                <w:szCs w:val="20"/>
              </w:rPr>
              <w:t>HSC records / JIC certification / Revenue audit reports</w:t>
            </w:r>
          </w:p>
        </w:tc>
      </w:tr>
      <w:tr>
        <w:tc>
          <w:tcPr>
            <w:tcW w:w="800" w:type="dxa"/>
          </w:tcPr>
          <w:p>
            <w:pPr>
              <w:pStyle w:val="Normal"/>
              <w:spacing w:before="40" w:after="40"/>
              <w:ind w:firstLine="0"/>
            </w:pPr>
            <w:r>
              <w:rPr>
                <w:color w:val="263238"/>
                <w:sz w:val="20"/>
                <w:rFonts w:ascii="Calibri" w:hAnsi="Calibri" w:eastAsia="Microsoft YaHei" w:cs="Calibri"/>
                <w:szCs w:val="20"/>
              </w:rPr>
              <w:t>4B</w:t>
            </w:r>
          </w:p>
        </w:tc>
        <w:tc>
          <w:tcPr>
            <w:tcW w:w="2800" w:type="dxa"/>
          </w:tcPr>
          <w:p>
            <w:pPr>
              <w:pStyle w:val="Normal"/>
              <w:spacing w:before="40" w:after="40"/>
              <w:ind w:firstLine="0"/>
            </w:pPr>
            <w:r>
              <w:rPr>
                <w:color w:val="263238"/>
                <w:sz w:val="20"/>
                <w:rFonts w:ascii="Calibri" w:hAnsi="Calibri" w:eastAsia="Microsoft YaHei" w:cs="Calibri"/>
                <w:szCs w:val="20"/>
              </w:rPr>
              <w:t>Iran accepts a standing IMO audit of all navigational aids and services in the Northern Corridor. Audits occur quarterly and reports publish through the JIC.</w:t>
            </w:r>
          </w:p>
        </w:tc>
        <w:tc>
          <w:tcPr>
            <w:tcW w:w="2800" w:type="dxa"/>
          </w:tcPr>
          <w:p>
            <w:pPr>
              <w:pStyle w:val="Normal"/>
              <w:spacing w:before="40" w:after="40"/>
              <w:ind w:firstLine="0"/>
            </w:pPr>
            <w:r>
              <w:rPr>
                <w:color w:val="263238"/>
                <w:sz w:val="20"/>
                <w:rFonts w:ascii="Calibri" w:hAnsi="Calibri" w:eastAsia="Microsoft YaHei" w:cs="Calibri"/>
                <w:szCs w:val="20"/>
              </w:rPr>
              <w:t>The United States accepts a standing IMO audit of all navigational aids and services in the Southern Corridor. Audits occur quarterly and reports publish through the JIC.</w:t>
            </w:r>
          </w:p>
        </w:tc>
        <w:tc>
          <w:tcPr>
            <w:tcW w:w="2600" w:type="dxa"/>
          </w:tcPr>
          <w:p>
            <w:pPr>
              <w:pStyle w:val="Normal"/>
              <w:spacing w:before="40" w:after="40"/>
              <w:ind w:firstLine="0"/>
            </w:pPr>
            <w:r>
              <w:rPr>
                <w:color w:val="263238"/>
                <w:sz w:val="20"/>
                <w:rFonts w:ascii="Calibri" w:hAnsi="Calibri" w:eastAsia="Microsoft YaHei" w:cs="Calibri"/>
                <w:szCs w:val="20"/>
              </w:rPr>
              <w:t>IMO audit reports / JIC publication records</w:t>
            </w:r>
          </w:p>
        </w:tc>
      </w:tr>
      <w:tr>
        <w:tc>
          <w:tcPr>
            <w:tcW w:w="800" w:type="dxa"/>
          </w:tcPr>
          <w:p>
            <w:pPr>
              <w:pStyle w:val="Normal"/>
              <w:spacing w:before="40" w:after="40"/>
              <w:ind w:firstLine="0"/>
            </w:pPr>
            <w:r>
              <w:rPr>
                <w:color w:val="263238"/>
                <w:sz w:val="20"/>
                <w:rFonts w:ascii="Calibri" w:hAnsi="Calibri" w:eastAsia="Microsoft YaHei" w:cs="Calibri"/>
                <w:szCs w:val="20"/>
              </w:rPr>
              <w:t>4C</w:t>
            </w:r>
          </w:p>
        </w:tc>
        <w:tc>
          <w:tcPr>
            <w:tcW w:w="2800" w:type="dxa"/>
          </w:tcPr>
          <w:p>
            <w:pPr>
              <w:pStyle w:val="Normal"/>
              <w:spacing w:before="40" w:after="40"/>
              <w:ind w:firstLine="0"/>
            </w:pPr>
            <w:r>
              <w:rPr>
                <w:color w:val="263238"/>
                <w:sz w:val="20"/>
                <w:rFonts w:ascii="Calibri" w:hAnsi="Calibri" w:eastAsia="Microsoft YaHei" w:cs="Calibri"/>
                <w:szCs w:val="20"/>
              </w:rPr>
              <w:t>Iran includes Oman as a permanent observer in all IRGC naval operations in the Strait. Omani observers receive advance notice of exercises and patrol schedules.</w:t>
            </w:r>
          </w:p>
        </w:tc>
        <w:tc>
          <w:tcPr>
            <w:tcW w:w="2800" w:type="dxa"/>
          </w:tcPr>
          <w:p>
            <w:pPr>
              <w:pStyle w:val="Normal"/>
              <w:spacing w:before="40" w:after="40"/>
              <w:ind w:firstLine="0"/>
            </w:pPr>
            <w:r>
              <w:rPr>
                <w:color w:val="263238"/>
                <w:sz w:val="20"/>
                <w:rFonts w:ascii="Calibri" w:hAnsi="Calibri" w:eastAsia="Microsoft YaHei" w:cs="Calibri"/>
                <w:szCs w:val="20"/>
              </w:rPr>
              <w:t>The United States includes Oman as a permanent observer in all U.S. naval operations in the Strait. Omani observers receive advance notice of exercises and patrol schedules.</w:t>
            </w:r>
          </w:p>
        </w:tc>
        <w:tc>
          <w:tcPr>
            <w:tcW w:w="2600" w:type="dxa"/>
          </w:tcPr>
          <w:p>
            <w:pPr>
              <w:pStyle w:val="Normal"/>
              <w:spacing w:before="40" w:after="40"/>
              <w:ind w:firstLine="0"/>
            </w:pPr>
            <w:r>
              <w:rPr>
                <w:color w:val="263238"/>
                <w:sz w:val="20"/>
                <w:rFonts w:ascii="Calibri" w:hAnsi="Calibri" w:eastAsia="Microsoft YaHei" w:cs="Calibri"/>
                <w:szCs w:val="20"/>
              </w:rPr>
              <w:t>JIC records / Omani liaison reports / Observer deployment logs</w:t>
            </w:r>
          </w:p>
        </w:tc>
      </w:tr>
      <w:tr>
        <w:tc>
          <w:tcPr>
            <w:tcW w:w="800" w:type="dxa"/>
          </w:tcPr>
          <w:p>
            <w:pPr>
              <w:pStyle w:val="Normal"/>
              <w:spacing w:before="40" w:after="40"/>
              <w:ind w:firstLine="0"/>
            </w:pPr>
            <w:r>
              <w:rPr>
                <w:color w:val="263238"/>
                <w:sz w:val="20"/>
                <w:rFonts w:ascii="Calibri" w:hAnsi="Calibri" w:eastAsia="Microsoft YaHei" w:cs="Calibri"/>
                <w:szCs w:val="20"/>
              </w:rPr>
              <w:t>4D</w:t>
            </w:r>
          </w:p>
        </w:tc>
        <w:tc>
          <w:tcPr>
            <w:tcW w:w="2800" w:type="dxa"/>
          </w:tcPr>
          <w:p>
            <w:pPr>
              <w:pStyle w:val="Normal"/>
              <w:spacing w:before="40" w:after="40"/>
              <w:ind w:firstLine="0"/>
            </w:pPr>
            <w:r>
              <w:rPr>
                <w:color w:val="263238"/>
                <w:sz w:val="20"/>
                <w:rFonts w:ascii="Calibri" w:hAnsi="Calibri" w:eastAsia="Microsoft YaHei" w:cs="Calibri"/>
                <w:szCs w:val="20"/>
              </w:rPr>
              <w:t>Iran agrees to annual confidence-building reviews that continue beyond the HSU term. Reviews assess the state of operational trust and recommend adjustments.</w:t>
            </w:r>
          </w:p>
        </w:tc>
        <w:tc>
          <w:tcPr>
            <w:tcW w:w="2800" w:type="dxa"/>
          </w:tcPr>
          <w:p>
            <w:pPr>
              <w:pStyle w:val="Normal"/>
              <w:spacing w:before="40" w:after="40"/>
              <w:ind w:firstLine="0"/>
            </w:pPr>
            <w:r>
              <w:rPr>
                <w:color w:val="263238"/>
                <w:sz w:val="20"/>
                <w:rFonts w:ascii="Calibri" w:hAnsi="Calibri" w:eastAsia="Microsoft YaHei" w:cs="Calibri"/>
                <w:szCs w:val="20"/>
              </w:rPr>
              <w:t>The United States agrees to annual confidence-building reviews that continue beyond the HSU term. Reviews assess the state of operational trust and recommend adjustments.</w:t>
            </w:r>
          </w:p>
        </w:tc>
        <w:tc>
          <w:tcPr>
            <w:tcW w:w="2600" w:type="dxa"/>
          </w:tcPr>
          <w:p>
            <w:pPr>
              <w:pStyle w:val="Normal"/>
              <w:spacing w:before="40" w:after="40"/>
              <w:ind w:firstLine="0"/>
            </w:pPr>
            <w:r>
              <w:rPr>
                <w:color w:val="263238"/>
                <w:sz w:val="20"/>
                <w:rFonts w:ascii="Calibri" w:hAnsi="Calibri" w:eastAsia="Microsoft YaHei" w:cs="Calibri"/>
                <w:szCs w:val="20"/>
              </w:rPr>
              <w:t>HSU renewal documents / JIC annual review records</w:t>
            </w:r>
          </w:p>
        </w:tc>
      </w:tr>
    </w:tbl>
    <w:p>
      <w:pPr>
        <w:pStyle w:val="Normal"/>
      </w:pPr>
      <w:r>
        <w:rPr>
          <w:rFonts w:ascii="Calibri" w:hAnsi="Calibri" w:eastAsia="Microsoft YaHei" w:cs="Calibri"/>
          <w:color w:val="263238"/>
          <w:sz w:val="22"/>
          <w:szCs w:val="22"/>
        </w:rPr>
        <w:t>Phase 4 Certification: The JIC certifies Phase 4 completion by Day 181 if and only if: (i) all four measures (4A, 4B, 4C, 4D) demonstrate verified compliance for 80 of the 90 days (88.9% compliance); (ii) no single measure has more than 5 days of non-compliance; (iii) no Level 2, Level 3, or Level 4 violations occur during Phase 4; (iv) all Phase 4 measures are fully operational for the final 30 consecutive days of the Phase. If the JIC does not certify by Day 181, the matter is referred to binding arbitration under Section 7. If arbitration finds both Parties in compliance, Phase 4 is deemed certified and the JIC issues a Full Implementation Certificate on Day 182.</w:t>
      </w:r>
    </w:p>
    <w:p>
      <w:pPr>
        <w:pStyle w:val="Normal"/>
      </w:pPr>
      <w:r>
        <w:rPr>
          <w:rFonts w:ascii="Calibri" w:hAnsi="Calibri" w:eastAsia="Microsoft YaHei" w:cs="Calibri"/>
          <w:color w:val="263238"/>
          <w:sz w:val="22"/>
          <w:szCs w:val="22"/>
        </w:rPr>
        <w:t>Upon Phase 4 certification, the HSU's full implementation architecture achieves operational status. All three operational annexes (1AB, 1AC, 1AD) function in coordination. The JIC issues a Full Implementation Certificate that confirms the HSU is delivering tangible security benefits.</w:t>
      </w:r>
    </w:p>
    <w:p>
      <w:pPr>
        <w:pStyle w:val="Heading2"/>
      </w:pPr>
      <w:r>
        <w:rPr>
          <w:rFonts w:ascii="Calibri" w:hAnsi="Calibri" w:eastAsia="Microsoft YaHei" w:cs="Calibri"/>
          <w:b/>
          <w:color w:val="546E7A"/>
          <w:sz w:val="24"/>
          <w:szCs w:val="28"/>
        </w:rPr>
        <w:t>Phase Completion Certification</w:t>
      </w:r>
    </w:p>
    <w:p>
      <w:pPr>
        <w:pStyle w:val="Normal"/>
        <w:spacing w:before="40" w:after="40"/>
        <w:ind w:firstLine="0"/>
      </w:pPr>
      <w:r>
        <w:rPr>
          <w:color w:val="263238"/>
          <w:sz w:val="20"/>
          <w:rFonts w:ascii="Calibri" w:hAnsi="Calibri" w:eastAsia="Microsoft YaHei" w:cs="Calibri"/>
          <w:szCs w:val="20"/>
        </w:rPr>
        <w:t>The JIC issues a Phase Completion Certificate upon certification of each Phase. The Certificate is published in the Compliance Dashboard and submitted to the IMO. The Certificate includes a detailed compliance record for each measure.</w:t>
      </w:r>
    </w:p>
    <w:p>
      <w:pPr>
        <w:pStyle w:val="Heading2"/>
      </w:pPr>
      <w:r>
        <w:rPr>
          <w:rFonts w:ascii="Calibri" w:hAnsi="Calibri" w:eastAsia="Microsoft YaHei" w:cs="Calibri"/>
          <w:b/>
          <w:color w:val="546E7A"/>
          <w:sz w:val="24"/>
          <w:szCs w:val="28"/>
        </w:rPr>
        <w:t>Phase Escalation Protocol</w:t>
      </w:r>
    </w:p>
    <w:p>
      <w:pPr>
        <w:pStyle w:val="Normal"/>
        <w:spacing w:before="40" w:after="40"/>
        <w:ind w:firstLine="0"/>
      </w:pPr>
      <w:r>
        <w:rPr>
          <w:color w:val="263238"/>
          <w:sz w:val="22"/>
          <w:rFonts w:ascii="Calibri" w:hAnsi="Calibri" w:eastAsia="Microsoft YaHei" w:cs="Calibri"/>
          <w:szCs w:val="20"/>
        </w:rPr>
        <w:t>Non-compliance with a Phase measure triggers the graduated response mechanism under HSU Article 8. The JIC classifies the non-compliance as Level 1, 2, 3, or 4 based on the severity and pattern of the violation. Phase progression pauses during any Level 3 or Level 4 violation. A third restart of any Phase within a 12-month period triggers a JIC emergency session to determine whether the HSU warrants suspension under HSU Article 9.4.</w:t>
      </w:r>
    </w:p>
    <w:p>
      <w:pPr>
        <w:pStyle w:val="Heading2"/>
      </w:pPr>
      <w:r>
        <w:rPr>
          <w:rFonts w:ascii="Calibri" w:hAnsi="Calibri" w:eastAsia="Microsoft YaHei" w:cs="Calibri"/>
          <w:b/>
          <w:color w:val="546E7A"/>
          <w:sz w:val="24"/>
          <w:szCs w:val="28"/>
        </w:rPr>
        <w:t>Confidence-Building Measures Interaction Protocol</w:t>
      </w:r>
    </w:p>
    <w:p>
      <w:pPr>
        <w:pStyle w:val="Normal"/>
        <w:spacing w:before="40" w:after="40"/>
        <w:ind w:firstLine="0"/>
      </w:pPr>
      <w:r>
        <w:rPr>
          <w:color w:val="546E7A"/>
          <w:sz w:val="24"/>
          <w:rFonts w:ascii="Calibri" w:hAnsi="Calibri" w:eastAsia="Microsoft YaHei" w:cs="Calibri"/>
          <w:szCs w:val="20"/>
          <w:b/>
        </w:rPr>
        <w:t xml:space="preserve">Measure Independence: </w:t>
      </w:r>
      <w:r>
        <w:rPr>
          <w:color w:val="263238"/>
          <w:sz w:val="20"/>
          <w:rFonts w:ascii="Calibri" w:hAnsi="Calibri" w:eastAsia="Microsoft YaHei" w:cs="Calibri"/>
          <w:szCs w:val="20"/>
        </w:rPr>
        <w:t>Each measure is independent of other measures in the same Phase. A measure's compliance is assessed separately. Failure of one measure does not automatically cause failure of other measures. However, failure of a critical mass of measures (50% or more) in a Phase triggers a Phase-level review.</w:t>
      </w:r>
    </w:p>
    <w:p>
      <w:pPr>
        <w:pStyle w:val="Normal"/>
        <w:spacing w:before="40" w:after="40"/>
        <w:ind w:firstLine="0"/>
      </w:pPr>
      <w:r>
        <w:rPr>
          <w:color w:val="546E7A"/>
          <w:sz w:val="24"/>
          <w:rFonts w:ascii="Calibri" w:hAnsi="Calibri" w:eastAsia="Microsoft YaHei" w:cs="Calibri"/>
          <w:szCs w:val="20"/>
          <w:b/>
        </w:rPr>
        <w:t xml:space="preserve">Early Implementation: </w:t>
      </w:r>
      <w:r>
        <w:rPr>
          <w:color w:val="263238"/>
          <w:sz w:val="20"/>
          <w:rFonts w:ascii="Calibri" w:hAnsi="Calibri" w:eastAsia="Microsoft YaHei" w:cs="Calibri"/>
          <w:szCs w:val="20"/>
        </w:rPr>
        <w:t>A Party implements a measure from a future Phase early, provided: the measure is verified as implemented; the Party notifies the JIC; the other Party is not required to reciprocate early; the early implementation is credited toward future Phase compliance. Early implementation is voluntary and does not create an obligation.</w:t>
      </w:r>
    </w:p>
    <w:p>
      <w:pPr>
        <w:pStyle w:val="Normal"/>
        <w:spacing w:before="40" w:after="40"/>
        <w:ind w:firstLine="0"/>
      </w:pPr>
      <w:r>
        <w:rPr>
          <w:color w:val="546E7A"/>
          <w:sz w:val="24"/>
          <w:rFonts w:ascii="Calibri" w:hAnsi="Calibri" w:eastAsia="Microsoft YaHei" w:cs="Calibri"/>
          <w:szCs w:val="20"/>
          <w:b/>
        </w:rPr>
        <w:t xml:space="preserve">Late Implementation: </w:t>
      </w:r>
      <w:r>
        <w:rPr>
          <w:color w:val="263238"/>
          <w:sz w:val="20"/>
          <w:rFonts w:ascii="Calibri" w:hAnsi="Calibri" w:eastAsia="Microsoft YaHei" w:cs="Calibri"/>
          <w:szCs w:val="20"/>
        </w:rPr>
        <w:t>If a Party delays implementation: a 48-hour grace period applies for Phase 1-2 measures; a 72-hour grace period applies for Phase 3-4 measures. If the measure is not implemented within the grace period, the Party triggers a Level 2 violation and the Phase is held until the measure is implemented.</w:t>
      </w:r>
    </w:p>
    <w:p>
      <w:pPr>
        <w:pStyle w:val="Normal"/>
        <w:spacing w:before="40" w:after="40"/>
        <w:ind w:firstLine="0"/>
      </w:pPr>
      <w:r>
        <w:rPr>
          <w:color w:val="546E7A"/>
          <w:sz w:val="24"/>
          <w:rFonts w:ascii="Calibri" w:hAnsi="Calibri" w:eastAsia="Microsoft YaHei" w:cs="Calibri"/>
          <w:szCs w:val="20"/>
          <w:b/>
        </w:rPr>
        <w:t xml:space="preserve">Phase Interaction: </w:t>
      </w:r>
      <w:r>
        <w:rPr>
          <w:color w:val="263238"/>
          <w:sz w:val="20"/>
          <w:rFonts w:ascii="Calibri" w:hAnsi="Calibri" w:eastAsia="Microsoft YaHei" w:cs="Calibri"/>
          <w:szCs w:val="20"/>
        </w:rPr>
        <w:t>Measures in Phase 2 build upon measures in Phase 1. If a Phase 1 measure fails after Phase 2 has begun: the Phase 2 measure suspends pending restoration of Phase 1 compliance; the Phase reverts to Phase 1 status; the JIC convenes a technical consultation within 7 days. If a Phase 2 measure fails but Phase 1 remains compliant: the Phase 2 measure is addressed separately; Phase 1 measures continue; the JIC issues a Notice of Concern for the Phase 2 measure.</w:t>
      </w:r>
    </w:p>
    <w:p>
      <w:pPr>
        <w:pStyle w:val="Normal"/>
        <w:spacing w:before="40" w:after="40"/>
        <w:ind w:firstLine="0"/>
      </w:pPr>
      <w:r>
        <w:rPr>
          <w:color w:val="546E7A"/>
          <w:sz w:val="24"/>
          <w:rFonts w:ascii="Calibri" w:hAnsi="Calibri" w:eastAsia="Microsoft YaHei" w:cs="Calibri"/>
          <w:szCs w:val="20"/>
          <w:b/>
        </w:rPr>
        <w:t xml:space="preserve">Cross-Phase Verification: </w:t>
      </w:r>
      <w:r>
        <w:rPr>
          <w:color w:val="263238"/>
          <w:sz w:val="20"/>
          <w:rFonts w:ascii="Calibri" w:hAnsi="Calibri" w:eastAsia="Microsoft YaHei" w:cs="Calibri"/>
          <w:szCs w:val="20"/>
        </w:rPr>
        <w:t>The TWG verifies all measures across all Phases and produces a consolidated compliance report quarterly. The report identifies patterns of compliance or non-compliance and is submitted to the JIC and published in the Compliance Dashboard.</w:t>
      </w:r>
    </w:p>
    <w:p>
      <w:pPr>
        <w:pStyle w:val="Normal"/>
        <w:pageBreakBefore/>
      </w:pPr>
    </w:p>
    <w:p>
      <w:pPr>
        <w:pStyle w:val="Heading1"/>
      </w:pPr>
      <w:bookmarkStart w:name="_Toc003" w:id="4"/>
      <w:r>
        <w:rPr>
          <w:rFonts w:ascii="Calibri" w:hAnsi="Calibri" w:eastAsia="Microsoft YaHei" w:cs="Calibri"/>
          <w:b/>
          <w:color w:val="37474F"/>
          <w:sz w:val="40"/>
          <w:szCs w:val="40"/>
        </w:rPr>
        <w:t>SECTION 3: REVERSIBILITY MECHANISM</w:t>
      </w:r>
      <w:bookmarkEnd w:id="4"/>
    </w:p>
    <w:p>
      <w:pPr>
        <w:pStyle w:val="Normal"/>
      </w:pPr>
      <w:r>
        <w:rPr>
          <w:rFonts w:ascii="Calibri" w:hAnsi="Calibri" w:eastAsia="Microsoft YaHei" w:cs="Calibri"/>
          <w:color w:val="263238"/>
          <w:sz w:val="22"/>
          <w:szCs w:val="22"/>
        </w:rPr>
        <w:t>This Section establishes the procedures through which either Party suspends its obligations under any Phase. The framework architecture treats reversibility as a structural feature that protects both Parties, not as a loophole that undermines trust.</w:t>
      </w:r>
    </w:p>
    <w:p>
      <w:pPr>
        <w:pStyle w:val="Heading2"/>
      </w:pPr>
      <w:r>
        <w:rPr>
          <w:rFonts w:ascii="Calibri" w:hAnsi="Calibri" w:eastAsia="Microsoft YaHei" w:cs="Calibri"/>
          <w:b/>
          <w:color w:val="263238"/>
          <w:sz w:val="28"/>
          <w:szCs w:val="28"/>
        </w:rPr>
        <w:t>3.1 The Break-Glass Clause</w:t>
      </w:r>
    </w:p>
    <w:p>
      <w:pPr>
        <w:pStyle w:val="Heading3"/>
      </w:pPr>
      <w:r>
        <w:rPr>
          <w:rFonts w:ascii="Calibri" w:hAnsi="Calibri" w:eastAsia="Microsoft YaHei" w:cs="Calibri"/>
          <w:b/>
          <w:color w:val="546E7A"/>
          <w:sz w:val="24"/>
          <w:szCs w:val="24"/>
        </w:rPr>
        <w:t>3.1.1 Right to Reverse</w:t>
      </w:r>
    </w:p>
    <w:p>
      <w:pPr>
        <w:pStyle w:val="Normal"/>
      </w:pPr>
      <w:r>
        <w:rPr>
          <w:rFonts w:ascii="Calibri" w:hAnsi="Calibri" w:eastAsia="Microsoft YaHei" w:cs="Calibri"/>
          <w:color w:val="263238"/>
          <w:sz w:val="22"/>
          <w:szCs w:val="22"/>
        </w:rPr>
        <w:t>Notwithstanding any other provision of this Annex, either Party suspends its obligations under any Phase by providing the following to the JIC:</w:t>
      </w:r>
    </w:p>
    <w:p>
      <w:pPr>
        <w:pStyle w:val="Normal"/>
        <w:spacing w:after="80"/>
        <w:ind w:left="1080" w:hanging="360"/>
      </w:pPr>
      <w:r>
        <w:rPr>
          <w:rFonts w:ascii="Calibri" w:hAnsi="Calibri" w:eastAsia="Microsoft YaHei" w:cs="Calibri"/>
          <w:color w:val="263238"/>
          <w:sz w:val="22"/>
          <w:szCs w:val="22"/>
        </w:rPr>
        <w:t>(a) Written notice to the JIC specifying the measure being suspended and the Phase to which it belongs;</w:t>
      </w:r>
    </w:p>
    <w:p>
      <w:pPr>
        <w:pStyle w:val="Normal"/>
        <w:spacing w:after="80"/>
        <w:ind w:left="1080" w:hanging="360"/>
      </w:pPr>
      <w:r>
        <w:rPr>
          <w:rFonts w:ascii="Calibri" w:hAnsi="Calibri" w:eastAsia="Microsoft YaHei" w:cs="Calibri"/>
          <w:color w:val="263238"/>
          <w:sz w:val="22"/>
          <w:szCs w:val="22"/>
        </w:rPr>
        <w:t>(b) A detailed justification for the suspension, citing the specific breach or threat that triggered the decision;</w:t>
      </w:r>
    </w:p>
    <w:p>
      <w:pPr>
        <w:pStyle w:val="Normal"/>
        <w:spacing w:after="80"/>
        <w:ind w:left="1080" w:hanging="360"/>
      </w:pPr>
      <w:r>
        <w:rPr>
          <w:rFonts w:ascii="Calibri" w:hAnsi="Calibri" w:eastAsia="Microsoft YaHei" w:cs="Calibri"/>
          <w:color w:val="263238"/>
          <w:sz w:val="22"/>
          <w:szCs w:val="22"/>
        </w:rPr>
        <w:t>(c) A proposed timeline for resumption, including the conditions under which the suspending Party reinstates its obligations.</w:t>
      </w:r>
    </w:p>
    <w:p>
      <w:pPr>
        <w:pStyle w:val="Heading3"/>
      </w:pPr>
      <w:r>
        <w:rPr>
          <w:rFonts w:ascii="Calibri" w:hAnsi="Calibri" w:eastAsia="Microsoft YaHei" w:cs="Calibri"/>
          <w:b/>
          <w:color w:val="546E7A"/>
          <w:sz w:val="24"/>
          <w:szCs w:val="24"/>
        </w:rPr>
        <w:t>3.1.2 Notification Timeline</w:t>
      </w:r>
    </w:p>
    <w:p>
      <w:pPr>
        <w:pStyle w:val="Normal"/>
        <w:spacing w:after="120"/>
        <w:ind w:left="720" w:hanging="360"/>
      </w:pPr>
      <w:r>
        <w:rPr>
          <w:b/>
          <w:rFonts w:ascii="Calibri" w:hAnsi="Calibri" w:eastAsia="Microsoft YaHei" w:cs="Calibri"/>
          <w:color w:val="263238"/>
          <w:sz w:val="22"/>
          <w:szCs w:val="22"/>
        </w:rPr>
        <w:t xml:space="preserve">1. Phase 1-2 Measures: </w:t>
      </w:r>
      <w:r>
        <w:rPr>
          <w:rFonts w:ascii="Calibri" w:hAnsi="Calibri" w:eastAsia="Microsoft YaHei" w:cs="Calibri"/>
          <w:color w:val="263238"/>
          <w:sz w:val="22"/>
          <w:szCs w:val="22"/>
        </w:rPr>
        <w:t>24 hours written notice to the JIC precedes suspension. The JIC acknowledges receipt within 6 hours and convenes an emergency session within 72 hours.</w:t>
      </w:r>
    </w:p>
    <w:p>
      <w:pPr>
        <w:pStyle w:val="Normal"/>
        <w:spacing w:after="120"/>
        <w:ind w:left="720" w:hanging="360"/>
      </w:pPr>
      <w:r>
        <w:rPr>
          <w:b/>
          <w:rFonts w:ascii="Calibri" w:hAnsi="Calibri" w:eastAsia="Microsoft YaHei" w:cs="Calibri"/>
          <w:color w:val="263238"/>
          <w:sz w:val="22"/>
          <w:szCs w:val="22"/>
        </w:rPr>
        <w:t xml:space="preserve">2. Phase 3-4 Measures: </w:t>
      </w:r>
      <w:r>
        <w:rPr>
          <w:rFonts w:ascii="Calibri" w:hAnsi="Calibri" w:eastAsia="Microsoft YaHei" w:cs="Calibri"/>
          <w:color w:val="263238"/>
          <w:sz w:val="22"/>
          <w:szCs w:val="22"/>
        </w:rPr>
        <w:t>48 hours written notice to the JIC precedes suspension. The JIC acknowledges receipt within 6 hours and convenes an emergency session within 72 hours.</w:t>
      </w:r>
    </w:p>
    <w:p>
      <w:pPr>
        <w:pStyle w:val="Heading3"/>
      </w:pPr>
      <w:r>
        <w:rPr>
          <w:rFonts w:ascii="Calibri" w:hAnsi="Calibri" w:eastAsia="Microsoft YaHei" w:cs="Calibri"/>
          <w:b/>
          <w:color w:val="546E7A"/>
          <w:sz w:val="24"/>
          <w:szCs w:val="24"/>
        </w:rPr>
        <w:t>3.1.3 Reversal Consequences</w:t>
      </w:r>
    </w:p>
    <w:p>
      <w:pPr>
        <w:pStyle w:val="Normal"/>
      </w:pPr>
      <w:r>
        <w:rPr>
          <w:rFonts w:ascii="Calibri" w:hAnsi="Calibri" w:eastAsia="Microsoft YaHei" w:cs="Calibri"/>
          <w:color w:val="263238"/>
          <w:sz w:val="22"/>
          <w:szCs w:val="22"/>
        </w:rPr>
        <w:t>Upon receipt of a notice of reversal, the JIC performs the following actions:</w:t>
      </w:r>
    </w:p>
    <w:p>
      <w:pPr>
        <w:pStyle w:val="Normal"/>
        <w:spacing w:after="120"/>
        <w:ind w:left="720" w:hanging="360"/>
      </w:pPr>
      <w:r>
        <w:rPr>
          <w:b/>
          <w:rFonts w:ascii="Calibri" w:hAnsi="Calibri" w:eastAsia="Microsoft YaHei" w:cs="Calibri"/>
          <w:color w:val="263238"/>
          <w:sz w:val="22"/>
          <w:szCs w:val="22"/>
        </w:rPr>
        <w:t xml:space="preserve">1. Acknowledgment: </w:t>
      </w:r>
      <w:r>
        <w:rPr>
          <w:rFonts w:ascii="Calibri" w:hAnsi="Calibri" w:eastAsia="Microsoft YaHei" w:cs="Calibri"/>
          <w:color w:val="263238"/>
          <w:sz w:val="22"/>
          <w:szCs w:val="22"/>
        </w:rPr>
        <w:t>The JIC acknowledges receipt within 6 hours and transmits the notice to the other Party within 12 hours.</w:t>
      </w:r>
    </w:p>
    <w:p>
      <w:pPr>
        <w:pStyle w:val="Normal"/>
        <w:spacing w:after="120"/>
        <w:ind w:left="720" w:hanging="360"/>
      </w:pPr>
      <w:r>
        <w:rPr>
          <w:b/>
          <w:rFonts w:ascii="Calibri" w:hAnsi="Calibri" w:eastAsia="Microsoft YaHei" w:cs="Calibri"/>
          <w:color w:val="263238"/>
          <w:sz w:val="22"/>
          <w:szCs w:val="22"/>
        </w:rPr>
        <w:t xml:space="preserve">2. Emergency Session: </w:t>
      </w:r>
      <w:r>
        <w:rPr>
          <w:rFonts w:ascii="Calibri" w:hAnsi="Calibri" w:eastAsia="Microsoft YaHei" w:cs="Calibri"/>
          <w:color w:val="263238"/>
          <w:sz w:val="22"/>
          <w:szCs w:val="22"/>
        </w:rPr>
        <w:t>The JIC convenes an emergency session within 72 hours to review the suspension and classify the underlying breach.</w:t>
      </w:r>
    </w:p>
    <w:p>
      <w:pPr>
        <w:pStyle w:val="Normal"/>
        <w:spacing w:after="120"/>
        <w:ind w:left="720" w:hanging="360"/>
      </w:pPr>
      <w:r>
        <w:rPr>
          <w:b/>
          <w:rFonts w:ascii="Calibri" w:hAnsi="Calibri" w:eastAsia="Microsoft YaHei" w:cs="Calibri"/>
          <w:color w:val="263238"/>
          <w:sz w:val="22"/>
          <w:szCs w:val="22"/>
        </w:rPr>
        <w:t xml:space="preserve">3. Violation Classification: </w:t>
      </w:r>
      <w:r>
        <w:rPr>
          <w:rFonts w:ascii="Calibri" w:hAnsi="Calibri" w:eastAsia="Microsoft YaHei" w:cs="Calibri"/>
          <w:color w:val="263238"/>
          <w:sz w:val="22"/>
          <w:szCs w:val="22"/>
        </w:rPr>
        <w:t>The JIC classifies the reversal as a Level 2, 3, or 4 violation under HSU Article 8, based on the severity of the underlying breach.</w:t>
      </w:r>
    </w:p>
    <w:p>
      <w:pPr>
        <w:pStyle w:val="Normal"/>
        <w:spacing w:after="120"/>
        <w:ind w:left="720" w:hanging="360"/>
      </w:pPr>
      <w:r>
        <w:rPr>
          <w:b/>
          <w:rFonts w:ascii="Calibri" w:hAnsi="Calibri" w:eastAsia="Microsoft YaHei" w:cs="Calibri"/>
          <w:color w:val="263238"/>
          <w:sz w:val="22"/>
          <w:szCs w:val="22"/>
        </w:rPr>
        <w:t xml:space="preserve">4. Reciprocal Suspension: </w:t>
      </w:r>
      <w:r>
        <w:rPr>
          <w:rFonts w:ascii="Calibri" w:hAnsi="Calibri" w:eastAsia="Microsoft YaHei" w:cs="Calibri"/>
          <w:color w:val="263238"/>
          <w:sz w:val="22"/>
          <w:szCs w:val="22"/>
        </w:rPr>
        <w:t>The reversing Party waives the corresponding obligations of the other Party. The other Party bears no penalty for suspending its matched measure in response.</w:t>
      </w:r>
    </w:p>
    <w:p>
      <w:pPr>
        <w:pStyle w:val="Normal"/>
        <w:spacing w:after="120"/>
        <w:ind w:left="720" w:hanging="360"/>
      </w:pPr>
      <w:r>
        <w:rPr>
          <w:b/>
          <w:rFonts w:ascii="Calibri" w:hAnsi="Calibri" w:eastAsia="Microsoft YaHei" w:cs="Calibri"/>
          <w:color w:val="263238"/>
          <w:sz w:val="22"/>
          <w:szCs w:val="22"/>
        </w:rPr>
        <w:t xml:space="preserve">5. Reversing Party Protection: </w:t>
      </w:r>
      <w:r>
        <w:rPr>
          <w:rFonts w:ascii="Calibri" w:hAnsi="Calibri" w:eastAsia="Microsoft YaHei" w:cs="Calibri"/>
          <w:color w:val="263238"/>
          <w:sz w:val="22"/>
          <w:szCs w:val="22"/>
        </w:rPr>
        <w:t>The reversing Party bears no penalty for the suspension itself. The suspension is treated as a good faith exercise of the reversal mechanism. The underlying breach is addressed through the escalation ladder, not through penalty for the suspension.</w:t>
      </w:r>
    </w:p>
    <w:p>
      <w:pPr>
        <w:pStyle w:val="Normal"/>
        <w:spacing w:after="120"/>
        <w:ind w:left="720" w:hanging="360"/>
      </w:pPr>
      <w:r>
        <w:rPr>
          <w:b/>
          <w:rFonts w:ascii="Calibri" w:hAnsi="Calibri" w:eastAsia="Microsoft YaHei" w:cs="Calibri"/>
          <w:color w:val="263238"/>
          <w:sz w:val="22"/>
          <w:szCs w:val="22"/>
        </w:rPr>
        <w:t xml:space="preserve">6. Good Faith Presumption: </w:t>
      </w:r>
      <w:r>
        <w:rPr>
          <w:rFonts w:ascii="Calibri" w:hAnsi="Calibri" w:eastAsia="Microsoft YaHei" w:cs="Calibri"/>
          <w:color w:val="263238"/>
          <w:sz w:val="22"/>
          <w:szCs w:val="22"/>
        </w:rPr>
        <w:t>The Good Faith Presumption under Section 1.2.6 applies to all Break-Glass reversals.</w:t>
      </w:r>
    </w:p>
    <w:p>
      <w:pPr>
        <w:pStyle w:val="Normal"/>
        <w:spacing w:after="120"/>
        <w:ind w:left="720" w:hanging="360"/>
      </w:pPr>
      <w:r>
        <w:rPr>
          <w:b/>
          <w:rFonts w:ascii="Calibri" w:hAnsi="Calibri" w:eastAsia="Microsoft YaHei" w:cs="Calibri"/>
          <w:color w:val="263238"/>
          <w:sz w:val="22"/>
          <w:szCs w:val="22"/>
        </w:rPr>
        <w:t xml:space="preserve">7. Financial Review: </w:t>
      </w:r>
      <w:r>
        <w:rPr>
          <w:rFonts w:ascii="Calibri" w:hAnsi="Calibri" w:eastAsia="Microsoft YaHei" w:cs="Calibri"/>
          <w:color w:val="263238"/>
          <w:sz w:val="22"/>
          <w:szCs w:val="22"/>
        </w:rPr>
        <w:t>The reversal triggers a review of all disbursements under Annex 1AC (Transit Facilitation &amp; Service Fees). The Swiss facilitator holds pending disbursements until the JIC issues a determination.</w:t>
      </w:r>
    </w:p>
    <w:p>
      <w:pPr>
        <w:pStyle w:val="Heading3"/>
      </w:pPr>
      <w:r>
        <w:rPr>
          <w:rFonts w:ascii="Calibri" w:hAnsi="Calibri" w:eastAsia="Microsoft YaHei" w:cs="Calibri"/>
          <w:b/>
          <w:color w:val="546E7A"/>
          <w:sz w:val="24"/>
          <w:szCs w:val="24"/>
        </w:rPr>
        <w:t>3.1.4 Reversibility Restoration Protocol</w:t>
      </w:r>
    </w:p>
    <w:p>
      <w:pPr>
        <w:pStyle w:val="Normal"/>
        <w:spacing w:after="120"/>
        <w:ind w:left="720" w:hanging="360"/>
      </w:pPr>
      <w:r>
        <w:rPr>
          <w:b/>
          <w:rFonts w:ascii="Calibri" w:hAnsi="Calibri" w:eastAsia="Microsoft YaHei" w:cs="Calibri"/>
          <w:color w:val="263238"/>
          <w:sz w:val="20"/>
          <w:szCs w:val="22"/>
        </w:rPr>
        <w:t xml:space="preserve">Restoration Trigger: </w:t>
      </w:r>
      <w:r>
        <w:rPr>
          <w:rFonts w:ascii="Calibri" w:hAnsi="Calibri" w:eastAsia="Microsoft YaHei" w:cs="Calibri"/>
          <w:color w:val="263238"/>
          <w:sz w:val="20"/>
          <w:szCs w:val="22"/>
        </w:rPr>
        <w:t>A reversed measure restores when the JIC certifies that the triggering breach is remediated. Remediation means: the breach has been corrected (the Party is again in compliance); the breach has been resolved (the dispute has been settled); or the breach has been excused (force majeure or operational necessity).</w:t>
      </w:r>
    </w:p>
    <w:p>
      <w:pPr>
        <w:pStyle w:val="Normal"/>
        <w:spacing w:after="120"/>
        <w:ind w:left="720" w:hanging="360"/>
      </w:pPr>
      <w:r>
        <w:rPr>
          <w:b/>
          <w:rFonts w:ascii="Calibri" w:hAnsi="Calibri" w:eastAsia="Microsoft YaHei" w:cs="Calibri"/>
          <w:color w:val="263238"/>
          <w:sz w:val="20"/>
          <w:szCs w:val="22"/>
        </w:rPr>
        <w:t xml:space="preserve">Restoration Verification: </w:t>
      </w:r>
      <w:r>
        <w:rPr>
          <w:rFonts w:ascii="Calibri" w:hAnsi="Calibri" w:eastAsia="Microsoft YaHei" w:cs="Calibri"/>
          <w:color w:val="263238"/>
          <w:sz w:val="20"/>
          <w:szCs w:val="22"/>
        </w:rPr>
        <w:t>The JIC verifies remediation using the same verification standard as the original measure. At least two independent monitoring sources confirm remediation. Verification occurs within 72 hours of the Party's claim. If verification is delayed beyond 72 hours, the Party is granted a provisional restoration.</w:t>
      </w:r>
    </w:p>
    <w:p>
      <w:pPr>
        <w:pStyle w:val="Normal"/>
        <w:spacing w:after="120"/>
        <w:ind w:left="720" w:hanging="360"/>
      </w:pPr>
      <w:r>
        <w:rPr>
          <w:b/>
          <w:rFonts w:ascii="Calibri" w:hAnsi="Calibri" w:eastAsia="Microsoft YaHei" w:cs="Calibri"/>
          <w:color w:val="263238"/>
          <w:sz w:val="20"/>
          <w:szCs w:val="22"/>
        </w:rPr>
        <w:t xml:space="preserve">Restoration Timeline: </w:t>
      </w:r>
      <w:r>
        <w:rPr>
          <w:rFonts w:ascii="Calibri" w:hAnsi="Calibri" w:eastAsia="Microsoft YaHei" w:cs="Calibri"/>
          <w:color w:val="263238"/>
          <w:sz w:val="20"/>
          <w:szCs w:val="22"/>
        </w:rPr>
        <w:t>Phase 1-2 measures restore within 24 hours of remediation certification (standard: 2 sources). Phase 3-4 measures restore within 48 hours of remediation certification (enhanced: 3 sources). Emergency restoration completes within 12 hours (expedited: 1 source plus JIC confirmation).</w:t>
      </w:r>
    </w:p>
    <w:p>
      <w:pPr>
        <w:pStyle w:val="Normal"/>
        <w:spacing w:after="120"/>
        <w:ind w:left="720" w:hanging="360"/>
      </w:pPr>
      <w:r>
        <w:rPr>
          <w:b/>
          <w:rFonts w:ascii="Calibri" w:hAnsi="Calibri" w:eastAsia="Microsoft YaHei" w:cs="Calibri"/>
          <w:color w:val="263238"/>
          <w:sz w:val="20"/>
          <w:szCs w:val="22"/>
        </w:rPr>
        <w:t xml:space="preserve">Provisional Restoration: </w:t>
      </w:r>
      <w:r>
        <w:rPr>
          <w:rFonts w:ascii="Calibri" w:hAnsi="Calibri" w:eastAsia="Microsoft YaHei" w:cs="Calibri"/>
          <w:color w:val="263238"/>
          <w:sz w:val="20"/>
          <w:szCs w:val="22"/>
        </w:rPr>
        <w:t>If verification is delayed beyond 72 hours, the Party requests provisional restoration with a written request to the JIC, evidence of substantial compliance (at least 90% of the measure's requirements met), and a commitment to complete remediation within 14 days. If granted, the reversed measure is restored, the JIC continues verification, and if full remediation is not achieved within 14 days, the measure is re-reversed triggering a Level 2 violation.</w:t>
      </w:r>
    </w:p>
    <w:p>
      <w:pPr>
        <w:pStyle w:val="Normal"/>
        <w:spacing w:after="120"/>
        <w:ind w:left="720" w:hanging="360"/>
      </w:pPr>
      <w:r>
        <w:rPr>
          <w:b/>
          <w:rFonts w:ascii="Calibri" w:hAnsi="Calibri" w:eastAsia="Microsoft YaHei" w:cs="Calibri"/>
          <w:color w:val="263238"/>
          <w:sz w:val="20"/>
          <w:szCs w:val="22"/>
        </w:rPr>
        <w:t xml:space="preserve">Restoration Certification: </w:t>
      </w:r>
      <w:r>
        <w:rPr>
          <w:rFonts w:ascii="Calibri" w:hAnsi="Calibri" w:eastAsia="Microsoft YaHei" w:cs="Calibri"/>
          <w:color w:val="263238"/>
          <w:sz w:val="20"/>
          <w:szCs w:val="22"/>
        </w:rPr>
        <w:t>The JIC issues a Restoration Certificate upon restoration including: the measure being restored; the Phase to which it belongs; the breach that was remediated; the verification sources confirming remediation; the restoration date and time. The Certificate is published in the Compliance Dashboard.</w:t>
      </w:r>
    </w:p>
    <w:p>
      <w:pPr>
        <w:pStyle w:val="Normal"/>
        <w:spacing w:after="120"/>
        <w:ind w:left="720" w:hanging="360"/>
      </w:pPr>
      <w:r>
        <w:rPr>
          <w:b/>
          <w:rFonts w:ascii="Calibri" w:hAnsi="Calibri" w:eastAsia="Microsoft YaHei" w:cs="Calibri"/>
          <w:color w:val="263238"/>
          <w:sz w:val="20"/>
          <w:szCs w:val="22"/>
        </w:rPr>
        <w:t xml:space="preserve">Good Faith Presumption: </w:t>
      </w:r>
      <w:r>
        <w:rPr>
          <w:rFonts w:ascii="Calibri" w:hAnsi="Calibri" w:eastAsia="Microsoft YaHei" w:cs="Calibri"/>
          <w:color w:val="263238"/>
          <w:sz w:val="20"/>
          <w:szCs w:val="22"/>
        </w:rPr>
        <w:t>The JIC presumes that a Party seeking restoration is acting in good faith. If the JIC determines that the Party misrepresented remediation, the Party triggers a Level 3 violation. The Party bears the burden of demonstrating good faith if challenged.</w:t>
      </w:r>
    </w:p>
    <w:p>
      <w:pPr>
        <w:pStyle w:val="Heading2"/>
      </w:pPr>
      <w:r>
        <w:rPr>
          <w:rFonts w:ascii="Calibri" w:hAnsi="Calibri" w:eastAsia="Microsoft YaHei" w:cs="Calibri"/>
          <w:b/>
          <w:color w:val="263238"/>
          <w:sz w:val="28"/>
          <w:szCs w:val="28"/>
        </w:rPr>
        <w:t>3.2 Emergency Suspension</w:t>
      </w:r>
    </w:p>
    <w:p>
      <w:pPr>
        <w:pStyle w:val="Heading3"/>
      </w:pPr>
      <w:r>
        <w:rPr>
          <w:rFonts w:ascii="Calibri" w:hAnsi="Calibri" w:eastAsia="Microsoft YaHei" w:cs="Calibri"/>
          <w:b/>
          <w:color w:val="546E7A"/>
          <w:sz w:val="24"/>
          <w:szCs w:val="24"/>
        </w:rPr>
        <w:t>3.2.1 Definition</w:t>
      </w:r>
    </w:p>
    <w:p>
      <w:pPr>
        <w:pStyle w:val="Normal"/>
      </w:pPr>
      <w:r>
        <w:rPr>
          <w:rFonts w:ascii="Calibri" w:hAnsi="Calibri" w:eastAsia="Microsoft YaHei" w:cs="Calibri"/>
          <w:color w:val="263238"/>
          <w:sz w:val="22"/>
          <w:szCs w:val="22"/>
        </w:rPr>
        <w:t>An Emergency Suspension is invoked by either Party if any of the following conditions exists:</w:t>
      </w:r>
    </w:p>
    <w:p>
      <w:pPr>
        <w:pStyle w:val="Normal"/>
        <w:spacing w:after="120"/>
        <w:ind w:left="720" w:hanging="360"/>
      </w:pPr>
      <w:r>
        <w:rPr>
          <w:b/>
          <w:rFonts w:ascii="Calibri" w:hAnsi="Calibri" w:eastAsia="Microsoft YaHei" w:cs="Calibri"/>
          <w:color w:val="263238"/>
          <w:sz w:val="22"/>
          <w:szCs w:val="22"/>
        </w:rPr>
        <w:t xml:space="preserve">1. Imminent Threat: </w:t>
      </w:r>
      <w:r>
        <w:rPr>
          <w:rFonts w:ascii="Calibri" w:hAnsi="Calibri" w:eastAsia="Microsoft YaHei" w:cs="Calibri"/>
          <w:color w:val="263238"/>
          <w:sz w:val="22"/>
          <w:szCs w:val="22"/>
        </w:rPr>
        <w:t>A credible, imminent threat to national security emerges that requires immediate military response in or near the Strait.</w:t>
      </w:r>
    </w:p>
    <w:p>
      <w:pPr>
        <w:pStyle w:val="Normal"/>
        <w:spacing w:after="120"/>
        <w:ind w:left="720" w:hanging="360"/>
      </w:pPr>
      <w:r>
        <w:rPr>
          <w:b/>
          <w:rFonts w:ascii="Calibri" w:hAnsi="Calibri" w:eastAsia="Microsoft YaHei" w:cs="Calibri"/>
          <w:color w:val="263238"/>
          <w:sz w:val="22"/>
          <w:szCs w:val="22"/>
        </w:rPr>
        <w:t xml:space="preserve">2. Material Breach: </w:t>
      </w:r>
      <w:r>
        <w:rPr>
          <w:rFonts w:ascii="Calibri" w:hAnsi="Calibri" w:eastAsia="Microsoft YaHei" w:cs="Calibri"/>
          <w:color w:val="263238"/>
          <w:sz w:val="22"/>
          <w:szCs w:val="22"/>
        </w:rPr>
        <w:t>The other Party commits a material breach of the HSU, as defined in HSU Article 8.3, that endangers commercial vessel safety or regional stability.</w:t>
      </w:r>
    </w:p>
    <w:p>
      <w:pPr>
        <w:pStyle w:val="Normal"/>
        <w:spacing w:after="120"/>
        <w:ind w:left="720" w:hanging="360"/>
      </w:pPr>
      <w:r>
        <w:rPr>
          <w:b/>
          <w:rFonts w:ascii="Calibri" w:hAnsi="Calibri" w:eastAsia="Microsoft YaHei" w:cs="Calibri"/>
          <w:color w:val="263238"/>
          <w:sz w:val="22"/>
          <w:szCs w:val="22"/>
        </w:rPr>
        <w:t xml:space="preserve">3. Significant Military Incident: </w:t>
      </w:r>
      <w:r>
        <w:rPr>
          <w:rFonts w:ascii="Calibri" w:hAnsi="Calibri" w:eastAsia="Microsoft YaHei" w:cs="Calibri"/>
          <w:color w:val="263238"/>
          <w:sz w:val="22"/>
          <w:szCs w:val="22"/>
        </w:rPr>
        <w:t>A significant military incident occurs in the Strait involving forces of either Party or third parties that disrupts commercial transit.</w:t>
      </w:r>
    </w:p>
    <w:p>
      <w:pPr>
        <w:pStyle w:val="Heading3"/>
      </w:pPr>
      <w:r>
        <w:rPr>
          <w:rFonts w:ascii="Calibri" w:hAnsi="Calibri" w:eastAsia="Microsoft YaHei" w:cs="Calibri"/>
          <w:b/>
          <w:color w:val="546E7A"/>
          <w:sz w:val="24"/>
          <w:szCs w:val="24"/>
        </w:rPr>
        <w:t>3.2.2 Procedure</w:t>
      </w:r>
    </w:p>
    <w:p>
      <w:pPr>
        <w:pStyle w:val="Normal"/>
      </w:pPr>
      <w:r>
        <w:rPr>
          <w:rFonts w:ascii="Calibri" w:hAnsi="Calibri" w:eastAsia="Microsoft YaHei" w:cs="Calibri"/>
          <w:color w:val="263238"/>
          <w:sz w:val="22"/>
          <w:szCs w:val="22"/>
        </w:rPr>
        <w:t>Upon invocation of Emergency Suspension, the following sequence activates automatically:</w:t>
      </w:r>
    </w:p>
    <w:p>
      <w:pPr>
        <w:pStyle w:val="Normal"/>
        <w:spacing w:after="120"/>
        <w:ind w:left="720" w:hanging="360"/>
      </w:pPr>
      <w:r>
        <w:rPr>
          <w:b/>
          <w:rFonts w:ascii="Calibri" w:hAnsi="Calibri" w:eastAsia="Microsoft YaHei" w:cs="Calibri"/>
          <w:color w:val="263238"/>
          <w:sz w:val="22"/>
          <w:szCs w:val="22"/>
        </w:rPr>
        <w:t xml:space="preserve">1. Notification: </w:t>
      </w:r>
      <w:r>
        <w:rPr>
          <w:rFonts w:ascii="Calibri" w:hAnsi="Calibri" w:eastAsia="Microsoft YaHei" w:cs="Calibri"/>
          <w:color w:val="263238"/>
          <w:sz w:val="22"/>
          <w:szCs w:val="22"/>
        </w:rPr>
        <w:t>The invoking Party notifies the JIC and the JERC immediately through the dedicated emergency communications channel.</w:t>
      </w:r>
    </w:p>
    <w:p>
      <w:pPr>
        <w:pStyle w:val="Normal"/>
        <w:spacing w:after="120"/>
        <w:ind w:left="720" w:hanging="360"/>
      </w:pPr>
      <w:r>
        <w:rPr>
          <w:b/>
          <w:rFonts w:ascii="Calibri" w:hAnsi="Calibri" w:eastAsia="Microsoft YaHei" w:cs="Calibri"/>
          <w:color w:val="263238"/>
          <w:sz w:val="22"/>
          <w:szCs w:val="22"/>
        </w:rPr>
        <w:t xml:space="preserve">2. Automatic Suspension: </w:t>
      </w:r>
      <w:r>
        <w:rPr>
          <w:rFonts w:ascii="Calibri" w:hAnsi="Calibri" w:eastAsia="Microsoft YaHei" w:cs="Calibri"/>
          <w:color w:val="263238"/>
          <w:sz w:val="22"/>
          <w:szCs w:val="22"/>
        </w:rPr>
        <w:t>All Phase measures suspend for 15 days. Neither Party waits for JIC approval before suspending its own measures.</w:t>
      </w:r>
    </w:p>
    <w:p>
      <w:pPr>
        <w:pStyle w:val="Normal"/>
        <w:spacing w:after="120"/>
        <w:ind w:left="720" w:hanging="360"/>
      </w:pPr>
      <w:r>
        <w:rPr>
          <w:b/>
          <w:rFonts w:ascii="Calibri" w:hAnsi="Calibri" w:eastAsia="Microsoft YaHei" w:cs="Calibri"/>
          <w:color w:val="263238"/>
          <w:sz w:val="22"/>
          <w:szCs w:val="22"/>
        </w:rPr>
        <w:t xml:space="preserve">3. Emergency Session: </w:t>
      </w:r>
      <w:r>
        <w:rPr>
          <w:rFonts w:ascii="Calibri" w:hAnsi="Calibri" w:eastAsia="Microsoft YaHei" w:cs="Calibri"/>
          <w:color w:val="263238"/>
          <w:sz w:val="22"/>
          <w:szCs w:val="22"/>
        </w:rPr>
        <w:t>The JIC convenes an emergency session within 48 hours to review the suspension and determine its validity.</w:t>
      </w:r>
    </w:p>
    <w:p>
      <w:pPr>
        <w:pStyle w:val="Normal"/>
        <w:spacing w:after="120"/>
        <w:ind w:left="720" w:hanging="360"/>
      </w:pPr>
      <w:r>
        <w:rPr>
          <w:b/>
          <w:rFonts w:ascii="Calibri" w:hAnsi="Calibri" w:eastAsia="Microsoft YaHei" w:cs="Calibri"/>
          <w:color w:val="263238"/>
          <w:sz w:val="22"/>
          <w:szCs w:val="22"/>
        </w:rPr>
        <w:t xml:space="preserve">4. Determination: </w:t>
      </w:r>
      <w:r>
        <w:rPr>
          <w:rFonts w:ascii="Calibri" w:hAnsi="Calibri" w:eastAsia="Microsoft YaHei" w:cs="Calibri"/>
          <w:color w:val="263238"/>
          <w:sz w:val="22"/>
          <w:szCs w:val="22"/>
        </w:rPr>
        <w:t>At the emergency session, the JIC determines whether to lift, extend, or modify the suspension. The determination requires consensus of the voting members.</w:t>
      </w:r>
    </w:p>
    <w:p>
      <w:pPr>
        <w:pStyle w:val="Heading3"/>
      </w:pPr>
      <w:r>
        <w:rPr>
          <w:rFonts w:ascii="Calibri" w:hAnsi="Calibri" w:eastAsia="Microsoft YaHei" w:cs="Calibri"/>
          <w:b/>
          <w:color w:val="546E7A"/>
          <w:sz w:val="24"/>
          <w:szCs w:val="24"/>
        </w:rPr>
        <w:t>3.2.3 Prolonged Suspension</w:t>
      </w:r>
    </w:p>
    <w:p>
      <w:pPr>
        <w:pStyle w:val="Normal"/>
      </w:pPr>
      <w:r>
        <w:rPr>
          <w:rFonts w:ascii="Calibri" w:hAnsi="Calibri" w:eastAsia="Microsoft YaHei" w:cs="Calibri"/>
          <w:color w:val="263238"/>
          <w:sz w:val="20"/>
          <w:szCs w:val="22"/>
          <w:b/>
        </w:rPr>
        <w:t xml:space="preserve">Prolonged Suspension Escalation Protocol: </w:t>
      </w:r>
      <w:r>
        <w:rPr>
          <w:rFonts w:ascii="Calibri" w:hAnsi="Calibri" w:eastAsia="Microsoft YaHei" w:cs="Calibri"/>
          <w:color w:val="263238"/>
          <w:sz w:val="22"/>
          <w:szCs w:val="22"/>
        </w:rPr>
        <w:t>If an Emergency Suspension remains in effect beyond the initial 15 days, the following provisions activate:</w:t>
      </w:r>
    </w:p>
    <w:p>
      <w:pPr>
        <w:pStyle w:val="Normal"/>
        <w:spacing w:after="120"/>
        <w:ind w:left="720" w:hanging="360"/>
      </w:pPr>
      <w:r>
        <w:rPr>
          <w:b/>
          <w:rFonts w:ascii="Calibri" w:hAnsi="Calibri" w:eastAsia="Microsoft YaHei" w:cs="Calibri"/>
          <w:color w:val="263238"/>
          <w:sz w:val="22"/>
          <w:szCs w:val="22"/>
        </w:rPr>
        <w:t xml:space="preserve">1. First Extension (Days 16-30): </w:t>
      </w:r>
      <w:r>
        <w:rPr>
          <w:rFonts w:ascii="Calibri" w:hAnsi="Calibri" w:eastAsia="Microsoft YaHei" w:cs="Calibri"/>
          <w:color w:val="263238"/>
          <w:sz w:val="22"/>
          <w:szCs w:val="22"/>
        </w:rPr>
        <w:t>The JIC reaffirms the suspension by consensus every 15 days. The reaffirmation specifies the ongoing threat justifying the suspension. The reaffirmation is published in the Compliance Dashboard.</w:t>
      </w:r>
    </w:p>
    <w:p>
      <w:pPr>
        <w:pStyle w:val="Normal"/>
        <w:spacing w:after="120"/>
        <w:ind w:left="720" w:hanging="360"/>
      </w:pPr>
      <w:r>
        <w:rPr>
          <w:b/>
          <w:rFonts w:ascii="Calibri" w:hAnsi="Calibri" w:eastAsia="Microsoft YaHei" w:cs="Calibri"/>
          <w:color w:val="263238"/>
          <w:sz w:val="22"/>
          <w:szCs w:val="22"/>
        </w:rPr>
        <w:t xml:space="preserve">2. Second Extension (Days 31-45): </w:t>
      </w:r>
      <w:r>
        <w:rPr>
          <w:rFonts w:ascii="Calibri" w:hAnsi="Calibri" w:eastAsia="Microsoft YaHei" w:cs="Calibri"/>
          <w:color w:val="263238"/>
          <w:sz w:val="22"/>
          <w:szCs w:val="22"/>
        </w:rPr>
        <w:t>The JIC reaffirms the suspension by three-fourths majority (not consensus). The reaffirmation includes a detailed timeline for resolution. The matter is referred to the Technical Working Group for independent assessment.</w:t>
      </w:r>
    </w:p>
    <w:p>
      <w:pPr>
        <w:pStyle w:val="Normal"/>
        <w:spacing w:after="120"/>
        <w:ind w:left="720" w:hanging="360"/>
      </w:pPr>
      <w:r>
        <w:rPr>
          <w:b/>
          <w:rFonts w:ascii="Calibri" w:hAnsi="Calibri" w:eastAsia="Microsoft YaHei" w:cs="Calibri"/>
          <w:color w:val="263238"/>
          <w:sz w:val="22"/>
          <w:szCs w:val="22"/>
        </w:rPr>
        <w:t xml:space="preserve">3. Third Extension (Days 46-60): </w:t>
      </w:r>
      <w:r>
        <w:rPr>
          <w:rFonts w:ascii="Calibri" w:hAnsi="Calibri" w:eastAsia="Microsoft YaHei" w:cs="Calibri"/>
          <w:color w:val="263238"/>
          <w:sz w:val="22"/>
          <w:szCs w:val="22"/>
        </w:rPr>
        <w:t>The suspension lifts automatically unless: (i) the JIC reaffirms by unanimous vote; (ii) the matter is referred to binding arbitration under Section 7. The arbitration ruling is due within 30 days.</w:t>
      </w:r>
    </w:p>
    <w:p>
      <w:pPr>
        <w:pStyle w:val="Normal"/>
        <w:spacing w:after="120"/>
        <w:ind w:left="720" w:hanging="360"/>
      </w:pPr>
      <w:r>
        <w:rPr>
          <w:b/>
          <w:rFonts w:ascii="Calibri" w:hAnsi="Calibri" w:eastAsia="Microsoft YaHei" w:cs="Calibri"/>
          <w:color w:val="263238"/>
          <w:sz w:val="22"/>
          <w:szCs w:val="22"/>
        </w:rPr>
        <w:t xml:space="preserve">4. Abuse of Emergency Suspension: </w:t>
      </w:r>
      <w:r>
        <w:rPr>
          <w:rFonts w:ascii="Calibri" w:hAnsi="Calibri" w:eastAsia="Microsoft YaHei" w:cs="Calibri"/>
          <w:color w:val="263238"/>
          <w:sz w:val="22"/>
          <w:szCs w:val="22"/>
        </w:rPr>
        <w:t>If the JIC determines that an Emergency Suspension was invoked without justification, the invoking Party triggers a Level 3 (Serious) violation and is subject to: 60-day financial freeze under Annex 1AC; mandatory remedial action within 30 days; public Compliance Alert. The abuse determination requires three-fourths majority of the JIC.</w:t>
      </w:r>
    </w:p>
    <w:p>
      <w:pPr>
        <w:pStyle w:val="Normal"/>
      </w:pPr>
      <w:r>
        <w:rPr>
          <w:rFonts w:ascii="Calibri" w:hAnsi="Calibri" w:eastAsia="Microsoft YaHei" w:cs="Calibri"/>
          <w:color w:val="263238"/>
          <w:sz w:val="20"/>
          <w:szCs w:val="22"/>
          <w:b/>
        </w:rPr>
        <w:t xml:space="preserve">Quorum: </w:t>
      </w:r>
      <w:r>
        <w:rPr>
          <w:rFonts w:ascii="Calibri" w:hAnsi="Calibri" w:eastAsia="Microsoft YaHei" w:cs="Calibri"/>
          <w:color w:val="263238"/>
          <w:sz w:val="22"/>
          <w:szCs w:val="22"/>
        </w:rPr>
        <w:t>A JIC emergency session requires at least 4 of 5 voting members present. The Omani facilitator is always considered present. If a Party's representatives are absent, the Party waives its right to participate and the session proceeds with the present members.</w:t>
      </w:r>
    </w:p>
    <w:p>
      <w:pPr>
        <w:pStyle w:val="Normal"/>
        <w:spacing w:after="120"/>
        <w:ind w:left="720" w:hanging="360"/>
      </w:pPr>
      <w:r>
        <w:rPr>
          <w:b/>
          <w:rFonts w:ascii="Calibri" w:hAnsi="Calibri" w:eastAsia="Microsoft YaHei" w:cs="Calibri"/>
          <w:color w:val="263238"/>
          <w:sz w:val="22"/>
          <w:szCs w:val="22"/>
        </w:rPr>
        <w:t xml:space="preserve">Decision Rules: </w:t>
      </w:r>
      <w:r>
        <w:rPr>
          <w:rFonts w:ascii="Calibri" w:hAnsi="Calibri" w:eastAsia="Microsoft YaHei" w:cs="Calibri"/>
          <w:color w:val="263238"/>
          <w:sz w:val="22"/>
          <w:szCs w:val="22"/>
        </w:rPr>
        <w:t>Emergency session decisions require three-fourths majority of voting members present. If the Omani facilitator is the only member present, the facilitator issues a neutral technical assessment within 48 hours that is binding on the Parties pending a full JIC session.</w:t>
      </w:r>
    </w:p>
    <w:p>
      <w:pPr>
        <w:pStyle w:val="Normal"/>
        <w:spacing w:after="120"/>
        <w:ind w:left="720" w:hanging="360"/>
      </w:pPr>
      <w:r>
        <w:rPr>
          <w:b/>
          <w:rFonts w:ascii="Calibri" w:hAnsi="Calibri" w:eastAsia="Microsoft YaHei" w:cs="Calibri"/>
          <w:color w:val="263238"/>
          <w:sz w:val="22"/>
          <w:szCs w:val="22"/>
        </w:rPr>
        <w:t xml:space="preserve">Extended Session: </w:t>
      </w:r>
      <w:r>
        <w:rPr>
          <w:rFonts w:ascii="Calibri" w:hAnsi="Calibri" w:eastAsia="Microsoft YaHei" w:cs="Calibri"/>
          <w:color w:val="263238"/>
          <w:sz w:val="22"/>
          <w:szCs w:val="22"/>
        </w:rPr>
        <w:t>If the JIC cannot reach a decision within the specified timeline, the Omani facilitator issues a neutral technical assessment that is binding on the Parties until a JIC decision is reached. If the JIC cannot reach a decision within 60 days, the matter is referred to binding arbitration under Section 7.</w:t>
      </w:r>
    </w:p>
    <w:p>
      <w:pPr>
        <w:pStyle w:val="Normal"/>
        <w:spacing w:after="120"/>
        <w:ind w:left="720" w:hanging="360"/>
      </w:pPr>
      <w:r>
        <w:rPr>
          <w:b/>
          <w:rFonts w:ascii="Calibri" w:hAnsi="Calibri" w:eastAsia="Microsoft YaHei" w:cs="Calibri"/>
          <w:color w:val="263238"/>
          <w:sz w:val="22"/>
          <w:szCs w:val="22"/>
        </w:rPr>
        <w:t xml:space="preserve">Boycott Consequences: </w:t>
      </w:r>
      <w:r>
        <w:rPr>
          <w:rFonts w:ascii="Calibri" w:hAnsi="Calibri" w:eastAsia="Microsoft YaHei" w:cs="Calibri"/>
          <w:color w:val="263238"/>
          <w:sz w:val="22"/>
          <w:szCs w:val="22"/>
        </w:rPr>
        <w:t>If a Party boycotts an emergency session: the Party waives its right to participate; the JIC proceeds with the present members; the decision is binding on the boycotting Party; the boycotting Party triggers a Level 2 violation; the boycott is documented in the Compliance Dashboard.</w:t>
      </w:r>
    </w:p>
    <w:p>
      <w:pPr>
        <w:pStyle w:val="Normal"/>
        <w:pageBreakBefore/>
      </w:pPr>
    </w:p>
    <w:p>
      <w:pPr>
        <w:pStyle w:val="Heading1"/>
      </w:pPr>
      <w:bookmarkStart w:name="_Toc004" w:id="5"/>
      <w:r>
        <w:rPr>
          <w:rFonts w:ascii="Calibri" w:hAnsi="Calibri" w:eastAsia="Microsoft YaHei" w:cs="Calibri"/>
          <w:b/>
          <w:color w:val="37474F"/>
          <w:sz w:val="40"/>
          <w:szCs w:val="40"/>
        </w:rPr>
        <w:t>SECTION 4: COMPLIANCE DASHBOARD</w:t>
      </w:r>
      <w:bookmarkEnd w:id="5"/>
    </w:p>
    <w:p>
      <w:pPr>
        <w:pStyle w:val="Heading2"/>
      </w:pPr>
      <w:r>
        <w:rPr>
          <w:rFonts w:ascii="Calibri" w:hAnsi="Calibri" w:eastAsia="Microsoft YaHei" w:cs="Calibri"/>
          <w:b/>
          <w:color w:val="263238"/>
          <w:sz w:val="28"/>
          <w:szCs w:val="28"/>
        </w:rPr>
        <w:t>4.1 Dashboard Structure</w:t>
      </w:r>
    </w:p>
    <w:p>
      <w:pPr>
        <w:pStyle w:val="Normal"/>
      </w:pPr>
      <w:r>
        <w:rPr>
          <w:rFonts w:ascii="Calibri" w:hAnsi="Calibri" w:eastAsia="Microsoft YaHei" w:cs="Calibri"/>
          <w:color w:val="263238"/>
          <w:sz w:val="22"/>
          <w:szCs w:val="22"/>
        </w:rPr>
        <w:t>The JIC publishes a weekly Compliance Dashboard containing the following fields for every measure in every Phase:</w:t>
      </w:r>
    </w:p>
    <w:tbl>
      <w:tblPr>
        <w:tblW w:w="5000" w:type="pct"/>
        <w:tblBorders>
          <w:top w:val="single" w:color="37474F" w:sz="12"/>
          <w:left w:val="nil"/>
          <w:bottom w:val="single" w:color="37474F" w:sz="12"/>
          <w:right w:val="nil"/>
          <w:insideH w:val="single" w:color="CFD8DC" w:sz="4"/>
          <w:insideV w:val="nil"/>
        </w:tblBorders>
      </w:tblPr>
      <w:tblGrid>
        <w:gridCol w:w="700"/>
        <w:gridCol w:w="2000"/>
        <w:gridCol w:w="1500"/>
        <w:gridCol w:w="1500"/>
        <w:gridCol w:w="1500"/>
        <w:gridCol w:w="1800"/>
      </w:tblGrid>
      <w:tr>
        <w:trPr>
          <w:tblHeader w:val="1"/>
        </w:trPr>
        <w:tc>
          <w:tcPr>
            <w:tcW w:w="700" w:type="dxa"/>
            <w:tcBorders>
              <w:bottom w:val="single" w:color="37474F" w:sz="6" w:space="0"/>
            </w:tcBorders>
            <w:shd w:val="clear" w:fill="ECEFF1" w:color="auto"/>
          </w:tcPr>
          <w:p>
            <w:pPr>
              <w:pStyle w:val="Normal"/>
              <w:spacing w:before="60" w:after="60"/>
              <w:jc w:val="center"/>
            </w:pPr>
            <w:r>
              <w:rPr>
                <w:b/>
                <w:color w:val="263238"/>
                <w:sz w:val="20"/>
                <w:rFonts w:ascii="Calibri" w:hAnsi="Calibri" w:eastAsia="Microsoft YaHei" w:cs="Calibri"/>
                <w:szCs w:val="20"/>
              </w:rPr>
              <w:t>Phase</w:t>
            </w:r>
          </w:p>
        </w:tc>
        <w:tc>
          <w:tcPr>
            <w:tcW w:w="2000" w:type="dxa"/>
            <w:tcBorders>
              <w:bottom w:val="single" w:color="37474F" w:sz="6" w:space="0"/>
            </w:tcBorders>
            <w:shd w:val="clear" w:fill="ECEFF1" w:color="auto"/>
          </w:tcPr>
          <w:p>
            <w:pPr>
              <w:pStyle w:val="Normal"/>
              <w:spacing w:before="60" w:after="60"/>
              <w:jc w:val="center"/>
            </w:pPr>
            <w:r>
              <w:rPr>
                <w:b/>
                <w:color w:val="263238"/>
                <w:sz w:val="20"/>
                <w:rFonts w:ascii="Calibri" w:hAnsi="Calibri" w:eastAsia="Microsoft YaHei" w:cs="Calibri"/>
                <w:szCs w:val="20"/>
              </w:rPr>
              <w:t>Measure</w:t>
            </w:r>
          </w:p>
        </w:tc>
        <w:tc>
          <w:tcPr>
            <w:tcW w:w="1500" w:type="dxa"/>
            <w:tcBorders>
              <w:bottom w:val="single" w:color="37474F" w:sz="6" w:space="0"/>
            </w:tcBorders>
            <w:shd w:val="clear" w:fill="ECEFF1" w:color="auto"/>
          </w:tcPr>
          <w:p>
            <w:pPr>
              <w:pStyle w:val="Normal"/>
              <w:spacing w:before="60" w:after="60"/>
              <w:jc w:val="center"/>
            </w:pPr>
            <w:r>
              <w:rPr>
                <w:b/>
                <w:color w:val="263238"/>
                <w:sz w:val="20"/>
                <w:rFonts w:ascii="Calibri" w:hAnsi="Calibri" w:eastAsia="Microsoft YaHei" w:cs="Calibri"/>
                <w:szCs w:val="20"/>
              </w:rPr>
              <w:t>Iran Status</w:t>
            </w:r>
          </w:p>
        </w:tc>
        <w:tc>
          <w:tcPr>
            <w:tcW w:w="1500" w:type="dxa"/>
            <w:tcBorders>
              <w:bottom w:val="single" w:color="37474F" w:sz="6" w:space="0"/>
            </w:tcBorders>
            <w:shd w:val="clear" w:fill="ECEFF1" w:color="auto"/>
          </w:tcPr>
          <w:p>
            <w:pPr>
              <w:pStyle w:val="Normal"/>
              <w:spacing w:before="60" w:after="60"/>
              <w:jc w:val="center"/>
            </w:pPr>
            <w:r>
              <w:rPr>
                <w:b/>
                <w:color w:val="263238"/>
                <w:sz w:val="20"/>
                <w:rFonts w:ascii="Calibri" w:hAnsi="Calibri" w:eastAsia="Microsoft YaHei" w:cs="Calibri"/>
                <w:szCs w:val="20"/>
              </w:rPr>
              <w:t>U.S. Status</w:t>
            </w:r>
          </w:p>
        </w:tc>
        <w:tc>
          <w:tcPr>
            <w:tcW w:w="1500" w:type="dxa"/>
            <w:tcBorders>
              <w:bottom w:val="single" w:color="37474F" w:sz="6" w:space="0"/>
            </w:tcBorders>
            <w:shd w:val="clear" w:fill="ECEFF1" w:color="auto"/>
          </w:tcPr>
          <w:p>
            <w:pPr>
              <w:pStyle w:val="Normal"/>
              <w:spacing w:before="60" w:after="60"/>
              <w:jc w:val="center"/>
            </w:pPr>
            <w:r>
              <w:rPr>
                <w:b/>
                <w:color w:val="263238"/>
                <w:sz w:val="20"/>
                <w:rFonts w:ascii="Calibri" w:hAnsi="Calibri" w:eastAsia="Microsoft YaHei" w:cs="Calibri"/>
                <w:szCs w:val="20"/>
              </w:rPr>
              <w:t>Verifier</w:t>
            </w:r>
          </w:p>
        </w:tc>
        <w:tc>
          <w:tcPr>
            <w:tcW w:w="1800" w:type="dxa"/>
            <w:tcBorders>
              <w:bottom w:val="single" w:color="37474F" w:sz="6" w:space="0"/>
            </w:tcBorders>
            <w:shd w:val="clear" w:fill="ECEFF1" w:color="auto"/>
          </w:tcPr>
          <w:p>
            <w:pPr>
              <w:pStyle w:val="Normal"/>
              <w:spacing w:before="60" w:after="60"/>
              <w:jc w:val="center"/>
            </w:pPr>
            <w:r>
              <w:rPr>
                <w:b/>
                <w:color w:val="263238"/>
                <w:sz w:val="20"/>
                <w:rFonts w:ascii="Calibri" w:hAnsi="Calibri" w:eastAsia="Microsoft YaHei" w:cs="Calibri"/>
                <w:szCs w:val="20"/>
              </w:rPr>
              <w:t>Last Updated</w:t>
            </w:r>
          </w:p>
        </w:tc>
      </w:tr>
      <w:tr>
        <w:tc>
          <w:tcPr>
            <w:tcW w:w="700" w:type="dxa"/>
          </w:tcPr>
          <w:p>
            <w:pPr>
              <w:pStyle w:val="Normal"/>
              <w:spacing w:before="40" w:after="40"/>
              <w:ind w:firstLine="0"/>
            </w:pPr>
            <w:r>
              <w:rPr>
                <w:color w:val="263238"/>
                <w:sz w:val="20"/>
                <w:rFonts w:ascii="Calibri" w:hAnsi="Calibri" w:eastAsia="Microsoft YaHei" w:cs="Calibri"/>
                <w:szCs w:val="20"/>
              </w:rPr>
              <w:t>1</w:t>
            </w:r>
          </w:p>
        </w:tc>
        <w:tc>
          <w:tcPr>
            <w:tcW w:w="2000" w:type="dxa"/>
          </w:tcPr>
          <w:p>
            <w:pPr>
              <w:pStyle w:val="Normal"/>
              <w:spacing w:before="40" w:after="40"/>
              <w:ind w:firstLine="0"/>
            </w:pPr>
            <w:r>
              <w:rPr>
                <w:color w:val="263238"/>
                <w:sz w:val="20"/>
                <w:rFonts w:ascii="Calibri" w:hAnsi="Calibri" w:eastAsia="Microsoft YaHei" w:cs="Calibri"/>
                <w:szCs w:val="20"/>
              </w:rPr>
              <w:t>1A - Permit Suspension</w:t>
            </w:r>
          </w:p>
        </w:tc>
        <w:tc>
          <w:tcPr>
            <w:tcW w:w="1500" w:type="dxa"/>
          </w:tcPr>
          <w:p>
            <w:pPr>
              <w:pStyle w:val="Normal"/>
              <w:spacing w:before="40" w:after="40"/>
              <w:ind w:firstLine="0"/>
            </w:pPr>
            <w:r>
              <w:rPr>
                <w:color w:val="263238"/>
                <w:sz w:val="20"/>
                <w:rFonts w:ascii="Calibri" w:hAnsi="Calibri" w:eastAsia="Microsoft YaHei" w:cs="Calibri"/>
                <w:szCs w:val="20"/>
              </w:rPr>
              <w:t>Green</w:t>
            </w:r>
          </w:p>
        </w:tc>
        <w:tc>
          <w:tcPr>
            <w:tcW w:w="1500" w:type="dxa"/>
          </w:tcPr>
          <w:p>
            <w:pPr>
              <w:pStyle w:val="Normal"/>
              <w:spacing w:before="40" w:after="40"/>
              <w:ind w:firstLine="0"/>
            </w:pPr>
            <w:r>
              <w:rPr>
                <w:color w:val="263238"/>
                <w:sz w:val="20"/>
                <w:rFonts w:ascii="Calibri" w:hAnsi="Calibri" w:eastAsia="Microsoft YaHei" w:cs="Calibri"/>
                <w:szCs w:val="20"/>
              </w:rPr>
              <w:t>Green</w:t>
            </w:r>
          </w:p>
        </w:tc>
        <w:tc>
          <w:tcPr>
            <w:tcW w:w="1500" w:type="dxa"/>
          </w:tcPr>
          <w:p>
            <w:pPr>
              <w:pStyle w:val="Normal"/>
              <w:spacing w:before="40" w:after="40"/>
              <w:ind w:firstLine="0"/>
            </w:pPr>
            <w:r>
              <w:rPr>
                <w:color w:val="263238"/>
                <w:sz w:val="20"/>
                <w:rFonts w:ascii="Calibri" w:hAnsi="Calibri" w:eastAsia="Microsoft YaHei" w:cs="Calibri"/>
                <w:szCs w:val="20"/>
              </w:rPr>
              <w:t>VTS Logs</w:t>
            </w:r>
          </w:p>
        </w:tc>
        <w:tc>
          <w:tcPr>
            <w:tcW w:w="1800" w:type="dxa"/>
          </w:tcPr>
          <w:p>
            <w:pPr>
              <w:pStyle w:val="Normal"/>
              <w:spacing w:before="40" w:after="40"/>
              <w:ind w:firstLine="0"/>
            </w:pPr>
            <w:r>
              <w:rPr>
                <w:color w:val="263238"/>
                <w:sz w:val="20"/>
                <w:rFonts w:ascii="Calibri" w:hAnsi="Calibri" w:eastAsia="Microsoft YaHei" w:cs="Calibri"/>
                <w:szCs w:val="20"/>
              </w:rPr>
              <w:t>[Date]</w:t>
            </w:r>
          </w:p>
        </w:tc>
      </w:tr>
      <w:tr>
        <w:tc>
          <w:tcPr>
            <w:tcW w:w="700" w:type="dxa"/>
          </w:tcPr>
          <w:p>
            <w:pPr>
              <w:pStyle w:val="Normal"/>
              <w:spacing w:before="40" w:after="40"/>
              <w:ind w:firstLine="0"/>
            </w:pPr>
            <w:r>
              <w:rPr>
                <w:color w:val="263238"/>
                <w:sz w:val="20"/>
                <w:rFonts w:ascii="Calibri" w:hAnsi="Calibri" w:eastAsia="Microsoft YaHei" w:cs="Calibri"/>
                <w:szCs w:val="20"/>
              </w:rPr>
              <w:t>1</w:t>
            </w:r>
          </w:p>
        </w:tc>
        <w:tc>
          <w:tcPr>
            <w:tcW w:w="2000" w:type="dxa"/>
          </w:tcPr>
          <w:p>
            <w:pPr>
              <w:pStyle w:val="Normal"/>
              <w:spacing w:before="40" w:after="40"/>
              <w:ind w:firstLine="0"/>
            </w:pPr>
            <w:r>
              <w:rPr>
                <w:color w:val="263238"/>
                <w:sz w:val="20"/>
                <w:rFonts w:ascii="Calibri" w:hAnsi="Calibri" w:eastAsia="Microsoft YaHei" w:cs="Calibri"/>
                <w:szCs w:val="20"/>
              </w:rPr>
              <w:t>1B - Base Relocation</w:t>
            </w:r>
          </w:p>
        </w:tc>
        <w:tc>
          <w:tcPr>
            <w:tcW w:w="1500" w:type="dxa"/>
          </w:tcPr>
          <w:p>
            <w:pPr>
              <w:pStyle w:val="Normal"/>
              <w:spacing w:before="40" w:after="40"/>
              <w:ind w:firstLine="0"/>
            </w:pPr>
            <w:r>
              <w:rPr>
                <w:color w:val="263238"/>
                <w:sz w:val="20"/>
                <w:rFonts w:ascii="Calibri" w:hAnsi="Calibri" w:eastAsia="Microsoft YaHei" w:cs="Calibri"/>
                <w:szCs w:val="20"/>
              </w:rPr>
              <w:t>Green</w:t>
            </w:r>
          </w:p>
        </w:tc>
        <w:tc>
          <w:tcPr>
            <w:tcW w:w="1500" w:type="dxa"/>
          </w:tcPr>
          <w:p>
            <w:pPr>
              <w:pStyle w:val="Normal"/>
              <w:spacing w:before="40" w:after="40"/>
              <w:ind w:firstLine="0"/>
            </w:pPr>
            <w:r>
              <w:rPr>
                <w:color w:val="263238"/>
                <w:sz w:val="20"/>
                <w:rFonts w:ascii="Calibri" w:hAnsi="Calibri" w:eastAsia="Microsoft YaHei" w:cs="Calibri"/>
                <w:szCs w:val="20"/>
              </w:rPr>
              <w:t>Green</w:t>
            </w:r>
          </w:p>
        </w:tc>
        <w:tc>
          <w:tcPr>
            <w:tcW w:w="1500" w:type="dxa"/>
          </w:tcPr>
          <w:p>
            <w:pPr>
              <w:pStyle w:val="Normal"/>
              <w:spacing w:before="40" w:after="40"/>
              <w:ind w:firstLine="0"/>
            </w:pPr>
            <w:r>
              <w:rPr>
                <w:color w:val="263238"/>
                <w:sz w:val="20"/>
                <w:rFonts w:ascii="Calibri" w:hAnsi="Calibri" w:eastAsia="Microsoft YaHei" w:cs="Calibri"/>
                <w:szCs w:val="20"/>
              </w:rPr>
              <w:t>Satellite Imagery</w:t>
            </w:r>
          </w:p>
        </w:tc>
        <w:tc>
          <w:tcPr>
            <w:tcW w:w="1800" w:type="dxa"/>
          </w:tcPr>
          <w:p>
            <w:pPr>
              <w:pStyle w:val="Normal"/>
              <w:spacing w:before="40" w:after="40"/>
              <w:ind w:firstLine="0"/>
            </w:pPr>
            <w:r>
              <w:rPr>
                <w:color w:val="263238"/>
                <w:sz w:val="20"/>
                <w:rFonts w:ascii="Calibri" w:hAnsi="Calibri" w:eastAsia="Microsoft YaHei" w:cs="Calibri"/>
                <w:szCs w:val="20"/>
              </w:rPr>
              <w:t>[Date]</w:t>
            </w:r>
          </w:p>
        </w:tc>
      </w:tr>
      <w:tr>
        <w:tc>
          <w:tcPr>
            <w:tcW w:w="700" w:type="dxa"/>
          </w:tcPr>
          <w:p>
            <w:pPr>
              <w:pStyle w:val="Normal"/>
              <w:spacing w:before="40" w:after="40"/>
              <w:ind w:firstLine="0"/>
            </w:pPr>
            <w:r>
              <w:rPr>
                <w:color w:val="263238"/>
                <w:sz w:val="20"/>
                <w:rFonts w:ascii="Calibri" w:hAnsi="Calibri" w:eastAsia="Microsoft YaHei" w:cs="Calibri"/>
                <w:szCs w:val="20"/>
              </w:rPr>
              <w:t>1</w:t>
            </w:r>
          </w:p>
        </w:tc>
        <w:tc>
          <w:tcPr>
            <w:tcW w:w="2000" w:type="dxa"/>
          </w:tcPr>
          <w:p>
            <w:pPr>
              <w:pStyle w:val="Normal"/>
              <w:spacing w:before="40" w:after="40"/>
              <w:ind w:firstLine="0"/>
            </w:pPr>
            <w:r>
              <w:rPr>
                <w:color w:val="263238"/>
                <w:sz w:val="20"/>
                <w:rFonts w:ascii="Calibri" w:hAnsi="Calibri" w:eastAsia="Microsoft YaHei" w:cs="Calibri"/>
                <w:szCs w:val="20"/>
              </w:rPr>
              <w:t>1C - Public Statements</w:t>
            </w:r>
          </w:p>
        </w:tc>
        <w:tc>
          <w:tcPr>
            <w:tcW w:w="1500" w:type="dxa"/>
          </w:tcPr>
          <w:p>
            <w:pPr>
              <w:pStyle w:val="Normal"/>
              <w:spacing w:before="40" w:after="40"/>
              <w:ind w:firstLine="0"/>
            </w:pPr>
            <w:r>
              <w:rPr>
                <w:color w:val="263238"/>
                <w:sz w:val="20"/>
                <w:rFonts w:ascii="Calibri" w:hAnsi="Calibri" w:eastAsia="Microsoft YaHei" w:cs="Calibri"/>
                <w:szCs w:val="20"/>
              </w:rPr>
              <w:t>Green</w:t>
            </w:r>
          </w:p>
        </w:tc>
        <w:tc>
          <w:tcPr>
            <w:tcW w:w="1500" w:type="dxa"/>
          </w:tcPr>
          <w:p>
            <w:pPr>
              <w:pStyle w:val="Normal"/>
              <w:spacing w:before="40" w:after="40"/>
              <w:ind w:firstLine="0"/>
            </w:pPr>
            <w:r>
              <w:rPr>
                <w:color w:val="263238"/>
                <w:sz w:val="20"/>
                <w:rFonts w:ascii="Calibri" w:hAnsi="Calibri" w:eastAsia="Microsoft YaHei" w:cs="Calibri"/>
                <w:szCs w:val="20"/>
              </w:rPr>
              <w:t>Green</w:t>
            </w:r>
          </w:p>
        </w:tc>
        <w:tc>
          <w:tcPr>
            <w:tcW w:w="1500" w:type="dxa"/>
          </w:tcPr>
          <w:p>
            <w:pPr>
              <w:pStyle w:val="Normal"/>
              <w:spacing w:before="40" w:after="40"/>
              <w:ind w:firstLine="0"/>
            </w:pPr>
            <w:r>
              <w:rPr>
                <w:color w:val="263238"/>
                <w:sz w:val="20"/>
                <w:rFonts w:ascii="Calibri" w:hAnsi="Calibri" w:eastAsia="Microsoft YaHei" w:cs="Calibri"/>
                <w:szCs w:val="20"/>
              </w:rPr>
              <w:t>Media Monitoring</w:t>
            </w:r>
          </w:p>
        </w:tc>
        <w:tc>
          <w:tcPr>
            <w:tcW w:w="1800" w:type="dxa"/>
          </w:tcPr>
          <w:p>
            <w:pPr>
              <w:pStyle w:val="Normal"/>
              <w:spacing w:before="40" w:after="40"/>
              <w:ind w:firstLine="0"/>
            </w:pPr>
            <w:r>
              <w:rPr>
                <w:color w:val="263238"/>
                <w:sz w:val="20"/>
                <w:rFonts w:ascii="Calibri" w:hAnsi="Calibri" w:eastAsia="Microsoft YaHei" w:cs="Calibri"/>
                <w:szCs w:val="20"/>
              </w:rPr>
              <w:t>[Date]</w:t>
            </w:r>
          </w:p>
        </w:tc>
      </w:tr>
      <w:tr>
        <w:tc>
          <w:tcPr>
            <w:tcW w:w="700" w:type="dxa"/>
          </w:tcPr>
          <w:p>
            <w:pPr>
              <w:pStyle w:val="Normal"/>
              <w:spacing w:before="40" w:after="40"/>
              <w:ind w:firstLine="0"/>
            </w:pPr>
            <w:r>
              <w:rPr>
                <w:color w:val="263238"/>
                <w:sz w:val="20"/>
                <w:rFonts w:ascii="Calibri" w:hAnsi="Calibri" w:eastAsia="Microsoft YaHei" w:cs="Calibri"/>
                <w:szCs w:val="20"/>
              </w:rPr>
              <w:t>2</w:t>
            </w:r>
          </w:p>
        </w:tc>
        <w:tc>
          <w:tcPr>
            <w:tcW w:w="2000" w:type="dxa"/>
          </w:tcPr>
          <w:p>
            <w:pPr>
              <w:pStyle w:val="Normal"/>
              <w:spacing w:before="40" w:after="40"/>
              <w:ind w:firstLine="0"/>
            </w:pPr>
            <w:r>
              <w:rPr>
                <w:color w:val="263238"/>
                <w:sz w:val="20"/>
                <w:rFonts w:ascii="Calibri" w:hAnsi="Calibri" w:eastAsia="Microsoft YaHei" w:cs="Calibri"/>
                <w:szCs w:val="20"/>
              </w:rPr>
              <w:t>2A - Patrol Reduction</w:t>
            </w:r>
          </w:p>
        </w:tc>
        <w:tc>
          <w:tcPr>
            <w:tcW w:w="1500" w:type="dxa"/>
          </w:tcPr>
          <w:p>
            <w:pPr>
              <w:pStyle w:val="Normal"/>
              <w:spacing w:before="40" w:after="40"/>
              <w:ind w:firstLine="0"/>
            </w:pPr>
            <w:r>
              <w:rPr>
                <w:color w:val="263238"/>
                <w:sz w:val="20"/>
                <w:rFonts w:ascii="Calibri" w:hAnsi="Calibri" w:eastAsia="Microsoft YaHei" w:cs="Calibri"/>
                <w:szCs w:val="20"/>
              </w:rPr>
              <w:t>Green</w:t>
            </w:r>
          </w:p>
        </w:tc>
        <w:tc>
          <w:tcPr>
            <w:tcW w:w="1500" w:type="dxa"/>
          </w:tcPr>
          <w:p>
            <w:pPr>
              <w:pStyle w:val="Normal"/>
              <w:spacing w:before="40" w:after="40"/>
              <w:ind w:firstLine="0"/>
            </w:pPr>
            <w:r>
              <w:rPr>
                <w:color w:val="263238"/>
                <w:sz w:val="20"/>
                <w:rFonts w:ascii="Calibri" w:hAnsi="Calibri" w:eastAsia="Microsoft YaHei" w:cs="Calibri"/>
                <w:szCs w:val="20"/>
              </w:rPr>
              <w:t>Green</w:t>
            </w:r>
          </w:p>
        </w:tc>
        <w:tc>
          <w:tcPr>
            <w:tcW w:w="1500" w:type="dxa"/>
          </w:tcPr>
          <w:p>
            <w:pPr>
              <w:pStyle w:val="Normal"/>
              <w:spacing w:before="40" w:after="40"/>
              <w:ind w:firstLine="0"/>
            </w:pPr>
            <w:r>
              <w:rPr>
                <w:color w:val="263238"/>
                <w:sz w:val="20"/>
                <w:rFonts w:ascii="Calibri" w:hAnsi="Calibri" w:eastAsia="Microsoft YaHei" w:cs="Calibri"/>
                <w:szCs w:val="20"/>
              </w:rPr>
              <w:t>VTS Logs</w:t>
            </w:r>
          </w:p>
        </w:tc>
        <w:tc>
          <w:tcPr>
            <w:tcW w:w="1800" w:type="dxa"/>
          </w:tcPr>
          <w:p>
            <w:pPr>
              <w:pStyle w:val="Normal"/>
              <w:spacing w:before="40" w:after="40"/>
              <w:ind w:firstLine="0"/>
            </w:pPr>
            <w:r>
              <w:rPr>
                <w:color w:val="263238"/>
                <w:sz w:val="20"/>
                <w:rFonts w:ascii="Calibri" w:hAnsi="Calibri" w:eastAsia="Microsoft YaHei" w:cs="Calibri"/>
                <w:szCs w:val="20"/>
              </w:rPr>
              <w:t>[Date]</w:t>
            </w:r>
          </w:p>
        </w:tc>
      </w:tr>
      <w:tr>
        <w:tc>
          <w:tcPr>
            <w:tcW w:w="700" w:type="dxa"/>
          </w:tcPr>
          <w:p>
            <w:pPr>
              <w:pStyle w:val="Normal"/>
              <w:spacing w:before="40" w:after="40"/>
              <w:ind w:firstLine="0"/>
            </w:pPr>
            <w:r>
              <w:rPr>
                <w:color w:val="263238"/>
                <w:sz w:val="20"/>
                <w:rFonts w:ascii="Calibri" w:hAnsi="Calibri" w:eastAsia="Microsoft YaHei" w:cs="Calibri"/>
                <w:szCs w:val="20"/>
              </w:rPr>
              <w:t>2</w:t>
            </w:r>
          </w:p>
        </w:tc>
        <w:tc>
          <w:tcPr>
            <w:tcW w:w="2000" w:type="dxa"/>
          </w:tcPr>
          <w:p>
            <w:pPr>
              <w:pStyle w:val="Normal"/>
              <w:spacing w:before="40" w:after="40"/>
              <w:ind w:firstLine="0"/>
            </w:pPr>
            <w:r>
              <w:rPr>
                <w:color w:val="263238"/>
                <w:sz w:val="20"/>
                <w:rFonts w:ascii="Calibri" w:hAnsi="Calibri" w:eastAsia="Microsoft YaHei" w:cs="Calibri"/>
                <w:szCs w:val="20"/>
              </w:rPr>
              <w:t>2B - Asset Relocation</w:t>
            </w:r>
          </w:p>
        </w:tc>
        <w:tc>
          <w:tcPr>
            <w:tcW w:w="1500" w:type="dxa"/>
          </w:tcPr>
          <w:p>
            <w:pPr>
              <w:pStyle w:val="Normal"/>
              <w:spacing w:before="40" w:after="40"/>
              <w:ind w:firstLine="0"/>
            </w:pPr>
            <w:r>
              <w:rPr>
                <w:color w:val="263238"/>
                <w:sz w:val="20"/>
                <w:rFonts w:ascii="Calibri" w:hAnsi="Calibri" w:eastAsia="Microsoft YaHei" w:cs="Calibri"/>
                <w:szCs w:val="20"/>
              </w:rPr>
              <w:t>Green</w:t>
            </w:r>
          </w:p>
        </w:tc>
        <w:tc>
          <w:tcPr>
            <w:tcW w:w="1500" w:type="dxa"/>
          </w:tcPr>
          <w:p>
            <w:pPr>
              <w:pStyle w:val="Normal"/>
              <w:spacing w:before="40" w:after="40"/>
              <w:ind w:firstLine="0"/>
            </w:pPr>
            <w:r>
              <w:rPr>
                <w:color w:val="263238"/>
                <w:sz w:val="20"/>
                <w:rFonts w:ascii="Calibri" w:hAnsi="Calibri" w:eastAsia="Microsoft YaHei" w:cs="Calibri"/>
                <w:szCs w:val="20"/>
              </w:rPr>
              <w:t>Green</w:t>
            </w:r>
          </w:p>
        </w:tc>
        <w:tc>
          <w:tcPr>
            <w:tcW w:w="1500" w:type="dxa"/>
          </w:tcPr>
          <w:p>
            <w:pPr>
              <w:pStyle w:val="Normal"/>
              <w:spacing w:before="40" w:after="40"/>
              <w:ind w:firstLine="0"/>
            </w:pPr>
            <w:r>
              <w:rPr>
                <w:color w:val="263238"/>
                <w:sz w:val="20"/>
                <w:rFonts w:ascii="Calibri" w:hAnsi="Calibri" w:eastAsia="Microsoft YaHei" w:cs="Calibri"/>
                <w:szCs w:val="20"/>
              </w:rPr>
              <w:t>Port Notifications</w:t>
            </w:r>
          </w:p>
        </w:tc>
        <w:tc>
          <w:tcPr>
            <w:tcW w:w="1800" w:type="dxa"/>
          </w:tcPr>
          <w:p>
            <w:pPr>
              <w:pStyle w:val="Normal"/>
              <w:spacing w:before="40" w:after="40"/>
              <w:ind w:firstLine="0"/>
            </w:pPr>
            <w:r>
              <w:rPr>
                <w:color w:val="263238"/>
                <w:sz w:val="20"/>
                <w:rFonts w:ascii="Calibri" w:hAnsi="Calibri" w:eastAsia="Microsoft YaHei" w:cs="Calibri"/>
                <w:szCs w:val="20"/>
              </w:rPr>
              <w:t>[Date]</w:t>
            </w:r>
          </w:p>
        </w:tc>
      </w:tr>
      <w:tr>
        <w:tc>
          <w:tcPr>
            <w:tcW w:w="700" w:type="dxa"/>
          </w:tcPr>
          <w:p>
            <w:pPr>
              <w:pStyle w:val="Normal"/>
              <w:spacing w:before="40" w:after="40"/>
              <w:ind w:firstLine="0"/>
            </w:pPr>
            <w:r>
              <w:rPr>
                <w:color w:val="263238"/>
                <w:sz w:val="20"/>
                <w:rFonts w:ascii="Calibri" w:hAnsi="Calibri" w:eastAsia="Microsoft YaHei" w:cs="Calibri"/>
                <w:szCs w:val="20"/>
              </w:rPr>
              <w:t>2</w:t>
            </w:r>
          </w:p>
        </w:tc>
        <w:tc>
          <w:tcPr>
            <w:tcW w:w="2000" w:type="dxa"/>
          </w:tcPr>
          <w:p>
            <w:pPr>
              <w:pStyle w:val="Normal"/>
              <w:spacing w:before="40" w:after="40"/>
              <w:ind w:firstLine="0"/>
            </w:pPr>
            <w:r>
              <w:rPr>
                <w:color w:val="263238"/>
                <w:sz w:val="20"/>
                <w:rFonts w:ascii="Calibri" w:hAnsi="Calibri" w:eastAsia="Microsoft YaHei" w:cs="Calibri"/>
                <w:szCs w:val="20"/>
              </w:rPr>
              <w:t>2C - Exercise Suspension</w:t>
            </w:r>
          </w:p>
        </w:tc>
        <w:tc>
          <w:tcPr>
            <w:tcW w:w="1500" w:type="dxa"/>
          </w:tcPr>
          <w:p>
            <w:pPr>
              <w:pStyle w:val="Normal"/>
              <w:spacing w:before="40" w:after="40"/>
              <w:ind w:firstLine="0"/>
            </w:pPr>
            <w:r>
              <w:rPr>
                <w:color w:val="263238"/>
                <w:sz w:val="20"/>
                <w:rFonts w:ascii="Calibri" w:hAnsi="Calibri" w:eastAsia="Microsoft YaHei" w:cs="Calibri"/>
                <w:szCs w:val="20"/>
              </w:rPr>
              <w:t>Green</w:t>
            </w:r>
          </w:p>
        </w:tc>
        <w:tc>
          <w:tcPr>
            <w:tcW w:w="1500" w:type="dxa"/>
          </w:tcPr>
          <w:p>
            <w:pPr>
              <w:pStyle w:val="Normal"/>
              <w:spacing w:before="40" w:after="40"/>
              <w:ind w:firstLine="0"/>
            </w:pPr>
            <w:r>
              <w:rPr>
                <w:color w:val="263238"/>
                <w:sz w:val="20"/>
                <w:rFonts w:ascii="Calibri" w:hAnsi="Calibri" w:eastAsia="Microsoft YaHei" w:cs="Calibri"/>
                <w:szCs w:val="20"/>
              </w:rPr>
              <w:t>Green</w:t>
            </w:r>
          </w:p>
        </w:tc>
        <w:tc>
          <w:tcPr>
            <w:tcW w:w="1500" w:type="dxa"/>
          </w:tcPr>
          <w:p>
            <w:pPr>
              <w:pStyle w:val="Normal"/>
              <w:spacing w:before="40" w:after="40"/>
              <w:ind w:firstLine="0"/>
            </w:pPr>
            <w:r>
              <w:rPr>
                <w:color w:val="263238"/>
                <w:sz w:val="20"/>
                <w:rFonts w:ascii="Calibri" w:hAnsi="Calibri" w:eastAsia="Microsoft YaHei" w:cs="Calibri"/>
                <w:szCs w:val="20"/>
              </w:rPr>
              <w:t>Mutual Notification</w:t>
            </w:r>
          </w:p>
        </w:tc>
        <w:tc>
          <w:tcPr>
            <w:tcW w:w="1800" w:type="dxa"/>
          </w:tcPr>
          <w:p>
            <w:pPr>
              <w:pStyle w:val="Normal"/>
              <w:spacing w:before="40" w:after="40"/>
              <w:ind w:firstLine="0"/>
            </w:pPr>
            <w:r>
              <w:rPr>
                <w:color w:val="263238"/>
                <w:sz w:val="20"/>
                <w:rFonts w:ascii="Calibri" w:hAnsi="Calibri" w:eastAsia="Microsoft YaHei" w:cs="Calibri"/>
                <w:szCs w:val="20"/>
              </w:rPr>
              <w:t>[Date]</w:t>
            </w:r>
          </w:p>
        </w:tc>
      </w:tr>
      <w:tr>
        <w:tc>
          <w:tcPr>
            <w:tcW w:w="700" w:type="dxa"/>
          </w:tcPr>
          <w:p>
            <w:pPr>
              <w:pStyle w:val="Normal"/>
              <w:spacing w:before="40" w:after="40"/>
              <w:ind w:firstLine="0"/>
            </w:pPr>
            <w:r>
              <w:rPr>
                <w:color w:val="263238"/>
                <w:sz w:val="20"/>
                <w:rFonts w:ascii="Calibri" w:hAnsi="Calibri" w:eastAsia="Microsoft YaHei" w:cs="Calibri"/>
                <w:szCs w:val="20"/>
              </w:rPr>
              <w:t>2</w:t>
            </w:r>
          </w:p>
        </w:tc>
        <w:tc>
          <w:tcPr>
            <w:tcW w:w="2000" w:type="dxa"/>
          </w:tcPr>
          <w:p>
            <w:pPr>
              <w:pStyle w:val="Normal"/>
              <w:spacing w:before="40" w:after="40"/>
              <w:ind w:firstLine="0"/>
            </w:pPr>
            <w:r>
              <w:rPr>
                <w:color w:val="263238"/>
                <w:sz w:val="20"/>
                <w:rFonts w:ascii="Calibri" w:hAnsi="Calibri" w:eastAsia="Microsoft YaHei" w:cs="Calibri"/>
                <w:szCs w:val="20"/>
              </w:rPr>
              <w:t>2D - 30-Day Forecast</w:t>
            </w:r>
          </w:p>
        </w:tc>
        <w:tc>
          <w:tcPr>
            <w:tcW w:w="1500" w:type="dxa"/>
          </w:tcPr>
          <w:p>
            <w:pPr>
              <w:pStyle w:val="Normal"/>
              <w:spacing w:before="40" w:after="40"/>
              <w:ind w:firstLine="0"/>
            </w:pPr>
            <w:r>
              <w:rPr>
                <w:color w:val="263238"/>
                <w:sz w:val="20"/>
                <w:rFonts w:ascii="Calibri" w:hAnsi="Calibri" w:eastAsia="Microsoft YaHei" w:cs="Calibri"/>
                <w:szCs w:val="20"/>
              </w:rPr>
              <w:t>Green</w:t>
            </w:r>
          </w:p>
        </w:tc>
        <w:tc>
          <w:tcPr>
            <w:tcW w:w="1500" w:type="dxa"/>
          </w:tcPr>
          <w:p>
            <w:pPr>
              <w:pStyle w:val="Normal"/>
              <w:spacing w:before="40" w:after="40"/>
              <w:ind w:firstLine="0"/>
            </w:pPr>
            <w:r>
              <w:rPr>
                <w:color w:val="263238"/>
                <w:sz w:val="20"/>
                <w:rFonts w:ascii="Calibri" w:hAnsi="Calibri" w:eastAsia="Microsoft YaHei" w:cs="Calibri"/>
                <w:szCs w:val="20"/>
              </w:rPr>
              <w:t>Green</w:t>
            </w:r>
          </w:p>
        </w:tc>
        <w:tc>
          <w:tcPr>
            <w:tcW w:w="1500" w:type="dxa"/>
          </w:tcPr>
          <w:p>
            <w:pPr>
              <w:pStyle w:val="Normal"/>
              <w:spacing w:before="40" w:after="40"/>
              <w:ind w:firstLine="0"/>
            </w:pPr>
            <w:r>
              <w:rPr>
                <w:color w:val="263238"/>
                <w:sz w:val="20"/>
                <w:rFonts w:ascii="Calibri" w:hAnsi="Calibri" w:eastAsia="Microsoft YaHei" w:cs="Calibri"/>
                <w:szCs w:val="20"/>
              </w:rPr>
              <w:t>JIC Records</w:t>
            </w:r>
          </w:p>
        </w:tc>
        <w:tc>
          <w:tcPr>
            <w:tcW w:w="1800" w:type="dxa"/>
          </w:tcPr>
          <w:p>
            <w:pPr>
              <w:pStyle w:val="Normal"/>
              <w:spacing w:before="40" w:after="40"/>
              <w:ind w:firstLine="0"/>
            </w:pPr>
            <w:r>
              <w:rPr>
                <w:color w:val="263238"/>
                <w:sz w:val="20"/>
                <w:rFonts w:ascii="Calibri" w:hAnsi="Calibri" w:eastAsia="Microsoft YaHei" w:cs="Calibri"/>
                <w:szCs w:val="20"/>
              </w:rPr>
              <w:t>[Date]</w:t>
            </w:r>
          </w:p>
        </w:tc>
      </w:tr>
      <w:tr>
        <w:tc>
          <w:tcPr>
            <w:tcW w:w="700" w:type="dxa"/>
          </w:tcPr>
          <w:p>
            <w:pPr>
              <w:pStyle w:val="Normal"/>
              <w:spacing w:before="40" w:after="40"/>
              <w:ind w:firstLine="0"/>
            </w:pPr>
            <w:r>
              <w:rPr>
                <w:color w:val="263238"/>
                <w:sz w:val="20"/>
                <w:rFonts w:ascii="Calibri" w:hAnsi="Calibri" w:eastAsia="Microsoft YaHei" w:cs="Calibri"/>
                <w:szCs w:val="20"/>
              </w:rPr>
              <w:t>3</w:t>
            </w:r>
          </w:p>
        </w:tc>
        <w:tc>
          <w:tcPr>
            <w:tcW w:w="2000" w:type="dxa"/>
          </w:tcPr>
          <w:p>
            <w:pPr>
              <w:pStyle w:val="Normal"/>
              <w:spacing w:before="40" w:after="40"/>
              <w:ind w:firstLine="0"/>
            </w:pPr>
            <w:r>
              <w:rPr>
                <w:color w:val="263238"/>
                <w:sz w:val="20"/>
                <w:rFonts w:ascii="Calibri" w:hAnsi="Calibri" w:eastAsia="Microsoft YaHei" w:cs="Calibri"/>
                <w:szCs w:val="20"/>
              </w:rPr>
              <w:t>3A - VTS Transfer</w:t>
            </w:r>
          </w:p>
        </w:tc>
        <w:tc>
          <w:tcPr>
            <w:tcW w:w="1500" w:type="dxa"/>
          </w:tcPr>
          <w:p>
            <w:pPr>
              <w:pStyle w:val="Normal"/>
              <w:spacing w:before="40" w:after="40"/>
              <w:ind w:firstLine="0"/>
            </w:pPr>
            <w:r>
              <w:rPr>
                <w:color w:val="263238"/>
                <w:sz w:val="20"/>
                <w:rFonts w:ascii="Calibri" w:hAnsi="Calibri" w:eastAsia="Microsoft YaHei" w:cs="Calibri"/>
                <w:szCs w:val="20"/>
              </w:rPr>
              <w:t>White</w:t>
            </w:r>
          </w:p>
        </w:tc>
        <w:tc>
          <w:tcPr>
            <w:tcW w:w="1500" w:type="dxa"/>
          </w:tcPr>
          <w:p>
            <w:pPr>
              <w:pStyle w:val="Normal"/>
              <w:spacing w:before="40" w:after="40"/>
              <w:ind w:firstLine="0"/>
            </w:pPr>
            <w:r>
              <w:rPr>
                <w:color w:val="263238"/>
                <w:sz w:val="20"/>
                <w:rFonts w:ascii="Calibri" w:hAnsi="Calibri" w:eastAsia="Microsoft YaHei" w:cs="Calibri"/>
                <w:szCs w:val="20"/>
              </w:rPr>
              <w:t>White</w:t>
            </w:r>
          </w:p>
        </w:tc>
        <w:tc>
          <w:tcPr>
            <w:tcW w:w="1500" w:type="dxa"/>
          </w:tcPr>
          <w:p>
            <w:pPr>
              <w:pStyle w:val="Normal"/>
              <w:spacing w:before="40" w:after="40"/>
              <w:ind w:firstLine="0"/>
            </w:pPr>
            <w:r>
              <w:rPr>
                <w:color w:val="263238"/>
                <w:sz w:val="20"/>
                <w:rFonts w:ascii="Calibri" w:hAnsi="Calibri" w:eastAsia="Microsoft YaHei" w:cs="Calibri"/>
                <w:szCs w:val="20"/>
              </w:rPr>
              <w:t>Personnel Rosters</w:t>
            </w:r>
          </w:p>
        </w:tc>
        <w:tc>
          <w:tcPr>
            <w:tcW w:w="1800" w:type="dxa"/>
          </w:tcPr>
          <w:p>
            <w:pPr>
              <w:pStyle w:val="Normal"/>
              <w:spacing w:before="40" w:after="40"/>
              <w:ind w:firstLine="0"/>
            </w:pPr>
            <w:r>
              <w:rPr>
                <w:color w:val="263238"/>
                <w:sz w:val="20"/>
                <w:rFonts w:ascii="Calibri" w:hAnsi="Calibri" w:eastAsia="Microsoft YaHei" w:cs="Calibri"/>
                <w:szCs w:val="20"/>
              </w:rPr>
              <w:t>N/A</w:t>
            </w:r>
          </w:p>
        </w:tc>
      </w:tr>
      <w:tr>
        <w:tc>
          <w:tcPr>
            <w:tcW w:w="700" w:type="dxa"/>
          </w:tcPr>
          <w:p>
            <w:pPr>
              <w:pStyle w:val="Normal"/>
              <w:spacing w:before="40" w:after="40"/>
              <w:ind w:firstLine="0"/>
            </w:pPr>
            <w:r>
              <w:rPr>
                <w:color w:val="263238"/>
                <w:sz w:val="20"/>
                <w:rFonts w:ascii="Calibri" w:hAnsi="Calibri" w:eastAsia="Microsoft YaHei" w:cs="Calibri"/>
                <w:szCs w:val="20"/>
              </w:rPr>
              <w:t>3</w:t>
            </w:r>
          </w:p>
        </w:tc>
        <w:tc>
          <w:tcPr>
            <w:tcW w:w="2000" w:type="dxa"/>
          </w:tcPr>
          <w:p>
            <w:pPr>
              <w:pStyle w:val="Normal"/>
              <w:spacing w:before="40" w:after="40"/>
              <w:ind w:firstLine="0"/>
            </w:pPr>
            <w:r>
              <w:rPr>
                <w:color w:val="263238"/>
                <w:sz w:val="20"/>
                <w:rFonts w:ascii="Calibri" w:hAnsi="Calibri" w:eastAsia="Microsoft YaHei" w:cs="Calibri"/>
                <w:szCs w:val="20"/>
              </w:rPr>
              <w:t>3B - Personnel Reduction</w:t>
            </w:r>
          </w:p>
        </w:tc>
        <w:tc>
          <w:tcPr>
            <w:tcW w:w="1500" w:type="dxa"/>
          </w:tcPr>
          <w:p>
            <w:pPr>
              <w:pStyle w:val="Normal"/>
              <w:spacing w:before="40" w:after="40"/>
              <w:ind w:firstLine="0"/>
            </w:pPr>
            <w:r>
              <w:rPr>
                <w:color w:val="263238"/>
                <w:sz w:val="20"/>
                <w:rFonts w:ascii="Calibri" w:hAnsi="Calibri" w:eastAsia="Microsoft YaHei" w:cs="Calibri"/>
                <w:szCs w:val="20"/>
              </w:rPr>
              <w:t>White</w:t>
            </w:r>
          </w:p>
        </w:tc>
        <w:tc>
          <w:tcPr>
            <w:tcW w:w="1500" w:type="dxa"/>
          </w:tcPr>
          <w:p>
            <w:pPr>
              <w:pStyle w:val="Normal"/>
              <w:spacing w:before="40" w:after="40"/>
              <w:ind w:firstLine="0"/>
            </w:pPr>
            <w:r>
              <w:rPr>
                <w:color w:val="263238"/>
                <w:sz w:val="20"/>
                <w:rFonts w:ascii="Calibri" w:hAnsi="Calibri" w:eastAsia="Microsoft YaHei" w:cs="Calibri"/>
                <w:szCs w:val="20"/>
              </w:rPr>
              <w:t>White</w:t>
            </w:r>
          </w:p>
        </w:tc>
        <w:tc>
          <w:tcPr>
            <w:tcW w:w="1500" w:type="dxa"/>
          </w:tcPr>
          <w:p>
            <w:pPr>
              <w:pStyle w:val="Normal"/>
              <w:spacing w:before="40" w:after="40"/>
              <w:ind w:firstLine="0"/>
            </w:pPr>
            <w:r>
              <w:rPr>
                <w:color w:val="263238"/>
                <w:sz w:val="20"/>
                <w:rFonts w:ascii="Calibri" w:hAnsi="Calibri" w:eastAsia="Microsoft YaHei" w:cs="Calibri"/>
                <w:szCs w:val="20"/>
              </w:rPr>
              <w:t>JIC Review</w:t>
            </w:r>
          </w:p>
        </w:tc>
        <w:tc>
          <w:tcPr>
            <w:tcW w:w="1800" w:type="dxa"/>
          </w:tcPr>
          <w:p>
            <w:pPr>
              <w:pStyle w:val="Normal"/>
              <w:spacing w:before="40" w:after="40"/>
              <w:ind w:firstLine="0"/>
            </w:pPr>
            <w:r>
              <w:rPr>
                <w:color w:val="263238"/>
                <w:sz w:val="20"/>
                <w:rFonts w:ascii="Calibri" w:hAnsi="Calibri" w:eastAsia="Microsoft YaHei" w:cs="Calibri"/>
                <w:szCs w:val="20"/>
              </w:rPr>
              <w:t>N/A</w:t>
            </w:r>
          </w:p>
        </w:tc>
      </w:tr>
      <w:tr>
        <w:tc>
          <w:tcPr>
            <w:tcW w:w="700" w:type="dxa"/>
          </w:tcPr>
          <w:p>
            <w:pPr>
              <w:pStyle w:val="Normal"/>
              <w:spacing w:before="40" w:after="40"/>
              <w:ind w:firstLine="0"/>
            </w:pPr>
            <w:r>
              <w:rPr>
                <w:color w:val="263238"/>
                <w:sz w:val="20"/>
                <w:rFonts w:ascii="Calibri" w:hAnsi="Calibri" w:eastAsia="Microsoft YaHei" w:cs="Calibri"/>
                <w:szCs w:val="20"/>
              </w:rPr>
              <w:t>3</w:t>
            </w:r>
          </w:p>
        </w:tc>
        <w:tc>
          <w:tcPr>
            <w:tcW w:w="2000" w:type="dxa"/>
          </w:tcPr>
          <w:p>
            <w:pPr>
              <w:pStyle w:val="Normal"/>
              <w:spacing w:before="40" w:after="40"/>
              <w:ind w:firstLine="0"/>
            </w:pPr>
            <w:r>
              <w:rPr>
                <w:color w:val="263238"/>
                <w:sz w:val="20"/>
                <w:rFonts w:ascii="Calibri" w:hAnsi="Calibri" w:eastAsia="Microsoft YaHei" w:cs="Calibri"/>
                <w:szCs w:val="20"/>
              </w:rPr>
              <w:t>3C - Red Line Suspension</w:t>
            </w:r>
          </w:p>
        </w:tc>
        <w:tc>
          <w:tcPr>
            <w:tcW w:w="1500" w:type="dxa"/>
          </w:tcPr>
          <w:p>
            <w:pPr>
              <w:pStyle w:val="Normal"/>
              <w:spacing w:before="40" w:after="40"/>
              <w:ind w:firstLine="0"/>
            </w:pPr>
            <w:r>
              <w:rPr>
                <w:color w:val="263238"/>
                <w:sz w:val="20"/>
                <w:rFonts w:ascii="Calibri" w:hAnsi="Calibri" w:eastAsia="Microsoft YaHei" w:cs="Calibri"/>
                <w:szCs w:val="20"/>
              </w:rPr>
              <w:t>White</w:t>
            </w:r>
          </w:p>
        </w:tc>
        <w:tc>
          <w:tcPr>
            <w:tcW w:w="1500" w:type="dxa"/>
          </w:tcPr>
          <w:p>
            <w:pPr>
              <w:pStyle w:val="Normal"/>
              <w:spacing w:before="40" w:after="40"/>
              <w:ind w:firstLine="0"/>
            </w:pPr>
            <w:r>
              <w:rPr>
                <w:color w:val="263238"/>
                <w:sz w:val="20"/>
                <w:rFonts w:ascii="Calibri" w:hAnsi="Calibri" w:eastAsia="Microsoft YaHei" w:cs="Calibri"/>
                <w:szCs w:val="20"/>
              </w:rPr>
              <w:t>White</w:t>
            </w:r>
          </w:p>
        </w:tc>
        <w:tc>
          <w:tcPr>
            <w:tcW w:w="1500" w:type="dxa"/>
          </w:tcPr>
          <w:p>
            <w:pPr>
              <w:pStyle w:val="Normal"/>
              <w:spacing w:before="40" w:after="40"/>
              <w:ind w:firstLine="0"/>
            </w:pPr>
            <w:r>
              <w:rPr>
                <w:color w:val="263238"/>
                <w:sz w:val="20"/>
                <w:rFonts w:ascii="Calibri" w:hAnsi="Calibri" w:eastAsia="Microsoft YaHei" w:cs="Calibri"/>
                <w:szCs w:val="20"/>
              </w:rPr>
              <w:t>Media Monitoring</w:t>
            </w:r>
          </w:p>
        </w:tc>
        <w:tc>
          <w:tcPr>
            <w:tcW w:w="1800" w:type="dxa"/>
          </w:tcPr>
          <w:p>
            <w:pPr>
              <w:pStyle w:val="Normal"/>
              <w:spacing w:before="40" w:after="40"/>
              <w:ind w:firstLine="0"/>
            </w:pPr>
            <w:r>
              <w:rPr>
                <w:color w:val="263238"/>
                <w:sz w:val="20"/>
                <w:rFonts w:ascii="Calibri" w:hAnsi="Calibri" w:eastAsia="Microsoft YaHei" w:cs="Calibri"/>
                <w:szCs w:val="20"/>
              </w:rPr>
              <w:t>N/A</w:t>
            </w:r>
          </w:p>
        </w:tc>
      </w:tr>
      <w:tr>
        <w:tc>
          <w:tcPr>
            <w:tcW w:w="700" w:type="dxa"/>
          </w:tcPr>
          <w:p>
            <w:pPr>
              <w:pStyle w:val="Normal"/>
              <w:spacing w:before="40" w:after="40"/>
              <w:ind w:firstLine="0"/>
            </w:pPr>
            <w:r>
              <w:rPr>
                <w:color w:val="263238"/>
                <w:sz w:val="20"/>
                <w:rFonts w:ascii="Calibri" w:hAnsi="Calibri" w:eastAsia="Microsoft YaHei" w:cs="Calibri"/>
                <w:szCs w:val="20"/>
              </w:rPr>
              <w:t>3</w:t>
            </w:r>
          </w:p>
        </w:tc>
        <w:tc>
          <w:tcPr>
            <w:tcW w:w="2000" w:type="dxa"/>
          </w:tcPr>
          <w:p>
            <w:pPr>
              <w:pStyle w:val="Normal"/>
              <w:spacing w:before="40" w:after="40"/>
              <w:ind w:firstLine="0"/>
            </w:pPr>
            <w:r>
              <w:rPr>
                <w:color w:val="263238"/>
                <w:sz w:val="20"/>
                <w:rFonts w:ascii="Calibri" w:hAnsi="Calibri" w:eastAsia="Microsoft YaHei" w:cs="Calibri"/>
                <w:szCs w:val="20"/>
              </w:rPr>
              <w:t>3D - Permanent Hotline</w:t>
            </w:r>
          </w:p>
        </w:tc>
        <w:tc>
          <w:tcPr>
            <w:tcW w:w="1500" w:type="dxa"/>
          </w:tcPr>
          <w:p>
            <w:pPr>
              <w:pStyle w:val="Normal"/>
              <w:spacing w:before="40" w:after="40"/>
              <w:ind w:firstLine="0"/>
            </w:pPr>
            <w:r>
              <w:rPr>
                <w:color w:val="263238"/>
                <w:sz w:val="20"/>
                <w:rFonts w:ascii="Calibri" w:hAnsi="Calibri" w:eastAsia="Microsoft YaHei" w:cs="Calibri"/>
                <w:szCs w:val="20"/>
              </w:rPr>
              <w:t>White</w:t>
            </w:r>
          </w:p>
        </w:tc>
        <w:tc>
          <w:tcPr>
            <w:tcW w:w="1500" w:type="dxa"/>
          </w:tcPr>
          <w:p>
            <w:pPr>
              <w:pStyle w:val="Normal"/>
              <w:spacing w:before="40" w:after="40"/>
              <w:ind w:firstLine="0"/>
            </w:pPr>
            <w:r>
              <w:rPr>
                <w:color w:val="263238"/>
                <w:sz w:val="20"/>
                <w:rFonts w:ascii="Calibri" w:hAnsi="Calibri" w:eastAsia="Microsoft YaHei" w:cs="Calibri"/>
                <w:szCs w:val="20"/>
              </w:rPr>
              <w:t>White</w:t>
            </w:r>
          </w:p>
        </w:tc>
        <w:tc>
          <w:tcPr>
            <w:tcW w:w="1500" w:type="dxa"/>
          </w:tcPr>
          <w:p>
            <w:pPr>
              <w:pStyle w:val="Normal"/>
              <w:spacing w:before="40" w:after="40"/>
              <w:ind w:firstLine="0"/>
            </w:pPr>
            <w:r>
              <w:rPr>
                <w:color w:val="263238"/>
                <w:sz w:val="20"/>
                <w:rFonts w:ascii="Calibri" w:hAnsi="Calibri" w:eastAsia="Microsoft YaHei" w:cs="Calibri"/>
                <w:szCs w:val="20"/>
              </w:rPr>
              <w:t>JIC Records</w:t>
            </w:r>
          </w:p>
        </w:tc>
        <w:tc>
          <w:tcPr>
            <w:tcW w:w="1800" w:type="dxa"/>
          </w:tcPr>
          <w:p>
            <w:pPr>
              <w:pStyle w:val="Normal"/>
              <w:spacing w:before="40" w:after="40"/>
              <w:ind w:firstLine="0"/>
            </w:pPr>
            <w:r>
              <w:rPr>
                <w:color w:val="263238"/>
                <w:sz w:val="20"/>
                <w:rFonts w:ascii="Calibri" w:hAnsi="Calibri" w:eastAsia="Microsoft YaHei" w:cs="Calibri"/>
                <w:szCs w:val="20"/>
              </w:rPr>
              <w:t>N/A</w:t>
            </w:r>
          </w:p>
        </w:tc>
      </w:tr>
      <w:tr>
        <w:tc>
          <w:tcPr>
            <w:tcW w:w="700" w:type="dxa"/>
          </w:tcPr>
          <w:p>
            <w:pPr>
              <w:pStyle w:val="Normal"/>
              <w:spacing w:before="40" w:after="40"/>
              <w:ind w:firstLine="0"/>
            </w:pPr>
            <w:r>
              <w:rPr>
                <w:color w:val="263238"/>
                <w:sz w:val="20"/>
                <w:rFonts w:ascii="Calibri" w:hAnsi="Calibri" w:eastAsia="Microsoft YaHei" w:cs="Calibri"/>
                <w:szCs w:val="20"/>
              </w:rPr>
              <w:t>4</w:t>
            </w:r>
          </w:p>
        </w:tc>
        <w:tc>
          <w:tcPr>
            <w:tcW w:w="2000" w:type="dxa"/>
          </w:tcPr>
          <w:p>
            <w:pPr>
              <w:pStyle w:val="Normal"/>
              <w:spacing w:before="40" w:after="40"/>
              <w:ind w:firstLine="0"/>
            </w:pPr>
            <w:r>
              <w:rPr>
                <w:color w:val="263238"/>
                <w:sz w:val="20"/>
                <w:rFonts w:ascii="Calibri" w:hAnsi="Calibri" w:eastAsia="Microsoft YaHei" w:cs="Calibri"/>
                <w:szCs w:val="20"/>
              </w:rPr>
              <w:t>4A - HSC Recognition</w:t>
            </w:r>
          </w:p>
        </w:tc>
        <w:tc>
          <w:tcPr>
            <w:tcW w:w="1500" w:type="dxa"/>
          </w:tcPr>
          <w:p>
            <w:pPr>
              <w:pStyle w:val="Normal"/>
              <w:spacing w:before="40" w:after="40"/>
              <w:ind w:firstLine="0"/>
            </w:pPr>
            <w:r>
              <w:rPr>
                <w:color w:val="263238"/>
                <w:sz w:val="20"/>
                <w:rFonts w:ascii="Calibri" w:hAnsi="Calibri" w:eastAsia="Microsoft YaHei" w:cs="Calibri"/>
                <w:szCs w:val="20"/>
              </w:rPr>
              <w:t>White</w:t>
            </w:r>
          </w:p>
        </w:tc>
        <w:tc>
          <w:tcPr>
            <w:tcW w:w="1500" w:type="dxa"/>
          </w:tcPr>
          <w:p>
            <w:pPr>
              <w:pStyle w:val="Normal"/>
              <w:spacing w:before="40" w:after="40"/>
              <w:ind w:firstLine="0"/>
            </w:pPr>
            <w:r>
              <w:rPr>
                <w:color w:val="263238"/>
                <w:sz w:val="20"/>
                <w:rFonts w:ascii="Calibri" w:hAnsi="Calibri" w:eastAsia="Microsoft YaHei" w:cs="Calibri"/>
                <w:szCs w:val="20"/>
              </w:rPr>
              <w:t>White</w:t>
            </w:r>
          </w:p>
        </w:tc>
        <w:tc>
          <w:tcPr>
            <w:tcW w:w="1500" w:type="dxa"/>
          </w:tcPr>
          <w:p>
            <w:pPr>
              <w:pStyle w:val="Normal"/>
              <w:spacing w:before="40" w:after="40"/>
              <w:ind w:firstLine="0"/>
            </w:pPr>
            <w:r>
              <w:rPr>
                <w:color w:val="263238"/>
                <w:sz w:val="20"/>
                <w:rFonts w:ascii="Calibri" w:hAnsi="Calibri" w:eastAsia="Microsoft YaHei" w:cs="Calibri"/>
                <w:szCs w:val="20"/>
              </w:rPr>
              <w:t>HSC Records</w:t>
            </w:r>
          </w:p>
        </w:tc>
        <w:tc>
          <w:tcPr>
            <w:tcW w:w="1800" w:type="dxa"/>
          </w:tcPr>
          <w:p>
            <w:pPr>
              <w:pStyle w:val="Normal"/>
              <w:spacing w:before="40" w:after="40"/>
              <w:ind w:firstLine="0"/>
            </w:pPr>
            <w:r>
              <w:rPr>
                <w:color w:val="263238"/>
                <w:sz w:val="20"/>
                <w:rFonts w:ascii="Calibri" w:hAnsi="Calibri" w:eastAsia="Microsoft YaHei" w:cs="Calibri"/>
                <w:szCs w:val="20"/>
              </w:rPr>
              <w:t>N/A</w:t>
            </w:r>
          </w:p>
        </w:tc>
      </w:tr>
      <w:tr>
        <w:tc>
          <w:tcPr>
            <w:tcW w:w="700" w:type="dxa"/>
          </w:tcPr>
          <w:p>
            <w:pPr>
              <w:pStyle w:val="Normal"/>
              <w:spacing w:before="40" w:after="40"/>
              <w:ind w:firstLine="0"/>
            </w:pPr>
            <w:r>
              <w:rPr>
                <w:color w:val="263238"/>
                <w:sz w:val="20"/>
                <w:rFonts w:ascii="Calibri" w:hAnsi="Calibri" w:eastAsia="Microsoft YaHei" w:cs="Calibri"/>
                <w:szCs w:val="20"/>
              </w:rPr>
              <w:t>4</w:t>
            </w:r>
          </w:p>
        </w:tc>
        <w:tc>
          <w:tcPr>
            <w:tcW w:w="2000" w:type="dxa"/>
          </w:tcPr>
          <w:p>
            <w:pPr>
              <w:pStyle w:val="Normal"/>
              <w:spacing w:before="40" w:after="40"/>
              <w:ind w:firstLine="0"/>
            </w:pPr>
            <w:r>
              <w:rPr>
                <w:color w:val="263238"/>
                <w:sz w:val="20"/>
                <w:rFonts w:ascii="Calibri" w:hAnsi="Calibri" w:eastAsia="Microsoft YaHei" w:cs="Calibri"/>
                <w:szCs w:val="20"/>
              </w:rPr>
              <w:t>4B - IMO Audit</w:t>
            </w:r>
          </w:p>
        </w:tc>
        <w:tc>
          <w:tcPr>
            <w:tcW w:w="1500" w:type="dxa"/>
          </w:tcPr>
          <w:p>
            <w:pPr>
              <w:pStyle w:val="Normal"/>
              <w:spacing w:before="40" w:after="40"/>
              <w:ind w:firstLine="0"/>
            </w:pPr>
            <w:r>
              <w:rPr>
                <w:color w:val="263238"/>
                <w:sz w:val="20"/>
                <w:rFonts w:ascii="Calibri" w:hAnsi="Calibri" w:eastAsia="Microsoft YaHei" w:cs="Calibri"/>
                <w:szCs w:val="20"/>
              </w:rPr>
              <w:t>White</w:t>
            </w:r>
          </w:p>
        </w:tc>
        <w:tc>
          <w:tcPr>
            <w:tcW w:w="1500" w:type="dxa"/>
          </w:tcPr>
          <w:p>
            <w:pPr>
              <w:pStyle w:val="Normal"/>
              <w:spacing w:before="40" w:after="40"/>
              <w:ind w:firstLine="0"/>
            </w:pPr>
            <w:r>
              <w:rPr>
                <w:color w:val="263238"/>
                <w:sz w:val="20"/>
                <w:rFonts w:ascii="Calibri" w:hAnsi="Calibri" w:eastAsia="Microsoft YaHei" w:cs="Calibri"/>
                <w:szCs w:val="20"/>
              </w:rPr>
              <w:t>White</w:t>
            </w:r>
          </w:p>
        </w:tc>
        <w:tc>
          <w:tcPr>
            <w:tcW w:w="1500" w:type="dxa"/>
          </w:tcPr>
          <w:p>
            <w:pPr>
              <w:pStyle w:val="Normal"/>
              <w:spacing w:before="40" w:after="40"/>
              <w:ind w:firstLine="0"/>
            </w:pPr>
            <w:r>
              <w:rPr>
                <w:color w:val="263238"/>
                <w:sz w:val="20"/>
                <w:rFonts w:ascii="Calibri" w:hAnsi="Calibri" w:eastAsia="Microsoft YaHei" w:cs="Calibri"/>
                <w:szCs w:val="20"/>
              </w:rPr>
              <w:t>IMO Reports</w:t>
            </w:r>
          </w:p>
        </w:tc>
        <w:tc>
          <w:tcPr>
            <w:tcW w:w="1800" w:type="dxa"/>
          </w:tcPr>
          <w:p>
            <w:pPr>
              <w:pStyle w:val="Normal"/>
              <w:spacing w:before="40" w:after="40"/>
              <w:ind w:firstLine="0"/>
            </w:pPr>
            <w:r>
              <w:rPr>
                <w:color w:val="263238"/>
                <w:sz w:val="20"/>
                <w:rFonts w:ascii="Calibri" w:hAnsi="Calibri" w:eastAsia="Microsoft YaHei" w:cs="Calibri"/>
                <w:szCs w:val="20"/>
              </w:rPr>
              <w:t>N/A</w:t>
            </w:r>
          </w:p>
        </w:tc>
      </w:tr>
      <w:tr>
        <w:tc>
          <w:tcPr>
            <w:tcW w:w="700" w:type="dxa"/>
          </w:tcPr>
          <w:p>
            <w:pPr>
              <w:pStyle w:val="Normal"/>
              <w:spacing w:before="40" w:after="40"/>
              <w:ind w:firstLine="0"/>
            </w:pPr>
            <w:r>
              <w:rPr>
                <w:color w:val="263238"/>
                <w:sz w:val="20"/>
                <w:rFonts w:ascii="Calibri" w:hAnsi="Calibri" w:eastAsia="Microsoft YaHei" w:cs="Calibri"/>
                <w:szCs w:val="20"/>
              </w:rPr>
              <w:t>4</w:t>
            </w:r>
          </w:p>
        </w:tc>
        <w:tc>
          <w:tcPr>
            <w:tcW w:w="2000" w:type="dxa"/>
          </w:tcPr>
          <w:p>
            <w:pPr>
              <w:pStyle w:val="Normal"/>
              <w:spacing w:before="40" w:after="40"/>
              <w:ind w:firstLine="0"/>
            </w:pPr>
            <w:r>
              <w:rPr>
                <w:color w:val="263238"/>
                <w:sz w:val="20"/>
                <w:rFonts w:ascii="Calibri" w:hAnsi="Calibri" w:eastAsia="Microsoft YaHei" w:cs="Calibri"/>
                <w:szCs w:val="20"/>
              </w:rPr>
              <w:t>4C - Omani Observer</w:t>
            </w:r>
          </w:p>
        </w:tc>
        <w:tc>
          <w:tcPr>
            <w:tcW w:w="1500" w:type="dxa"/>
          </w:tcPr>
          <w:p>
            <w:pPr>
              <w:pStyle w:val="Normal"/>
              <w:spacing w:before="40" w:after="40"/>
              <w:ind w:firstLine="0"/>
            </w:pPr>
            <w:r>
              <w:rPr>
                <w:color w:val="263238"/>
                <w:sz w:val="20"/>
                <w:rFonts w:ascii="Calibri" w:hAnsi="Calibri" w:eastAsia="Microsoft YaHei" w:cs="Calibri"/>
                <w:szCs w:val="20"/>
              </w:rPr>
              <w:t>White</w:t>
            </w:r>
          </w:p>
        </w:tc>
        <w:tc>
          <w:tcPr>
            <w:tcW w:w="1500" w:type="dxa"/>
          </w:tcPr>
          <w:p>
            <w:pPr>
              <w:pStyle w:val="Normal"/>
              <w:spacing w:before="40" w:after="40"/>
              <w:ind w:firstLine="0"/>
            </w:pPr>
            <w:r>
              <w:rPr>
                <w:color w:val="263238"/>
                <w:sz w:val="20"/>
                <w:rFonts w:ascii="Calibri" w:hAnsi="Calibri" w:eastAsia="Microsoft YaHei" w:cs="Calibri"/>
                <w:szCs w:val="20"/>
              </w:rPr>
              <w:t>White</w:t>
            </w:r>
          </w:p>
        </w:tc>
        <w:tc>
          <w:tcPr>
            <w:tcW w:w="1500" w:type="dxa"/>
          </w:tcPr>
          <w:p>
            <w:pPr>
              <w:pStyle w:val="Normal"/>
              <w:spacing w:before="40" w:after="40"/>
              <w:ind w:firstLine="0"/>
            </w:pPr>
            <w:r>
              <w:rPr>
                <w:color w:val="263238"/>
                <w:sz w:val="20"/>
                <w:rFonts w:ascii="Calibri" w:hAnsi="Calibri" w:eastAsia="Microsoft YaHei" w:cs="Calibri"/>
                <w:szCs w:val="20"/>
              </w:rPr>
              <w:t>JIC Records</w:t>
            </w:r>
          </w:p>
        </w:tc>
        <w:tc>
          <w:tcPr>
            <w:tcW w:w="1800" w:type="dxa"/>
          </w:tcPr>
          <w:p>
            <w:pPr>
              <w:pStyle w:val="Normal"/>
              <w:spacing w:before="40" w:after="40"/>
              <w:ind w:firstLine="0"/>
            </w:pPr>
            <w:r>
              <w:rPr>
                <w:color w:val="263238"/>
                <w:sz w:val="20"/>
                <w:rFonts w:ascii="Calibri" w:hAnsi="Calibri" w:eastAsia="Microsoft YaHei" w:cs="Calibri"/>
                <w:szCs w:val="20"/>
              </w:rPr>
              <w:t>N/A</w:t>
            </w:r>
          </w:p>
        </w:tc>
      </w:tr>
      <w:tr>
        <w:tc>
          <w:tcPr>
            <w:tcW w:w="700" w:type="dxa"/>
          </w:tcPr>
          <w:p>
            <w:pPr>
              <w:pStyle w:val="Normal"/>
              <w:spacing w:before="40" w:after="40"/>
              <w:ind w:firstLine="0"/>
            </w:pPr>
            <w:r>
              <w:rPr>
                <w:color w:val="263238"/>
                <w:sz w:val="20"/>
                <w:rFonts w:ascii="Calibri" w:hAnsi="Calibri" w:eastAsia="Microsoft YaHei" w:cs="Calibri"/>
                <w:szCs w:val="20"/>
              </w:rPr>
              <w:t>4</w:t>
            </w:r>
          </w:p>
        </w:tc>
        <w:tc>
          <w:tcPr>
            <w:tcW w:w="2000" w:type="dxa"/>
          </w:tcPr>
          <w:p>
            <w:pPr>
              <w:pStyle w:val="Normal"/>
              <w:spacing w:before="40" w:after="40"/>
              <w:ind w:firstLine="0"/>
            </w:pPr>
            <w:r>
              <w:rPr>
                <w:color w:val="263238"/>
                <w:sz w:val="20"/>
                <w:rFonts w:ascii="Calibri" w:hAnsi="Calibri" w:eastAsia="Microsoft YaHei" w:cs="Calibri"/>
                <w:szCs w:val="20"/>
              </w:rPr>
              <w:t>4D - Annual Reviews</w:t>
            </w:r>
          </w:p>
        </w:tc>
        <w:tc>
          <w:tcPr>
            <w:tcW w:w="1500" w:type="dxa"/>
          </w:tcPr>
          <w:p>
            <w:pPr>
              <w:pStyle w:val="Normal"/>
              <w:spacing w:before="40" w:after="40"/>
              <w:ind w:firstLine="0"/>
            </w:pPr>
            <w:r>
              <w:rPr>
                <w:color w:val="263238"/>
                <w:sz w:val="20"/>
                <w:rFonts w:ascii="Calibri" w:hAnsi="Calibri" w:eastAsia="Microsoft YaHei" w:cs="Calibri"/>
                <w:szCs w:val="20"/>
              </w:rPr>
              <w:t>White</w:t>
            </w:r>
          </w:p>
        </w:tc>
        <w:tc>
          <w:tcPr>
            <w:tcW w:w="1500" w:type="dxa"/>
          </w:tcPr>
          <w:p>
            <w:pPr>
              <w:pStyle w:val="Normal"/>
              <w:spacing w:before="40" w:after="40"/>
              <w:ind w:firstLine="0"/>
            </w:pPr>
            <w:r>
              <w:rPr>
                <w:color w:val="263238"/>
                <w:sz w:val="20"/>
                <w:rFonts w:ascii="Calibri" w:hAnsi="Calibri" w:eastAsia="Microsoft YaHei" w:cs="Calibri"/>
                <w:szCs w:val="20"/>
              </w:rPr>
              <w:t>White</w:t>
            </w:r>
          </w:p>
        </w:tc>
        <w:tc>
          <w:tcPr>
            <w:tcW w:w="1500" w:type="dxa"/>
          </w:tcPr>
          <w:p>
            <w:pPr>
              <w:pStyle w:val="Normal"/>
              <w:spacing w:before="40" w:after="40"/>
              <w:ind w:firstLine="0"/>
            </w:pPr>
            <w:r>
              <w:rPr>
                <w:color w:val="263238"/>
                <w:sz w:val="20"/>
                <w:rFonts w:ascii="Calibri" w:hAnsi="Calibri" w:eastAsia="Microsoft YaHei" w:cs="Calibri"/>
                <w:szCs w:val="20"/>
              </w:rPr>
              <w:t>HSU Documents</w:t>
            </w:r>
          </w:p>
        </w:tc>
        <w:tc>
          <w:tcPr>
            <w:tcW w:w="1800" w:type="dxa"/>
          </w:tcPr>
          <w:p>
            <w:pPr>
              <w:pStyle w:val="Normal"/>
              <w:spacing w:before="40" w:after="40"/>
              <w:ind w:firstLine="0"/>
            </w:pPr>
            <w:r>
              <w:rPr>
                <w:color w:val="263238"/>
                <w:sz w:val="20"/>
                <w:rFonts w:ascii="Calibri" w:hAnsi="Calibri" w:eastAsia="Microsoft YaHei" w:cs="Calibri"/>
                <w:szCs w:val="20"/>
              </w:rPr>
              <w:t>N/A</w:t>
            </w:r>
          </w:p>
        </w:tc>
      </w:tr>
    </w:tbl>
    <w:p>
      <w:pPr>
        <w:pStyle w:val="Heading2"/>
      </w:pPr>
      <w:r>
        <w:rPr>
          <w:rFonts w:ascii="Calibri" w:hAnsi="Calibri" w:eastAsia="Microsoft YaHei" w:cs="Calibri"/>
          <w:b/>
          <w:color w:val="263238"/>
          <w:sz w:val="28"/>
          <w:szCs w:val="28"/>
        </w:rPr>
        <w:t>4.2 Status Definitions</w:t>
      </w:r>
    </w:p>
    <w:p>
      <w:pPr>
        <w:pStyle w:val="Normal"/>
      </w:pPr>
      <w:r>
        <w:rPr>
          <w:rFonts w:ascii="Calibri" w:hAnsi="Calibri" w:eastAsia="Microsoft YaHei" w:cs="Calibri"/>
          <w:color w:val="263238"/>
          <w:sz w:val="22"/>
          <w:szCs w:val="22"/>
        </w:rPr>
        <w:t>The Dashboard employs a four-color indicator system with the following meanings:</w:t>
      </w:r>
    </w:p>
    <w:tbl>
      <w:tblPr>
        <w:tblW w:w="5000" w:type="pct"/>
        <w:tblBorders>
          <w:top w:val="single" w:color="37474F" w:sz="12"/>
          <w:left w:val="nil"/>
          <w:bottom w:val="single" w:color="37474F" w:sz="12"/>
          <w:right w:val="nil"/>
          <w:insideH w:val="single" w:color="CFD8DC" w:sz="4"/>
          <w:insideV w:val="nil"/>
        </w:tblBorders>
      </w:tblPr>
      <w:tblGrid>
        <w:gridCol w:w="1500"/>
        <w:gridCol w:w="3500"/>
        <w:gridCol w:w="4000"/>
      </w:tblGrid>
      <w:tr>
        <w:trPr>
          <w:tblHeader w:val="1"/>
        </w:trPr>
        <w:tc>
          <w:tcPr>
            <w:tcW w:w="1500" w:type="dxa"/>
            <w:tcBorders>
              <w:bottom w:val="single" w:color="37474F" w:sz="6" w:space="0"/>
            </w:tcBorders>
            <w:shd w:val="clear" w:fill="ECEFF1" w:color="auto"/>
          </w:tcPr>
          <w:p>
            <w:pPr>
              <w:pStyle w:val="Normal"/>
              <w:spacing w:before="60" w:after="60"/>
              <w:jc w:val="center"/>
            </w:pPr>
            <w:r>
              <w:rPr>
                <w:b/>
                <w:color w:val="263238"/>
                <w:sz w:val="20"/>
                <w:rFonts w:ascii="Calibri" w:hAnsi="Calibri" w:eastAsia="Microsoft YaHei" w:cs="Calibri"/>
                <w:szCs w:val="20"/>
              </w:rPr>
              <w:t>Status</w:t>
            </w:r>
          </w:p>
        </w:tc>
        <w:tc>
          <w:tcPr>
            <w:tcW w:w="3500" w:type="dxa"/>
            <w:tcBorders>
              <w:bottom w:val="single" w:color="37474F" w:sz="6" w:space="0"/>
            </w:tcBorders>
            <w:shd w:val="clear" w:fill="ECEFF1" w:color="auto"/>
          </w:tcPr>
          <w:p>
            <w:pPr>
              <w:pStyle w:val="Normal"/>
              <w:spacing w:before="60" w:after="60"/>
              <w:jc w:val="center"/>
            </w:pPr>
            <w:r>
              <w:rPr>
                <w:b/>
                <w:color w:val="263238"/>
                <w:sz w:val="20"/>
                <w:rFonts w:ascii="Calibri" w:hAnsi="Calibri" w:eastAsia="Microsoft YaHei" w:cs="Calibri"/>
                <w:szCs w:val="20"/>
              </w:rPr>
              <w:t>Meaning</w:t>
            </w:r>
          </w:p>
        </w:tc>
        <w:tc>
          <w:tcPr>
            <w:tcW w:w="4000" w:type="dxa"/>
            <w:tcBorders>
              <w:bottom w:val="single" w:color="37474F" w:sz="6" w:space="0"/>
            </w:tcBorders>
            <w:shd w:val="clear" w:fill="ECEFF1" w:color="auto"/>
          </w:tcPr>
          <w:p>
            <w:pPr>
              <w:pStyle w:val="Normal"/>
              <w:spacing w:before="60" w:after="60"/>
              <w:jc w:val="center"/>
            </w:pPr>
            <w:r>
              <w:rPr>
                <w:b/>
                <w:color w:val="263238"/>
                <w:sz w:val="20"/>
                <w:rFonts w:ascii="Calibri" w:hAnsi="Calibri" w:eastAsia="Microsoft YaHei" w:cs="Calibri"/>
                <w:szCs w:val="20"/>
              </w:rPr>
              <w:t>Consequence</w:t>
            </w:r>
          </w:p>
        </w:tc>
      </w:tr>
      <w:tr>
        <w:tc>
          <w:tcPr>
            <w:tcW w:w="1500" w:type="dxa"/>
          </w:tcPr>
          <w:p>
            <w:pPr>
              <w:pStyle w:val="Normal"/>
              <w:spacing w:before="40" w:after="40"/>
              <w:ind w:firstLine="0"/>
            </w:pPr>
            <w:r>
              <w:rPr>
                <w:color w:val="263238"/>
                <w:sz w:val="20"/>
                <w:rFonts w:ascii="Calibri" w:hAnsi="Calibri" w:eastAsia="Microsoft YaHei" w:cs="Calibri"/>
                <w:szCs w:val="20"/>
              </w:rPr>
              <w:t>Green</w:t>
            </w:r>
          </w:p>
        </w:tc>
        <w:tc>
          <w:tcPr>
            <w:tcW w:w="3500" w:type="dxa"/>
          </w:tcPr>
          <w:p>
            <w:pPr>
              <w:pStyle w:val="Normal"/>
              <w:spacing w:before="40" w:after="40"/>
              <w:ind w:firstLine="0"/>
            </w:pPr>
            <w:r>
              <w:rPr>
                <w:color w:val="263238"/>
                <w:sz w:val="20"/>
                <w:rFonts w:ascii="Calibri" w:hAnsi="Calibri" w:eastAsia="Microsoft YaHei" w:cs="Calibri"/>
                <w:szCs w:val="20"/>
              </w:rPr>
              <w:t>Full compliance with all measure requirements</w:t>
            </w:r>
          </w:p>
        </w:tc>
        <w:tc>
          <w:tcPr>
            <w:tcW w:w="4000" w:type="dxa"/>
          </w:tcPr>
          <w:p>
            <w:pPr>
              <w:pStyle w:val="Normal"/>
              <w:spacing w:before="40" w:after="40"/>
              <w:ind w:firstLine="0"/>
            </w:pPr>
            <w:r>
              <w:rPr>
                <w:color w:val="263238"/>
                <w:sz w:val="20"/>
                <w:rFonts w:ascii="Calibri" w:hAnsi="Calibri" w:eastAsia="Microsoft YaHei" w:cs="Calibri"/>
                <w:szCs w:val="20"/>
              </w:rPr>
              <w:t>No action required; Phase proceeds on schedule</w:t>
            </w:r>
          </w:p>
        </w:tc>
      </w:tr>
      <w:tr>
        <w:tc>
          <w:tcPr>
            <w:tcW w:w="1500" w:type="dxa"/>
          </w:tcPr>
          <w:p>
            <w:pPr>
              <w:pStyle w:val="Normal"/>
              <w:spacing w:before="40" w:after="40"/>
              <w:ind w:firstLine="0"/>
            </w:pPr>
            <w:r>
              <w:rPr>
                <w:color w:val="263238"/>
                <w:sz w:val="20"/>
                <w:rFonts w:ascii="Calibri" w:hAnsi="Calibri" w:eastAsia="Microsoft YaHei" w:cs="Calibri"/>
                <w:szCs w:val="20"/>
              </w:rPr>
              <w:t>Yellow</w:t>
            </w:r>
          </w:p>
        </w:tc>
        <w:tc>
          <w:tcPr>
            <w:tcW w:w="3500" w:type="dxa"/>
          </w:tcPr>
          <w:p>
            <w:pPr>
              <w:pStyle w:val="Normal"/>
              <w:spacing w:before="40" w:after="40"/>
              <w:ind w:firstLine="0"/>
            </w:pPr>
            <w:r>
              <w:rPr>
                <w:color w:val="263238"/>
                <w:sz w:val="20"/>
                <w:rFonts w:ascii="Calibri" w:hAnsi="Calibri" w:eastAsia="Microsoft YaHei" w:cs="Calibri"/>
                <w:szCs w:val="20"/>
              </w:rPr>
              <w:t>Partial compliance (minor shortfall)</w:t>
            </w:r>
          </w:p>
        </w:tc>
        <w:tc>
          <w:tcPr>
            <w:tcW w:w="4000" w:type="dxa"/>
          </w:tcPr>
          <w:p>
            <w:pPr>
              <w:pStyle w:val="Normal"/>
              <w:spacing w:before="40" w:after="40"/>
              <w:ind w:firstLine="0"/>
            </w:pPr>
            <w:r>
              <w:rPr>
                <w:color w:val="263238"/>
                <w:sz w:val="20"/>
                <w:rFonts w:ascii="Calibri" w:hAnsi="Calibri" w:eastAsia="Microsoft YaHei" w:cs="Calibri"/>
                <w:szCs w:val="20"/>
              </w:rPr>
              <w:t>JIC issues private Notice of Concern; Parties consult within 7 days</w:t>
            </w:r>
          </w:p>
        </w:tc>
      </w:tr>
      <w:tr>
        <w:tc>
          <w:tcPr>
            <w:tcW w:w="1500" w:type="dxa"/>
          </w:tcPr>
          <w:p>
            <w:pPr>
              <w:pStyle w:val="Normal"/>
              <w:spacing w:before="40" w:after="40"/>
              <w:ind w:firstLine="0"/>
            </w:pPr>
            <w:r>
              <w:rPr>
                <w:color w:val="263238"/>
                <w:sz w:val="20"/>
                <w:rFonts w:ascii="Calibri" w:hAnsi="Calibri" w:eastAsia="Microsoft YaHei" w:cs="Calibri"/>
                <w:szCs w:val="20"/>
              </w:rPr>
              <w:t>Red</w:t>
            </w:r>
          </w:p>
        </w:tc>
        <w:tc>
          <w:tcPr>
            <w:tcW w:w="3500" w:type="dxa"/>
          </w:tcPr>
          <w:p>
            <w:pPr>
              <w:pStyle w:val="Normal"/>
              <w:spacing w:before="40" w:after="40"/>
              <w:ind w:firstLine="0"/>
            </w:pPr>
            <w:r>
              <w:rPr>
                <w:color w:val="263238"/>
                <w:sz w:val="20"/>
                <w:rFonts w:ascii="Calibri" w:hAnsi="Calibri" w:eastAsia="Microsoft YaHei" w:cs="Calibri"/>
                <w:szCs w:val="20"/>
              </w:rPr>
              <w:t>Material non-compliance</w:t>
            </w:r>
          </w:p>
        </w:tc>
        <w:tc>
          <w:tcPr>
            <w:tcW w:w="4000" w:type="dxa"/>
          </w:tcPr>
          <w:p>
            <w:pPr>
              <w:pStyle w:val="Normal"/>
              <w:spacing w:before="40" w:after="40"/>
              <w:ind w:firstLine="0"/>
            </w:pPr>
            <w:r>
              <w:rPr>
                <w:color w:val="263238"/>
                <w:sz w:val="20"/>
                <w:rFonts w:ascii="Calibri" w:hAnsi="Calibri" w:eastAsia="Microsoft YaHei" w:cs="Calibri"/>
                <w:szCs w:val="20"/>
              </w:rPr>
              <w:t>Level 2/3/4 response under HSU Article 8; Phase progression pauses</w:t>
            </w:r>
          </w:p>
        </w:tc>
      </w:tr>
      <w:tr>
        <w:tc>
          <w:tcPr>
            <w:tcW w:w="1500" w:type="dxa"/>
          </w:tcPr>
          <w:p>
            <w:pPr>
              <w:pStyle w:val="Normal"/>
              <w:spacing w:before="40" w:after="40"/>
              <w:ind w:firstLine="0"/>
            </w:pPr>
            <w:r>
              <w:rPr>
                <w:color w:val="263238"/>
                <w:sz w:val="20"/>
                <w:rFonts w:ascii="Calibri" w:hAnsi="Calibri" w:eastAsia="Microsoft YaHei" w:cs="Calibri"/>
                <w:szCs w:val="20"/>
              </w:rPr>
              <w:t>White</w:t>
            </w:r>
          </w:p>
        </w:tc>
        <w:tc>
          <w:tcPr>
            <w:tcW w:w="3500" w:type="dxa"/>
          </w:tcPr>
          <w:p>
            <w:pPr>
              <w:pStyle w:val="Normal"/>
              <w:spacing w:before="40" w:after="40"/>
              <w:ind w:firstLine="0"/>
            </w:pPr>
            <w:r>
              <w:rPr>
                <w:color w:val="263238"/>
                <w:sz w:val="20"/>
                <w:rFonts w:ascii="Calibri" w:hAnsi="Calibri" w:eastAsia="Microsoft YaHei" w:cs="Calibri"/>
                <w:szCs w:val="20"/>
              </w:rPr>
              <w:t>Phase not yet reached</w:t>
            </w:r>
          </w:p>
        </w:tc>
        <w:tc>
          <w:tcPr>
            <w:tcW w:w="4000" w:type="dxa"/>
          </w:tcPr>
          <w:p>
            <w:pPr>
              <w:pStyle w:val="Normal"/>
              <w:spacing w:before="40" w:after="40"/>
              <w:ind w:firstLine="0"/>
            </w:pPr>
            <w:r>
              <w:rPr>
                <w:color w:val="263238"/>
                <w:sz w:val="20"/>
                <w:rFonts w:ascii="Calibri" w:hAnsi="Calibri" w:eastAsia="Microsoft YaHei" w:cs="Calibri"/>
                <w:szCs w:val="20"/>
              </w:rPr>
              <w:t>N/A; measure is scheduled for a future Phase</w:t>
            </w:r>
          </w:p>
        </w:tc>
      </w:tr>
    </w:tbl>
    <w:p>
      <w:pPr>
        <w:pStyle w:val="Heading2"/>
      </w:pPr>
      <w:r>
        <w:rPr>
          <w:rFonts w:ascii="Calibri" w:hAnsi="Calibri" w:eastAsia="Microsoft YaHei" w:cs="Calibri"/>
          <w:b/>
          <w:color w:val="263238"/>
          <w:sz w:val="28"/>
          <w:szCs w:val="28"/>
        </w:rPr>
        <w:t>4.3 Public Reporting</w:t>
      </w:r>
    </w:p>
    <w:p>
      <w:pPr>
        <w:pStyle w:val="Normal"/>
      </w:pPr>
      <w:r>
        <w:rPr>
          <w:rFonts w:ascii="Calibri" w:hAnsi="Calibri" w:eastAsia="Microsoft YaHei" w:cs="Calibri"/>
          <w:color w:val="263238"/>
          <w:sz w:val="22"/>
          <w:szCs w:val="22"/>
        </w:rPr>
        <w:t>The Dashboard publishes through the following channels:</w:t>
      </w:r>
    </w:p>
    <w:p>
      <w:pPr>
        <w:pStyle w:val="Normal"/>
        <w:spacing w:after="120"/>
        <w:ind w:left="720" w:hanging="360"/>
      </w:pPr>
      <w:r>
        <w:rPr>
          <w:b/>
          <w:rFonts w:ascii="Calibri" w:hAnsi="Calibri" w:eastAsia="Microsoft YaHei" w:cs="Calibri"/>
          <w:color w:val="263238"/>
          <w:sz w:val="22"/>
          <w:szCs w:val="22"/>
        </w:rPr>
        <w:t xml:space="preserve">1. JIC Public Portal: </w:t>
      </w:r>
      <w:r>
        <w:rPr>
          <w:rFonts w:ascii="Calibri" w:hAnsi="Calibri" w:eastAsia="Microsoft YaHei" w:cs="Calibri"/>
          <w:color w:val="263238"/>
          <w:sz w:val="22"/>
          <w:szCs w:val="22"/>
        </w:rPr>
        <w:t>The Dashboard appears on the JIC's public website in English, Farsi, and Arabic. The portal updates every Friday at 18:00 UTC.</w:t>
      </w:r>
    </w:p>
    <w:p>
      <w:pPr>
        <w:pStyle w:val="Normal"/>
        <w:spacing w:after="120"/>
        <w:ind w:left="720" w:hanging="360"/>
      </w:pPr>
      <w:r>
        <w:rPr>
          <w:b/>
          <w:rFonts w:ascii="Calibri" w:hAnsi="Calibri" w:eastAsia="Microsoft YaHei" w:cs="Calibri"/>
          <w:color w:val="263238"/>
          <w:sz w:val="22"/>
          <w:szCs w:val="22"/>
        </w:rPr>
        <w:t xml:space="preserve">2. IMO Submission: </w:t>
      </w:r>
      <w:r>
        <w:rPr>
          <w:rFonts w:ascii="Calibri" w:hAnsi="Calibri" w:eastAsia="Microsoft YaHei" w:cs="Calibri"/>
          <w:color w:val="263238"/>
          <w:sz w:val="22"/>
          <w:szCs w:val="22"/>
        </w:rPr>
        <w:t>The JIC submits the Dashboard to the IMO monthly as part of the formal compliance reporting package.</w:t>
      </w:r>
    </w:p>
    <w:p>
      <w:pPr>
        <w:pStyle w:val="Normal"/>
        <w:spacing w:after="120"/>
        <w:ind w:left="720" w:hanging="360"/>
      </w:pPr>
      <w:r>
        <w:rPr>
          <w:b/>
          <w:rFonts w:ascii="Calibri" w:hAnsi="Calibri" w:eastAsia="Microsoft YaHei" w:cs="Calibri"/>
          <w:color w:val="263238"/>
          <w:sz w:val="22"/>
          <w:szCs w:val="22"/>
        </w:rPr>
        <w:t xml:space="preserve">3. Diplomatic Distribution: </w:t>
      </w:r>
      <w:r>
        <w:rPr>
          <w:rFonts w:ascii="Calibri" w:hAnsi="Calibri" w:eastAsia="Microsoft YaHei" w:cs="Calibri"/>
          <w:color w:val="263238"/>
          <w:sz w:val="22"/>
          <w:szCs w:val="22"/>
        </w:rPr>
        <w:t>The JIC shares the Dashboard with all Parties' diplomatic missions in Muscat within 24 hours of publication.</w:t>
      </w:r>
    </w:p>
    <w:p>
      <w:pPr>
        <w:pStyle w:val="Normal"/>
        <w:spacing w:after="120"/>
        <w:ind w:left="720" w:hanging="360"/>
      </w:pPr>
      <w:r>
        <w:rPr>
          <w:b/>
          <w:rFonts w:ascii="Calibri" w:hAnsi="Calibri" w:eastAsia="Microsoft YaHei" w:cs="Calibri"/>
          <w:color w:val="263238"/>
          <w:sz w:val="22"/>
          <w:szCs w:val="22"/>
        </w:rPr>
        <w:t xml:space="preserve">4. Pre-Publication Review: </w:t>
      </w:r>
      <w:r>
        <w:rPr>
          <w:rFonts w:ascii="Calibri" w:hAnsi="Calibri" w:eastAsia="Microsoft YaHei" w:cs="Calibri"/>
          <w:color w:val="263238"/>
          <w:sz w:val="22"/>
          <w:szCs w:val="22"/>
        </w:rPr>
        <w:t>Each Party receives a 24-hour pre-publication window to review the Dashboard for factual accuracy. This window is not a veto; it is a courtesy review. The JIC publishes on schedule unless a demonstrable factual error exists.</w:t>
      </w:r>
    </w:p>
    <w:p>
      <w:pPr>
        <w:pStyle w:val="Heading2"/>
      </w:pPr>
      <w:r>
        <w:rPr>
          <w:rFonts w:ascii="Calibri" w:hAnsi="Calibri" w:eastAsia="Microsoft YaHei" w:cs="Calibri"/>
          <w:b/>
          <w:color w:val="263238"/>
          <w:sz w:val="28"/>
          <w:szCs w:val="28"/>
        </w:rPr>
        <w:t>4.4 Audit Trail</w:t>
      </w:r>
    </w:p>
    <w:p>
      <w:pPr>
        <w:pStyle w:val="Normal"/>
      </w:pPr>
      <w:r>
        <w:rPr>
          <w:rFonts w:ascii="Calibri" w:hAnsi="Calibri" w:eastAsia="Microsoft YaHei" w:cs="Calibri"/>
          <w:color w:val="263238"/>
          <w:sz w:val="20"/>
          <w:szCs w:val="22"/>
        </w:rPr>
        <w:t xml:space="preserve">All status changes are logged in the Dashboard's audit trail. The audit trail includes: previous status; new status; date and time of change; reason for change; verifying source. The audit trail is immutable ;  no Party deletes or modifies audit entries. The audit trail is publicly accessible on the JIC website and exportable in CSV and PDF formats.</w:t>
      </w:r>
    </w:p>
    <w:p>
      <w:pPr>
        <w:pStyle w:val="Normal"/>
      </w:pPr>
      <w:r>
        <w:rPr>
          <w:rFonts w:ascii="Calibri" w:hAnsi="Calibri" w:eastAsia="Microsoft YaHei" w:cs="Calibri"/>
          <w:color w:val="263238"/>
          <w:sz w:val="20"/>
          <w:szCs w:val="22"/>
          <w:b/>
        </w:rPr>
        <w:t xml:space="preserve">Status Transition Rules: </w:t>
      </w:r>
      <w:r>
        <w:rPr>
          <w:rFonts w:ascii="Calibri" w:hAnsi="Calibri" w:eastAsia="Microsoft YaHei" w:cs="Calibri"/>
          <w:color w:val="263238"/>
          <w:sz w:val="20"/>
          <w:szCs w:val="22"/>
        </w:rPr>
        <w:t>Green to Yellow requires JIC notification within 24 hours. Yellow to Red requires JIC emergency session within 72 hours. Red to Yellow requires JIC certification of remediation. Yellow to Green requires 7 consecutive days of compliance. White to Green requires JIC certification of Phase activation.</w:t>
      </w:r>
    </w:p>
    <w:p>
      <w:pPr>
        <w:pStyle w:val="Heading2"/>
      </w:pPr>
      <w:r>
        <w:rPr>
          <w:rFonts w:ascii="Calibri" w:hAnsi="Calibri" w:eastAsia="Microsoft YaHei" w:cs="Calibri"/>
          <w:b/>
          <w:color w:val="263238"/>
          <w:sz w:val="28"/>
          <w:szCs w:val="28"/>
        </w:rPr>
        <w:t>4.5 Technical Working Group Verification Protocol</w:t>
      </w:r>
    </w:p>
    <w:p>
      <w:pPr>
        <w:pStyle w:val="Normal"/>
      </w:pPr>
      <w:r>
        <w:rPr>
          <w:rFonts w:ascii="Calibri" w:hAnsi="Calibri" w:eastAsia="Microsoft YaHei" w:cs="Calibri"/>
          <w:color w:val="263238"/>
          <w:sz w:val="20"/>
          <w:szCs w:val="22"/>
          <w:b/>
        </w:rPr>
        <w:t xml:space="preserve">Verification Authority: </w:t>
      </w:r>
      <w:r>
        <w:rPr>
          <w:rFonts w:ascii="Calibri" w:hAnsi="Calibri" w:eastAsia="Microsoft YaHei" w:cs="Calibri"/>
          <w:color w:val="263238"/>
          <w:sz w:val="20"/>
          <w:szCs w:val="22"/>
        </w:rPr>
        <w:t>The Technical Working Group (TWG) is the primary verification authority for all Phase measures. The TWG reports to the JIC and provides independent, objective assessments of compliance.</w:t>
      </w:r>
    </w:p>
    <w:p>
      <w:pPr>
        <w:pStyle w:val="Normal"/>
      </w:pPr>
      <w:r>
        <w:rPr>
          <w:rFonts w:ascii="Calibri" w:hAnsi="Calibri" w:eastAsia="Microsoft YaHei" w:cs="Calibri"/>
          <w:color w:val="263238"/>
          <w:sz w:val="20"/>
          <w:szCs w:val="22"/>
          <w:b/>
        </w:rPr>
        <w:t xml:space="preserve">Verification Standard: </w:t>
      </w:r>
      <w:r>
        <w:rPr>
          <w:rFonts w:ascii="Calibri" w:hAnsi="Calibri" w:eastAsia="Microsoft YaHei" w:cs="Calibri"/>
          <w:color w:val="263238"/>
          <w:sz w:val="20"/>
          <w:szCs w:val="22"/>
        </w:rPr>
        <w:t>Compliance is verified when at least two independent monitoring sources are consistent. Consistency means the data values fall within the measurement tolerance defined for each metric. The TWG defines measurement tolerances in the Standard Operating Procedures (SOPs) and reviews tolerances quarterly.</w:t>
      </w:r>
    </w:p>
    <w:p>
      <w:pPr>
        <w:pStyle w:val="Normal"/>
      </w:pPr>
      <w:r>
        <w:rPr>
          <w:rFonts w:ascii="Calibri" w:hAnsi="Calibri" w:eastAsia="Microsoft YaHei" w:cs="Calibri"/>
          <w:color w:val="263238"/>
          <w:sz w:val="20"/>
          <w:szCs w:val="22"/>
          <w:b/>
        </w:rPr>
        <w:t xml:space="preserve">Monitoring Sources (Priority Order): </w:t>
      </w:r>
      <w:r>
        <w:rPr>
          <w:rFonts w:ascii="Calibri" w:hAnsi="Calibri" w:eastAsia="Microsoft YaHei" w:cs="Calibri"/>
          <w:color w:val="263238"/>
          <w:sz w:val="20"/>
          <w:szCs w:val="22"/>
        </w:rPr>
        <w:t>Priority 1: VTS Logs (radar, AIS, communications logs). Priority 2: Satellite Imagery (optical and Synthetic Aperture Radar). Priority 3: On-Site Observation (Omani or IMO representatives). Priority 4: Mutual Notification (Party-provided notifications). Priority 5: Other sources as approved by the JIC.</w:t>
      </w:r>
    </w:p>
    <w:p>
      <w:pPr>
        <w:pStyle w:val="Normal"/>
      </w:pPr>
      <w:r>
        <w:rPr>
          <w:rFonts w:ascii="Calibri" w:hAnsi="Calibri" w:eastAsia="Microsoft YaHei" w:cs="Calibri"/>
          <w:color w:val="263238"/>
          <w:sz w:val="20"/>
          <w:szCs w:val="22"/>
          <w:b/>
        </w:rPr>
        <w:t xml:space="preserve">Verification Timelines: </w:t>
      </w:r>
      <w:r>
        <w:rPr>
          <w:rFonts w:ascii="Calibri" w:hAnsi="Calibri" w:eastAsia="Microsoft YaHei" w:cs="Calibri"/>
          <w:color w:val="263238"/>
          <w:sz w:val="20"/>
          <w:szCs w:val="22"/>
        </w:rPr>
        <w:t>Routine (Green/Yellow) verification completes within 48 hours. Compliance Alert (Yellow) verification completes within 24 hours. Violation (Red) verification completes within 12 hours. Emergency verification completes within 6 hours.</w:t>
      </w:r>
    </w:p>
    <w:p>
      <w:pPr>
        <w:pStyle w:val="Normal"/>
      </w:pPr>
      <w:r>
        <w:rPr>
          <w:rFonts w:ascii="Calibri" w:hAnsi="Calibri" w:eastAsia="Microsoft YaHei" w:cs="Calibri"/>
          <w:color w:val="263238"/>
          <w:sz w:val="20"/>
          <w:szCs w:val="22"/>
          <w:b/>
        </w:rPr>
        <w:t xml:space="preserve">Verification Disputes: </w:t>
      </w:r>
      <w:r>
        <w:rPr>
          <w:rFonts w:ascii="Calibri" w:hAnsi="Calibri" w:eastAsia="Microsoft YaHei" w:cs="Calibri"/>
          <w:color w:val="263238"/>
          <w:sz w:val="20"/>
          <w:szCs w:val="22"/>
        </w:rPr>
        <w:t>If a Party disputes a TWG verification finding, the Party submits a written challenge within 14 days specifying the finding, evidence, and proposed alternative. The TWG reviews the challenge and issues a final finding within 14 days. If the Party disputes the final finding, the matter is referred to binding arbitration under Section 7. The arbitration ruling is due within 30 days.</w:t>
      </w:r>
    </w:p>
    <w:p>
      <w:pPr>
        <w:pStyle w:val="Normal"/>
      </w:pPr>
      <w:r>
        <w:rPr>
          <w:rFonts w:ascii="Calibri" w:hAnsi="Calibri" w:eastAsia="Microsoft YaHei" w:cs="Calibri"/>
          <w:color w:val="263238"/>
          <w:sz w:val="20"/>
          <w:szCs w:val="22"/>
          <w:b/>
        </w:rPr>
        <w:t xml:space="preserve">Verification Certification: </w:t>
      </w:r>
      <w:r>
        <w:rPr>
          <w:rFonts w:ascii="Calibri" w:hAnsi="Calibri" w:eastAsia="Microsoft YaHei" w:cs="Calibri"/>
          <w:color w:val="263238"/>
          <w:sz w:val="20"/>
          <w:szCs w:val="22"/>
        </w:rPr>
        <w:t>The TWG issues a Verification Certificate for each Phase including: the Phase number and name; each measure's compliance status; the monitoring sources used; any disputes and their resolution; the TWG's recommendation for Phase progression. The Certificate is submitted to the JIC and published in the Compliance Dashboard.</w:t>
      </w:r>
    </w:p>
    <w:p>
      <w:pPr>
        <w:pStyle w:val="Normal"/>
        <w:pageBreakBefore/>
      </w:pPr>
    </w:p>
    <w:p>
      <w:pPr>
        <w:pStyle w:val="Heading1"/>
      </w:pPr>
      <w:bookmarkStart w:name="_Toc005" w:id="6"/>
      <w:r>
        <w:rPr>
          <w:rFonts w:ascii="Calibri" w:hAnsi="Calibri" w:eastAsia="Microsoft YaHei" w:cs="Calibri"/>
          <w:b/>
          <w:color w:val="37474F"/>
          <w:sz w:val="40"/>
          <w:szCs w:val="40"/>
        </w:rPr>
        <w:t>SECTION 5: ROLE OF OMAN AS NEUTRAL GUARANTOR</w:t>
      </w:r>
      <w:bookmarkEnd w:id="6"/>
    </w:p>
    <w:p>
      <w:pPr>
        <w:pStyle w:val="Heading2"/>
      </w:pPr>
      <w:r>
        <w:rPr>
          <w:rFonts w:ascii="Calibri" w:hAnsi="Calibri" w:eastAsia="Microsoft YaHei" w:cs="Calibri"/>
          <w:b/>
          <w:color w:val="263238"/>
          <w:sz w:val="28"/>
          <w:szCs w:val="28"/>
        </w:rPr>
        <w:t>5.1 Omani Monitoring</w:t>
      </w:r>
    </w:p>
    <w:p>
      <w:pPr>
        <w:pStyle w:val="Heading3"/>
      </w:pPr>
      <w:r>
        <w:rPr>
          <w:rFonts w:ascii="Calibri" w:hAnsi="Calibri" w:eastAsia="Microsoft YaHei" w:cs="Calibri"/>
          <w:b/>
          <w:color w:val="546E7A"/>
          <w:sz w:val="24"/>
          <w:szCs w:val="24"/>
        </w:rPr>
        <w:t>5.1.1 Designation</w:t>
      </w:r>
    </w:p>
    <w:p>
      <w:pPr>
        <w:pStyle w:val="Normal"/>
      </w:pPr>
      <w:r>
        <w:rPr>
          <w:rFonts w:ascii="Calibri" w:hAnsi="Calibri" w:eastAsia="Microsoft YaHei" w:cs="Calibri"/>
          <w:color w:val="263238"/>
          <w:sz w:val="22"/>
          <w:szCs w:val="22"/>
        </w:rPr>
        <w:t>Oman is designated as the Neutral Guarantor of this Annex. This designation recognizes Oman's unique geographic position, its historical role as a mediator in regional disputes, and its status as a non-aligned party to the HSU framework. The Neutral Guarantor role is advisory and facilitative, not supervisory or coercive.</w:t>
      </w:r>
    </w:p>
    <w:p>
      <w:pPr>
        <w:pStyle w:val="Heading3"/>
      </w:pPr>
      <w:r>
        <w:rPr>
          <w:rFonts w:ascii="Calibri" w:hAnsi="Calibri" w:eastAsia="Microsoft YaHei" w:cs="Calibri"/>
          <w:b/>
          <w:color w:val="546E7A"/>
          <w:sz w:val="24"/>
          <w:szCs w:val="24"/>
        </w:rPr>
        <w:t>5.1.2 Monitoring Functions</w:t>
      </w:r>
    </w:p>
    <w:p>
      <w:pPr>
        <w:pStyle w:val="Normal"/>
      </w:pPr>
      <w:r>
        <w:rPr>
          <w:rFonts w:ascii="Calibri" w:hAnsi="Calibri" w:eastAsia="Microsoft YaHei" w:cs="Calibri"/>
          <w:color w:val="263238"/>
          <w:sz w:val="22"/>
          <w:szCs w:val="22"/>
        </w:rPr>
        <w:t>Oman performs the following monitoring functions under this Annex:</w:t>
      </w:r>
    </w:p>
    <w:p>
      <w:pPr>
        <w:pStyle w:val="Normal"/>
        <w:spacing w:after="120"/>
        <w:ind w:left="720" w:hanging="360"/>
      </w:pPr>
      <w:r>
        <w:rPr>
          <w:b/>
          <w:rFonts w:ascii="Calibri" w:hAnsi="Calibri" w:eastAsia="Microsoft YaHei" w:cs="Calibri"/>
          <w:color w:val="263238"/>
          <w:sz w:val="22"/>
          <w:szCs w:val="22"/>
        </w:rPr>
        <w:t xml:space="preserve">1. JERC Observer: </w:t>
      </w:r>
      <w:r>
        <w:rPr>
          <w:rFonts w:ascii="Calibri" w:hAnsi="Calibri" w:eastAsia="Microsoft YaHei" w:cs="Calibri"/>
          <w:color w:val="263238"/>
          <w:sz w:val="22"/>
          <w:szCs w:val="22"/>
        </w:rPr>
        <w:t>Oman maintains a permanent observer in the Joint Emergency Response Cell (JERC) in Muscat. The observer receives all JERC communications and participates in JERC coordination activities.</w:t>
      </w:r>
    </w:p>
    <w:p>
      <w:pPr>
        <w:pStyle w:val="Normal"/>
        <w:spacing w:after="120"/>
        <w:ind w:left="720" w:hanging="360"/>
      </w:pPr>
      <w:r>
        <w:rPr>
          <w:b/>
          <w:rFonts w:ascii="Calibri" w:hAnsi="Calibri" w:eastAsia="Microsoft YaHei" w:cs="Calibri"/>
          <w:color w:val="263238"/>
          <w:sz w:val="22"/>
          <w:szCs w:val="22"/>
        </w:rPr>
        <w:t xml:space="preserve">2. Independent Verification: </w:t>
      </w:r>
      <w:r>
        <w:rPr>
          <w:rFonts w:ascii="Calibri" w:hAnsi="Calibri" w:eastAsia="Microsoft YaHei" w:cs="Calibri"/>
          <w:color w:val="263238"/>
          <w:sz w:val="22"/>
          <w:szCs w:val="22"/>
        </w:rPr>
        <w:t>Oman conducts independent verification of Phase measures using satellite imagery, AIS/VTS data (with consent of the Parties), and on-site observation where feasible.</w:t>
      </w:r>
    </w:p>
    <w:p>
      <w:pPr>
        <w:pStyle w:val="Normal"/>
        <w:spacing w:after="120"/>
        <w:ind w:left="720" w:hanging="360"/>
      </w:pPr>
      <w:r>
        <w:rPr>
          <w:b/>
          <w:rFonts w:ascii="Calibri" w:hAnsi="Calibri" w:eastAsia="Microsoft YaHei" w:cs="Calibri"/>
          <w:color w:val="263238"/>
          <w:sz w:val="22"/>
          <w:szCs w:val="22"/>
        </w:rPr>
        <w:t xml:space="preserve">3. Monthly Reports: </w:t>
      </w:r>
      <w:r>
        <w:rPr>
          <w:rFonts w:ascii="Calibri" w:hAnsi="Calibri" w:eastAsia="Microsoft YaHei" w:cs="Calibri"/>
          <w:color w:val="263238"/>
          <w:sz w:val="22"/>
          <w:szCs w:val="22"/>
        </w:rPr>
        <w:t>Oman provides monthly verification reports to the JIC. These reports supplement, but do not replace, the JIC's own verification processes.</w:t>
      </w:r>
    </w:p>
    <w:p>
      <w:pPr>
        <w:pStyle w:val="Heading3"/>
      </w:pPr>
      <w:r>
        <w:rPr>
          <w:rFonts w:ascii="Calibri" w:hAnsi="Calibri" w:eastAsia="Microsoft YaHei" w:cs="Calibri"/>
          <w:b/>
          <w:color w:val="546E7A"/>
          <w:sz w:val="24"/>
          <w:szCs w:val="24"/>
        </w:rPr>
        <w:t>5.1.3 Impartiality Standard</w:t>
      </w:r>
    </w:p>
    <w:p>
      <w:pPr>
        <w:pStyle w:val="Normal"/>
      </w:pPr>
      <w:r>
        <w:rPr>
          <w:rFonts w:ascii="Calibri" w:hAnsi="Calibri" w:eastAsia="Microsoft YaHei" w:cs="Calibri"/>
          <w:color w:val="263238"/>
          <w:sz w:val="20"/>
          <w:szCs w:val="22"/>
          <w:b/>
        </w:rPr>
        <w:t xml:space="preserve">(a) Neutrality Requirement: </w:t>
      </w:r>
      <w:r>
        <w:rPr>
          <w:rFonts w:ascii="Calibri" w:hAnsi="Calibri" w:eastAsia="Microsoft YaHei" w:cs="Calibri"/>
          <w:color w:val="263238"/>
          <w:sz w:val="20"/>
          <w:szCs w:val="22"/>
        </w:rPr>
        <w:t>The Omani facilitator acts with strict impartiality in all matters under this Annex. Oman does not favor, disadvantage, or discriminate against any Party.</w:t>
      </w:r>
    </w:p>
    <w:p>
      <w:pPr>
        <w:pStyle w:val="Normal"/>
      </w:pPr>
      <w:r>
        <w:rPr>
          <w:rFonts w:ascii="Calibri" w:hAnsi="Calibri" w:eastAsia="Microsoft YaHei" w:cs="Calibri"/>
          <w:color w:val="263238"/>
          <w:sz w:val="20"/>
          <w:szCs w:val="22"/>
          <w:b/>
        </w:rPr>
        <w:t xml:space="preserve">(b) Conflict of Interest Disclosure: </w:t>
      </w:r>
      <w:r>
        <w:rPr>
          <w:rFonts w:ascii="Calibri" w:hAnsi="Calibri" w:eastAsia="Microsoft YaHei" w:cs="Calibri"/>
          <w:color w:val="263238"/>
          <w:sz w:val="20"/>
          <w:szCs w:val="22"/>
        </w:rPr>
        <w:t>Oman discloses any actual or potential conflict of interest to the JIC. Conflicts include: commercial or financial interests in the Strait; family or personal relationships with Party officials; economic dependence on any Party; political or military alliances with any Party.</w:t>
      </w:r>
    </w:p>
    <w:p>
      <w:pPr>
        <w:pStyle w:val="Normal"/>
      </w:pPr>
      <w:r>
        <w:rPr>
          <w:rFonts w:ascii="Calibri" w:hAnsi="Calibri" w:eastAsia="Microsoft YaHei" w:cs="Calibri"/>
          <w:color w:val="263238"/>
          <w:sz w:val="20"/>
          <w:szCs w:val="22"/>
          <w:b/>
        </w:rPr>
        <w:t xml:space="preserve">(c) Impartiality Review: </w:t>
      </w:r>
      <w:r>
        <w:rPr>
          <w:rFonts w:ascii="Calibri" w:hAnsi="Calibri" w:eastAsia="Microsoft YaHei" w:cs="Calibri"/>
          <w:color w:val="263238"/>
          <w:sz w:val="20"/>
          <w:szCs w:val="22"/>
        </w:rPr>
        <w:t>The JIC reviews Oman's impartiality annually, assessing compliance with the impartiality standard and any actual or perceived bias.</w:t>
      </w:r>
    </w:p>
    <w:p>
      <w:pPr>
        <w:pStyle w:val="Normal"/>
      </w:pPr>
      <w:r>
        <w:rPr>
          <w:rFonts w:ascii="Calibri" w:hAnsi="Calibri" w:eastAsia="Microsoft YaHei" w:cs="Calibri"/>
          <w:color w:val="263238"/>
          <w:sz w:val="20"/>
          <w:szCs w:val="22"/>
          <w:b/>
        </w:rPr>
        <w:t xml:space="preserve">(d) Impartiality Challenge: </w:t>
      </w:r>
      <w:r>
        <w:rPr>
          <w:rFonts w:ascii="Calibri" w:hAnsi="Calibri" w:eastAsia="Microsoft YaHei" w:cs="Calibri"/>
          <w:color w:val="263238"/>
          <w:sz w:val="20"/>
          <w:szCs w:val="22"/>
        </w:rPr>
        <w:t>Either Party challenges Oman's impartiality by submitting a written request to the JIC specifying the basis, evidence, and proposed remedy. The JIC reviews the challenge within 14 days. If the JIC finds merit, Oman recuses itself and appoints an alternate facilitator. If the JIC finds no merit, the challenger triggers a Level 1 violation.</w:t>
      </w:r>
    </w:p>
    <w:p>
      <w:pPr>
        <w:pStyle w:val="Heading2"/>
      </w:pPr>
      <w:r>
        <w:rPr>
          <w:rFonts w:ascii="Calibri" w:hAnsi="Calibri" w:eastAsia="Microsoft YaHei" w:cs="Calibri"/>
          <w:b/>
          <w:color w:val="263238"/>
          <w:sz w:val="28"/>
          <w:szCs w:val="28"/>
        </w:rPr>
        <w:t>5.2 Good Offices</w:t>
      </w:r>
    </w:p>
    <w:p>
      <w:pPr>
        <w:pStyle w:val="Heading3"/>
      </w:pPr>
      <w:r>
        <w:rPr>
          <w:rFonts w:ascii="Calibri" w:hAnsi="Calibri" w:eastAsia="Microsoft YaHei" w:cs="Calibri"/>
          <w:b/>
          <w:color w:val="546E7A"/>
          <w:sz w:val="24"/>
          <w:szCs w:val="24"/>
        </w:rPr>
        <w:t>5.2.1 Mediation Role</w:t>
      </w:r>
    </w:p>
    <w:p>
      <w:pPr>
        <w:pStyle w:val="Normal"/>
      </w:pPr>
      <w:r>
        <w:rPr>
          <w:rFonts w:ascii="Calibri" w:hAnsi="Calibri" w:eastAsia="Microsoft YaHei" w:cs="Calibri"/>
          <w:color w:val="263238"/>
          <w:sz w:val="22"/>
          <w:szCs w:val="22"/>
        </w:rPr>
        <w:t>In the event of a dispute regarding compliance or reversal, Oman offers its good offices to facilitate resolution. Oman's mediation role includes:</w:t>
      </w:r>
    </w:p>
    <w:p>
      <w:pPr>
        <w:pStyle w:val="Normal"/>
        <w:spacing w:after="120"/>
        <w:ind w:left="720" w:hanging="360"/>
      </w:pPr>
      <w:r>
        <w:rPr>
          <w:b/>
          <w:rFonts w:ascii="Calibri" w:hAnsi="Calibri" w:eastAsia="Microsoft YaHei" w:cs="Calibri"/>
          <w:color w:val="263238"/>
          <w:sz w:val="22"/>
          <w:szCs w:val="22"/>
        </w:rPr>
        <w:t xml:space="preserve">1. Facilitation: </w:t>
      </w:r>
      <w:r>
        <w:rPr>
          <w:rFonts w:ascii="Calibri" w:hAnsi="Calibri" w:eastAsia="Microsoft YaHei" w:cs="Calibri"/>
          <w:color w:val="263238"/>
          <w:sz w:val="22"/>
          <w:szCs w:val="22"/>
        </w:rPr>
        <w:t>Oman convenes informal consultations between the Parties at the request of either Party or the JIC.</w:t>
      </w:r>
    </w:p>
    <w:p>
      <w:pPr>
        <w:pStyle w:val="Normal"/>
        <w:spacing w:after="120"/>
        <w:ind w:left="720" w:hanging="360"/>
      </w:pPr>
      <w:r>
        <w:rPr>
          <w:b/>
          <w:rFonts w:ascii="Calibri" w:hAnsi="Calibri" w:eastAsia="Microsoft YaHei" w:cs="Calibri"/>
          <w:color w:val="263238"/>
          <w:sz w:val="22"/>
          <w:szCs w:val="22"/>
        </w:rPr>
        <w:t xml:space="preserve">2. Shuttle Diplomacy: </w:t>
      </w:r>
      <w:r>
        <w:rPr>
          <w:rFonts w:ascii="Calibri" w:hAnsi="Calibri" w:eastAsia="Microsoft YaHei" w:cs="Calibri"/>
          <w:color w:val="263238"/>
          <w:sz w:val="22"/>
          <w:szCs w:val="22"/>
        </w:rPr>
        <w:t>The Omani facilitator engages in shuttle diplomacy between the Parties, transmitting proposals and counter-proposals without requiring face-to-face sessions.</w:t>
      </w:r>
    </w:p>
    <w:p>
      <w:pPr>
        <w:pStyle w:val="Normal"/>
        <w:spacing w:after="120"/>
        <w:ind w:left="720" w:hanging="360"/>
      </w:pPr>
      <w:r>
        <w:rPr>
          <w:b/>
          <w:rFonts w:ascii="Calibri" w:hAnsi="Calibri" w:eastAsia="Microsoft YaHei" w:cs="Calibri"/>
          <w:color w:val="263238"/>
          <w:sz w:val="22"/>
          <w:szCs w:val="22"/>
        </w:rPr>
        <w:t xml:space="preserve">3. Non-Imposition: </w:t>
      </w:r>
      <w:r>
        <w:rPr>
          <w:rFonts w:ascii="Calibri" w:hAnsi="Calibri" w:eastAsia="Microsoft YaHei" w:cs="Calibri"/>
          <w:color w:val="263238"/>
          <w:sz w:val="22"/>
          <w:szCs w:val="22"/>
        </w:rPr>
        <w:t>Oman does not impose any solution. The Parties retain final authority over all substantive decisions. Oman's role is procedural, not substantive.</w:t>
      </w:r>
    </w:p>
    <w:p>
      <w:pPr>
        <w:pStyle w:val="Heading3"/>
      </w:pPr>
      <w:r>
        <w:rPr>
          <w:rFonts w:ascii="Calibri" w:hAnsi="Calibri" w:eastAsia="Microsoft YaHei" w:cs="Calibri"/>
          <w:b/>
          <w:color w:val="546E7A"/>
          <w:sz w:val="24"/>
          <w:szCs w:val="24"/>
        </w:rPr>
        <w:t>5.2.2 Certification Authority</w:t>
      </w:r>
    </w:p>
    <w:p>
      <w:pPr>
        <w:pStyle w:val="Normal"/>
      </w:pPr>
      <w:r>
        <w:rPr>
          <w:rFonts w:ascii="Calibri" w:hAnsi="Calibri" w:eastAsia="Microsoft YaHei" w:cs="Calibri"/>
          <w:color w:val="263238"/>
          <w:sz w:val="22"/>
          <w:szCs w:val="22"/>
        </w:rPr>
        <w:t>Oman provides formal certification of the following:</w:t>
      </w:r>
    </w:p>
    <w:p>
      <w:pPr>
        <w:pStyle w:val="Normal"/>
        <w:spacing w:after="120"/>
        <w:ind w:left="720" w:hanging="360"/>
      </w:pPr>
      <w:r>
        <w:rPr>
          <w:b/>
          <w:rFonts w:ascii="Calibri" w:hAnsi="Calibri" w:eastAsia="Microsoft YaHei" w:cs="Calibri"/>
          <w:color w:val="263238"/>
          <w:sz w:val="22"/>
          <w:szCs w:val="22"/>
        </w:rPr>
        <w:t xml:space="preserve">1. Phase Completion: </w:t>
      </w:r>
      <w:r>
        <w:rPr>
          <w:rFonts w:ascii="Calibri" w:hAnsi="Calibri" w:eastAsia="Microsoft YaHei" w:cs="Calibri"/>
          <w:color w:val="263238"/>
          <w:sz w:val="22"/>
          <w:szCs w:val="22"/>
        </w:rPr>
        <w:t>Oman certifies that a Phase has achieved completion based on its independent verification. This certification is advisory; the JIC retains final certification authority.</w:t>
      </w:r>
    </w:p>
    <w:p>
      <w:pPr>
        <w:pStyle w:val="Normal"/>
        <w:spacing w:after="120"/>
        <w:ind w:left="720" w:hanging="360"/>
      </w:pPr>
      <w:r>
        <w:rPr>
          <w:b/>
          <w:rFonts w:ascii="Calibri" w:hAnsi="Calibri" w:eastAsia="Microsoft YaHei" w:cs="Calibri"/>
          <w:color w:val="263238"/>
          <w:sz w:val="22"/>
          <w:szCs w:val="22"/>
        </w:rPr>
        <w:t xml:space="preserve">2. Compliance Verification: </w:t>
      </w:r>
      <w:r>
        <w:rPr>
          <w:rFonts w:ascii="Calibri" w:hAnsi="Calibri" w:eastAsia="Microsoft YaHei" w:cs="Calibri"/>
          <w:color w:val="263238"/>
          <w:sz w:val="22"/>
          <w:szCs w:val="22"/>
        </w:rPr>
        <w:t>Oman certifies compliance with specific measures based on its independent monitoring.</w:t>
      </w:r>
    </w:p>
    <w:p>
      <w:pPr>
        <w:pStyle w:val="Normal"/>
        <w:spacing w:after="120"/>
        <w:ind w:left="720" w:hanging="360"/>
      </w:pPr>
      <w:r>
        <w:rPr>
          <w:b/>
          <w:rFonts w:ascii="Calibri" w:hAnsi="Calibri" w:eastAsia="Microsoft YaHei" w:cs="Calibri"/>
          <w:color w:val="263238"/>
          <w:sz w:val="22"/>
          <w:szCs w:val="22"/>
        </w:rPr>
        <w:t xml:space="preserve">3. Reversal Verification: </w:t>
      </w:r>
      <w:r>
        <w:rPr>
          <w:rFonts w:ascii="Calibri" w:hAnsi="Calibri" w:eastAsia="Microsoft YaHei" w:cs="Calibri"/>
          <w:color w:val="263238"/>
          <w:sz w:val="22"/>
          <w:szCs w:val="22"/>
        </w:rPr>
        <w:t>Oman verifies that a reversal has been executed in accordance with Section 3 of this Annex.</w:t>
      </w:r>
    </w:p>
    <w:p>
      <w:pPr>
        <w:pStyle w:val="Heading2"/>
      </w:pPr>
      <w:r>
        <w:rPr>
          <w:rFonts w:ascii="Calibri" w:hAnsi="Calibri" w:eastAsia="Microsoft YaHei" w:cs="Calibri"/>
          <w:b/>
          <w:color w:val="263238"/>
          <w:sz w:val="28"/>
          <w:szCs w:val="28"/>
        </w:rPr>
        <w:t>5.3 Escalation to the JIC</w:t>
      </w:r>
    </w:p>
    <w:p>
      <w:pPr>
        <w:pStyle w:val="Normal"/>
      </w:pPr>
      <w:r>
        <w:rPr>
          <w:rFonts w:ascii="Calibri" w:hAnsi="Calibri" w:eastAsia="Microsoft YaHei" w:cs="Calibri"/>
          <w:color w:val="263238"/>
          <w:sz w:val="22"/>
          <w:szCs w:val="22"/>
        </w:rPr>
        <w:t>If Oman determines that a Party is materially non-compliant with its obligations under this Annex, the following sequence activates:</w:t>
      </w:r>
    </w:p>
    <w:p>
      <w:pPr>
        <w:pStyle w:val="Normal"/>
        <w:spacing w:after="120"/>
        <w:ind w:left="720" w:hanging="360"/>
      </w:pPr>
      <w:r>
        <w:rPr>
          <w:b/>
          <w:rFonts w:ascii="Calibri" w:hAnsi="Calibri" w:eastAsia="Microsoft YaHei" w:cs="Calibri"/>
          <w:color w:val="263238"/>
          <w:sz w:val="22"/>
          <w:szCs w:val="22"/>
        </w:rPr>
        <w:t xml:space="preserve">1. Formal Notification: </w:t>
      </w:r>
      <w:r>
        <w:rPr>
          <w:rFonts w:ascii="Calibri" w:hAnsi="Calibri" w:eastAsia="Microsoft YaHei" w:cs="Calibri"/>
          <w:color w:val="263238"/>
          <w:sz w:val="22"/>
          <w:szCs w:val="22"/>
        </w:rPr>
        <w:t>Oman submits a formal notification to the JIC specifying the measure, the nature of the non-compliance, and the evidence supporting the determination.</w:t>
      </w:r>
    </w:p>
    <w:p>
      <w:pPr>
        <w:pStyle w:val="Normal"/>
        <w:spacing w:after="120"/>
        <w:ind w:left="720" w:hanging="360"/>
      </w:pPr>
      <w:r>
        <w:rPr>
          <w:b/>
          <w:rFonts w:ascii="Calibri" w:hAnsi="Calibri" w:eastAsia="Microsoft YaHei" w:cs="Calibri"/>
          <w:color w:val="263238"/>
          <w:sz w:val="22"/>
          <w:szCs w:val="22"/>
        </w:rPr>
        <w:t xml:space="preserve">2. JIC Review: </w:t>
      </w:r>
      <w:r>
        <w:rPr>
          <w:rFonts w:ascii="Calibri" w:hAnsi="Calibri" w:eastAsia="Microsoft YaHei" w:cs="Calibri"/>
          <w:color w:val="263238"/>
          <w:sz w:val="22"/>
          <w:szCs w:val="22"/>
        </w:rPr>
        <w:t>The JIC convenes within 7 days to review Oman's notification. Both Parties receive copies of the notification and have the right to present their positions.</w:t>
      </w:r>
    </w:p>
    <w:p>
      <w:pPr>
        <w:pStyle w:val="Normal"/>
        <w:spacing w:after="120"/>
        <w:ind w:left="720" w:hanging="360"/>
      </w:pPr>
      <w:r>
        <w:rPr>
          <w:b/>
          <w:rFonts w:ascii="Calibri" w:hAnsi="Calibri" w:eastAsia="Microsoft YaHei" w:cs="Calibri"/>
          <w:color w:val="263238"/>
          <w:sz w:val="22"/>
          <w:szCs w:val="22"/>
        </w:rPr>
        <w:t xml:space="preserve">3. Graduated Response: </w:t>
      </w:r>
      <w:r>
        <w:rPr>
          <w:rFonts w:ascii="Calibri" w:hAnsi="Calibri" w:eastAsia="Microsoft YaHei" w:cs="Calibri"/>
          <w:color w:val="263238"/>
          <w:sz w:val="22"/>
          <w:szCs w:val="22"/>
        </w:rPr>
        <w:t>If the JIC confirms material non-compliance, the graduated response mechanism under HSU Article 8 triggers automatically. The level of response corresponds to the severity of the non-compliance.</w:t>
      </w:r>
    </w:p>
    <w:p>
      <w:pPr>
        <w:pStyle w:val="Normal"/>
        <w:pageBreakBefore/>
      </w:pPr>
    </w:p>
    <w:p>
      <w:pPr>
        <w:pStyle w:val="Heading1"/>
      </w:pPr>
      <w:bookmarkStart w:name="_Toc006" w:id="7"/>
      <w:r>
        <w:rPr>
          <w:rFonts w:ascii="Calibri" w:hAnsi="Calibri" w:eastAsia="Microsoft YaHei" w:cs="Calibri"/>
          <w:b/>
          <w:color w:val="37474F"/>
          <w:sz w:val="40"/>
          <w:szCs w:val="40"/>
        </w:rPr>
        <w:t>SECTION 6: THE WALTZ SYNCHRONIZATION PROTOCOL</w:t>
      </w:r>
      <w:bookmarkEnd w:id="7"/>
    </w:p>
    <w:p>
      <w:pPr>
        <w:pStyle w:val="Normal"/>
      </w:pPr>
      <w:r>
        <w:rPr>
          <w:rFonts w:ascii="Calibri" w:hAnsi="Calibri" w:eastAsia="Microsoft YaHei" w:cs="Calibri"/>
          <w:color w:val="263238"/>
          <w:sz w:val="22"/>
          <w:szCs w:val="22"/>
        </w:rPr>
        <w:t>This Section codifies the synchronization principles that govern all confidence-building measures under this Annex. The framework architecture treats synchronization as the operational heartbeat of the HSU: each Party moves in response to the other, maintaining balance and rhythm through reciprocal, coordinated actions.</w:t>
      </w:r>
    </w:p>
    <w:p>
      <w:pPr>
        <w:pStyle w:val="Heading2"/>
      </w:pPr>
      <w:r>
        <w:rPr>
          <w:rFonts w:ascii="Calibri" w:hAnsi="Calibri" w:eastAsia="Microsoft YaHei" w:cs="Calibri"/>
          <w:b/>
          <w:color w:val="263238"/>
          <w:sz w:val="28"/>
          <w:szCs w:val="28"/>
        </w:rPr>
        <w:t>6.1 Core Concept</w:t>
      </w:r>
    </w:p>
    <w:p>
      <w:pPr>
        <w:pStyle w:val="Normal"/>
      </w:pPr>
      <w:r>
        <w:rPr>
          <w:rFonts w:ascii="Calibri" w:hAnsi="Calibri" w:eastAsia="Microsoft YaHei" w:cs="Calibri"/>
          <w:color w:val="263238"/>
          <w:sz w:val="22"/>
          <w:szCs w:val="22"/>
        </w:rPr>
        <w:t>In any volatile environment, trust builds through small, reciprocal, and synchronized movements. Grand gestures create imbalance; measured steps create rhythm. The Waltz Synchronization Protocol ensures that every measure under this Annex follows a synchronized, reciprocal pattern.</w:t>
      </w:r>
    </w:p>
    <w:p>
      <w:pPr>
        <w:pStyle w:val="Heading3"/>
      </w:pPr>
      <w:r>
        <w:rPr>
          <w:rFonts w:ascii="Calibri" w:hAnsi="Calibri" w:eastAsia="Microsoft YaHei" w:cs="Calibri"/>
          <w:b/>
          <w:color w:val="546E7A"/>
          <w:sz w:val="24"/>
          <w:szCs w:val="24"/>
        </w:rPr>
        <w:t>6.1.1 The One-for-One Principle</w:t>
      </w:r>
    </w:p>
    <w:p>
      <w:pPr>
        <w:pStyle w:val="Normal"/>
      </w:pPr>
      <w:r>
        <w:rPr>
          <w:rFonts w:ascii="Calibri" w:hAnsi="Calibri" w:eastAsia="Microsoft YaHei" w:cs="Calibri"/>
          <w:color w:val="263238"/>
          <w:sz w:val="22"/>
          <w:szCs w:val="22"/>
        </w:rPr>
        <w:t>No Party implements a confidence-building measure without a corresponding, verifiable measure by the other Party. The one-for-one principle applies at the measure level: for every action, there is a matched reaction of equivalent scope and impact.</w:t>
      </w:r>
    </w:p>
    <w:p>
      <w:pPr>
        <w:pStyle w:val="Normal"/>
      </w:pPr>
      <w:r>
        <w:rPr>
          <w:rFonts w:ascii="Calibri" w:hAnsi="Calibri" w:eastAsia="Microsoft YaHei" w:cs="Calibri"/>
          <w:color w:val="263238"/>
          <w:sz w:val="22"/>
          <w:szCs w:val="22"/>
        </w:rPr>
        <w:t>The JIC enforces the one-for-one principle through the certification process. If one Party implements its measure and the other Party delays or refuses, the JIC classifies the delay as a synchronization failure under Section 6.3.</w:t>
      </w:r>
    </w:p>
    <w:p>
      <w:pPr>
        <w:pStyle w:val="Heading3"/>
      </w:pPr>
      <w:r>
        <w:rPr>
          <w:rFonts w:ascii="Calibri" w:hAnsi="Calibri" w:eastAsia="Microsoft YaHei" w:cs="Calibri"/>
          <w:b/>
          <w:color w:val="546E7A"/>
          <w:sz w:val="24"/>
          <w:szCs w:val="24"/>
        </w:rPr>
        <w:t>6.1.2 The Mirror Principle</w:t>
      </w:r>
    </w:p>
    <w:p>
      <w:pPr>
        <w:pStyle w:val="Normal"/>
      </w:pPr>
      <w:r>
        <w:rPr>
          <w:rFonts w:ascii="Calibri" w:hAnsi="Calibri" w:eastAsia="Microsoft YaHei" w:cs="Calibri"/>
          <w:color w:val="263238"/>
          <w:sz w:val="22"/>
          <w:szCs w:val="22"/>
        </w:rPr>
        <w:t>Measures are roughly symmetrical in scope and impact. The framework architecture applies the following symmetry standards:</w:t>
      </w:r>
    </w:p>
    <w:p>
      <w:pPr>
        <w:pStyle w:val="Normal"/>
        <w:spacing w:after="80"/>
        <w:ind w:left="720" w:hanging="360"/>
      </w:pPr>
      <w:r>
        <w:rPr>
          <w:rFonts w:ascii="Calibri" w:hAnsi="Calibri" w:eastAsia="Microsoft YaHei" w:cs="Calibri"/>
          <w:color w:val="263238"/>
          <w:sz w:val="22"/>
          <w:szCs w:val="22"/>
        </w:rPr>
        <w:t>• If Iran reduces patrols by 30%, the United States reduces escorts by 30%.</w:t>
      </w:r>
    </w:p>
    <w:p>
      <w:pPr>
        <w:pStyle w:val="Normal"/>
        <w:spacing w:after="80"/>
        <w:ind w:left="720" w:hanging="360"/>
      </w:pPr>
      <w:r>
        <w:rPr>
          <w:rFonts w:ascii="Calibri" w:hAnsi="Calibri" w:eastAsia="Microsoft YaHei" w:cs="Calibri"/>
          <w:color w:val="263238"/>
          <w:sz w:val="22"/>
          <w:szCs w:val="22"/>
        </w:rPr>
        <w:t>• If Iran relocates a base, the United States relocates a vessel of equivalent strategic value.</w:t>
      </w:r>
    </w:p>
    <w:p>
      <w:pPr>
        <w:pStyle w:val="Normal"/>
        <w:spacing w:after="80"/>
        <w:ind w:left="720" w:hanging="360"/>
      </w:pPr>
      <w:r>
        <w:rPr>
          <w:rFonts w:ascii="Calibri" w:hAnsi="Calibri" w:eastAsia="Microsoft YaHei" w:cs="Calibri"/>
          <w:color w:val="263238"/>
          <w:sz w:val="22"/>
          <w:szCs w:val="22"/>
        </w:rPr>
        <w:t>• If Iran suspends a public statement category, the United States suspends a corresponding public statement category.</w:t>
      </w:r>
    </w:p>
    <w:p>
      <w:pPr>
        <w:pStyle w:val="Normal"/>
      </w:pPr>
      <w:r>
        <w:rPr>
          <w:rFonts w:ascii="Calibri" w:hAnsi="Calibri" w:eastAsia="Microsoft YaHei" w:cs="Calibri"/>
          <w:color w:val="263238"/>
          <w:sz w:val="22"/>
          <w:szCs w:val="22"/>
        </w:rPr>
        <w:t>The JIC assesses symmetry during the pre-Phase review. If either Party disputes the symmetry of a proposed measure pair, the JIC arbitrates the dispute and adjusts the measures to achieve approximate equivalence.</w:t>
      </w:r>
    </w:p>
    <w:p>
      <w:pPr>
        <w:pStyle w:val="Heading3"/>
      </w:pPr>
      <w:r>
        <w:rPr>
          <w:rFonts w:ascii="Calibri" w:hAnsi="Calibri" w:eastAsia="Microsoft YaHei" w:cs="Calibri"/>
          <w:b/>
          <w:color w:val="546E7A"/>
          <w:sz w:val="24"/>
          <w:szCs w:val="24"/>
        </w:rPr>
        <w:t>6.1.3 The Slow Waltz Principle</w:t>
      </w:r>
    </w:p>
    <w:p>
      <w:pPr>
        <w:pStyle w:val="Normal"/>
      </w:pPr>
      <w:r>
        <w:rPr>
          <w:rFonts w:ascii="Calibri" w:hAnsi="Calibri" w:eastAsia="Microsoft YaHei" w:cs="Calibri"/>
          <w:color w:val="263238"/>
          <w:sz w:val="22"/>
          <w:szCs w:val="22"/>
        </w:rPr>
        <w:t>The Parties proceed in small, measured steps. The framework architecture excludes sudden, dramatic moves that could create a sense of imbalance or threat. Each Phase represents a measured step; each measure within a Phase represents a smaller step.</w:t>
      </w:r>
    </w:p>
    <w:p>
      <w:pPr>
        <w:pStyle w:val="Normal"/>
      </w:pPr>
      <w:r>
        <w:rPr>
          <w:rFonts w:ascii="Calibri" w:hAnsi="Calibri" w:eastAsia="Microsoft YaHei" w:cs="Calibri"/>
          <w:color w:val="263238"/>
          <w:sz w:val="22"/>
          <w:szCs w:val="22"/>
        </w:rPr>
        <w:t>The slow waltz principle protects both Parties from the destabilizing effects of rapid, uncoordinated change. Gradual adjustments allow operational commanders to adapt, allow verification systems to calibrate, and allow political leaders to explain the changes to their domestic audiences.</w:t>
      </w:r>
    </w:p>
    <w:p>
      <w:pPr>
        <w:pStyle w:val="Heading2"/>
      </w:pPr>
      <w:r>
        <w:rPr>
          <w:rFonts w:ascii="Calibri" w:hAnsi="Calibri" w:eastAsia="Microsoft YaHei" w:cs="Calibri"/>
          <w:b/>
          <w:color w:val="263238"/>
          <w:sz w:val="28"/>
          <w:szCs w:val="28"/>
        </w:rPr>
        <w:t>6.2 Synchronization Triggers</w:t>
      </w:r>
    </w:p>
    <w:p>
      <w:pPr>
        <w:pStyle w:val="Heading3"/>
      </w:pPr>
      <w:r>
        <w:rPr>
          <w:rFonts w:ascii="Calibri" w:hAnsi="Calibri" w:eastAsia="Microsoft YaHei" w:cs="Calibri"/>
          <w:b/>
          <w:color w:val="546E7A"/>
          <w:sz w:val="24"/>
          <w:szCs w:val="24"/>
        </w:rPr>
        <w:t>6.2.1 Mutual Notification</w:t>
      </w:r>
    </w:p>
    <w:p>
      <w:pPr>
        <w:pStyle w:val="Normal"/>
      </w:pPr>
      <w:r>
        <w:rPr>
          <w:rFonts w:ascii="Calibri" w:hAnsi="Calibri" w:eastAsia="Microsoft YaHei" w:cs="Calibri"/>
          <w:color w:val="263238"/>
          <w:sz w:val="22"/>
          <w:szCs w:val="22"/>
        </w:rPr>
        <w:t>Both Parties submit their proposed Phase measures to the JIC simultaneously, 7 days prior to the start of the Phase. The JIC reviews the measures and certifies that they are reciprocal and verifiable. Both Parties implement their measures on the same date and time, coordinated through the JIC.</w:t>
      </w:r>
    </w:p>
    <w:p>
      <w:pPr>
        <w:pStyle w:val="Normal"/>
      </w:pPr>
      <w:r>
        <w:rPr>
          <w:rFonts w:ascii="Calibri" w:hAnsi="Calibri" w:eastAsia="Microsoft YaHei" w:cs="Calibri"/>
          <w:color w:val="263238"/>
          <w:sz w:val="22"/>
          <w:szCs w:val="22"/>
        </w:rPr>
        <w:t>The mutual notification process operates as follows:</w:t>
      </w:r>
    </w:p>
    <w:p>
      <w:pPr>
        <w:pStyle w:val="Normal"/>
        <w:spacing w:after="120"/>
        <w:ind w:left="720" w:hanging="360"/>
      </w:pPr>
      <w:r>
        <w:rPr>
          <w:b/>
          <w:rFonts w:ascii="Calibri" w:hAnsi="Calibri" w:eastAsia="Microsoft YaHei" w:cs="Calibri"/>
          <w:color w:val="263238"/>
          <w:sz w:val="22"/>
          <w:szCs w:val="22"/>
        </w:rPr>
        <w:t xml:space="preserve">1. Submission: </w:t>
      </w:r>
      <w:r>
        <w:rPr>
          <w:rFonts w:ascii="Calibri" w:hAnsi="Calibri" w:eastAsia="Microsoft YaHei" w:cs="Calibri"/>
          <w:color w:val="263238"/>
          <w:sz w:val="22"/>
          <w:szCs w:val="22"/>
        </w:rPr>
        <w:t>Both Parties submit their implementation plans to the JIC simultaneously through the secure communications portal.</w:t>
      </w:r>
    </w:p>
    <w:p>
      <w:pPr>
        <w:pStyle w:val="Normal"/>
        <w:spacing w:after="120"/>
        <w:ind w:left="720" w:hanging="360"/>
      </w:pPr>
      <w:r>
        <w:rPr>
          <w:b/>
          <w:rFonts w:ascii="Calibri" w:hAnsi="Calibri" w:eastAsia="Microsoft YaHei" w:cs="Calibri"/>
          <w:color w:val="263238"/>
          <w:sz w:val="22"/>
          <w:szCs w:val="22"/>
        </w:rPr>
        <w:t xml:space="preserve">2. Review: </w:t>
      </w:r>
      <w:r>
        <w:rPr>
          <w:rFonts w:ascii="Calibri" w:hAnsi="Calibri" w:eastAsia="Microsoft YaHei" w:cs="Calibri"/>
          <w:color w:val="263238"/>
          <w:sz w:val="22"/>
          <w:szCs w:val="22"/>
        </w:rPr>
        <w:t>The JIC reviews both plans within 72 hours and certifies reciprocity and verifiability.</w:t>
      </w:r>
    </w:p>
    <w:p>
      <w:pPr>
        <w:pStyle w:val="Normal"/>
        <w:spacing w:after="120"/>
        <w:ind w:left="720" w:hanging="360"/>
      </w:pPr>
      <w:r>
        <w:rPr>
          <w:b/>
          <w:rFonts w:ascii="Calibri" w:hAnsi="Calibri" w:eastAsia="Microsoft YaHei" w:cs="Calibri"/>
          <w:color w:val="263238"/>
          <w:sz w:val="22"/>
          <w:szCs w:val="22"/>
        </w:rPr>
        <w:t xml:space="preserve">3. Synchronization: </w:t>
      </w:r>
      <w:r>
        <w:rPr>
          <w:rFonts w:ascii="Calibri" w:hAnsi="Calibri" w:eastAsia="Microsoft YaHei" w:cs="Calibri"/>
          <w:color w:val="263238"/>
          <w:sz w:val="22"/>
          <w:szCs w:val="22"/>
        </w:rPr>
        <w:t>The JIC assigns a synchronized implementation timestamp. Both Parties activate their measures at the assigned time.</w:t>
      </w:r>
    </w:p>
    <w:p>
      <w:pPr>
        <w:pStyle w:val="Heading3"/>
      </w:pPr>
      <w:r>
        <w:rPr>
          <w:rFonts w:ascii="Calibri" w:hAnsi="Calibri" w:eastAsia="Microsoft YaHei" w:cs="Calibri"/>
          <w:b/>
          <w:color w:val="546E7A"/>
          <w:sz w:val="24"/>
          <w:szCs w:val="24"/>
        </w:rPr>
        <w:t>6.2.2 The No Surprises Rule</w:t>
      </w:r>
    </w:p>
    <w:p>
      <w:pPr>
        <w:pStyle w:val="Normal"/>
      </w:pPr>
      <w:r>
        <w:rPr>
          <w:rFonts w:ascii="Calibri" w:hAnsi="Calibri" w:eastAsia="Microsoft YaHei" w:cs="Calibri"/>
          <w:color w:val="263238"/>
          <w:sz w:val="20"/>
          <w:szCs w:val="22"/>
          <w:b/>
        </w:rPr>
        <w:t xml:space="preserve">(a) Core Principle: </w:t>
      </w:r>
      <w:r>
        <w:rPr>
          <w:rFonts w:ascii="Calibri" w:hAnsi="Calibri" w:eastAsia="Microsoft YaHei" w:cs="Calibri"/>
          <w:color w:val="263238"/>
          <w:sz w:val="20"/>
          <w:szCs w:val="22"/>
        </w:rPr>
        <w:t>No Party implements a measure not listed in this Annex without prior consultation with the other Party through the JIC. Any uncoordinated measure is treated as a Level 2 violation under HSU Article 8.</w:t>
      </w:r>
    </w:p>
    <w:p>
      <w:pPr>
        <w:pStyle w:val="Normal"/>
      </w:pPr>
      <w:r>
        <w:rPr>
          <w:rFonts w:ascii="Calibri" w:hAnsi="Calibri" w:eastAsia="Microsoft YaHei" w:cs="Calibri"/>
          <w:color w:val="263238"/>
          <w:sz w:val="20"/>
          <w:szCs w:val="22"/>
          <w:b/>
        </w:rPr>
        <w:t xml:space="preserve">(b) Consultation Process: </w:t>
      </w:r>
      <w:r>
        <w:rPr>
          <w:rFonts w:ascii="Calibri" w:hAnsi="Calibri" w:eastAsia="Microsoft YaHei" w:cs="Calibri"/>
          <w:color w:val="263238"/>
          <w:sz w:val="20"/>
          <w:szCs w:val="22"/>
        </w:rPr>
        <w:t>A Party proposing an unlisted measure submits a written request to the JIC including: description of the proposed measure; justification; duration; impact on Commercial Vessel traffic; proposed notification timeline. The JIC transmits the request to the other Party within 12 hours. The other Party has 48 hours to respond. If the other Party consents, the measure is implemented. If the other Party objects, the JIC convenes an emergency session within 72 hours.</w:t>
      </w:r>
    </w:p>
    <w:p>
      <w:pPr>
        <w:pStyle w:val="Normal"/>
      </w:pPr>
      <w:r>
        <w:rPr>
          <w:rFonts w:ascii="Calibri" w:hAnsi="Calibri" w:eastAsia="Microsoft YaHei" w:cs="Calibri"/>
          <w:color w:val="263238"/>
          <w:sz w:val="20"/>
          <w:szCs w:val="22"/>
          <w:b/>
        </w:rPr>
        <w:t xml:space="preserve">(c) Operational Necessity Exception: </w:t>
      </w:r>
      <w:r>
        <w:rPr>
          <w:rFonts w:ascii="Calibri" w:hAnsi="Calibri" w:eastAsia="Microsoft YaHei" w:cs="Calibri"/>
          <w:color w:val="263238"/>
          <w:sz w:val="20"/>
          <w:szCs w:val="22"/>
        </w:rPr>
        <w:t>A Party implements an unlisted measure without prior consultation only if: (i) a genuine emergency exists (imminent threat to life or vessel); (ii) the measure is temporary (not to exceed 72 hours); (iii) the Party notifies the JIC immediately within 6 hours of implementation; (iv) the Party provides a written justification within 24 hours. If the JIC determines the measure was not an operational necessity, the Party triggers a Level 3 violation.</w:t>
      </w:r>
    </w:p>
    <w:p>
      <w:pPr>
        <w:pStyle w:val="Normal"/>
      </w:pPr>
      <w:r>
        <w:rPr>
          <w:rFonts w:ascii="Calibri" w:hAnsi="Calibri" w:eastAsia="Microsoft YaHei" w:cs="Calibri"/>
          <w:color w:val="263238"/>
          <w:sz w:val="20"/>
          <w:szCs w:val="22"/>
          <w:b/>
        </w:rPr>
        <w:t xml:space="preserve">(d) Unlisted Measure Consequences: </w:t>
      </w:r>
      <w:r>
        <w:rPr>
          <w:rFonts w:ascii="Calibri" w:hAnsi="Calibri" w:eastAsia="Microsoft YaHei" w:cs="Calibri"/>
          <w:color w:val="263238"/>
          <w:sz w:val="20"/>
          <w:szCs w:val="22"/>
        </w:rPr>
        <w:t>If a Party implements an unlisted measure without consultation (and without the operational necessity exception): the measure suspends immediately upon JIC determination; the implementing Party triggers a Level 2 violation; the implementing Party is subject to a financial penalty under Annex 1AC; the JIC issues a public Compliance Alert; the measure is reviewed at the next JIC meeting.</w:t>
      </w:r>
    </w:p>
    <w:p>
      <w:pPr>
        <w:pStyle w:val="Normal"/>
      </w:pPr>
      <w:r>
        <w:rPr>
          <w:rFonts w:ascii="Calibri" w:hAnsi="Calibri" w:eastAsia="Microsoft YaHei" w:cs="Calibri"/>
          <w:color w:val="263238"/>
          <w:sz w:val="20"/>
          <w:szCs w:val="22"/>
          <w:b/>
        </w:rPr>
        <w:t xml:space="preserve">(e) Good Faith Presumption: </w:t>
      </w:r>
      <w:r>
        <w:rPr>
          <w:rFonts w:ascii="Calibri" w:hAnsi="Calibri" w:eastAsia="Microsoft YaHei" w:cs="Calibri"/>
          <w:color w:val="263238"/>
          <w:sz w:val="20"/>
          <w:szCs w:val="22"/>
        </w:rPr>
        <w:t>The Good Faith Presumption under Section 1.2.6 applies to all operational necessity exceptions.</w:t>
      </w:r>
    </w:p>
    <w:p>
      <w:pPr>
        <w:pStyle w:val="Heading2"/>
      </w:pPr>
      <w:r>
        <w:rPr>
          <w:rFonts w:ascii="Calibri" w:hAnsi="Calibri" w:eastAsia="Microsoft YaHei" w:cs="Calibri"/>
          <w:b/>
          <w:color w:val="263238"/>
          <w:sz w:val="28"/>
          <w:szCs w:val="28"/>
        </w:rPr>
        <w:t>6.3 Synchronization Failure</w:t>
      </w:r>
    </w:p>
    <w:p>
      <w:pPr>
        <w:pStyle w:val="Heading3"/>
      </w:pPr>
      <w:r>
        <w:rPr>
          <w:rFonts w:ascii="Calibri" w:hAnsi="Calibri" w:eastAsia="Microsoft YaHei" w:cs="Calibri"/>
          <w:b/>
          <w:color w:val="546E7A"/>
          <w:sz w:val="24"/>
          <w:szCs w:val="24"/>
        </w:rPr>
        <w:t>6.3.1 Definition</w:t>
      </w:r>
    </w:p>
    <w:p>
      <w:pPr>
        <w:pStyle w:val="Normal"/>
      </w:pPr>
      <w:r>
        <w:rPr>
          <w:rFonts w:ascii="Calibri" w:hAnsi="Calibri" w:eastAsia="Microsoft YaHei" w:cs="Calibri"/>
          <w:color w:val="263238"/>
          <w:sz w:val="22"/>
          <w:szCs w:val="22"/>
        </w:rPr>
        <w:t>Synchronization failure occurs when any of the following conditions exists:</w:t>
      </w:r>
    </w:p>
    <w:p>
      <w:pPr>
        <w:pStyle w:val="Normal"/>
        <w:spacing w:after="120"/>
        <w:ind w:left="720" w:hanging="360"/>
      </w:pPr>
      <w:r>
        <w:rPr>
          <w:b/>
          <w:rFonts w:ascii="Calibri" w:hAnsi="Calibri" w:eastAsia="Microsoft YaHei" w:cs="Calibri"/>
          <w:color w:val="263238"/>
          <w:sz w:val="22"/>
          <w:szCs w:val="22"/>
        </w:rPr>
        <w:t xml:space="preserve">1. Non-Implementation: </w:t>
      </w:r>
      <w:r>
        <w:rPr>
          <w:rFonts w:ascii="Calibri" w:hAnsi="Calibri" w:eastAsia="Microsoft YaHei" w:cs="Calibri"/>
          <w:color w:val="263238"/>
          <w:sz w:val="22"/>
          <w:szCs w:val="22"/>
        </w:rPr>
        <w:t>One Party fails to implement its obligations under a Phase within 24 hours of the synchronized implementation timestamp.</w:t>
      </w:r>
    </w:p>
    <w:p>
      <w:pPr>
        <w:pStyle w:val="Normal"/>
        <w:spacing w:after="120"/>
        <w:ind w:left="720" w:hanging="360"/>
      </w:pPr>
      <w:r>
        <w:rPr>
          <w:b/>
          <w:rFonts w:ascii="Calibri" w:hAnsi="Calibri" w:eastAsia="Microsoft YaHei" w:cs="Calibri"/>
          <w:color w:val="263238"/>
          <w:sz w:val="22"/>
          <w:szCs w:val="22"/>
        </w:rPr>
        <w:t xml:space="preserve">2. Delayed Implementation: </w:t>
      </w:r>
      <w:r>
        <w:rPr>
          <w:rFonts w:ascii="Calibri" w:hAnsi="Calibri" w:eastAsia="Microsoft YaHei" w:cs="Calibri"/>
          <w:color w:val="263238"/>
          <w:sz w:val="22"/>
          <w:szCs w:val="22"/>
        </w:rPr>
        <w:t>One Party implements its obligations but the other Party delays or refuses implementation after receiving the synchronized timestamp.</w:t>
      </w:r>
    </w:p>
    <w:p>
      <w:pPr>
        <w:pStyle w:val="Normal"/>
        <w:spacing w:after="120"/>
        <w:ind w:left="720" w:hanging="360"/>
      </w:pPr>
      <w:r>
        <w:rPr>
          <w:b/>
          <w:rFonts w:ascii="Calibri" w:hAnsi="Calibri" w:eastAsia="Microsoft YaHei" w:cs="Calibri"/>
          <w:color w:val="263238"/>
          <w:sz w:val="22"/>
          <w:szCs w:val="22"/>
        </w:rPr>
        <w:t xml:space="preserve">3. Asymmetric Reversal: </w:t>
      </w:r>
      <w:r>
        <w:rPr>
          <w:rFonts w:ascii="Calibri" w:hAnsi="Calibri" w:eastAsia="Microsoft YaHei" w:cs="Calibri"/>
          <w:color w:val="263238"/>
          <w:sz w:val="22"/>
          <w:szCs w:val="22"/>
        </w:rPr>
        <w:t>One Party reverses a measure without the corresponding reversal by the other Party, creating an asymmetric operational posture.</w:t>
      </w:r>
    </w:p>
    <w:p>
      <w:pPr>
        <w:pStyle w:val="Heading3"/>
      </w:pPr>
      <w:r>
        <w:rPr>
          <w:rFonts w:ascii="Calibri" w:hAnsi="Calibri" w:eastAsia="Microsoft YaHei" w:cs="Calibri"/>
          <w:b/>
          <w:color w:val="546E7A"/>
          <w:sz w:val="24"/>
          <w:szCs w:val="24"/>
        </w:rPr>
        <w:t>6.3.2 Consequence</w:t>
      </w:r>
    </w:p>
    <w:p>
      <w:pPr>
        <w:pStyle w:val="Normal"/>
      </w:pPr>
      <w:r>
        <w:rPr>
          <w:rFonts w:ascii="Calibri" w:hAnsi="Calibri" w:eastAsia="Microsoft YaHei" w:cs="Calibri"/>
          <w:color w:val="263238"/>
          <w:sz w:val="20"/>
          <w:szCs w:val="22"/>
          <w:b/>
        </w:rPr>
        <w:t xml:space="preserve">6.3.2 Synchronization Warning: </w:t>
      </w:r>
      <w:r>
        <w:rPr>
          <w:rFonts w:ascii="Calibri" w:hAnsi="Calibri" w:eastAsia="Microsoft YaHei" w:cs="Calibri"/>
          <w:color w:val="263238"/>
          <w:sz w:val="22"/>
          <w:szCs w:val="22"/>
        </w:rPr>
        <w:t>If a Party is approaching synchronization failure (within 12 hours of the deadline), the JIC issues a Synchronization Warning transmitted to both Parties via the Hotline. The Warning triggers a technical consultation between the Parties within 6 hours, facilitated by the Omani facilitator.</w:t>
      </w:r>
    </w:p>
    <w:p>
      <w:pPr>
        <w:pStyle w:val="Normal"/>
      </w:pPr>
      <w:r>
        <w:rPr>
          <w:rFonts w:ascii="Calibri" w:hAnsi="Calibri" w:eastAsia="Microsoft YaHei" w:cs="Calibri"/>
          <w:color w:val="263238"/>
          <w:sz w:val="20"/>
          <w:szCs w:val="22"/>
          <w:b/>
        </w:rPr>
        <w:t xml:space="preserve">6.3.3 Synchronization Failure Consequences: </w:t>
      </w:r>
      <w:r>
        <w:rPr>
          <w:rFonts w:ascii="Calibri" w:hAnsi="Calibri" w:eastAsia="Microsoft YaHei" w:cs="Calibri"/>
          <w:color w:val="263238"/>
          <w:sz w:val="22"/>
          <w:szCs w:val="22"/>
        </w:rPr>
        <w:t>Upon synchronization failure, the following sequence activates automatically:</w:t>
      </w:r>
    </w:p>
    <w:p>
      <w:pPr>
        <w:pStyle w:val="Normal"/>
        <w:spacing w:after="120"/>
        <w:ind w:left="720" w:hanging="360"/>
      </w:pPr>
      <w:r>
        <w:rPr>
          <w:b/>
          <w:rFonts w:ascii="Calibri" w:hAnsi="Calibri" w:eastAsia="Microsoft YaHei" w:cs="Calibri"/>
          <w:color w:val="263238"/>
          <w:sz w:val="22"/>
          <w:szCs w:val="22"/>
        </w:rPr>
        <w:t xml:space="preserve">(a) Emergency Session: </w:t>
      </w:r>
      <w:r>
        <w:rPr>
          <w:rFonts w:ascii="Calibri" w:hAnsi="Calibri" w:eastAsia="Microsoft YaHei" w:cs="Calibri"/>
          <w:color w:val="263238"/>
          <w:sz w:val="22"/>
          <w:szCs w:val="22"/>
        </w:rPr>
        <w:t>The JIC convenes an emergency session within 48 hours of the synchronization failure detection.</w:t>
      </w:r>
    </w:p>
    <w:p>
      <w:pPr>
        <w:pStyle w:val="Normal"/>
        <w:spacing w:after="120"/>
        <w:ind w:left="720" w:hanging="360"/>
      </w:pPr>
      <w:r>
        <w:rPr>
          <w:b/>
          <w:rFonts w:ascii="Calibri" w:hAnsi="Calibri" w:eastAsia="Microsoft YaHei" w:cs="Calibri"/>
          <w:color w:val="263238"/>
          <w:sz w:val="22"/>
          <w:szCs w:val="22"/>
        </w:rPr>
        <w:t xml:space="preserve">(b) Violation Classification: </w:t>
      </w:r>
      <w:r>
        <w:rPr>
          <w:rFonts w:ascii="Calibri" w:hAnsi="Calibri" w:eastAsia="Microsoft YaHei" w:cs="Calibri"/>
          <w:color w:val="263238"/>
          <w:sz w:val="22"/>
          <w:szCs w:val="22"/>
        </w:rPr>
        <w:t>The non-implementing Party triggers a Level 2 (Moderate) violation under HSU Article 8.</w:t>
      </w:r>
    </w:p>
    <w:p>
      <w:pPr>
        <w:pStyle w:val="Normal"/>
        <w:spacing w:after="120"/>
        <w:ind w:left="720" w:hanging="360"/>
      </w:pPr>
      <w:r>
        <w:rPr>
          <w:b/>
          <w:rFonts w:ascii="Calibri" w:hAnsi="Calibri" w:eastAsia="Microsoft YaHei" w:cs="Calibri"/>
          <w:color w:val="263238"/>
          <w:sz w:val="22"/>
          <w:szCs w:val="22"/>
        </w:rPr>
        <w:t xml:space="preserve">(c) Public Compliance Alert: </w:t>
      </w:r>
      <w:r>
        <w:rPr>
          <w:rFonts w:ascii="Calibri" w:hAnsi="Calibri" w:eastAsia="Microsoft YaHei" w:cs="Calibri"/>
          <w:color w:val="263238"/>
          <w:sz w:val="22"/>
          <w:szCs w:val="22"/>
        </w:rPr>
        <w:t>The JIC issues a public Compliance Alert within 24 hours.</w:t>
      </w:r>
    </w:p>
    <w:p>
      <w:pPr>
        <w:pStyle w:val="Normal"/>
        <w:spacing w:after="120"/>
        <w:ind w:left="720" w:hanging="360"/>
      </w:pPr>
      <w:r>
        <w:rPr>
          <w:b/>
          <w:rFonts w:ascii="Calibri" w:hAnsi="Calibri" w:eastAsia="Microsoft YaHei" w:cs="Calibri"/>
          <w:color w:val="263238"/>
          <w:sz w:val="22"/>
          <w:szCs w:val="22"/>
        </w:rPr>
        <w:t xml:space="preserve">(d) Reciprocal Suspension: </w:t>
      </w:r>
      <w:r>
        <w:rPr>
          <w:rFonts w:ascii="Calibri" w:hAnsi="Calibri" w:eastAsia="Microsoft YaHei" w:cs="Calibri"/>
          <w:color w:val="263238"/>
          <w:sz w:val="22"/>
          <w:szCs w:val="22"/>
        </w:rPr>
        <w:t>The implementing Party suspends its corresponding measure without penalty.</w:t>
      </w:r>
    </w:p>
    <w:p>
      <w:pPr>
        <w:pStyle w:val="Normal"/>
        <w:spacing w:after="120"/>
        <w:ind w:left="720" w:hanging="360"/>
      </w:pPr>
      <w:r>
        <w:rPr>
          <w:b/>
          <w:rFonts w:ascii="Calibri" w:hAnsi="Calibri" w:eastAsia="Microsoft YaHei" w:cs="Calibri"/>
          <w:color w:val="263238"/>
          <w:sz w:val="22"/>
          <w:szCs w:val="22"/>
        </w:rPr>
        <w:t xml:space="preserve">(e) Phase Hold: </w:t>
      </w:r>
      <w:r>
        <w:rPr>
          <w:rFonts w:ascii="Calibri" w:hAnsi="Calibri" w:eastAsia="Microsoft YaHei" w:cs="Calibri"/>
          <w:color w:val="263238"/>
          <w:sz w:val="22"/>
          <w:szCs w:val="22"/>
        </w:rPr>
        <w:t>No Phase transition occurs while a synchronization failure remains unresolved.</w:t>
      </w:r>
    </w:p>
    <w:p>
      <w:pPr>
        <w:pStyle w:val="Normal"/>
        <w:spacing w:after="120"/>
        <w:ind w:left="720" w:hanging="360"/>
      </w:pPr>
      <w:r>
        <w:rPr>
          <w:b/>
          <w:rFonts w:ascii="Calibri" w:hAnsi="Calibri" w:eastAsia="Microsoft YaHei" w:cs="Calibri"/>
          <w:color w:val="263238"/>
          <w:sz w:val="22"/>
          <w:szCs w:val="22"/>
        </w:rPr>
        <w:t xml:space="preserve">(f) Automatic Remediation: </w:t>
      </w:r>
      <w:r>
        <w:rPr>
          <w:rFonts w:ascii="Calibri" w:hAnsi="Calibri" w:eastAsia="Microsoft YaHei" w:cs="Calibri"/>
          <w:color w:val="263238"/>
          <w:sz w:val="22"/>
          <w:szCs w:val="22"/>
        </w:rPr>
        <w:t>The non-implementing Party has 72 hours to remedy the failure; if not remedied, the violation escalates to Level 3 (Serious).</w:t>
      </w:r>
    </w:p>
    <w:p>
      <w:pPr>
        <w:pStyle w:val="Normal"/>
      </w:pPr>
      <w:r>
        <w:rPr>
          <w:rFonts w:ascii="Calibri" w:hAnsi="Calibri" w:eastAsia="Microsoft YaHei" w:cs="Calibri"/>
          <w:color w:val="263238"/>
          <w:sz w:val="20"/>
          <w:szCs w:val="22"/>
          <w:b/>
        </w:rPr>
        <w:t xml:space="preserve">6.3.4 Synchronization Recovery: </w:t>
      </w:r>
      <w:r>
        <w:rPr>
          <w:rFonts w:ascii="Calibri" w:hAnsi="Calibri" w:eastAsia="Microsoft YaHei" w:cs="Calibri"/>
          <w:color w:val="263238"/>
          <w:sz w:val="22"/>
          <w:szCs w:val="22"/>
        </w:rPr>
        <w:t>Once the non-implementing Party remedies the failure: the implementing Party reinstates its measure; the Phase resumes from the point of failure; the JIC issues a Synchronization Recovery Notice published in the Compliance Dashboard; the non-implementing Party's Level 2 violation downgrades to Level 1 if the failure was remedied within 72 hours.</w:t>
      </w:r>
    </w:p>
    <w:p>
      <w:pPr>
        <w:pStyle w:val="Heading1"/>
      </w:pPr>
      <w:bookmarkStart w:name="_Toc007" w:id="8"/>
      <w:r>
        <w:rPr>
          <w:rFonts w:ascii="Calibri" w:hAnsi="Calibri" w:eastAsia="Microsoft YaHei" w:cs="Calibri"/>
          <w:b/>
          <w:color w:val="37474F"/>
          <w:sz w:val="40"/>
          <w:szCs w:val="40"/>
        </w:rPr>
        <w:t>SECTION 7: DISPUTE RESOLUTION</w:t>
      </w:r>
      <w:bookmarkEnd w:id="8"/>
    </w:p>
    <w:p>
      <w:pPr>
        <w:pStyle w:val="Heading2"/>
      </w:pPr>
      <w:r>
        <w:rPr>
          <w:rFonts w:ascii="Calibri" w:hAnsi="Calibri" w:eastAsia="Microsoft YaHei" w:cs="Calibri"/>
          <w:b/>
          <w:color w:val="263238"/>
          <w:sz w:val="28"/>
          <w:szCs w:val="28"/>
        </w:rPr>
        <w:t>7.1 JIC-Level Disputes</w:t>
      </w:r>
    </w:p>
    <w:p>
      <w:pPr>
        <w:pStyle w:val="Normal"/>
      </w:pPr>
      <w:r>
        <w:rPr>
          <w:rFonts w:ascii="Calibri" w:hAnsi="Calibri" w:eastAsia="Microsoft YaHei" w:cs="Calibri"/>
          <w:color w:val="263238"/>
          <w:sz w:val="22"/>
          <w:szCs w:val="22"/>
        </w:rPr>
        <w:t>Any dispute regarding the interpretation or implementation of this Annex is referred to the JIC for resolution. The JIC-level dispute resolution process operates as follows:</w:t>
      </w:r>
    </w:p>
    <w:p>
      <w:pPr>
        <w:pStyle w:val="Heading3"/>
      </w:pPr>
      <w:r>
        <w:rPr>
          <w:rFonts w:ascii="Calibri" w:hAnsi="Calibri" w:eastAsia="Microsoft YaHei" w:cs="Calibri"/>
          <w:b/>
          <w:color w:val="546E7A"/>
          <w:sz w:val="24"/>
          <w:szCs w:val="24"/>
        </w:rPr>
        <w:t>7.1.1 Consultation Period</w:t>
      </w:r>
    </w:p>
    <w:p>
      <w:pPr>
        <w:pStyle w:val="Normal"/>
      </w:pPr>
      <w:r>
        <w:rPr>
          <w:rFonts w:ascii="Calibri" w:hAnsi="Calibri" w:eastAsia="Microsoft YaHei" w:cs="Calibri"/>
          <w:color w:val="263238"/>
          <w:sz w:val="22"/>
          <w:szCs w:val="22"/>
        </w:rPr>
        <w:t>The JIC has 30 days to resolve the dispute through consultation and negotiation. During this period, all measures under dispute continue unless both Parties agree to a temporary suspension. The JIC employs the following consultation methods:</w:t>
      </w:r>
    </w:p>
    <w:p>
      <w:pPr>
        <w:pStyle w:val="Normal"/>
        <w:spacing w:after="120"/>
        <w:ind w:left="720" w:hanging="360"/>
      </w:pPr>
      <w:r>
        <w:rPr>
          <w:b/>
          <w:rFonts w:ascii="Calibri" w:hAnsi="Calibri" w:eastAsia="Microsoft YaHei" w:cs="Calibri"/>
          <w:color w:val="263238"/>
          <w:sz w:val="22"/>
          <w:szCs w:val="22"/>
        </w:rPr>
        <w:t xml:space="preserve">1. Technical Review: </w:t>
      </w:r>
      <w:r>
        <w:rPr>
          <w:rFonts w:ascii="Calibri" w:hAnsi="Calibri" w:eastAsia="Microsoft YaHei" w:cs="Calibri"/>
          <w:color w:val="263238"/>
          <w:sz w:val="22"/>
          <w:szCs w:val="22"/>
        </w:rPr>
        <w:t>The JIC requests the Technical Working Group to analyze the disputed measure and provide an objective assessment of compliance.</w:t>
      </w:r>
    </w:p>
    <w:p>
      <w:pPr>
        <w:pStyle w:val="Normal"/>
        <w:spacing w:after="120"/>
        <w:ind w:left="720" w:hanging="360"/>
      </w:pPr>
      <w:r>
        <w:rPr>
          <w:b/>
          <w:rFonts w:ascii="Calibri" w:hAnsi="Calibri" w:eastAsia="Microsoft YaHei" w:cs="Calibri"/>
          <w:color w:val="263238"/>
          <w:sz w:val="22"/>
          <w:szCs w:val="22"/>
        </w:rPr>
        <w:t xml:space="preserve">2. Party Presentations: </w:t>
      </w:r>
      <w:r>
        <w:rPr>
          <w:rFonts w:ascii="Calibri" w:hAnsi="Calibri" w:eastAsia="Microsoft YaHei" w:cs="Calibri"/>
          <w:color w:val="263238"/>
          <w:sz w:val="22"/>
          <w:szCs w:val="22"/>
        </w:rPr>
        <w:t>Each Party presents its position to the JIC in writing and orally. Presentations are limited to 10 pages and 2 hours respectively.</w:t>
      </w:r>
    </w:p>
    <w:p>
      <w:pPr>
        <w:pStyle w:val="Normal"/>
        <w:spacing w:after="120"/>
        <w:ind w:left="720" w:hanging="360"/>
      </w:pPr>
      <w:r>
        <w:rPr>
          <w:b/>
          <w:rFonts w:ascii="Calibri" w:hAnsi="Calibri" w:eastAsia="Microsoft YaHei" w:cs="Calibri"/>
          <w:color w:val="263238"/>
          <w:sz w:val="22"/>
          <w:szCs w:val="22"/>
        </w:rPr>
        <w:t xml:space="preserve">3. Neutral Assessment: </w:t>
      </w:r>
      <w:r>
        <w:rPr>
          <w:rFonts w:ascii="Calibri" w:hAnsi="Calibri" w:eastAsia="Microsoft YaHei" w:cs="Calibri"/>
          <w:color w:val="263238"/>
          <w:sz w:val="22"/>
          <w:szCs w:val="22"/>
        </w:rPr>
        <w:t>The Omani facilitator drafts a neutral technical assessment based exclusively on raw telemetry data. The assessment transmits to all Parties simultaneously.</w:t>
      </w:r>
    </w:p>
    <w:p>
      <w:pPr>
        <w:pStyle w:val="Heading3"/>
      </w:pPr>
      <w:r>
        <w:rPr>
          <w:rFonts w:ascii="Calibri" w:hAnsi="Calibri" w:eastAsia="Microsoft YaHei" w:cs="Calibri"/>
          <w:b/>
          <w:color w:val="546E7A"/>
          <w:sz w:val="24"/>
          <w:szCs w:val="24"/>
        </w:rPr>
        <w:t>7.1.2 Fact-Finding</w:t>
      </w:r>
    </w:p>
    <w:p>
      <w:pPr>
        <w:pStyle w:val="Normal"/>
      </w:pPr>
      <w:r>
        <w:rPr>
          <w:rFonts w:ascii="Calibri" w:hAnsi="Calibri" w:eastAsia="Microsoft YaHei" w:cs="Calibri"/>
          <w:color w:val="263238"/>
          <w:sz w:val="22"/>
          <w:szCs w:val="22"/>
        </w:rPr>
        <w:t>The JIC appoints a fact-finding panel to investigate any alleged non-compliance or reversal. The fact-finding panel consists of three members: one nominated by each Party and one neutral expert appointed by the IMO representative on the JIC. The panel operates under the following procedures:</w:t>
      </w:r>
    </w:p>
    <w:p>
      <w:pPr>
        <w:pStyle w:val="Normal"/>
        <w:spacing w:after="120"/>
        <w:ind w:left="720" w:hanging="360"/>
      </w:pPr>
      <w:r>
        <w:rPr>
          <w:b/>
          <w:rFonts w:ascii="Calibri" w:hAnsi="Calibri" w:eastAsia="Microsoft YaHei" w:cs="Calibri"/>
          <w:color w:val="263238"/>
          <w:sz w:val="22"/>
          <w:szCs w:val="22"/>
        </w:rPr>
        <w:t xml:space="preserve">1. Mandate: </w:t>
      </w:r>
      <w:r>
        <w:rPr>
          <w:rFonts w:ascii="Calibri" w:hAnsi="Calibri" w:eastAsia="Microsoft YaHei" w:cs="Calibri"/>
          <w:color w:val="263238"/>
          <w:sz w:val="22"/>
          <w:szCs w:val="22"/>
        </w:rPr>
        <w:t>The JIC defines the panel's mandate in writing, specifying the questions the panel is to answer and the evidence it is to review.</w:t>
      </w:r>
    </w:p>
    <w:p>
      <w:pPr>
        <w:pStyle w:val="Normal"/>
        <w:spacing w:after="120"/>
        <w:ind w:left="720" w:hanging="360"/>
      </w:pPr>
      <w:r>
        <w:rPr>
          <w:b/>
          <w:rFonts w:ascii="Calibri" w:hAnsi="Calibri" w:eastAsia="Microsoft YaHei" w:cs="Calibri"/>
          <w:color w:val="263238"/>
          <w:sz w:val="22"/>
          <w:szCs w:val="22"/>
        </w:rPr>
        <w:t xml:space="preserve">2. Timeline: </w:t>
      </w:r>
      <w:r>
        <w:rPr>
          <w:rFonts w:ascii="Calibri" w:hAnsi="Calibri" w:eastAsia="Microsoft YaHei" w:cs="Calibri"/>
          <w:color w:val="263238"/>
          <w:sz w:val="22"/>
          <w:szCs w:val="22"/>
        </w:rPr>
        <w:t>The panel completes its investigation within 21 days of appointment and submits a written report to the JIC.</w:t>
      </w:r>
    </w:p>
    <w:p>
      <w:pPr>
        <w:pStyle w:val="Normal"/>
        <w:spacing w:after="120"/>
        <w:ind w:left="720" w:hanging="360"/>
      </w:pPr>
      <w:r>
        <w:rPr>
          <w:b/>
          <w:rFonts w:ascii="Calibri" w:hAnsi="Calibri" w:eastAsia="Microsoft YaHei" w:cs="Calibri"/>
          <w:color w:val="263238"/>
          <w:sz w:val="22"/>
          <w:szCs w:val="22"/>
        </w:rPr>
        <w:t xml:space="preserve">3. Standard: </w:t>
      </w:r>
      <w:r>
        <w:rPr>
          <w:rFonts w:ascii="Calibri" w:hAnsi="Calibri" w:eastAsia="Microsoft YaHei" w:cs="Calibri"/>
          <w:color w:val="263238"/>
          <w:sz w:val="22"/>
          <w:szCs w:val="22"/>
        </w:rPr>
        <w:t>The panel applies the corroboration standard defined in HSU Annex 1AB: findings are based on at least two independent sources.</w:t>
      </w:r>
    </w:p>
    <w:p>
      <w:pPr>
        <w:pStyle w:val="Normal"/>
        <w:spacing w:after="120"/>
        <w:ind w:left="720" w:hanging="360"/>
      </w:pPr>
      <w:r>
        <w:rPr>
          <w:b/>
          <w:rFonts w:ascii="Calibri" w:hAnsi="Calibri" w:eastAsia="Microsoft YaHei" w:cs="Calibri"/>
          <w:color w:val="263238"/>
          <w:sz w:val="22"/>
          <w:szCs w:val="22"/>
        </w:rPr>
        <w:t xml:space="preserve">4. Conclusion: </w:t>
      </w:r>
      <w:r>
        <w:rPr>
          <w:rFonts w:ascii="Calibri" w:hAnsi="Calibri" w:eastAsia="Microsoft YaHei" w:cs="Calibri"/>
          <w:color w:val="263238"/>
          <w:sz w:val="22"/>
          <w:szCs w:val="22"/>
        </w:rPr>
        <w:t>The panel's findings are advisory. The JIC retains final decision-making authority over all disputes.</w:t>
      </w:r>
    </w:p>
    <w:p>
      <w:pPr>
        <w:pStyle w:val="Heading2"/>
      </w:pPr>
      <w:r>
        <w:rPr>
          <w:rFonts w:ascii="Calibri" w:hAnsi="Calibri" w:eastAsia="Microsoft YaHei" w:cs="Calibri"/>
          <w:b/>
          <w:color w:val="263238"/>
          <w:sz w:val="28"/>
          <w:szCs w:val="28"/>
        </w:rPr>
        <w:t>7.2 Arbitration</w:t>
      </w:r>
    </w:p>
    <w:p>
      <w:pPr>
        <w:pStyle w:val="Normal"/>
      </w:pPr>
      <w:r>
        <w:rPr>
          <w:rFonts w:ascii="Calibri" w:hAnsi="Calibri" w:eastAsia="Microsoft YaHei" w:cs="Calibri"/>
          <w:color w:val="263238"/>
          <w:sz w:val="22"/>
          <w:szCs w:val="22"/>
        </w:rPr>
        <w:t>If the JIC does not resolve the dispute within 30 days of the commencement of consultation under Section 7.1.1, the JIC appoints a fact-finding panel under Section 7.1.2. If the dispute remains unresolved within 60 days of the commencement of consultation (including any fact-finding period), the dispute is referred to binding arbitration.</w:t>
      </w:r>
    </w:p>
    <w:p>
      <w:pPr>
        <w:pStyle w:val="Normal"/>
        <w:spacing w:after="120"/>
        <w:ind w:left="720" w:hanging="360"/>
      </w:pPr>
      <w:r>
        <w:rPr>
          <w:b/>
          <w:rFonts w:ascii="Calibri" w:hAnsi="Calibri" w:eastAsia="Microsoft YaHei" w:cs="Calibri"/>
          <w:color w:val="263238"/>
          <w:sz w:val="22"/>
          <w:szCs w:val="22"/>
        </w:rPr>
        <w:t xml:space="preserve">1. Arbitrator Appointment: </w:t>
      </w:r>
      <w:r>
        <w:rPr>
          <w:rFonts w:ascii="Calibri" w:hAnsi="Calibri" w:eastAsia="Microsoft YaHei" w:cs="Calibri"/>
          <w:color w:val="263238"/>
          <w:sz w:val="22"/>
          <w:szCs w:val="22"/>
        </w:rPr>
        <w:t>The Parties appoint the arbitrator jointly. If the Parties cannot agree within 14 days, the Secretary-General of the IMO appoints the arbitrator.</w:t>
      </w:r>
    </w:p>
    <w:p>
      <w:pPr>
        <w:pStyle w:val="Normal"/>
        <w:spacing w:after="120"/>
        <w:ind w:left="720" w:hanging="360"/>
      </w:pPr>
      <w:r>
        <w:rPr>
          <w:b/>
          <w:rFonts w:ascii="Calibri" w:hAnsi="Calibri" w:eastAsia="Microsoft YaHei" w:cs="Calibri"/>
          <w:color w:val="263238"/>
          <w:sz w:val="22"/>
          <w:szCs w:val="22"/>
        </w:rPr>
        <w:t xml:space="preserve">2. Venue: </w:t>
      </w:r>
      <w:r>
        <w:rPr>
          <w:rFonts w:ascii="Calibri" w:hAnsi="Calibri" w:eastAsia="Microsoft YaHei" w:cs="Calibri"/>
          <w:color w:val="263238"/>
          <w:sz w:val="22"/>
          <w:szCs w:val="22"/>
        </w:rPr>
        <w:t>Arbitration proceedings convene in Muscat, Sultanate of Oman.</w:t>
      </w:r>
    </w:p>
    <w:p>
      <w:pPr>
        <w:pStyle w:val="Normal"/>
        <w:spacing w:after="120"/>
        <w:ind w:left="720" w:hanging="360"/>
      </w:pPr>
      <w:r>
        <w:rPr>
          <w:b/>
          <w:rFonts w:ascii="Calibri" w:hAnsi="Calibri" w:eastAsia="Microsoft YaHei" w:cs="Calibri"/>
          <w:color w:val="263238"/>
          <w:sz w:val="22"/>
          <w:szCs w:val="22"/>
        </w:rPr>
        <w:t xml:space="preserve">3. Rules: </w:t>
      </w:r>
      <w:r>
        <w:rPr>
          <w:rFonts w:ascii="Calibri" w:hAnsi="Calibri" w:eastAsia="Microsoft YaHei" w:cs="Calibri"/>
          <w:color w:val="263238"/>
          <w:sz w:val="22"/>
          <w:szCs w:val="22"/>
        </w:rPr>
        <w:t>The arbitration operates under the UNCITRAL Arbitration Rules, adapted for maritime security disputes.</w:t>
      </w:r>
    </w:p>
    <w:p>
      <w:pPr>
        <w:pStyle w:val="Normal"/>
        <w:spacing w:after="120"/>
        <w:ind w:left="720" w:hanging="360"/>
      </w:pPr>
      <w:r>
        <w:rPr>
          <w:b/>
          <w:rFonts w:ascii="Calibri" w:hAnsi="Calibri" w:eastAsia="Microsoft YaHei" w:cs="Calibri"/>
          <w:color w:val="263238"/>
          <w:sz w:val="22"/>
          <w:szCs w:val="22"/>
        </w:rPr>
        <w:t xml:space="preserve">4. Language: </w:t>
      </w:r>
      <w:r>
        <w:rPr>
          <w:rFonts w:ascii="Calibri" w:hAnsi="Calibri" w:eastAsia="Microsoft YaHei" w:cs="Calibri"/>
          <w:color w:val="263238"/>
          <w:sz w:val="22"/>
          <w:szCs w:val="22"/>
        </w:rPr>
        <w:t>English serves as the sole language of arbitration. Farsi and Arabic translations are provided for convenience but carry no independent legal weight.</w:t>
      </w:r>
    </w:p>
    <w:p>
      <w:pPr>
        <w:pStyle w:val="Normal"/>
        <w:spacing w:after="120"/>
        <w:ind w:left="720" w:hanging="360"/>
      </w:pPr>
      <w:r>
        <w:rPr>
          <w:b/>
          <w:rFonts w:ascii="Calibri" w:hAnsi="Calibri" w:eastAsia="Microsoft YaHei" w:cs="Calibri"/>
          <w:color w:val="263238"/>
          <w:sz w:val="22"/>
          <w:szCs w:val="22"/>
        </w:rPr>
        <w:t xml:space="preserve">5. Decision: </w:t>
      </w:r>
      <w:r>
        <w:rPr>
          <w:rFonts w:ascii="Calibri" w:hAnsi="Calibri" w:eastAsia="Microsoft YaHei" w:cs="Calibri"/>
          <w:color w:val="263238"/>
          <w:sz w:val="22"/>
          <w:szCs w:val="22"/>
        </w:rPr>
        <w:t>The arbitrator's decision is final and binding on all Parties. No appeal is permitted.</w:t>
      </w:r>
    </w:p>
    <w:p>
      <w:pPr>
        <w:pStyle w:val="Normal"/>
        <w:spacing w:after="120"/>
        <w:ind w:left="720" w:hanging="360"/>
      </w:pPr>
      <w:r>
        <w:rPr>
          <w:b/>
          <w:rFonts w:ascii="Calibri" w:hAnsi="Calibri" w:eastAsia="Microsoft YaHei" w:cs="Calibri"/>
          <w:color w:val="263238"/>
          <w:sz w:val="22"/>
          <w:szCs w:val="22"/>
        </w:rPr>
        <w:t xml:space="preserve">6. Timeline: </w:t>
      </w:r>
      <w:r>
        <w:rPr>
          <w:rFonts w:ascii="Calibri" w:hAnsi="Calibri" w:eastAsia="Microsoft YaHei" w:cs="Calibri"/>
          <w:color w:val="263238"/>
          <w:sz w:val="22"/>
          <w:szCs w:val="22"/>
        </w:rPr>
        <w:t>The arbitrator issues a ruling within 30 days of the first hearing.</w:t>
      </w:r>
    </w:p>
    <w:p>
      <w:pPr>
        <w:pStyle w:val="Heading2"/>
      </w:pPr>
      <w:r>
        <w:rPr>
          <w:rFonts w:ascii="Calibri" w:hAnsi="Calibri" w:eastAsia="Microsoft YaHei" w:cs="Calibri"/>
          <w:b/>
          <w:color w:val="263238"/>
          <w:sz w:val="28"/>
          <w:szCs w:val="28"/>
        </w:rPr>
        <w:t>7.3 Standstill During Dispute</w:t>
      </w:r>
    </w:p>
    <w:p>
      <w:pPr>
        <w:pStyle w:val="Normal"/>
      </w:pPr>
      <w:r>
        <w:rPr>
          <w:rFonts w:ascii="Calibri" w:hAnsi="Calibri" w:eastAsia="Microsoft YaHei" w:cs="Calibri"/>
          <w:color w:val="263238"/>
          <w:sz w:val="22"/>
          <w:szCs w:val="22"/>
        </w:rPr>
        <w:t>During the entire dispute resolution process, whether at the JIC level or in arbitration, the following standstill provisions apply:</w:t>
      </w:r>
    </w:p>
    <w:p>
      <w:pPr>
        <w:pStyle w:val="Normal"/>
        <w:spacing w:after="120"/>
        <w:ind w:left="720" w:hanging="360"/>
      </w:pPr>
      <w:r>
        <w:rPr>
          <w:b/>
          <w:rFonts w:ascii="Calibri" w:hAnsi="Calibri" w:eastAsia="Microsoft YaHei" w:cs="Calibri"/>
          <w:color w:val="263238"/>
          <w:sz w:val="22"/>
          <w:szCs w:val="22"/>
        </w:rPr>
        <w:t xml:space="preserve">1. No Escalation: </w:t>
      </w:r>
      <w:r>
        <w:rPr>
          <w:rFonts w:ascii="Calibri" w:hAnsi="Calibri" w:eastAsia="Microsoft YaHei" w:cs="Calibri"/>
          <w:color w:val="263238"/>
          <w:sz w:val="22"/>
          <w:szCs w:val="22"/>
        </w:rPr>
        <w:t>Neither Party takes unilateral coercive action, including military or economic measures, pending resolution of the dispute.</w:t>
      </w:r>
    </w:p>
    <w:p>
      <w:pPr>
        <w:pStyle w:val="Normal"/>
        <w:spacing w:after="120"/>
        <w:ind w:left="720" w:hanging="360"/>
      </w:pPr>
      <w:r>
        <w:rPr>
          <w:b/>
          <w:rFonts w:ascii="Calibri" w:hAnsi="Calibri" w:eastAsia="Microsoft YaHei" w:cs="Calibri"/>
          <w:color w:val="263238"/>
          <w:sz w:val="22"/>
          <w:szCs w:val="22"/>
        </w:rPr>
        <w:t xml:space="preserve">2. Continued Operations: </w:t>
      </w:r>
      <w:r>
        <w:rPr>
          <w:rFonts w:ascii="Calibri" w:hAnsi="Calibri" w:eastAsia="Microsoft YaHei" w:cs="Calibri"/>
          <w:color w:val="263238"/>
          <w:sz w:val="22"/>
          <w:szCs w:val="22"/>
        </w:rPr>
        <w:t>All provisions of this Annex not directly in dispute remain in full effect.</w:t>
      </w:r>
    </w:p>
    <w:p>
      <w:pPr>
        <w:pStyle w:val="Normal"/>
        <w:spacing w:after="120"/>
        <w:ind w:left="720" w:hanging="360"/>
      </w:pPr>
      <w:r>
        <w:rPr>
          <w:b/>
          <w:rFonts w:ascii="Calibri" w:hAnsi="Calibri" w:eastAsia="Microsoft YaHei" w:cs="Calibri"/>
          <w:color w:val="263238"/>
          <w:sz w:val="22"/>
          <w:szCs w:val="22"/>
        </w:rPr>
        <w:t xml:space="preserve">3. JIC Continuity: </w:t>
      </w:r>
      <w:r>
        <w:rPr>
          <w:rFonts w:ascii="Calibri" w:hAnsi="Calibri" w:eastAsia="Microsoft YaHei" w:cs="Calibri"/>
          <w:color w:val="263238"/>
          <w:sz w:val="22"/>
          <w:szCs w:val="22"/>
        </w:rPr>
        <w:t>The JIC continues its monitoring and reporting functions without interruption.</w:t>
      </w:r>
    </w:p>
    <w:p>
      <w:pPr>
        <w:pStyle w:val="Heading2"/>
      </w:pPr>
      <w:r>
        <w:rPr>
          <w:rFonts w:ascii="Calibri" w:hAnsi="Calibri" w:eastAsia="Microsoft YaHei" w:cs="Calibri"/>
          <w:b/>
          <w:color w:val="263238"/>
          <w:sz w:val="28"/>
          <w:szCs w:val="28"/>
        </w:rPr>
        <w:t>7.4 Emergency Session Quorum and Decision Rules</w:t>
      </w:r>
    </w:p>
    <w:p>
      <w:pPr>
        <w:pStyle w:val="Normal"/>
      </w:pPr>
      <w:r>
        <w:rPr>
          <w:rFonts w:ascii="Calibri" w:hAnsi="Calibri" w:eastAsia="Microsoft YaHei" w:cs="Calibri"/>
          <w:color w:val="263238"/>
          <w:sz w:val="22"/>
          <w:szCs w:val="22"/>
          <w:b/>
        </w:rPr>
        <w:t xml:space="preserve">Quorum: </w:t>
      </w:r>
      <w:r>
        <w:rPr>
          <w:rFonts w:ascii="Calibri" w:hAnsi="Calibri" w:eastAsia="Microsoft YaHei" w:cs="Calibri"/>
          <w:color w:val="263238"/>
          <w:sz w:val="22"/>
          <w:szCs w:val="22"/>
        </w:rPr>
        <w:t>A JIC emergency session requires at least 4 of 5 voting members present. The Omani facilitator is always considered present. If a Party's representatives are absent, the Party waives its right to participate and the session proceeds with the present members.</w:t>
      </w:r>
    </w:p>
    <w:p>
      <w:pPr>
        <w:pStyle w:val="Normal"/>
      </w:pPr>
      <w:r>
        <w:rPr>
          <w:rFonts w:ascii="Calibri" w:hAnsi="Calibri" w:eastAsia="Microsoft YaHei" w:cs="Calibri"/>
          <w:color w:val="263238"/>
          <w:sz w:val="22"/>
          <w:szCs w:val="22"/>
          <w:b/>
        </w:rPr>
        <w:t xml:space="preserve">Decision Rules: </w:t>
      </w:r>
      <w:r>
        <w:rPr>
          <w:rFonts w:ascii="Calibri" w:hAnsi="Calibri" w:eastAsia="Microsoft YaHei" w:cs="Calibri"/>
          <w:color w:val="263238"/>
          <w:sz w:val="22"/>
          <w:szCs w:val="22"/>
        </w:rPr>
        <w:t>Emergency session decisions require three-fourths majority of voting members present. If quorum is not reached within 48 hours of the emergency session call, the IMO Deputy Secretary-General casts the tie-breaking vote. The IMO vote is non-binding on matters of HSU interpretation but is binding on procedural matters. All emergency session decisions are published in the Compliance Dashboard within 24 hours.</w:t>
      </w:r>
    </w:p>
    <w:p>
      <w:pPr>
        <w:pStyle w:val="Normal"/>
        <w:pageBreakBefore/>
      </w:pPr>
    </w:p>
    <w:p>
      <w:pPr>
        <w:pStyle w:val="Heading1"/>
      </w:pPr>
      <w:bookmarkStart w:name="_Toc008" w:id="9"/>
      <w:r>
        <w:rPr>
          <w:rFonts w:ascii="Calibri" w:hAnsi="Calibri" w:eastAsia="Microsoft YaHei" w:cs="Calibri"/>
          <w:b/>
          <w:color w:val="37474F"/>
          <w:sz w:val="40"/>
          <w:szCs w:val="40"/>
        </w:rPr>
        <w:t>SECTION 8: TECHNICAL REVIEW AND AMENDMENTS</w:t>
      </w:r>
      <w:bookmarkEnd w:id="9"/>
    </w:p>
    <w:p>
      <w:pPr>
        <w:pStyle w:val="Heading2"/>
      </w:pPr>
      <w:r>
        <w:rPr>
          <w:rFonts w:ascii="Calibri" w:hAnsi="Calibri" w:eastAsia="Microsoft YaHei" w:cs="Calibri"/>
          <w:b/>
          <w:color w:val="263238"/>
          <w:sz w:val="28"/>
          <w:szCs w:val="28"/>
        </w:rPr>
        <w:t>8.1 Quarterly Operational Review</w:t>
      </w:r>
    </w:p>
    <w:p>
      <w:pPr>
        <w:pStyle w:val="Heading3"/>
      </w:pPr>
      <w:r>
        <w:rPr>
          <w:rFonts w:ascii="Calibri" w:hAnsi="Calibri" w:eastAsia="Microsoft YaHei" w:cs="Calibri"/>
          <w:b/>
          <w:color w:val="546E7A"/>
          <w:sz w:val="24"/>
          <w:szCs w:val="24"/>
        </w:rPr>
        <w:t>8.1.1 Review Process</w:t>
      </w:r>
    </w:p>
    <w:p>
      <w:pPr>
        <w:pStyle w:val="Normal"/>
      </w:pPr>
      <w:r>
        <w:rPr>
          <w:rFonts w:ascii="Calibri" w:hAnsi="Calibri" w:eastAsia="Microsoft YaHei" w:cs="Calibri"/>
          <w:color w:val="263238"/>
          <w:sz w:val="22"/>
          <w:szCs w:val="22"/>
        </w:rPr>
        <w:t>The JIC conducts a quarterly operational review of this Annex. The review addresses the following items:</w:t>
      </w:r>
    </w:p>
    <w:p>
      <w:pPr>
        <w:pStyle w:val="Normal"/>
        <w:spacing w:after="120"/>
        <w:ind w:left="720" w:hanging="360"/>
      </w:pPr>
      <w:r>
        <w:rPr>
          <w:b/>
          <w:rFonts w:ascii="Calibri" w:hAnsi="Calibri" w:eastAsia="Microsoft YaHei" w:cs="Calibri"/>
          <w:color w:val="263238"/>
          <w:sz w:val="22"/>
          <w:szCs w:val="22"/>
        </w:rPr>
        <w:t xml:space="preserve">1. Progress Assessment: </w:t>
      </w:r>
      <w:r>
        <w:rPr>
          <w:rFonts w:ascii="Calibri" w:hAnsi="Calibri" w:eastAsia="Microsoft YaHei" w:cs="Calibri"/>
          <w:color w:val="263238"/>
          <w:sz w:val="22"/>
          <w:szCs w:val="22"/>
        </w:rPr>
        <w:t>The JIC assesses progress toward Phase completion, identifying which measures are on track, at risk, or off track.</w:t>
      </w:r>
    </w:p>
    <w:p>
      <w:pPr>
        <w:pStyle w:val="Normal"/>
        <w:spacing w:after="120"/>
        <w:ind w:left="720" w:hanging="360"/>
      </w:pPr>
      <w:r>
        <w:rPr>
          <w:b/>
          <w:rFonts w:ascii="Calibri" w:hAnsi="Calibri" w:eastAsia="Microsoft YaHei" w:cs="Calibri"/>
          <w:color w:val="263238"/>
          <w:sz w:val="22"/>
          <w:szCs w:val="22"/>
        </w:rPr>
        <w:t xml:space="preserve">2. Dashboard Evaluation: </w:t>
      </w:r>
      <w:r>
        <w:rPr>
          <w:rFonts w:ascii="Calibri" w:hAnsi="Calibri" w:eastAsia="Microsoft YaHei" w:cs="Calibri"/>
          <w:color w:val="263238"/>
          <w:sz w:val="22"/>
          <w:szCs w:val="22"/>
        </w:rPr>
        <w:t>The JIC evaluates the Compliance Dashboard data, looking for trends, anomalies, and early warning indicators.</w:t>
      </w:r>
    </w:p>
    <w:p>
      <w:pPr>
        <w:pStyle w:val="Normal"/>
        <w:spacing w:after="120"/>
        <w:ind w:left="720" w:hanging="360"/>
      </w:pPr>
      <w:r>
        <w:rPr>
          <w:b/>
          <w:rFonts w:ascii="Calibri" w:hAnsi="Calibri" w:eastAsia="Microsoft YaHei" w:cs="Calibri"/>
          <w:color w:val="263238"/>
          <w:sz w:val="22"/>
          <w:szCs w:val="22"/>
        </w:rPr>
        <w:t xml:space="preserve">3. Obstacle Identification: </w:t>
      </w:r>
      <w:r>
        <w:rPr>
          <w:rFonts w:ascii="Calibri" w:hAnsi="Calibri" w:eastAsia="Microsoft YaHei" w:cs="Calibri"/>
          <w:color w:val="263238"/>
          <w:sz w:val="22"/>
          <w:szCs w:val="22"/>
        </w:rPr>
        <w:t>The JIC identifies obstacles or delays and recommends corrective actions.</w:t>
      </w:r>
    </w:p>
    <w:p>
      <w:pPr>
        <w:pStyle w:val="Normal"/>
        <w:spacing w:after="120"/>
        <w:ind w:left="720" w:hanging="360"/>
      </w:pPr>
      <w:r>
        <w:rPr>
          <w:b/>
          <w:rFonts w:ascii="Calibri" w:hAnsi="Calibri" w:eastAsia="Microsoft YaHei" w:cs="Calibri"/>
          <w:color w:val="263238"/>
          <w:sz w:val="22"/>
          <w:szCs w:val="22"/>
        </w:rPr>
        <w:t xml:space="preserve">4. Schedule Adjustment: </w:t>
      </w:r>
      <w:r>
        <w:rPr>
          <w:rFonts w:ascii="Calibri" w:hAnsi="Calibri" w:eastAsia="Microsoft YaHei" w:cs="Calibri"/>
          <w:color w:val="263238"/>
          <w:sz w:val="22"/>
          <w:szCs w:val="22"/>
        </w:rPr>
        <w:t>The JIC recommends adjustments to the Phase schedule if verified conditions warrant acceleration or deceleration.</w:t>
      </w:r>
    </w:p>
    <w:p>
      <w:pPr>
        <w:pStyle w:val="Heading3"/>
      </w:pPr>
      <w:r>
        <w:rPr>
          <w:rFonts w:ascii="Calibri" w:hAnsi="Calibri" w:eastAsia="Microsoft YaHei" w:cs="Calibri"/>
          <w:b/>
          <w:color w:val="546E7A"/>
          <w:sz w:val="24"/>
          <w:szCs w:val="24"/>
        </w:rPr>
        <w:t>8.1.2 Adjustments</w:t>
      </w:r>
    </w:p>
    <w:p>
      <w:pPr>
        <w:pStyle w:val="Normal"/>
      </w:pPr>
      <w:r>
        <w:rPr>
          <w:rFonts w:ascii="Calibri" w:hAnsi="Calibri" w:eastAsia="Microsoft YaHei" w:cs="Calibri"/>
          <w:color w:val="263238"/>
          <w:sz w:val="22"/>
          <w:szCs w:val="22"/>
        </w:rPr>
        <w:t>Adjustments to the Phase schedule or measures are made by either of the following mechanisms:</w:t>
      </w:r>
    </w:p>
    <w:p>
      <w:pPr>
        <w:pStyle w:val="Normal"/>
        <w:spacing w:after="120"/>
        <w:ind w:left="720" w:hanging="360"/>
      </w:pPr>
      <w:r>
        <w:rPr>
          <w:b/>
          <w:rFonts w:ascii="Calibri" w:hAnsi="Calibri" w:eastAsia="Microsoft YaHei" w:cs="Calibri"/>
          <w:color w:val="263238"/>
          <w:sz w:val="22"/>
          <w:szCs w:val="22"/>
        </w:rPr>
        <w:t xml:space="preserve">1. JIC Consensus: </w:t>
      </w:r>
      <w:r>
        <w:rPr>
          <w:rFonts w:ascii="Calibri" w:hAnsi="Calibri" w:eastAsia="Microsoft YaHei" w:cs="Calibri"/>
          <w:color w:val="263238"/>
          <w:sz w:val="22"/>
          <w:szCs w:val="22"/>
        </w:rPr>
        <w:t>The JIC approves adjustments by consensus of its voting members. The IMO representative participates in discussions but does not vote.</w:t>
      </w:r>
    </w:p>
    <w:p>
      <w:pPr>
        <w:pStyle w:val="Normal"/>
        <w:spacing w:after="120"/>
        <w:ind w:left="720" w:hanging="360"/>
      </w:pPr>
      <w:r>
        <w:rPr>
          <w:b/>
          <w:rFonts w:ascii="Calibri" w:hAnsi="Calibri" w:eastAsia="Microsoft YaHei" w:cs="Calibri"/>
          <w:color w:val="263238"/>
          <w:sz w:val="22"/>
          <w:szCs w:val="22"/>
        </w:rPr>
        <w:t xml:space="preserve">2. Mutual Agreement: </w:t>
      </w:r>
      <w:r>
        <w:rPr>
          <w:rFonts w:ascii="Calibri" w:hAnsi="Calibri" w:eastAsia="Microsoft YaHei" w:cs="Calibri"/>
          <w:color w:val="263238"/>
          <w:sz w:val="22"/>
          <w:szCs w:val="22"/>
        </w:rPr>
        <w:t>The Parties approve adjustments by mutual written agreement submitted to the JIC for record.</w:t>
      </w:r>
    </w:p>
    <w:p>
      <w:pPr>
        <w:pStyle w:val="Normal"/>
      </w:pPr>
      <w:r>
        <w:rPr>
          <w:rFonts w:ascii="Calibri" w:hAnsi="Calibri" w:eastAsia="Microsoft YaHei" w:cs="Calibri"/>
          <w:color w:val="263238"/>
          <w:sz w:val="22"/>
          <w:szCs w:val="22"/>
        </w:rPr>
        <w:t>Adjustments do not reopen the political text of the HSU. Technical adjustments to numerical tolerances, timelines, and verification methods fall within the JIC's standing authority under HSU Article 10.2.</w:t>
      </w:r>
    </w:p>
    <w:p>
      <w:pPr>
        <w:pStyle w:val="Heading2"/>
      </w:pPr>
      <w:r>
        <w:rPr>
          <w:rFonts w:ascii="Calibri" w:hAnsi="Calibri" w:eastAsia="Microsoft YaHei" w:cs="Calibri"/>
          <w:b/>
          <w:color w:val="263238"/>
          <w:sz w:val="28"/>
          <w:szCs w:val="28"/>
        </w:rPr>
        <w:t>8.2 Annual Strategic Review</w:t>
      </w:r>
    </w:p>
    <w:p>
      <w:pPr>
        <w:pStyle w:val="Heading3"/>
      </w:pPr>
      <w:r>
        <w:rPr>
          <w:rFonts w:ascii="Calibri" w:hAnsi="Calibri" w:eastAsia="Microsoft YaHei" w:cs="Calibri"/>
          <w:b/>
          <w:color w:val="546E7A"/>
          <w:sz w:val="24"/>
          <w:szCs w:val="24"/>
        </w:rPr>
        <w:t>8.2.1 Review Process</w:t>
      </w:r>
    </w:p>
    <w:p>
      <w:pPr>
        <w:pStyle w:val="Normal"/>
      </w:pPr>
      <w:r>
        <w:rPr>
          <w:rFonts w:ascii="Calibri" w:hAnsi="Calibri" w:eastAsia="Microsoft YaHei" w:cs="Calibri"/>
          <w:color w:val="263238"/>
          <w:sz w:val="22"/>
          <w:szCs w:val="22"/>
        </w:rPr>
        <w:t>The JIC conducts an annual strategic review of this Annex. The strategic review assesses the following questions:</w:t>
      </w:r>
    </w:p>
    <w:p>
      <w:pPr>
        <w:pStyle w:val="Normal"/>
        <w:spacing w:after="120"/>
        <w:ind w:left="720" w:hanging="360"/>
      </w:pPr>
      <w:r>
        <w:rPr>
          <w:b/>
          <w:rFonts w:ascii="Calibri" w:hAnsi="Calibri" w:eastAsia="Microsoft YaHei" w:cs="Calibri"/>
          <w:color w:val="263238"/>
          <w:sz w:val="22"/>
          <w:szCs w:val="22"/>
        </w:rPr>
        <w:t xml:space="preserve">1. Effectiveness: </w:t>
      </w:r>
      <w:r>
        <w:rPr>
          <w:rFonts w:ascii="Calibri" w:hAnsi="Calibri" w:eastAsia="Microsoft YaHei" w:cs="Calibri"/>
          <w:color w:val="263238"/>
          <w:sz w:val="22"/>
          <w:szCs w:val="22"/>
        </w:rPr>
        <w:t>Do the confidence-building measures achieve their intended objectives of reducing miscalculation risk and building operational trust?</w:t>
      </w:r>
    </w:p>
    <w:p>
      <w:pPr>
        <w:pStyle w:val="Normal"/>
        <w:spacing w:after="120"/>
        <w:ind w:left="720" w:hanging="360"/>
      </w:pPr>
      <w:r>
        <w:rPr>
          <w:b/>
          <w:rFonts w:ascii="Calibri" w:hAnsi="Calibri" w:eastAsia="Microsoft YaHei" w:cs="Calibri"/>
          <w:color w:val="263238"/>
          <w:sz w:val="22"/>
          <w:szCs w:val="22"/>
        </w:rPr>
        <w:t xml:space="preserve">2. Reversibility Appropriateness: </w:t>
      </w:r>
      <w:r>
        <w:rPr>
          <w:rFonts w:ascii="Calibri" w:hAnsi="Calibri" w:eastAsia="Microsoft YaHei" w:cs="Calibri"/>
          <w:color w:val="263238"/>
          <w:sz w:val="22"/>
          <w:szCs w:val="22"/>
        </w:rPr>
        <w:t>Is the reversal mechanism being used appropriately, or is it being invoked too frequently or too rarely?</w:t>
      </w:r>
    </w:p>
    <w:p>
      <w:pPr>
        <w:pStyle w:val="Normal"/>
        <w:spacing w:after="120"/>
        <w:ind w:left="720" w:hanging="360"/>
      </w:pPr>
      <w:r>
        <w:rPr>
          <w:b/>
          <w:rFonts w:ascii="Calibri" w:hAnsi="Calibri" w:eastAsia="Microsoft YaHei" w:cs="Calibri"/>
          <w:color w:val="263238"/>
          <w:sz w:val="22"/>
          <w:szCs w:val="22"/>
        </w:rPr>
        <w:t xml:space="preserve">3. Phase Schedule Fitness: </w:t>
      </w:r>
      <w:r>
        <w:rPr>
          <w:rFonts w:ascii="Calibri" w:hAnsi="Calibri" w:eastAsia="Microsoft YaHei" w:cs="Calibri"/>
          <w:color w:val="263238"/>
          <w:sz w:val="22"/>
          <w:szCs w:val="22"/>
        </w:rPr>
        <w:t>Does the Phase schedule warrant extension, compression, or redesign based on observed compliance patterns?</w:t>
      </w:r>
    </w:p>
    <w:p>
      <w:pPr>
        <w:pStyle w:val="Normal"/>
        <w:spacing w:after="120"/>
        <w:ind w:left="720" w:hanging="360"/>
      </w:pPr>
      <w:r>
        <w:rPr>
          <w:b/>
          <w:rFonts w:ascii="Calibri" w:hAnsi="Calibri" w:eastAsia="Microsoft YaHei" w:cs="Calibri"/>
          <w:color w:val="263238"/>
          <w:sz w:val="22"/>
          <w:szCs w:val="22"/>
        </w:rPr>
        <w:t xml:space="preserve">4. HSU Renewal Assessment: </w:t>
      </w:r>
      <w:r>
        <w:rPr>
          <w:rFonts w:ascii="Calibri" w:hAnsi="Calibri" w:eastAsia="Microsoft YaHei" w:cs="Calibri"/>
          <w:color w:val="263238"/>
          <w:sz w:val="22"/>
          <w:szCs w:val="22"/>
        </w:rPr>
        <w:t>Does the HSU warrant renewal, amendment, or termination at the end of its 36-month term?</w:t>
      </w:r>
    </w:p>
    <w:p>
      <w:pPr>
        <w:pStyle w:val="Heading3"/>
      </w:pPr>
      <w:r>
        <w:rPr>
          <w:rFonts w:ascii="Calibri" w:hAnsi="Calibri" w:eastAsia="Microsoft YaHei" w:cs="Calibri"/>
          <w:b/>
          <w:color w:val="546E7A"/>
          <w:sz w:val="24"/>
          <w:szCs w:val="24"/>
        </w:rPr>
        <w:t>8.2.2 Recommendations</w:t>
      </w:r>
    </w:p>
    <w:p>
      <w:pPr>
        <w:pStyle w:val="Normal"/>
      </w:pPr>
      <w:r>
        <w:rPr>
          <w:rFonts w:ascii="Calibri" w:hAnsi="Calibri" w:eastAsia="Microsoft YaHei" w:cs="Calibri"/>
          <w:color w:val="263238"/>
          <w:sz w:val="22"/>
          <w:szCs w:val="22"/>
        </w:rPr>
        <w:t>The annual review produces a formal report to the Parties. The report includes:</w:t>
      </w:r>
    </w:p>
    <w:p>
      <w:pPr>
        <w:pStyle w:val="Normal"/>
        <w:spacing w:after="120"/>
        <w:ind w:left="720" w:hanging="360"/>
      </w:pPr>
      <w:r>
        <w:rPr>
          <w:b/>
          <w:rFonts w:ascii="Calibri" w:hAnsi="Calibri" w:eastAsia="Microsoft YaHei" w:cs="Calibri"/>
          <w:color w:val="263238"/>
          <w:sz w:val="22"/>
          <w:szCs w:val="22"/>
        </w:rPr>
        <w:t xml:space="preserve">1. Compliance Summary: </w:t>
      </w:r>
      <w:r>
        <w:rPr>
          <w:rFonts w:ascii="Calibri" w:hAnsi="Calibri" w:eastAsia="Microsoft YaHei" w:cs="Calibri"/>
          <w:color w:val="263238"/>
          <w:sz w:val="22"/>
          <w:szCs w:val="22"/>
        </w:rPr>
        <w:t>A summary of compliance across all Phases and measures, with color-coded indicators.</w:t>
      </w:r>
    </w:p>
    <w:p>
      <w:pPr>
        <w:pStyle w:val="Normal"/>
        <w:spacing w:after="120"/>
        <w:ind w:left="720" w:hanging="360"/>
      </w:pPr>
      <w:r>
        <w:rPr>
          <w:b/>
          <w:rFonts w:ascii="Calibri" w:hAnsi="Calibri" w:eastAsia="Microsoft YaHei" w:cs="Calibri"/>
          <w:color w:val="263238"/>
          <w:sz w:val="22"/>
          <w:szCs w:val="22"/>
        </w:rPr>
        <w:t xml:space="preserve">2. Trust Assessment: </w:t>
      </w:r>
      <w:r>
        <w:rPr>
          <w:rFonts w:ascii="Calibri" w:hAnsi="Calibri" w:eastAsia="Microsoft YaHei" w:cs="Calibri"/>
          <w:color w:val="263238"/>
          <w:sz w:val="22"/>
          <w:szCs w:val="22"/>
        </w:rPr>
        <w:t>An assessment of the state of operational trust between the Parties, based on synchronization success rates, reversal frequency, and JIC observations.</w:t>
      </w:r>
    </w:p>
    <w:p>
      <w:pPr>
        <w:pStyle w:val="Normal"/>
        <w:spacing w:after="120"/>
        <w:ind w:left="720" w:hanging="360"/>
      </w:pPr>
      <w:r>
        <w:rPr>
          <w:b/>
          <w:rFonts w:ascii="Calibri" w:hAnsi="Calibri" w:eastAsia="Microsoft YaHei" w:cs="Calibri"/>
          <w:color w:val="263238"/>
          <w:sz w:val="22"/>
          <w:szCs w:val="22"/>
        </w:rPr>
        <w:t xml:space="preserve">3. Future Recommendations: </w:t>
      </w:r>
      <w:r>
        <w:rPr>
          <w:rFonts w:ascii="Calibri" w:hAnsi="Calibri" w:eastAsia="Microsoft YaHei" w:cs="Calibri"/>
          <w:color w:val="263238"/>
          <w:sz w:val="22"/>
          <w:szCs w:val="22"/>
        </w:rPr>
        <w:t>Recommendations for future confidence-building initiatives, including proposals for new measures or Phase adjustments.</w:t>
      </w:r>
    </w:p>
    <w:p>
      <w:pPr>
        <w:pStyle w:val="Normal"/>
        <w:pageBreakBefore/>
      </w:pPr>
    </w:p>
    <w:p>
      <w:pPr>
        <w:pStyle w:val="Heading1"/>
      </w:pPr>
      <w:bookmarkStart w:name="_Toc009" w:id="10"/>
      <w:r>
        <w:rPr>
          <w:rFonts w:ascii="Calibri" w:hAnsi="Calibri" w:eastAsia="Microsoft YaHei" w:cs="Calibri"/>
          <w:b/>
          <w:color w:val="37474F"/>
          <w:sz w:val="40"/>
          <w:szCs w:val="40"/>
        </w:rPr>
        <w:t>SECTION 9: FINAL PROVISIONS</w:t>
      </w:r>
      <w:bookmarkEnd w:id="10"/>
    </w:p>
    <w:p>
      <w:pPr>
        <w:pStyle w:val="Heading2"/>
      </w:pPr>
      <w:r>
        <w:rPr>
          <w:rFonts w:ascii="Calibri" w:hAnsi="Calibri" w:eastAsia="Microsoft YaHei" w:cs="Calibri"/>
          <w:b/>
          <w:color w:val="263238"/>
          <w:sz w:val="28"/>
          <w:szCs w:val="28"/>
        </w:rPr>
        <w:t>9.1 Duration and Termination</w:t>
      </w:r>
    </w:p>
    <w:p>
      <w:pPr>
        <w:pStyle w:val="Heading3"/>
      </w:pPr>
      <w:r>
        <w:rPr>
          <w:rFonts w:ascii="Calibri" w:hAnsi="Calibri" w:eastAsia="Microsoft YaHei" w:cs="Calibri"/>
          <w:b/>
          <w:color w:val="546E7A"/>
          <w:sz w:val="24"/>
          <w:szCs w:val="24"/>
        </w:rPr>
        <w:t>9.1.1 Duration</w:t>
      </w:r>
    </w:p>
    <w:p>
      <w:pPr>
        <w:pStyle w:val="Normal"/>
      </w:pPr>
      <w:r>
        <w:rPr>
          <w:rFonts w:ascii="Calibri" w:hAnsi="Calibri" w:eastAsia="Microsoft YaHei" w:cs="Calibri"/>
          <w:color w:val="263238"/>
          <w:sz w:val="22"/>
          <w:szCs w:val="22"/>
        </w:rPr>
        <w:t>This Annex remains in effect for the duration of the HSU: 36 months from the date of signing, renewable under HSU Article 9.2. If the HSU renews, this Annex renews automatically. If the HSU terminates, this Annex terminates simultaneously.</w:t>
      </w:r>
    </w:p>
    <w:p>
      <w:pPr>
        <w:pStyle w:val="Heading3"/>
      </w:pPr>
      <w:r>
        <w:rPr>
          <w:rFonts w:ascii="Calibri" w:hAnsi="Calibri" w:eastAsia="Microsoft YaHei" w:cs="Calibri"/>
          <w:b/>
          <w:color w:val="546E7A"/>
          <w:sz w:val="24"/>
          <w:szCs w:val="24"/>
        </w:rPr>
        <w:t>9.1.2 Termination</w:t>
      </w:r>
    </w:p>
    <w:p>
      <w:pPr>
        <w:pStyle w:val="Normal"/>
      </w:pPr>
      <w:r>
        <w:rPr>
          <w:rFonts w:ascii="Calibri" w:hAnsi="Calibri" w:eastAsia="Microsoft YaHei" w:cs="Calibri"/>
          <w:color w:val="263238"/>
          <w:sz w:val="22"/>
          <w:szCs w:val="22"/>
        </w:rPr>
        <w:t>Termination of this Annex is governed by HSU Article 9.3 (Withdrawal). The following provisions apply upon termination:</w:t>
      </w:r>
    </w:p>
    <w:p>
      <w:pPr>
        <w:pStyle w:val="Normal"/>
        <w:spacing w:after="120"/>
        <w:ind w:left="720" w:hanging="360"/>
      </w:pPr>
      <w:r>
        <w:rPr>
          <w:b/>
          <w:rFonts w:ascii="Calibri" w:hAnsi="Calibri" w:eastAsia="Microsoft YaHei" w:cs="Calibri"/>
          <w:color w:val="263238"/>
          <w:sz w:val="22"/>
          <w:szCs w:val="22"/>
        </w:rPr>
        <w:t xml:space="preserve">1. Reversal Implementation: </w:t>
      </w:r>
      <w:r>
        <w:rPr>
          <w:rFonts w:ascii="Calibri" w:hAnsi="Calibri" w:eastAsia="Microsoft YaHei" w:cs="Calibri"/>
          <w:color w:val="263238"/>
          <w:sz w:val="22"/>
          <w:szCs w:val="22"/>
        </w:rPr>
        <w:t>All reversals proceed in accordance with Section 3 of this Annex. Neither Party maintains confidence-building measures after the HSU terminates.</w:t>
      </w:r>
    </w:p>
    <w:p>
      <w:pPr>
        <w:pStyle w:val="Normal"/>
        <w:spacing w:after="120"/>
        <w:ind w:left="720" w:hanging="360"/>
      </w:pPr>
      <w:r>
        <w:rPr>
          <w:b/>
          <w:rFonts w:ascii="Calibri" w:hAnsi="Calibri" w:eastAsia="Microsoft YaHei" w:cs="Calibri"/>
          <w:color w:val="263238"/>
          <w:sz w:val="22"/>
          <w:szCs w:val="22"/>
        </w:rPr>
        <w:t xml:space="preserve">2. Advance Notice: </w:t>
      </w:r>
      <w:r>
        <w:rPr>
          <w:rFonts w:ascii="Calibri" w:hAnsi="Calibri" w:eastAsia="Microsoft YaHei" w:cs="Calibri"/>
          <w:color w:val="263238"/>
          <w:sz w:val="22"/>
          <w:szCs w:val="22"/>
        </w:rPr>
        <w:t>The Parties provide 90 days advance notice of any reversals to avoid disruption to commercial vessel traffic.</w:t>
      </w:r>
    </w:p>
    <w:p>
      <w:pPr>
        <w:pStyle w:val="Normal"/>
        <w:spacing w:after="120"/>
        <w:ind w:left="720" w:hanging="360"/>
      </w:pPr>
      <w:r>
        <w:rPr>
          <w:b/>
          <w:rFonts w:ascii="Calibri" w:hAnsi="Calibri" w:eastAsia="Microsoft YaHei" w:cs="Calibri"/>
          <w:color w:val="263238"/>
          <w:sz w:val="22"/>
          <w:szCs w:val="22"/>
        </w:rPr>
        <w:t xml:space="preserve">3. Transitional Protection: </w:t>
      </w:r>
      <w:r>
        <w:rPr>
          <w:rFonts w:ascii="Calibri" w:hAnsi="Calibri" w:eastAsia="Microsoft YaHei" w:cs="Calibri"/>
          <w:color w:val="263238"/>
          <w:sz w:val="22"/>
          <w:szCs w:val="22"/>
        </w:rPr>
        <w:t>During the 90-day transition period, all Phase measures remain in effect unless both Parties agree to accelerate termination.</w:t>
      </w:r>
    </w:p>
    <w:p>
      <w:pPr>
        <w:pStyle w:val="Heading2"/>
      </w:pPr>
      <w:r>
        <w:rPr>
          <w:rFonts w:ascii="Calibri" w:hAnsi="Calibri" w:eastAsia="Microsoft YaHei" w:cs="Calibri"/>
          <w:b/>
          <w:color w:val="263238"/>
          <w:sz w:val="28"/>
          <w:szCs w:val="28"/>
        </w:rPr>
        <w:t>9.2 Relationship to Other Annexes</w:t>
      </w:r>
    </w:p>
    <w:p>
      <w:pPr>
        <w:pStyle w:val="Heading3"/>
      </w:pPr>
      <w:r>
        <w:rPr>
          <w:rFonts w:ascii="Calibri" w:hAnsi="Calibri" w:eastAsia="Microsoft YaHei" w:cs="Calibri"/>
          <w:b/>
          <w:color w:val="546E7A"/>
          <w:sz w:val="24"/>
          <w:szCs w:val="24"/>
        </w:rPr>
        <w:t>9.2.1 Compliance Linkage</w:t>
      </w:r>
    </w:p>
    <w:p>
      <w:pPr>
        <w:pStyle w:val="Normal"/>
      </w:pPr>
      <w:r>
        <w:rPr>
          <w:rFonts w:ascii="Calibri" w:hAnsi="Calibri" w:eastAsia="Microsoft YaHei" w:cs="Calibri"/>
          <w:color w:val="263238"/>
          <w:sz w:val="22"/>
          <w:szCs w:val="22"/>
        </w:rPr>
        <w:t>The measures under this Annex coordinate with the following HSU annexes:</w:t>
      </w:r>
    </w:p>
    <w:p>
      <w:pPr>
        <w:pStyle w:val="Normal"/>
        <w:spacing w:after="120"/>
        <w:ind w:left="720" w:hanging="360"/>
      </w:pPr>
      <w:r>
        <w:rPr>
          <w:b/>
          <w:rFonts w:ascii="Calibri" w:hAnsi="Calibri" w:eastAsia="Microsoft YaHei" w:cs="Calibri"/>
          <w:color w:val="263238"/>
          <w:sz w:val="22"/>
          <w:szCs w:val="22"/>
        </w:rPr>
        <w:t xml:space="preserve">1. Annex 1AB (Navigation Safety &amp; Deconfliction): </w:t>
      </w:r>
      <w:r>
        <w:rPr>
          <w:rFonts w:ascii="Calibri" w:hAnsi="Calibri" w:eastAsia="Microsoft YaHei" w:cs="Calibri"/>
          <w:color w:val="263238"/>
          <w:sz w:val="22"/>
          <w:szCs w:val="22"/>
        </w:rPr>
        <w:t>Phase measures that affect naval patrol patterns, VTS operations, and security buffer zones align with the navigational safety standards defined in Annex 1AB.</w:t>
      </w:r>
    </w:p>
    <w:p>
      <w:pPr>
        <w:pStyle w:val="Normal"/>
        <w:spacing w:after="120"/>
        <w:ind w:left="720" w:hanging="360"/>
      </w:pPr>
      <w:r>
        <w:rPr>
          <w:b/>
          <w:rFonts w:ascii="Calibri" w:hAnsi="Calibri" w:eastAsia="Microsoft YaHei" w:cs="Calibri"/>
          <w:color w:val="263238"/>
          <w:sz w:val="22"/>
          <w:szCs w:val="22"/>
        </w:rPr>
        <w:t xml:space="preserve">2. Annex 1AC (Transit Facilitation &amp; Service Fees): </w:t>
      </w:r>
      <w:r>
        <w:rPr>
          <w:rFonts w:ascii="Calibri" w:hAnsi="Calibri" w:eastAsia="Microsoft YaHei" w:cs="Calibri"/>
          <w:color w:val="263238"/>
          <w:sz w:val="22"/>
          <w:szCs w:val="22"/>
        </w:rPr>
        <w:t>Phase measures that affect the Hormuz Service Corporation, fee collection, and revenue distribution align with the service fee mechanisms defined in Annex 1AC.</w:t>
      </w:r>
    </w:p>
    <w:p>
      <w:pPr>
        <w:pStyle w:val="Heading3"/>
      </w:pPr>
      <w:r>
        <w:rPr>
          <w:rFonts w:ascii="Calibri" w:hAnsi="Calibri" w:eastAsia="Microsoft YaHei" w:cs="Calibri"/>
          <w:b/>
          <w:color w:val="546E7A"/>
          <w:sz w:val="24"/>
          <w:szCs w:val="24"/>
        </w:rPr>
        <w:t>9.2.2 Suspension Linkage</w:t>
      </w:r>
    </w:p>
    <w:p>
      <w:pPr>
        <w:pStyle w:val="Normal"/>
      </w:pPr>
      <w:r>
        <w:rPr>
          <w:rFonts w:ascii="Calibri" w:hAnsi="Calibri" w:eastAsia="Microsoft YaHei" w:cs="Calibri"/>
          <w:color w:val="263238"/>
          <w:sz w:val="22"/>
          <w:szCs w:val="22"/>
        </w:rPr>
        <w:t>A Level 3 or Level 4 violation under this Annex automatically triggers the following consequences:</w:t>
      </w:r>
    </w:p>
    <w:p>
      <w:pPr>
        <w:pStyle w:val="Normal"/>
        <w:spacing w:after="120"/>
        <w:ind w:left="720" w:hanging="360"/>
      </w:pPr>
      <w:r>
        <w:rPr>
          <w:b/>
          <w:rFonts w:ascii="Calibri" w:hAnsi="Calibri" w:eastAsia="Microsoft YaHei" w:cs="Calibri"/>
          <w:color w:val="263238"/>
          <w:sz w:val="22"/>
          <w:szCs w:val="22"/>
        </w:rPr>
        <w:t xml:space="preserve">1. Financial Freeze: </w:t>
      </w:r>
      <w:r>
        <w:rPr>
          <w:rFonts w:ascii="Calibri" w:hAnsi="Calibri" w:eastAsia="Microsoft YaHei" w:cs="Calibri"/>
          <w:color w:val="263238"/>
          <w:sz w:val="22"/>
          <w:szCs w:val="22"/>
        </w:rPr>
        <w:t>All disbursements under Annex 1AC freeze for 60 days. The Swiss facilitator holds all pending releases in the escrow account.</w:t>
      </w:r>
    </w:p>
    <w:p>
      <w:pPr>
        <w:pStyle w:val="Normal"/>
        <w:spacing w:after="120"/>
        <w:ind w:left="720" w:hanging="360"/>
      </w:pPr>
      <w:r>
        <w:rPr>
          <w:b/>
          <w:rFonts w:ascii="Calibri" w:hAnsi="Calibri" w:eastAsia="Microsoft YaHei" w:cs="Calibri"/>
          <w:color w:val="263238"/>
          <w:sz w:val="22"/>
          <w:szCs w:val="22"/>
        </w:rPr>
        <w:t xml:space="preserve">2. Mandatory Review: </w:t>
      </w:r>
      <w:r>
        <w:rPr>
          <w:rFonts w:ascii="Calibri" w:hAnsi="Calibri" w:eastAsia="Microsoft YaHei" w:cs="Calibri"/>
          <w:color w:val="263238"/>
          <w:sz w:val="22"/>
          <w:szCs w:val="22"/>
        </w:rPr>
        <w:t>The JIC conducts a mandatory review of Annexes 1AB and 1AC within 14 days of the violation classification.</w:t>
      </w:r>
    </w:p>
    <w:p>
      <w:pPr>
        <w:pStyle w:val="Normal"/>
        <w:spacing w:after="120"/>
        <w:ind w:left="720" w:hanging="360"/>
      </w:pPr>
      <w:r>
        <w:rPr>
          <w:b/>
          <w:rFonts w:ascii="Calibri" w:hAnsi="Calibri" w:eastAsia="Microsoft YaHei" w:cs="Calibri"/>
          <w:color w:val="263238"/>
          <w:sz w:val="22"/>
          <w:szCs w:val="22"/>
        </w:rPr>
        <w:t xml:space="preserve">3. Phase Hold: </w:t>
      </w:r>
      <w:r>
        <w:rPr>
          <w:rFonts w:ascii="Calibri" w:hAnsi="Calibri" w:eastAsia="Microsoft YaHei" w:cs="Calibri"/>
          <w:color w:val="263238"/>
          <w:sz w:val="22"/>
          <w:szCs w:val="22"/>
        </w:rPr>
        <w:t>No Phase transition occurs during the suspension period. The current Phase continues until the JIC lifts the hold.</w:t>
      </w:r>
    </w:p>
    <w:p>
      <w:pPr>
        <w:pStyle w:val="Heading2"/>
      </w:pPr>
      <w:r>
        <w:rPr>
          <w:rFonts w:ascii="Calibri" w:hAnsi="Calibri" w:eastAsia="Microsoft YaHei" w:cs="Calibri"/>
          <w:b/>
          <w:color w:val="263238"/>
          <w:sz w:val="28"/>
          <w:szCs w:val="28"/>
        </w:rPr>
        <w:t>9.3 Annex Signatures</w:t>
      </w:r>
    </w:p>
    <w:p>
      <w:pPr>
        <w:pStyle w:val="Normal"/>
      </w:pPr>
      <w:r>
        <w:rPr>
          <w:rFonts w:ascii="Calibri" w:hAnsi="Calibri" w:eastAsia="Microsoft YaHei" w:cs="Calibri"/>
          <w:color w:val="263238"/>
          <w:sz w:val="22"/>
          <w:szCs w:val="22"/>
        </w:rPr>
        <w:t>This Annex is adopted by the Signatories to the HSU and is appended to the HSU as an integral component. Adoption occurs through the same signature process as the HSU: simultaneous exchange, Omani Depositary certification, and four-tier signature architecture.</w:t>
      </w:r>
    </w:p>
    <w:p>
      <w:pPr>
        <w:pStyle w:val="Normal"/>
      </w:pPr>
      <w:r>
        <w:rPr>
          <w:rFonts w:ascii="Calibri" w:hAnsi="Calibri" w:eastAsia="Microsoft YaHei" w:cs="Calibri"/>
          <w:color w:val="263238"/>
          <w:sz w:val="22"/>
          <w:szCs w:val="22"/>
        </w:rPr>
        <w:t>This Annex enters into force on the same date as the HSU: July 2026. No separate ratification process is required.</w:t>
      </w:r>
    </w:p>
    <w:p>
      <w:pPr>
        <w:pStyle w:val="Normal"/>
        <w:pageBreakBefore/>
      </w:pPr>
    </w:p>
    <w:p>
      <w:pPr>
        <w:pStyle w:val="Heading1"/>
      </w:pPr>
      <w:bookmarkStart w:name="_Toc010" w:id="11"/>
      <w:r>
        <w:rPr>
          <w:rFonts w:ascii="Calibri" w:hAnsi="Calibri" w:eastAsia="Microsoft YaHei" w:cs="Calibri"/>
          <w:b/>
          <w:color w:val="37474F"/>
          <w:sz w:val="40"/>
          <w:szCs w:val="40"/>
        </w:rPr>
        <w:t>SIGNATURE PAGES</w:t>
      </w:r>
      <w:bookmarkEnd w:id="11"/>
    </w:p>
    <w:p>
      <w:pPr>
        <w:pStyle w:val="Normal"/>
      </w:pPr>
      <w:r>
        <w:rPr>
          <w:rFonts w:ascii="Calibri" w:hAnsi="Calibri" w:eastAsia="Microsoft YaHei" w:cs="Calibri"/>
          <w:color w:val="263238"/>
          <w:sz w:val="22"/>
          <w:szCs w:val="22"/>
        </w:rPr>
        <w:t>ADOPTED this _____ day of _________________, 2026, in Muscat, Sultanate of Oman.</w:t>
      </w:r>
    </w:p>
    <w:p>
      <w:pPr>
        <w:pStyle w:val="Normal"/>
      </w:pPr>
      <w:r>
        <w:rPr>
          <w:rFonts w:ascii="Calibri" w:hAnsi="Calibri" w:eastAsia="Microsoft YaHei" w:cs="Calibri"/>
          <w:color w:val="263238"/>
          <w:sz w:val="22"/>
          <w:szCs w:val="22"/>
        </w:rPr>
        <w:t/>
      </w:r>
    </w:p>
    <w:p>
      <w:pPr>
        <w:pStyle w:val="Heading2"/>
      </w:pPr>
      <w:r>
        <w:rPr>
          <w:rFonts w:ascii="Calibri" w:hAnsi="Calibri" w:eastAsia="Microsoft YaHei" w:cs="Calibri"/>
          <w:b/>
          <w:color w:val="263238"/>
          <w:sz w:val="28"/>
          <w:szCs w:val="28"/>
        </w:rPr>
        <w:t>FOR THE JOINT IMPLEMENTATION COMMISSION (JIC)</w:t>
      </w:r>
    </w:p>
    <w:tbl>
      <w:tblPr>
        <w:tblW w:w="5000" w:type="pct"/>
        <w:tblBorders>
          <w:top w:val="nil"/>
          <w:left w:val="nil"/>
          <w:bottom w:val="nil"/>
          <w:right w:val="nil"/>
          <w:insideH w:val="nil"/>
          <w:insideV w:val="nil"/>
        </w:tblBorders>
      </w:tblPr>
      <w:tblGrid>
        <w:gridCol w:w="4500"/>
        <w:gridCol w:w="4500"/>
      </w:tblGrid>
      <w:tr>
        <w:tc>
          <w:tcPr>
            <w:tcW w:w="4500" w:type="dxa"/>
          </w:tcPr>
          <w:p>
            <w:pPr>
              <w:pStyle w:val="Normal"/>
              <w:spacing w:before="40" w:after="40"/>
              <w:ind w:firstLine="0"/>
            </w:pPr>
            <w:r>
              <w:rPr>
                <w:b/>
                <w:color w:val="263238"/>
                <w:sz w:val="20"/>
                <w:rFonts w:ascii="Calibri" w:hAnsi="Calibri" w:eastAsia="Microsoft YaHei" w:cs="Calibri"/>
                <w:szCs w:val="20"/>
              </w:rPr>
              <w:t>FOR THE UNITED STATES</w:t>
            </w:r>
          </w:p>
        </w:tc>
        <w:tc>
          <w:tcPr>
            <w:tcW w:w="4500" w:type="dxa"/>
          </w:tcPr>
          <w:p>
            <w:pPr>
              <w:pStyle w:val="Normal"/>
              <w:spacing w:before="40" w:after="40"/>
              <w:ind w:firstLine="0"/>
            </w:pPr>
            <w:r>
              <w:rPr>
                <w:b/>
                <w:color w:val="263238"/>
                <w:sz w:val="20"/>
                <w:rFonts w:ascii="Calibri" w:hAnsi="Calibri" w:eastAsia="Microsoft YaHei" w:cs="Calibri"/>
                <w:szCs w:val="20"/>
              </w:rPr>
              <w:t>FOR THE ISLAMIC REPUBLIC OF IRAN</w:t>
            </w:r>
          </w:p>
        </w:tc>
      </w:tr>
      <w:tr>
        <w:tc>
          <w:tcPr>
            <w:tcW w:w="4500" w:type="dxa"/>
          </w:tcPr>
          <w:p>
            <w:pPr>
              <w:pStyle w:val="Normal"/>
              <w:spacing w:before="40" w:after="40"/>
              <w:ind w:firstLine="0"/>
            </w:pPr>
            <w:r>
              <w:rPr>
                <w:color w:val="263238"/>
                <w:sz w:val="20"/>
                <w:rFonts w:ascii="Calibri" w:hAnsi="Calibri" w:eastAsia="Microsoft YaHei" w:cs="Calibri"/>
                <w:szCs w:val="20"/>
              </w:rPr>
              <w:t>_________________________</w:t>
            </w:r>
          </w:p>
        </w:tc>
        <w:tc>
          <w:tcPr>
            <w:tcW w:w="4500" w:type="dxa"/>
          </w:tcPr>
          <w:p>
            <w:pPr>
              <w:pStyle w:val="Normal"/>
              <w:spacing w:before="40" w:after="40"/>
              <w:ind w:firstLine="0"/>
            </w:pPr>
            <w:r>
              <w:rPr>
                <w:color w:val="263238"/>
                <w:sz w:val="20"/>
                <w:rFonts w:ascii="Calibri" w:hAnsi="Calibri" w:eastAsia="Microsoft YaHei" w:cs="Calibri"/>
                <w:szCs w:val="20"/>
              </w:rPr>
              <w:t>_________________________</w:t>
            </w:r>
          </w:p>
        </w:tc>
      </w:tr>
      <w:tr>
        <w:tc>
          <w:tcPr>
            <w:tcW w:w="4500" w:type="dxa"/>
          </w:tcPr>
          <w:p>
            <w:pPr>
              <w:pStyle w:val="Normal"/>
              <w:spacing w:before="40" w:after="40"/>
              <w:ind w:firstLine="0"/>
            </w:pPr>
            <w:r>
              <w:rPr>
                <w:color w:val="263238"/>
                <w:sz w:val="20"/>
                <w:rFonts w:ascii="Calibri" w:hAnsi="Calibri" w:eastAsia="Microsoft YaHei" w:cs="Calibri"/>
                <w:szCs w:val="20"/>
              </w:rPr>
              <w:t>[Name]</w:t>
            </w:r>
          </w:p>
        </w:tc>
        <w:tc>
          <w:tcPr>
            <w:tcW w:w="4500" w:type="dxa"/>
          </w:tcPr>
          <w:p>
            <w:pPr>
              <w:pStyle w:val="Normal"/>
              <w:spacing w:before="40" w:after="40"/>
              <w:ind w:firstLine="0"/>
            </w:pPr>
            <w:r>
              <w:rPr>
                <w:color w:val="263238"/>
                <w:sz w:val="20"/>
                <w:rFonts w:ascii="Calibri" w:hAnsi="Calibri" w:eastAsia="Microsoft YaHei" w:cs="Calibri"/>
                <w:szCs w:val="20"/>
              </w:rPr>
              <w:t>[Name]</w:t>
            </w:r>
          </w:p>
        </w:tc>
      </w:tr>
      <w:tr>
        <w:tc>
          <w:tcPr>
            <w:tcW w:w="4500" w:type="dxa"/>
          </w:tcPr>
          <w:p>
            <w:pPr>
              <w:pStyle w:val="Normal"/>
              <w:spacing w:before="40" w:after="40"/>
              <w:ind w:firstLine="0"/>
            </w:pPr>
            <w:r>
              <w:rPr>
                <w:color w:val="263238"/>
                <w:sz w:val="20"/>
                <w:rFonts w:ascii="Calibri" w:hAnsi="Calibri" w:eastAsia="Microsoft YaHei" w:cs="Calibri"/>
                <w:szCs w:val="20"/>
              </w:rPr>
              <w:t>[Title]</w:t>
            </w:r>
          </w:p>
        </w:tc>
        <w:tc>
          <w:tcPr>
            <w:tcW w:w="4500" w:type="dxa"/>
          </w:tcPr>
          <w:p>
            <w:pPr>
              <w:pStyle w:val="Normal"/>
              <w:spacing w:before="40" w:after="40"/>
              <w:ind w:firstLine="0"/>
            </w:pPr>
            <w:r>
              <w:rPr>
                <w:color w:val="263238"/>
                <w:sz w:val="20"/>
                <w:rFonts w:ascii="Calibri" w:hAnsi="Calibri" w:eastAsia="Microsoft YaHei" w:cs="Calibri"/>
                <w:szCs w:val="20"/>
              </w:rPr>
              <w:t>[Title]</w:t>
            </w:r>
          </w:p>
        </w:tc>
      </w:tr>
      <w:tr>
        <w:tc>
          <w:tcPr>
            <w:tcW w:w="4500" w:type="dxa"/>
          </w:tcPr>
          <w:p>
            <w:pPr>
              <w:pStyle w:val="Normal"/>
              <w:spacing w:before="40" w:after="40"/>
              <w:ind w:firstLine="0"/>
            </w:pPr>
            <w:r>
              <w:rPr>
                <w:color w:val="263238"/>
                <w:sz w:val="20"/>
                <w:rFonts w:ascii="Calibri" w:hAnsi="Calibri" w:eastAsia="Microsoft YaHei" w:cs="Calibri"/>
                <w:szCs w:val="20"/>
              </w:rPr>
              <w:t>Date: _____________</w:t>
            </w:r>
          </w:p>
        </w:tc>
        <w:tc>
          <w:tcPr>
            <w:tcW w:w="4500" w:type="dxa"/>
          </w:tcPr>
          <w:p>
            <w:pPr>
              <w:pStyle w:val="Normal"/>
              <w:spacing w:before="40" w:after="40"/>
              <w:ind w:firstLine="0"/>
            </w:pPr>
            <w:r>
              <w:rPr>
                <w:color w:val="263238"/>
                <w:sz w:val="20"/>
                <w:rFonts w:ascii="Calibri" w:hAnsi="Calibri" w:eastAsia="Microsoft YaHei" w:cs="Calibri"/>
                <w:szCs w:val="20"/>
              </w:rPr>
              <w:t>Date: _____________</w:t>
            </w:r>
          </w:p>
        </w:tc>
      </w:tr>
    </w:tbl>
    <w:p>
      <w:pPr>
        <w:pStyle w:val="Heading2"/>
      </w:pPr>
      <w:r>
        <w:rPr>
          <w:rFonts w:ascii="Calibri" w:hAnsi="Calibri" w:eastAsia="Microsoft YaHei" w:cs="Calibri"/>
          <w:b/>
          <w:color w:val="263238"/>
          <w:sz w:val="28"/>
          <w:szCs w:val="28"/>
        </w:rPr>
        <w:t>FOR THE SULTANATE OF OMAN (NEUTRAL GUARANTOR)</w:t>
      </w:r>
    </w:p>
    <w:p>
      <w:pPr>
        <w:pStyle w:val="Heading2"/>
      </w:pPr>
      <w:r>
        <w:rPr>
          <w:rFonts w:ascii="Calibri" w:hAnsi="Calibri" w:eastAsia="Microsoft YaHei" w:cs="Calibri"/>
          <w:b/>
          <w:color w:val="263238"/>
          <w:sz w:val="28"/>
          <w:szCs w:val="28"/>
        </w:rPr>
        <w:t>FOR THE IMO (TECHNICAL ADVISOR, NON-VOTING)</w:t>
      </w:r>
    </w:p>
    <w:tbl>
      <w:tblPr>
        <w:tblW w:w="5000" w:type="pct"/>
        <w:tblBorders>
          <w:top w:val="nil"/>
          <w:left w:val="nil"/>
          <w:bottom w:val="nil"/>
          <w:right w:val="nil"/>
          <w:insideH w:val="nil"/>
          <w:insideV w:val="nil"/>
        </w:tblBorders>
      </w:tblPr>
      <w:tblGrid>
        <w:gridCol w:w="4500"/>
        <w:gridCol w:w="4500"/>
      </w:tblGrid>
      <w:tr>
        <w:tc>
          <w:tcPr>
            <w:tcW w:w="4500" w:type="dxa"/>
          </w:tcPr>
          <w:p>
            <w:pPr>
              <w:pStyle w:val="Normal"/>
              <w:spacing w:before="40" w:after="40"/>
              <w:ind w:firstLine="0"/>
            </w:pPr>
            <w:r>
              <w:rPr>
                <w:b/>
                <w:color w:val="263238"/>
                <w:sz w:val="20"/>
                <w:rFonts w:ascii="Calibri" w:hAnsi="Calibri" w:eastAsia="Microsoft YaHei" w:cs="Calibri"/>
                <w:szCs w:val="20"/>
              </w:rPr>
              <w:t>FOR THE SULTANATE OF OMAN</w:t>
            </w:r>
          </w:p>
        </w:tc>
        <w:tc>
          <w:tcPr>
            <w:tcW w:w="4500" w:type="dxa"/>
          </w:tcPr>
          <w:p>
            <w:pPr>
              <w:pStyle w:val="Normal"/>
              <w:spacing w:before="40" w:after="40"/>
              <w:ind w:firstLine="0"/>
            </w:pPr>
            <w:r>
              <w:rPr>
                <w:b/>
                <w:color w:val="263238"/>
                <w:sz w:val="20"/>
                <w:rFonts w:ascii="Calibri" w:hAnsi="Calibri" w:eastAsia="Microsoft YaHei" w:cs="Calibri"/>
                <w:szCs w:val="20"/>
              </w:rPr>
              <w:t>FOR THE INTERNATIONAL MARITIME ORGANIZATION</w:t>
            </w:r>
          </w:p>
        </w:tc>
      </w:tr>
      <w:tr>
        <w:tc>
          <w:tcPr>
            <w:tcW w:w="4500" w:type="dxa"/>
          </w:tcPr>
          <w:p>
            <w:pPr>
              <w:pStyle w:val="Normal"/>
              <w:spacing w:before="40" w:after="40"/>
              <w:ind w:firstLine="0"/>
            </w:pPr>
            <w:r>
              <w:rPr>
                <w:color w:val="263238"/>
                <w:sz w:val="20"/>
                <w:rFonts w:ascii="Calibri" w:hAnsi="Calibri" w:eastAsia="Microsoft YaHei" w:cs="Calibri"/>
                <w:szCs w:val="20"/>
              </w:rPr>
              <w:t>_________________________</w:t>
            </w:r>
          </w:p>
        </w:tc>
        <w:tc>
          <w:tcPr>
            <w:tcW w:w="4500" w:type="dxa"/>
          </w:tcPr>
          <w:p>
            <w:pPr>
              <w:pStyle w:val="Normal"/>
              <w:spacing w:before="40" w:after="40"/>
              <w:ind w:firstLine="0"/>
            </w:pPr>
            <w:r>
              <w:rPr>
                <w:color w:val="263238"/>
                <w:sz w:val="20"/>
                <w:rFonts w:ascii="Calibri" w:hAnsi="Calibri" w:eastAsia="Microsoft YaHei" w:cs="Calibri"/>
                <w:szCs w:val="20"/>
              </w:rPr>
              <w:t>_________________________</w:t>
            </w:r>
          </w:p>
        </w:tc>
      </w:tr>
      <w:tr>
        <w:tc>
          <w:tcPr>
            <w:tcW w:w="4500" w:type="dxa"/>
          </w:tcPr>
          <w:p>
            <w:pPr>
              <w:pStyle w:val="Normal"/>
              <w:spacing w:before="40" w:after="40"/>
              <w:ind w:firstLine="0"/>
            </w:pPr>
            <w:r>
              <w:rPr>
                <w:color w:val="263238"/>
                <w:sz w:val="20"/>
                <w:rFonts w:ascii="Calibri" w:hAnsi="Calibri" w:eastAsia="Microsoft YaHei" w:cs="Calibri"/>
                <w:szCs w:val="20"/>
              </w:rPr>
              <w:t>[Name]</w:t>
            </w:r>
          </w:p>
        </w:tc>
        <w:tc>
          <w:tcPr>
            <w:tcW w:w="4500" w:type="dxa"/>
          </w:tcPr>
          <w:p>
            <w:pPr>
              <w:pStyle w:val="Normal"/>
              <w:spacing w:before="40" w:after="40"/>
              <w:ind w:firstLine="0"/>
            </w:pPr>
            <w:r>
              <w:rPr>
                <w:color w:val="263238"/>
                <w:sz w:val="20"/>
                <w:rFonts w:ascii="Calibri" w:hAnsi="Calibri" w:eastAsia="Microsoft YaHei" w:cs="Calibri"/>
                <w:szCs w:val="20"/>
              </w:rPr>
              <w:t>[Name]</w:t>
            </w:r>
          </w:p>
        </w:tc>
      </w:tr>
      <w:tr>
        <w:tc>
          <w:tcPr>
            <w:tcW w:w="4500" w:type="dxa"/>
          </w:tcPr>
          <w:p>
            <w:pPr>
              <w:pStyle w:val="Normal"/>
              <w:spacing w:before="40" w:after="40"/>
              <w:ind w:firstLine="0"/>
            </w:pPr>
            <w:r>
              <w:rPr>
                <w:color w:val="263238"/>
                <w:sz w:val="20"/>
                <w:rFonts w:ascii="Calibri" w:hAnsi="Calibri" w:eastAsia="Microsoft YaHei" w:cs="Calibri"/>
                <w:szCs w:val="20"/>
              </w:rPr>
              <w:t>[Title]</w:t>
            </w:r>
          </w:p>
        </w:tc>
        <w:tc>
          <w:tcPr>
            <w:tcW w:w="4500" w:type="dxa"/>
          </w:tcPr>
          <w:p>
            <w:pPr>
              <w:pStyle w:val="Normal"/>
              <w:spacing w:before="40" w:after="40"/>
              <w:ind w:firstLine="0"/>
            </w:pPr>
            <w:r>
              <w:rPr>
                <w:color w:val="263238"/>
                <w:sz w:val="20"/>
                <w:rFonts w:ascii="Calibri" w:hAnsi="Calibri" w:eastAsia="Microsoft YaHei" w:cs="Calibri"/>
                <w:szCs w:val="20"/>
              </w:rPr>
              <w:t>[Title]</w:t>
            </w:r>
          </w:p>
        </w:tc>
      </w:tr>
      <w:tr>
        <w:tc>
          <w:tcPr>
            <w:tcW w:w="4500" w:type="dxa"/>
          </w:tcPr>
          <w:p>
            <w:pPr>
              <w:pStyle w:val="Normal"/>
              <w:spacing w:before="40" w:after="40"/>
              <w:ind w:firstLine="0"/>
            </w:pPr>
            <w:r>
              <w:rPr>
                <w:color w:val="263238"/>
                <w:sz w:val="20"/>
                <w:rFonts w:ascii="Calibri" w:hAnsi="Calibri" w:eastAsia="Microsoft YaHei" w:cs="Calibri"/>
                <w:szCs w:val="20"/>
              </w:rPr>
              <w:t>Date: _____________</w:t>
            </w:r>
          </w:p>
        </w:tc>
        <w:tc>
          <w:tcPr>
            <w:tcW w:w="4500" w:type="dxa"/>
          </w:tcPr>
          <w:p>
            <w:pPr>
              <w:pStyle w:val="Normal"/>
              <w:spacing w:before="40" w:after="40"/>
              <w:ind w:firstLine="0"/>
            </w:pPr>
            <w:r>
              <w:rPr>
                <w:color w:val="263238"/>
                <w:sz w:val="20"/>
                <w:rFonts w:ascii="Calibri" w:hAnsi="Calibri" w:eastAsia="Microsoft YaHei" w:cs="Calibri"/>
                <w:szCs w:val="20"/>
              </w:rPr>
              <w:t>Date: _____________</w:t>
            </w:r>
          </w:p>
        </w:tc>
      </w:tr>
    </w:tbl>
    <w:p>
      <w:pPr>
        <w:pStyle w:val="Normal"/>
        <w:pageBreakBefore/>
      </w:pPr>
    </w:p>
    <w:p>
      <w:pPr>
        <w:pStyle w:val="Heading2"/>
      </w:pPr>
      <w:r>
        <w:rPr>
          <w:rFonts w:ascii="Calibri" w:hAnsi="Calibri" w:eastAsia="Microsoft YaHei" w:cs="Calibri"/>
          <w:b/>
          <w:color w:val="263238"/>
          <w:sz w:val="28"/>
          <w:szCs w:val="28"/>
        </w:rPr>
        <w:t>IMPLEMENTING MILITARY COMMANDERS ACKNOWLEDGMENT</w:t>
      </w:r>
    </w:p>
    <w:p>
      <w:pPr>
        <w:pStyle w:val="Normal"/>
      </w:pPr>
      <w:r>
        <w:rPr>
          <w:rFonts w:ascii="Calibri" w:hAnsi="Calibri" w:eastAsia="Microsoft YaHei" w:cs="Calibri"/>
          <w:color w:val="263238"/>
          <w:sz w:val="22"/>
          <w:szCs w:val="22"/>
        </w:rPr>
        <w:t>The undersigned operational commanders acknowledge receipt of Annex 1AD and commit to executing all Phase measures in accordance with its provisions:</w:t>
      </w:r>
    </w:p>
    <w:tbl>
      <w:tblPr>
        <w:tblW w:w="5000" w:type="pct"/>
        <w:tblBorders>
          <w:top w:val="nil"/>
          <w:left w:val="nil"/>
          <w:bottom w:val="nil"/>
          <w:right w:val="nil"/>
          <w:insideH w:val="nil"/>
          <w:insideV w:val="nil"/>
        </w:tblBorders>
      </w:tblPr>
      <w:tblGrid>
        <w:gridCol w:w="3000"/>
        <w:gridCol w:w="3000"/>
        <w:gridCol w:w="3000"/>
      </w:tblGrid>
      <w:tr>
        <w:tc>
          <w:tcPr>
            <w:tcW w:w="3000" w:type="dxa"/>
          </w:tcPr>
          <w:p>
            <w:pPr>
              <w:pStyle w:val="Normal"/>
              <w:spacing w:before="40" w:after="40"/>
              <w:ind w:firstLine="0"/>
            </w:pPr>
            <w:r>
              <w:rPr>
                <w:b/>
                <w:color w:val="263238"/>
                <w:sz w:val="20"/>
                <w:rFonts w:ascii="Calibri" w:hAnsi="Calibri" w:eastAsia="Microsoft YaHei" w:cs="Calibri"/>
                <w:szCs w:val="20"/>
              </w:rPr>
              <w:t>U.S. NAVAL FORCES CENTRAL COMMAND</w:t>
            </w:r>
          </w:p>
        </w:tc>
        <w:tc>
          <w:tcPr>
            <w:tcW w:w="3000" w:type="dxa"/>
          </w:tcPr>
          <w:p>
            <w:pPr>
              <w:pStyle w:val="Normal"/>
              <w:spacing w:before="40" w:after="40"/>
              <w:ind w:firstLine="0"/>
            </w:pPr>
            <w:r>
              <w:rPr>
                <w:b/>
                <w:color w:val="263238"/>
                <w:sz w:val="20"/>
                <w:rFonts w:ascii="Calibri" w:hAnsi="Calibri" w:eastAsia="Microsoft YaHei" w:cs="Calibri"/>
                <w:szCs w:val="20"/>
              </w:rPr>
              <w:t>IRGC NAVY</w:t>
            </w:r>
          </w:p>
        </w:tc>
        <w:tc>
          <w:tcPr>
            <w:tcW w:w="3000" w:type="dxa"/>
          </w:tcPr>
          <w:p>
            <w:pPr>
              <w:pStyle w:val="Normal"/>
              <w:spacing w:before="40" w:after="40"/>
              <w:ind w:firstLine="0"/>
            </w:pPr>
            <w:r>
              <w:rPr>
                <w:b/>
                <w:color w:val="263238"/>
                <w:sz w:val="20"/>
                <w:rFonts w:ascii="Calibri" w:hAnsi="Calibri" w:eastAsia="Microsoft YaHei" w:cs="Calibri"/>
                <w:szCs w:val="20"/>
              </w:rPr>
              <w:t>OMANI MARITIME SECURITY CENTRE</w:t>
            </w:r>
          </w:p>
        </w:tc>
      </w:tr>
      <w:tr>
        <w:tc>
          <w:tcPr>
            <w:tcW w:w="3000" w:type="dxa"/>
          </w:tcPr>
          <w:p>
            <w:pPr>
              <w:pStyle w:val="Normal"/>
              <w:spacing w:before="40" w:after="40"/>
              <w:ind w:firstLine="0"/>
            </w:pPr>
            <w:r>
              <w:rPr>
                <w:color w:val="263238"/>
                <w:sz w:val="20"/>
                <w:rFonts w:ascii="Calibri" w:hAnsi="Calibri" w:eastAsia="Microsoft YaHei" w:cs="Calibri"/>
                <w:szCs w:val="20"/>
              </w:rPr>
              <w:t>_________________________</w:t>
            </w:r>
          </w:p>
        </w:tc>
        <w:tc>
          <w:tcPr>
            <w:tcW w:w="3000" w:type="dxa"/>
          </w:tcPr>
          <w:p>
            <w:pPr>
              <w:pStyle w:val="Normal"/>
              <w:spacing w:before="40" w:after="40"/>
              <w:ind w:firstLine="0"/>
            </w:pPr>
            <w:r>
              <w:rPr>
                <w:color w:val="263238"/>
                <w:sz w:val="20"/>
                <w:rFonts w:ascii="Calibri" w:hAnsi="Calibri" w:eastAsia="Microsoft YaHei" w:cs="Calibri"/>
                <w:szCs w:val="20"/>
              </w:rPr>
              <w:t>_________________________</w:t>
            </w:r>
          </w:p>
        </w:tc>
        <w:tc>
          <w:tcPr>
            <w:tcW w:w="3000" w:type="dxa"/>
          </w:tcPr>
          <w:p>
            <w:pPr>
              <w:pStyle w:val="Normal"/>
              <w:spacing w:before="40" w:after="40"/>
              <w:ind w:firstLine="0"/>
            </w:pPr>
            <w:r>
              <w:rPr>
                <w:color w:val="263238"/>
                <w:sz w:val="20"/>
                <w:rFonts w:ascii="Calibri" w:hAnsi="Calibri" w:eastAsia="Microsoft YaHei" w:cs="Calibri"/>
                <w:szCs w:val="20"/>
              </w:rPr>
              <w:t>_________________________</w:t>
            </w:r>
          </w:p>
        </w:tc>
      </w:tr>
      <w:tr>
        <w:tc>
          <w:tcPr>
            <w:tcW w:w="3000" w:type="dxa"/>
          </w:tcPr>
          <w:p>
            <w:pPr>
              <w:pStyle w:val="Normal"/>
              <w:spacing w:before="40" w:after="40"/>
              <w:ind w:firstLine="0"/>
            </w:pPr>
            <w:r>
              <w:rPr>
                <w:color w:val="263238"/>
                <w:sz w:val="20"/>
                <w:rFonts w:ascii="Calibri" w:hAnsi="Calibri" w:eastAsia="Microsoft YaHei" w:cs="Calibri"/>
                <w:szCs w:val="20"/>
              </w:rPr>
              <w:t>[Name]</w:t>
            </w:r>
          </w:p>
        </w:tc>
        <w:tc>
          <w:tcPr>
            <w:tcW w:w="3000" w:type="dxa"/>
          </w:tcPr>
          <w:p>
            <w:pPr>
              <w:pStyle w:val="Normal"/>
              <w:spacing w:before="40" w:after="40"/>
              <w:ind w:firstLine="0"/>
            </w:pPr>
            <w:r>
              <w:rPr>
                <w:color w:val="263238"/>
                <w:sz w:val="20"/>
                <w:rFonts w:ascii="Calibri" w:hAnsi="Calibri" w:eastAsia="Microsoft YaHei" w:cs="Calibri"/>
                <w:szCs w:val="20"/>
              </w:rPr>
              <w:t>[Name]</w:t>
            </w:r>
          </w:p>
        </w:tc>
        <w:tc>
          <w:tcPr>
            <w:tcW w:w="3000" w:type="dxa"/>
          </w:tcPr>
          <w:p>
            <w:pPr>
              <w:pStyle w:val="Normal"/>
              <w:spacing w:before="40" w:after="40"/>
              <w:ind w:firstLine="0"/>
            </w:pPr>
            <w:r>
              <w:rPr>
                <w:color w:val="263238"/>
                <w:sz w:val="20"/>
                <w:rFonts w:ascii="Calibri" w:hAnsi="Calibri" w:eastAsia="Microsoft YaHei" w:cs="Calibri"/>
                <w:szCs w:val="20"/>
              </w:rPr>
              <w:t>[Name]</w:t>
            </w:r>
          </w:p>
        </w:tc>
      </w:tr>
      <w:tr>
        <w:tc>
          <w:tcPr>
            <w:tcW w:w="3000" w:type="dxa"/>
          </w:tcPr>
          <w:p>
            <w:pPr>
              <w:pStyle w:val="Normal"/>
              <w:spacing w:before="40" w:after="40"/>
              <w:ind w:firstLine="0"/>
            </w:pPr>
            <w:r>
              <w:rPr>
                <w:color w:val="263238"/>
                <w:sz w:val="20"/>
                <w:rFonts w:ascii="Calibri" w:hAnsi="Calibri" w:eastAsia="Microsoft YaHei" w:cs="Calibri"/>
                <w:szCs w:val="20"/>
              </w:rPr>
              <w:t>[Title]</w:t>
            </w:r>
          </w:p>
        </w:tc>
        <w:tc>
          <w:tcPr>
            <w:tcW w:w="3000" w:type="dxa"/>
          </w:tcPr>
          <w:p>
            <w:pPr>
              <w:pStyle w:val="Normal"/>
              <w:spacing w:before="40" w:after="40"/>
              <w:ind w:firstLine="0"/>
            </w:pPr>
            <w:r>
              <w:rPr>
                <w:color w:val="263238"/>
                <w:sz w:val="20"/>
                <w:rFonts w:ascii="Calibri" w:hAnsi="Calibri" w:eastAsia="Microsoft YaHei" w:cs="Calibri"/>
                <w:szCs w:val="20"/>
              </w:rPr>
              <w:t>[Title]</w:t>
            </w:r>
          </w:p>
        </w:tc>
        <w:tc>
          <w:tcPr>
            <w:tcW w:w="3000" w:type="dxa"/>
          </w:tcPr>
          <w:p>
            <w:pPr>
              <w:pStyle w:val="Normal"/>
              <w:spacing w:before="40" w:after="40"/>
              <w:ind w:firstLine="0"/>
            </w:pPr>
            <w:r>
              <w:rPr>
                <w:color w:val="263238"/>
                <w:sz w:val="20"/>
                <w:rFonts w:ascii="Calibri" w:hAnsi="Calibri" w:eastAsia="Microsoft YaHei" w:cs="Calibri"/>
                <w:szCs w:val="20"/>
              </w:rPr>
              <w:t>[Title]</w:t>
            </w:r>
          </w:p>
        </w:tc>
      </w:tr>
      <w:tr>
        <w:tc>
          <w:tcPr>
            <w:tcW w:w="3000" w:type="dxa"/>
          </w:tcPr>
          <w:p>
            <w:pPr>
              <w:pStyle w:val="Normal"/>
              <w:spacing w:before="40" w:after="40"/>
              <w:ind w:firstLine="0"/>
            </w:pPr>
            <w:r>
              <w:rPr>
                <w:color w:val="263238"/>
                <w:sz w:val="20"/>
                <w:rFonts w:ascii="Calibri" w:hAnsi="Calibri" w:eastAsia="Microsoft YaHei" w:cs="Calibri"/>
                <w:szCs w:val="20"/>
              </w:rPr>
              <w:t>Date: _____________</w:t>
            </w:r>
          </w:p>
        </w:tc>
        <w:tc>
          <w:tcPr>
            <w:tcW w:w="3000" w:type="dxa"/>
          </w:tcPr>
          <w:p>
            <w:pPr>
              <w:pStyle w:val="Normal"/>
              <w:spacing w:before="40" w:after="40"/>
              <w:ind w:firstLine="0"/>
            </w:pPr>
            <w:r>
              <w:rPr>
                <w:color w:val="263238"/>
                <w:sz w:val="20"/>
                <w:rFonts w:ascii="Calibri" w:hAnsi="Calibri" w:eastAsia="Microsoft YaHei" w:cs="Calibri"/>
                <w:szCs w:val="20"/>
              </w:rPr>
              <w:t>Date: _____________</w:t>
            </w:r>
          </w:p>
        </w:tc>
        <w:tc>
          <w:tcPr>
            <w:tcW w:w="3000" w:type="dxa"/>
          </w:tcPr>
          <w:p>
            <w:pPr>
              <w:pStyle w:val="Normal"/>
              <w:spacing w:before="40" w:after="40"/>
              <w:ind w:firstLine="0"/>
            </w:pPr>
            <w:r>
              <w:rPr>
                <w:color w:val="263238"/>
                <w:sz w:val="20"/>
                <w:rFonts w:ascii="Calibri" w:hAnsi="Calibri" w:eastAsia="Microsoft YaHei" w:cs="Calibri"/>
                <w:szCs w:val="20"/>
              </w:rPr>
              <w:t>Date: _____________</w:t>
            </w:r>
          </w:p>
        </w:tc>
      </w:tr>
    </w:tbl>
    <w:p>
      <w:pPr>
        <w:sectPr>
          <w:headerReference w:type="default" r:id="R638f5ca2c8804a7a"/>
          <w:footerReference w:type="default" r:id="R4c9814c0752e47f5"/>
          <w:pgSz w:w="11906" w:h="16838"/>
          <w:pgMar w:top="1800" w:right="1440" w:bottom="1440" w:left="1440" w:header="720" w:footer="720"/>
        </w:sectPr>
      </w:pPr>
    </w:p>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BackBg"/>
            <wp:cNvGraphicFramePr>
              <a:graphicFrameLocks noChangeAspect="1"/>
            </wp:cNvGraphicFramePr>
            <a:graphic>
              <a:graphicData uri="http://schemas.openxmlformats.org/drawingml/2006/picture">
                <pic:pic>
                  <pic:nvPicPr>
                    <pic:cNvPr id="0" name="BackBg.png"/>
                    <pic:cNvPicPr/>
                  </pic:nvPicPr>
                  <pic:blipFill>
                    <a:blip r:embed="R3689e50fb465498a"/>
                    <a:stretch>
                      <a:fillRect/>
                    </a:stretch>
                  </pic:blipFill>
                  <pic:spPr>
                    <a:xfrm>
                      <a:off x="0" y="0"/>
                      <a:ext cx="7560000" cy="10692000"/>
                    </a:xfrm>
                    <a:prstGeom prst="rect"/>
                  </pic:spPr>
                </pic:pic>
              </a:graphicData>
            </a:graphic>
          </wp:anchor>
        </w:drawing>
      </w:r>
    </w:p>
    <w:p>
      <w:pPr>
        <w:pStyle w:val="Normal"/>
        <w:spacing w:after="600"/>
        <w:jc w:val="center"/>
      </w:pPr>
      <w:r>
        <w:rPr>
          <w:color w:val="8B7355"/>
          <w:sz w:val="28"/>
          <w:rFonts w:ascii="Calibri" w:hAnsi="Calibri" w:eastAsia="Microsoft YaHei" w:cs="Calibri"/>
          <w:szCs w:val="28"/>
          <w:spacing w:val="15"/>
        </w:rPr>
        <w:t>Confidence-Building &amp; Reversible Measures</w:t>
      </w:r>
    </w:p>
    <w:p>
      <w:pPr>
        <w:pStyle w:val="Normal"/>
        <w:spacing w:after="200"/>
        <w:jc w:val="center"/>
      </w:pPr>
      <w:r>
        <w:rPr>
          <w:color w:val="78909C"/>
          <w:sz w:val="22"/>
          <w:rFonts w:ascii="Calibri" w:hAnsi="Calibri" w:eastAsia="Microsoft YaHei" w:cs="Calibri"/>
          <w:szCs w:val="22"/>
        </w:rPr>
        <w:t>To the Hormuz Standardization Understanding (HSU)</w:t>
      </w:r>
    </w:p>
    <w:p>
      <w:pPr>
        <w:pStyle w:val="Normal"/>
        <w:spacing w:after="100"/>
        <w:jc w:val="center"/>
      </w:pPr>
      <w:r>
        <w:rPr>
          <w:color w:val="78909C"/>
          <w:sz w:val="20"/>
          <w:rFonts w:ascii="Calibri" w:hAnsi="Calibri" w:eastAsia="Microsoft YaHei" w:cs="Calibri"/>
          <w:szCs w:val="20"/>
        </w:rPr>
        <w:t>Signed at Muscat, Sultanate of Oman</w:t>
      </w:r>
    </w:p>
    <w:p>
      <w:pPr>
        <w:pStyle w:val="Normal"/>
        <w:spacing w:after="100"/>
        <w:jc w:val="center"/>
      </w:pPr>
      <w:r>
        <w:rPr>
          <w:color w:val="78909C"/>
          <w:sz w:val="20"/>
          <w:rFonts w:ascii="Calibri" w:hAnsi="Calibri" w:eastAsia="Microsoft YaHei" w:cs="Calibri"/>
          <w:szCs w:val="20"/>
        </w:rPr>
        <w:t>July 2026</w:t>
      </w:r>
    </w:p>
    <w:p>
      <w:pPr>
        <w:pStyle w:val="Normal"/>
        <w:jc w:val="center"/>
      </w:pPr>
      <w:r>
        <w:rPr>
          <w:color w:val="78909C"/>
          <w:sz w:val="18"/>
          <w:rFonts w:ascii="Calibri" w:hAnsi="Calibri" w:eastAsia="Microsoft YaHei" w:cs="Calibri"/>
          <w:szCs w:val="18"/>
        </w:rPr>
        <w:t>Classification: CONFIDENTIAL / AUTHORIZED NEGOTIATORS ONLY</w:t>
      </w:r>
    </w:p>
    <w:sectPr>
      <w:pgSz w:w="11906" w:h="16838"/>
      <w:pgMar w:top="0" w:right="0" w:bottom="0" w:left="0" w:header="0" w:footer="0"/>
    </w:sectPr>
  </w:body>
</w:document>
</file>

<file path=word/footer1.xml><?xml version="1.0" encoding="utf-8"?>
<w:ftr xmlns:w="http://schemas.openxmlformats.org/wordprocessingml/2006/main">
  <w:p>
    <w:pPr>
      <w:jc w:val="center"/>
    </w:pPr>
    <w:r>
      <w:rPr>
        <w:color w:val="78909C"/>
        <w:sz w:val="18"/>
      </w:rPr>
      <w:fldChar w:fldCharType="begin"/>
    </w:r>
    <w:r>
      <w:rPr>
        <w:color w:val="78909C"/>
        <w:sz w:val="18"/>
      </w:rPr>
      <w:instrText xml:space="preserve"> PAGE </w:instrText>
    </w:r>
    <w:r>
      <w:rPr>
        <w:color w:val="78909C"/>
        <w:sz w:val="18"/>
      </w:rPr>
      <w:fldChar w:fldCharType="separate"/>
    </w:r>
    <w:r>
      <w:rPr>
        <w:color w:val="78909C"/>
        <w:sz w:val="18"/>
      </w:rPr>
      <w:t>1</w:t>
    </w:r>
    <w:r>
      <w:rPr>
        <w:color w:val="78909C"/>
        <w:sz w:val="18"/>
      </w:rPr>
      <w:fldChar w:fldCharType="end"/>
    </w:r>
    <w:r>
      <w:rPr>
        <w:color w:val="78909C"/>
        <w:sz w:val="18"/>
      </w:rPr>
      <w:t xml:space="preserve"> / </w:t>
    </w:r>
    <w:r>
      <w:rPr>
        <w:color w:val="78909C"/>
        <w:sz w:val="18"/>
      </w:rPr>
      <w:fldChar w:fldCharType="begin"/>
    </w:r>
    <w:r>
      <w:rPr>
        <w:color w:val="78909C"/>
        <w:sz w:val="18"/>
      </w:rPr>
      <w:instrText xml:space="preserve"> NUMPAGES </w:instrText>
    </w:r>
    <w:r>
      <w:rPr>
        <w:color w:val="78909C"/>
        <w:sz w:val="18"/>
      </w:rPr>
      <w:fldChar w:fldCharType="separate"/>
    </w:r>
    <w:r>
      <w:rPr>
        <w:color w:val="78909C"/>
        <w:sz w:val="18"/>
      </w:rPr>
      <w:t>1</w:t>
    </w:r>
    <w:r>
      <w:rPr>
        <w:color w:val="78909C"/>
        <w:sz w:val="18"/>
      </w:rPr>
      <w:fldChar w:fldCharType="end"/>
    </w:r>
  </w:p>
</w:ftr>
</file>

<file path=word/header1.xml><?xml version="1.0" encoding="utf-8"?>
<w:hdr xmlns:w="http://schemas.openxmlformats.org/wordprocessingml/2006/main">
  <w:p>
    <w:pPr>
      <w:jc w:val="right"/>
    </w:pPr>
    <w:r>
      <w:rPr>
        <w:color w:val="78909C"/>
        <w:sz w:val="18"/>
      </w:rPr>
      <w:t>Annex 1AD: Confidence-Building &amp; Reversible Measures</w:t>
    </w:r>
  </w:p>
</w:hdr>
</file>

<file path=word/numbering.xml><?xml version="1.0" encoding="utf-8"?>
<w:numbering xmlns:w="http://schemas.openxmlformats.org/wordprocessingml/2006/main">
  <w:abstractNum w:abstractNumId="1">
    <w:lvl w:ilvl="0">
      <w:numFmt w:val="decimal"/>
      <w:lvlText w:val="%1."/>
      <w:lvlJc w:val="left"/>
      <w:pPr>
        <w:ind w:left="720" w:hanging="360"/>
      </w:pPr>
    </w:lvl>
  </w:abstractNum>
  <w:abstractNum w:abstractNumId="2">
    <w:lvl w:ilvl="0">
      <w:numFmt w:val="lowerLetter"/>
      <w:lvlText w:val="(%1)"/>
      <w:lvlJc w:val="left"/>
      <w:pPr>
        <w:ind w:left="1080" w:hanging="360"/>
      </w:pPr>
    </w:lvl>
  </w:abstractNum>
  <w:abstractNum w:abstractNumId="3">
    <w:lvl w:ilvl="0">
      <w:numFmt w:val="lowerRoman"/>
      <w:lvlText w:val="(%1)"/>
      <w:lvlJc w:val="left"/>
      <w:pPr>
        <w:ind w:left="1440" w:hanging="360"/>
      </w:pPr>
    </w:lvl>
  </w:abstractNum>
  <w:num w:numId="1">
    <w:abstractNumId w:val="1"/>
  </w:num>
  <w:num w:numId="2">
    <w:abstractNumId w:val="2"/>
  </w:num>
  <w:num w:numId="3">
    <w:abstractNumId w:val="3"/>
  </w:num>
</w:numbering>
</file>

<file path=word/settings.xml><?xml version="1.0" encoding="utf-8"?>
<w:settings xmlns:w="http://schemas.openxmlformats.org/wordprocessingml/2006/main">
  <w:displayBackgroundShape/>
  <w:updateFields w:val="true"/>
</w:settings>
</file>

<file path=word/styles.xml><?xml version="1.0" encoding="utf-8"?>
<w:styles xmlns:w="http://schemas.openxmlformats.org/wordprocessingml/2006/main">
  <w:style w:type="paragraph" w:styleId="Normal" w:default="true">
    <w:name w:val="Normal"/>
    <w:pPr>
      <w:spacing w:after="160" w:line="288" w:lineRule="auto"/>
    </w:pPr>
    <w:rPr>
      <w:rFonts w:ascii="Calibri" w:hAnsi="Calibri" w:eastAsia="Microsoft YaHei"/>
      <w:color w:val="263238"/>
      <w:sz w:val="22"/>
    </w:rPr>
  </w:style>
  <w:style w:type="paragraph" w:styleId="Heading1">
    <w:name w:val="heading 1"/>
    <w:basedOn w:val="Normal"/>
    <w:pPr>
      <w:keepNext/>
      <w:keepLines/>
      <w:spacing w:before="480" w:after="200"/>
      <w:outlineLvl w:val="0"/>
    </w:pPr>
    <w:rPr>
      <w:rFonts w:ascii="Calibri" w:hAnsi="Calibri" w:eastAsia="Microsoft YaHei"/>
      <w:b/>
      <w:color w:val="37474F"/>
      <w:sz w:val="40"/>
    </w:rPr>
  </w:style>
  <w:style w:type="paragraph" w:styleId="Heading2">
    <w:name w:val="heading 2"/>
    <w:basedOn w:val="Normal"/>
    <w:pPr>
      <w:keepNext/>
      <w:keepLines/>
      <w:spacing w:before="360" w:after="140"/>
      <w:outlineLvl w:val="1"/>
    </w:pPr>
    <w:rPr>
      <w:rFonts w:ascii="Calibri" w:hAnsi="Calibri" w:eastAsia="Microsoft YaHei"/>
      <w:b/>
      <w:color w:val="263238"/>
      <w:sz w:val="28"/>
    </w:rPr>
  </w:style>
  <w:style w:type="paragraph" w:styleId="Heading3">
    <w:name w:val="heading 3"/>
    <w:basedOn w:val="Normal"/>
    <w:pPr>
      <w:keepNext/>
      <w:keepLines/>
      <w:spacing w:before="280" w:after="100"/>
      <w:outlineLvl w:val="2"/>
    </w:pPr>
    <w:rPr>
      <w:rFonts w:ascii="Calibri" w:hAnsi="Calibri" w:eastAsia="Microsoft YaHei"/>
      <w:b/>
      <w:color w:val="546E7A"/>
      <w:sz w:val="24"/>
    </w:rPr>
  </w:style>
  <w:style w:type="paragraph" w:styleId="Heading4">
    <w:name w:val="heading 4"/>
    <w:basedOn w:val="Normal"/>
    <w:pPr>
      <w:keepNext/>
      <w:keepLines/>
      <w:spacing w:before="200" w:after="80"/>
      <w:outlineLvl w:val="3"/>
    </w:pPr>
    <w:rPr>
      <w:rFonts w:ascii="Calibri" w:hAnsi="Calibri" w:eastAsia="Microsoft YaHei"/>
      <w:b/>
      <w:color w:val="546E7A"/>
      <w:sz w:val="22"/>
    </w:rPr>
  </w:style>
  <w:style w:type="paragraph" w:styleId="Caption">
    <w:name w:val="Caption"/>
    <w:basedOn w:val="Normal"/>
    <w:pPr>
      <w:spacing w:before="60" w:after="240"/>
      <w:jc w:val="center"/>
    </w:pPr>
    <w:rPr>
      <w:color w:val="78909C"/>
      <w:sz w:val="20"/>
    </w:rPr>
  </w:style>
  <w:style w:type="paragraph" w:styleId="TOC1">
    <w:name w:val="toc 1"/>
    <w:basedOn w:val="Normal"/>
    <w:pPr>
      <w:tabs>
        <w:tab w:val="right" w:leader="dot" w:pos="9350"/>
      </w:tabs>
      <w:spacing w:before="200" w:after="60"/>
      <w:ind w:left="0"/>
    </w:pPr>
    <w:rPr>
      <w:b/>
      <w:color w:val="263238"/>
    </w:rPr>
  </w:style>
  <w:style w:type="paragraph" w:styleId="TOC2">
    <w:name w:val="toc 2"/>
    <w:basedOn w:val="Normal"/>
    <w:pPr>
      <w:tabs>
        <w:tab w:val="right" w:leader="dot" w:pos="9350"/>
      </w:tabs>
      <w:spacing w:before="60" w:after="60"/>
      <w:ind w:left="360"/>
    </w:pPr>
    <w:rPr>
      <w:color w:val="546E7A"/>
    </w:rPr>
  </w:style>
  <w:style w:type="paragraph" w:styleId="TOC3">
    <w:name w:val="toc 3"/>
    <w:basedOn w:val="Normal"/>
    <w:pPr>
      <w:tabs>
        <w:tab w:val="right" w:leader="dot" w:pos="9350"/>
      </w:tabs>
      <w:spacing w:before="40" w:after="60"/>
      <w:ind w:left="720"/>
    </w:pPr>
    <w:rPr>
      <w:color w:val="546E7A"/>
    </w:rPr>
  </w:style>
</w:styles>
</file>

<file path=word/_rels/document.xml.rels><?xml version='1.0' encoding='UTF-8'?>
<Relationships xmlns="http://schemas.openxmlformats.org/package/2006/relationships"><Relationship Id="R08c3e746752344b2" Type="http://schemas.openxmlformats.org/officeDocument/2006/relationships/settings" Target="settings.xml" /><Relationship Id="R3689e50fb465498a" Type="http://schemas.openxmlformats.org/officeDocument/2006/relationships/image" Target="media/image2.png" /><Relationship Id="R4c9814c0752e47f5" Type="http://schemas.openxmlformats.org/officeDocument/2006/relationships/footer" Target="footer1.xml" /><Relationship Id="R638f5ca2c8804a7a" Type="http://schemas.openxmlformats.org/officeDocument/2006/relationships/header" Target="header1.xml" /><Relationship Id="Rc385475f00fe4b0b" Type="http://schemas.openxmlformats.org/officeDocument/2006/relationships/styles" Target="styles.xml" /><Relationship Id="Rdd2ea09373d34ec1" Type="http://schemas.openxmlformats.org/officeDocument/2006/relationships/image" Target="media/image.png" /><Relationship Id="Red1996746f6641de" Type="http://schemas.openxmlformats.org/officeDocument/2006/relationships/numbering" Target="numbering.xml" /></Relationships>
</file>