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6a83b46d28a44407"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5000"/>
      </w:pPr>
    </w:p>
    <w:p>
      <w:pPr>
        <w:pStyle w:val="Normal"/>
        <w:spacing w:after="200"/>
        <w:ind w:left="1200" w:right="1200"/>
        <w:jc w:val="left"/>
      </w:pPr>
      <w:r>
        <w:rPr>
          <w:rFonts w:ascii="Calibri" w:hAnsi="Calibri" w:eastAsia="Calibri" w:cs="Calibri"/>
          <w:color w:val="7A5C1A"/>
          <w:sz w:val="28"/>
          <w:szCs w:val="28"/>
        </w:rPr>
        <w:t>ANNEX 1AE</w:t>
      </w:r>
    </w:p>
    <w:p>
      <w:pPr>
        <w:pStyle w:val="Normal"/>
        <w:spacing w:after="400"/>
        <w:ind w:left="1200" w:right="1200"/>
        <w:jc w:val="left"/>
      </w:pPr>
      <w:r>
        <w:rPr>
          <w:b/>
          <w:color w:val="0D1B2A"/>
          <w:sz w:val="56"/>
          <w:rFonts w:ascii="Calibri" w:hAnsi="Calibri" w:eastAsia="Microsoft YaHei" w:cs="Calibri"/>
          <w:szCs w:val="56"/>
          <w:spacing w:val="30"/>
        </w:rPr>
        <w:t>HUMANITARIAN ASSET RELEASE AND ECONOMIC FACILITATION MECHANISM</w:t>
      </w:r>
    </w:p>
    <w:p>
      <w:pPr>
        <w:pStyle w:val="Normal"/>
        <w:spacing w:after="3000"/>
        <w:ind w:left="1200" w:right="1200"/>
        <w:jc w:val="left"/>
      </w:pPr>
      <w:r>
        <w:rPr>
          <w:color w:val="2D3748"/>
          <w:sz w:val="24"/>
          <w:rFonts w:ascii="Calibri" w:hAnsi="Calibri" w:eastAsia="Microsoft YaHei" w:cs="Calibri"/>
          <w:szCs w:val="24"/>
        </w:rPr>
        <w:t>To the Hormuz Standardization Understanding (HSU)</w:t>
      </w:r>
    </w:p>
    <w:p>
      <w:pPr>
        <w:pStyle w:val="Normal"/>
        <w:ind w:left="1200"/>
      </w:pPr>
      <w:r>
        <w:rPr>
          <w:color w:val="555555"/>
          <w:sz w:val="20"/>
          <w:rFonts w:ascii="Calibri" w:hAnsi="Calibri" w:eastAsia="Microsoft YaHei" w:cs="Calibri"/>
          <w:szCs w:val="20"/>
        </w:rPr>
        <w:t xml:space="preserve">Effective Date: July 2026  |  Classification: CONFIDENTIAL / AUTHORIZED NEGOTIATORS ONLY</w:t>
      </w:r>
    </w:p>
    <w:p>
      <w:pPr>
        <w:pStyle w:val="Normal"/>
        <w:ind w:left="1200"/>
      </w:pPr>
      <w:r>
        <w:rPr>
          <w:color w:val="555555"/>
          <w:sz w:val="20"/>
          <w:rFonts w:ascii="Calibri" w:hAnsi="Calibri" w:eastAsia="Microsoft YaHei" w:cs="Calibri"/>
          <w:szCs w:val="20"/>
        </w:rPr>
        <w:t>Duration: 36 Months (Renewable)</w:t>
      </w:r>
    </w:p>
    <w:p>
      <w:pPr>
        <w:pStyle w:val="Normal"/>
        <w:sectPr>
          <w:type w:val="nextPage"/>
          <w:pgSz w:w="11906" w:h="16838"/>
          <w:pgMar w:top="0" w:right="0" w:bottom="0" w:left="0" w:header="0" w:footer="0"/>
          <w:titlePg/>
        </w:sectPr>
      </w:pPr>
    </w:p>
    <w:p>
      <w:pPr>
        <w:pStyle w:val="Heading1"/>
      </w:pPr>
      <w:bookmarkStart w:name="_Toc000" w:id="1"/>
      <w:r>
        <w:rPr>
          <w:rFonts w:ascii="Calibri" w:hAnsi="Calibri" w:eastAsia="Microsoft YaHei" w:cs="Calibri"/>
          <w:b/>
          <w:color w:val="1A2744"/>
          <w:sz w:val="32"/>
          <w:szCs w:val="32"/>
        </w:rPr>
        <w:t>Table of Contents</w:t>
      </w:r>
      <w:bookmarkEnd w:id="1"/>
    </w:p>
    <w:p>
      <w:pPr>
        <w:pStyle w:val="Normal"/>
        <w:spacing w:after="300"/>
      </w:pPr>
      <w:r>
        <w:rPr>
          <w:color w:val="8A95A5"/>
          <w:sz w:val="18"/>
          <w:rFonts w:ascii="Calibri" w:hAnsi="Calibri" w:eastAsia="Microsoft YaHei" w:cs="Calibri"/>
          <w:szCs w:val="18"/>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rFonts w:ascii="Calibri" w:hAnsi="Calibri" w:eastAsia="Microsoft YaHei" w:cs="Calibri"/>
          <w:sz w:val="22"/>
          <w:b/>
          <w:color w:val="1E1E1E"/>
          <w:szCs w:val="22"/>
        </w:rPr>
        <w:t>Preamble</w:t>
      </w:r>
      <w:r>
        <w:rPr>
          <w:rFonts w:ascii="Calibri" w:hAnsi="Calibri" w:eastAsia="Microsoft YaHei"/>
          <w:sz w:val="22"/>
          <w:b/>
          <w:color w:val="1E1E1E"/>
        </w:rPr>
        <w:tab/>
      </w:r>
      <w:r>
        <w:rPr>
          <w:rFonts w:ascii="Calibri" w:hAnsi="Calibri" w:eastAsia="Microsoft YaHei" w:cs="Calibri"/>
          <w:sz w:val="22"/>
          <w:b/>
          <w:color w:val="1E1E1E"/>
          <w:szCs w:val="22"/>
        </w:rPr>
        <w:t>1</w:t>
      </w:r>
    </w:p>
    <w:p>
      <w:pPr>
        <w:pStyle w:val="TOC1"/>
      </w:pPr>
      <w:r>
        <w:rPr>
          <w:rFonts w:ascii="Calibri" w:hAnsi="Calibri" w:eastAsia="Microsoft YaHei" w:cs="Calibri"/>
          <w:sz w:val="22"/>
          <w:b/>
          <w:color w:val="1E1E1E"/>
          <w:szCs w:val="22"/>
        </w:rPr>
        <w:t>Article 1: Definitions and Scope</w:t>
      </w:r>
      <w:r>
        <w:rPr>
          <w:rFonts w:ascii="Calibri" w:hAnsi="Calibri" w:eastAsia="Microsoft YaHei"/>
          <w:sz w:val="22"/>
          <w:b/>
          <w:color w:val="1E1E1E"/>
        </w:rPr>
        <w:tab/>
      </w:r>
      <w:r>
        <w:rPr>
          <w:rFonts w:ascii="Calibri" w:hAnsi="Calibri" w:eastAsia="Microsoft YaHei" w:cs="Calibri"/>
          <w:sz w:val="22"/>
          <w:b/>
          <w:color w:val="1E1E1E"/>
          <w:szCs w:val="22"/>
        </w:rPr>
        <w:t>3</w:t>
      </w:r>
    </w:p>
    <w:p>
      <w:pPr>
        <w:pStyle w:val="TOC2"/>
      </w:pPr>
      <w:r>
        <w:rPr>
          <w:rFonts w:ascii="Calibri" w:hAnsi="Calibri" w:eastAsia="Microsoft YaHei" w:cs="Calibri"/>
          <w:sz w:val="22"/>
          <w:color w:val="666666"/>
          <w:szCs w:val="22"/>
        </w:rPr>
        <w:t>1.1 Definitions</w:t>
      </w:r>
      <w:r>
        <w:rPr>
          <w:rFonts w:ascii="Calibri" w:hAnsi="Calibri" w:eastAsia="Microsoft YaHei"/>
          <w:sz w:val="22"/>
          <w:color w:val="666666"/>
        </w:rPr>
        <w:tab/>
      </w:r>
      <w:r>
        <w:rPr>
          <w:rFonts w:ascii="Calibri" w:hAnsi="Calibri" w:eastAsia="Microsoft YaHei" w:cs="Calibri"/>
          <w:sz w:val="22"/>
          <w:color w:val="666666"/>
          <w:szCs w:val="22"/>
        </w:rPr>
        <w:t>3</w:t>
      </w:r>
    </w:p>
    <w:p>
      <w:pPr>
        <w:pStyle w:val="TOC2"/>
      </w:pPr>
      <w:r>
        <w:rPr>
          <w:rFonts w:ascii="Calibri" w:hAnsi="Calibri" w:eastAsia="Microsoft YaHei" w:cs="Calibri"/>
          <w:sz w:val="22"/>
          <w:color w:val="666666"/>
          <w:szCs w:val="22"/>
        </w:rPr>
        <w:t>1.2 Scope</w:t>
      </w:r>
      <w:r>
        <w:rPr>
          <w:rFonts w:ascii="Calibri" w:hAnsi="Calibri" w:eastAsia="Microsoft YaHei"/>
          <w:sz w:val="22"/>
          <w:color w:val="666666"/>
        </w:rPr>
        <w:tab/>
      </w:r>
      <w:r>
        <w:rPr>
          <w:rFonts w:ascii="Calibri" w:hAnsi="Calibri" w:eastAsia="Microsoft YaHei" w:cs="Calibri"/>
          <w:sz w:val="22"/>
          <w:color w:val="666666"/>
          <w:szCs w:val="22"/>
        </w:rPr>
        <w:t>4</w:t>
      </w:r>
    </w:p>
    <w:p>
      <w:pPr>
        <w:pStyle w:val="TOC2"/>
      </w:pPr>
      <w:r>
        <w:rPr>
          <w:rFonts w:ascii="Calibri" w:hAnsi="Calibri" w:eastAsia="Microsoft YaHei" w:cs="Calibri"/>
          <w:sz w:val="22"/>
          <w:color w:val="666666"/>
          <w:szCs w:val="22"/>
        </w:rPr>
        <w:t>1.3 Non-Prejudice Clause</w:t>
      </w:r>
      <w:r>
        <w:rPr>
          <w:rFonts w:ascii="Calibri" w:hAnsi="Calibri" w:eastAsia="Microsoft YaHei"/>
          <w:sz w:val="22"/>
          <w:color w:val="666666"/>
        </w:rPr>
        <w:tab/>
      </w:r>
      <w:r>
        <w:rPr>
          <w:rFonts w:ascii="Calibri" w:hAnsi="Calibri" w:eastAsia="Microsoft YaHei" w:cs="Calibri"/>
          <w:sz w:val="22"/>
          <w:color w:val="666666"/>
          <w:szCs w:val="22"/>
        </w:rPr>
        <w:t>5</w:t>
      </w:r>
    </w:p>
    <w:p>
      <w:pPr>
        <w:pStyle w:val="TOC2"/>
      </w:pPr>
      <w:r>
        <w:rPr>
          <w:rFonts w:ascii="Calibri" w:hAnsi="Calibri" w:eastAsia="Microsoft YaHei" w:cs="Calibri"/>
          <w:sz w:val="22"/>
          <w:color w:val="666666"/>
          <w:szCs w:val="22"/>
        </w:rPr>
        <w:t>1.4 Humanitarian and Economic Facilitation Purpose</w:t>
      </w:r>
      <w:r>
        <w:rPr>
          <w:rFonts w:ascii="Calibri" w:hAnsi="Calibri" w:eastAsia="Microsoft YaHei"/>
          <w:sz w:val="22"/>
          <w:color w:val="666666"/>
        </w:rPr>
        <w:tab/>
      </w:r>
      <w:r>
        <w:rPr>
          <w:rFonts w:ascii="Calibri" w:hAnsi="Calibri" w:eastAsia="Microsoft YaHei" w:cs="Calibri"/>
          <w:sz w:val="22"/>
          <w:color w:val="666666"/>
          <w:szCs w:val="22"/>
        </w:rPr>
        <w:t>5</w:t>
      </w:r>
    </w:p>
    <w:p>
      <w:pPr>
        <w:pStyle w:val="TOC1"/>
      </w:pPr>
      <w:r>
        <w:rPr>
          <w:rFonts w:ascii="Calibri" w:hAnsi="Calibri" w:eastAsia="Microsoft YaHei" w:cs="Calibri"/>
          <w:sz w:val="22"/>
          <w:b/>
          <w:color w:val="1E1E1E"/>
          <w:szCs w:val="22"/>
        </w:rPr>
        <w:t>Article 2: Establishment of the Goodwill Escrow Account</w:t>
      </w:r>
      <w:r>
        <w:rPr>
          <w:rFonts w:ascii="Calibri" w:hAnsi="Calibri" w:eastAsia="Microsoft YaHei"/>
          <w:sz w:val="22"/>
          <w:b/>
          <w:color w:val="1E1E1E"/>
        </w:rPr>
        <w:tab/>
      </w:r>
      <w:r>
        <w:rPr>
          <w:rFonts w:ascii="Calibri" w:hAnsi="Calibri" w:eastAsia="Microsoft YaHei" w:cs="Calibri"/>
          <w:sz w:val="22"/>
          <w:b/>
          <w:color w:val="1E1E1E"/>
          <w:szCs w:val="22"/>
        </w:rPr>
        <w:t>6</w:t>
      </w:r>
    </w:p>
    <w:p>
      <w:pPr>
        <w:pStyle w:val="TOC2"/>
      </w:pPr>
      <w:r>
        <w:rPr>
          <w:rFonts w:ascii="Calibri" w:hAnsi="Calibri" w:eastAsia="Microsoft YaHei" w:cs="Calibri"/>
          <w:sz w:val="22"/>
          <w:color w:val="666666"/>
          <w:szCs w:val="22"/>
        </w:rPr>
        <w:t>2.1 Establishment and Legal Status</w:t>
      </w:r>
      <w:r>
        <w:rPr>
          <w:rFonts w:ascii="Calibri" w:hAnsi="Calibri" w:eastAsia="Microsoft YaHei"/>
          <w:sz w:val="22"/>
          <w:color w:val="666666"/>
        </w:rPr>
        <w:tab/>
      </w:r>
      <w:r>
        <w:rPr>
          <w:rFonts w:ascii="Calibri" w:hAnsi="Calibri" w:eastAsia="Microsoft YaHei" w:cs="Calibri"/>
          <w:sz w:val="22"/>
          <w:color w:val="666666"/>
          <w:szCs w:val="22"/>
        </w:rPr>
        <w:t>6</w:t>
      </w:r>
    </w:p>
    <w:p>
      <w:pPr>
        <w:pStyle w:val="TOC2"/>
      </w:pPr>
      <w:r>
        <w:rPr>
          <w:rFonts w:ascii="Calibri" w:hAnsi="Calibri" w:eastAsia="Microsoft YaHei" w:cs="Calibri"/>
          <w:sz w:val="22"/>
          <w:color w:val="666666"/>
          <w:szCs w:val="22"/>
        </w:rPr>
        <w:t>2.2 Account Administration</w:t>
      </w:r>
      <w:r>
        <w:rPr>
          <w:rFonts w:ascii="Calibri" w:hAnsi="Calibri" w:eastAsia="Microsoft YaHei"/>
          <w:sz w:val="22"/>
          <w:color w:val="666666"/>
        </w:rPr>
        <w:tab/>
      </w:r>
      <w:r>
        <w:rPr>
          <w:rFonts w:ascii="Calibri" w:hAnsi="Calibri" w:eastAsia="Microsoft YaHei" w:cs="Calibri"/>
          <w:sz w:val="22"/>
          <w:color w:val="666666"/>
          <w:szCs w:val="22"/>
        </w:rPr>
        <w:t>7</w:t>
      </w:r>
    </w:p>
    <w:p>
      <w:pPr>
        <w:pStyle w:val="TOC2"/>
      </w:pPr>
      <w:r>
        <w:rPr>
          <w:rFonts w:ascii="Calibri" w:hAnsi="Calibri" w:eastAsia="Microsoft YaHei" w:cs="Calibri"/>
          <w:sz w:val="22"/>
          <w:color w:val="666666"/>
          <w:szCs w:val="22"/>
        </w:rPr>
        <w:t>2.3 Account Structure</w:t>
      </w:r>
      <w:r>
        <w:rPr>
          <w:rFonts w:ascii="Calibri" w:hAnsi="Calibri" w:eastAsia="Microsoft YaHei"/>
          <w:sz w:val="22"/>
          <w:color w:val="666666"/>
        </w:rPr>
        <w:tab/>
      </w:r>
      <w:r>
        <w:rPr>
          <w:rFonts w:ascii="Calibri" w:hAnsi="Calibri" w:eastAsia="Microsoft YaHei" w:cs="Calibri"/>
          <w:sz w:val="22"/>
          <w:color w:val="666666"/>
          <w:szCs w:val="22"/>
        </w:rPr>
        <w:t>8</w:t>
      </w:r>
    </w:p>
    <w:p>
      <w:pPr>
        <w:pStyle w:val="TOC2"/>
      </w:pPr>
      <w:r>
        <w:rPr>
          <w:rFonts w:ascii="Calibri" w:hAnsi="Calibri" w:eastAsia="Microsoft YaHei" w:cs="Calibri"/>
          <w:sz w:val="22"/>
          <w:color w:val="666666"/>
          <w:szCs w:val="22"/>
        </w:rPr>
        <w:t>2.4 Account Signatories and Access</w:t>
      </w:r>
      <w:r>
        <w:rPr>
          <w:rFonts w:ascii="Calibri" w:hAnsi="Calibri" w:eastAsia="Microsoft YaHei"/>
          <w:sz w:val="22"/>
          <w:color w:val="666666"/>
        </w:rPr>
        <w:tab/>
      </w:r>
      <w:r>
        <w:rPr>
          <w:rFonts w:ascii="Calibri" w:hAnsi="Calibri" w:eastAsia="Microsoft YaHei" w:cs="Calibri"/>
          <w:sz w:val="22"/>
          <w:color w:val="666666"/>
          <w:szCs w:val="22"/>
        </w:rPr>
        <w:t>9</w:t>
      </w:r>
    </w:p>
    <w:p>
      <w:pPr>
        <w:pStyle w:val="TOC1"/>
      </w:pPr>
      <w:r>
        <w:rPr>
          <w:rFonts w:ascii="Calibri" w:hAnsi="Calibri" w:eastAsia="Microsoft YaHei" w:cs="Calibri"/>
          <w:sz w:val="22"/>
          <w:b/>
          <w:color w:val="1E1E1E"/>
          <w:szCs w:val="22"/>
        </w:rPr>
        <w:t>Article 3: Disbursement Mechanism</w:t>
      </w:r>
      <w:r>
        <w:rPr>
          <w:rFonts w:ascii="Calibri" w:hAnsi="Calibri" w:eastAsia="Microsoft YaHei"/>
          <w:sz w:val="22"/>
          <w:b/>
          <w:color w:val="1E1E1E"/>
        </w:rPr>
        <w:tab/>
      </w:r>
      <w:r>
        <w:rPr>
          <w:rFonts w:ascii="Calibri" w:hAnsi="Calibri" w:eastAsia="Microsoft YaHei" w:cs="Calibri"/>
          <w:sz w:val="22"/>
          <w:b/>
          <w:color w:val="1E1E1E"/>
          <w:szCs w:val="22"/>
        </w:rPr>
        <w:t>10</w:t>
      </w:r>
    </w:p>
    <w:p>
      <w:pPr>
        <w:pStyle w:val="TOC2"/>
      </w:pPr>
      <w:r>
        <w:rPr>
          <w:rFonts w:ascii="Calibri" w:hAnsi="Calibri" w:eastAsia="Microsoft YaHei" w:cs="Calibri"/>
          <w:sz w:val="22"/>
          <w:color w:val="666666"/>
          <w:szCs w:val="22"/>
        </w:rPr>
        <w:t>3.1 Phased Disbursement Schedule</w:t>
      </w:r>
      <w:r>
        <w:rPr>
          <w:rFonts w:ascii="Calibri" w:hAnsi="Calibri" w:eastAsia="Microsoft YaHei"/>
          <w:sz w:val="22"/>
          <w:color w:val="666666"/>
        </w:rPr>
        <w:tab/>
      </w:r>
      <w:r>
        <w:rPr>
          <w:rFonts w:ascii="Calibri" w:hAnsi="Calibri" w:eastAsia="Microsoft YaHei" w:cs="Calibri"/>
          <w:sz w:val="22"/>
          <w:color w:val="666666"/>
          <w:szCs w:val="22"/>
        </w:rPr>
        <w:t>10</w:t>
      </w:r>
    </w:p>
    <w:p>
      <w:pPr>
        <w:pStyle w:val="TOC2"/>
      </w:pPr>
      <w:r>
        <w:rPr>
          <w:rFonts w:ascii="Calibri" w:hAnsi="Calibri" w:eastAsia="Microsoft YaHei" w:cs="Calibri"/>
          <w:sz w:val="22"/>
          <w:color w:val="666666"/>
          <w:szCs w:val="22"/>
        </w:rPr>
        <w:t>3.2 Disbursement Triggers</w:t>
      </w:r>
      <w:r>
        <w:rPr>
          <w:rFonts w:ascii="Calibri" w:hAnsi="Calibri" w:eastAsia="Microsoft YaHei"/>
          <w:sz w:val="22"/>
          <w:color w:val="666666"/>
        </w:rPr>
        <w:tab/>
      </w:r>
      <w:r>
        <w:rPr>
          <w:rFonts w:ascii="Calibri" w:hAnsi="Calibri" w:eastAsia="Microsoft YaHei" w:cs="Calibri"/>
          <w:sz w:val="22"/>
          <w:color w:val="666666"/>
          <w:szCs w:val="22"/>
        </w:rPr>
        <w:t>11</w:t>
      </w:r>
    </w:p>
    <w:p>
      <w:pPr>
        <w:pStyle w:val="TOC2"/>
      </w:pPr>
      <w:r>
        <w:rPr>
          <w:rFonts w:ascii="Calibri" w:hAnsi="Calibri" w:eastAsia="Microsoft YaHei" w:cs="Calibri"/>
          <w:sz w:val="22"/>
          <w:color w:val="666666"/>
          <w:szCs w:val="22"/>
        </w:rPr>
        <w:t>3.3 Disbursement Procedure</w:t>
      </w:r>
      <w:r>
        <w:rPr>
          <w:rFonts w:ascii="Calibri" w:hAnsi="Calibri" w:eastAsia="Microsoft YaHei"/>
          <w:sz w:val="22"/>
          <w:color w:val="666666"/>
        </w:rPr>
        <w:tab/>
      </w:r>
      <w:r>
        <w:rPr>
          <w:rFonts w:ascii="Calibri" w:hAnsi="Calibri" w:eastAsia="Microsoft YaHei" w:cs="Calibri"/>
          <w:sz w:val="22"/>
          <w:color w:val="666666"/>
          <w:szCs w:val="22"/>
        </w:rPr>
        <w:t>12</w:t>
      </w:r>
    </w:p>
    <w:p>
      <w:pPr>
        <w:pStyle w:val="TOC2"/>
      </w:pPr>
      <w:r>
        <w:rPr>
          <w:rFonts w:ascii="Calibri" w:hAnsi="Calibri" w:eastAsia="Microsoft YaHei" w:cs="Calibri"/>
          <w:sz w:val="22"/>
          <w:color w:val="666666"/>
          <w:szCs w:val="22"/>
        </w:rPr>
        <w:t>3.4 Humanitarian Procurement Protocol</w:t>
      </w:r>
      <w:r>
        <w:rPr>
          <w:rFonts w:ascii="Calibri" w:hAnsi="Calibri" w:eastAsia="Microsoft YaHei"/>
          <w:sz w:val="22"/>
          <w:color w:val="666666"/>
        </w:rPr>
        <w:tab/>
      </w:r>
      <w:r>
        <w:rPr>
          <w:rFonts w:ascii="Calibri" w:hAnsi="Calibri" w:eastAsia="Microsoft YaHei" w:cs="Calibri"/>
          <w:sz w:val="22"/>
          <w:color w:val="666666"/>
          <w:szCs w:val="22"/>
        </w:rPr>
        <w:t>13</w:t>
      </w:r>
    </w:p>
    <w:p>
      <w:pPr>
        <w:pStyle w:val="TOC1"/>
      </w:pPr>
      <w:r>
        <w:rPr>
          <w:rFonts w:ascii="Calibri" w:hAnsi="Calibri" w:eastAsia="Microsoft YaHei" w:cs="Calibri"/>
          <w:sz w:val="22"/>
          <w:b/>
          <w:color w:val="1E1E1E"/>
          <w:szCs w:val="22"/>
        </w:rPr>
        <w:t>Article 4: Verification and Compliance</w:t>
      </w:r>
      <w:r>
        <w:rPr>
          <w:rFonts w:ascii="Calibri" w:hAnsi="Calibri" w:eastAsia="Microsoft YaHei"/>
          <w:sz w:val="22"/>
          <w:b/>
          <w:color w:val="1E1E1E"/>
        </w:rPr>
        <w:tab/>
      </w:r>
      <w:r>
        <w:rPr>
          <w:rFonts w:ascii="Calibri" w:hAnsi="Calibri" w:eastAsia="Microsoft YaHei" w:cs="Calibri"/>
          <w:sz w:val="22"/>
          <w:b/>
          <w:color w:val="1E1E1E"/>
          <w:szCs w:val="22"/>
        </w:rPr>
        <w:t>15</w:t>
      </w:r>
    </w:p>
    <w:p>
      <w:pPr>
        <w:pStyle w:val="TOC2"/>
      </w:pPr>
      <w:r>
        <w:rPr>
          <w:rFonts w:ascii="Calibri" w:hAnsi="Calibri" w:eastAsia="Microsoft YaHei" w:cs="Calibri"/>
          <w:sz w:val="22"/>
          <w:color w:val="666666"/>
          <w:szCs w:val="22"/>
        </w:rPr>
        <w:t>4.1 Verification Standards</w:t>
      </w:r>
      <w:r>
        <w:rPr>
          <w:rFonts w:ascii="Calibri" w:hAnsi="Calibri" w:eastAsia="Microsoft YaHei"/>
          <w:sz w:val="22"/>
          <w:color w:val="666666"/>
        </w:rPr>
        <w:tab/>
      </w:r>
      <w:r>
        <w:rPr>
          <w:rFonts w:ascii="Calibri" w:hAnsi="Calibri" w:eastAsia="Microsoft YaHei" w:cs="Calibri"/>
          <w:sz w:val="22"/>
          <w:color w:val="666666"/>
          <w:szCs w:val="22"/>
        </w:rPr>
        <w:t>15</w:t>
      </w:r>
    </w:p>
    <w:p>
      <w:pPr>
        <w:pStyle w:val="TOC2"/>
      </w:pPr>
      <w:r>
        <w:rPr>
          <w:rFonts w:ascii="Calibri" w:hAnsi="Calibri" w:eastAsia="Microsoft YaHei" w:cs="Calibri"/>
          <w:sz w:val="22"/>
          <w:color w:val="666666"/>
          <w:szCs w:val="22"/>
        </w:rPr>
        <w:t>4.2 Verification Body</w:t>
      </w:r>
      <w:r>
        <w:rPr>
          <w:rFonts w:ascii="Calibri" w:hAnsi="Calibri" w:eastAsia="Microsoft YaHei"/>
          <w:sz w:val="22"/>
          <w:color w:val="666666"/>
        </w:rPr>
        <w:tab/>
      </w:r>
      <w:r>
        <w:rPr>
          <w:rFonts w:ascii="Calibri" w:hAnsi="Calibri" w:eastAsia="Microsoft YaHei" w:cs="Calibri"/>
          <w:sz w:val="22"/>
          <w:color w:val="666666"/>
          <w:szCs w:val="22"/>
        </w:rPr>
        <w:t>15</w:t>
      </w:r>
    </w:p>
    <w:p>
      <w:pPr>
        <w:pStyle w:val="TOC2"/>
      </w:pPr>
      <w:r>
        <w:rPr>
          <w:rFonts w:ascii="Calibri" w:hAnsi="Calibri" w:eastAsia="Microsoft YaHei" w:cs="Calibri"/>
          <w:sz w:val="22"/>
          <w:color w:val="666666"/>
          <w:szCs w:val="22"/>
        </w:rPr>
        <w:t>4.3 Independent Auditor</w:t>
      </w:r>
      <w:r>
        <w:rPr>
          <w:rFonts w:ascii="Calibri" w:hAnsi="Calibri" w:eastAsia="Microsoft YaHei"/>
          <w:sz w:val="22"/>
          <w:color w:val="666666"/>
        </w:rPr>
        <w:tab/>
      </w:r>
      <w:r>
        <w:rPr>
          <w:rFonts w:ascii="Calibri" w:hAnsi="Calibri" w:eastAsia="Microsoft YaHei" w:cs="Calibri"/>
          <w:sz w:val="22"/>
          <w:color w:val="666666"/>
          <w:szCs w:val="22"/>
        </w:rPr>
        <w:t>16</w:t>
      </w:r>
    </w:p>
    <w:p>
      <w:pPr>
        <w:pStyle w:val="TOC2"/>
      </w:pPr>
      <w:r>
        <w:rPr>
          <w:rFonts w:ascii="Calibri" w:hAnsi="Calibri" w:eastAsia="Microsoft YaHei" w:cs="Calibri"/>
          <w:sz w:val="22"/>
          <w:color w:val="666666"/>
          <w:szCs w:val="22"/>
        </w:rPr>
        <w:t>4.4 Compliance Consequences</w:t>
      </w:r>
      <w:r>
        <w:rPr>
          <w:rFonts w:ascii="Calibri" w:hAnsi="Calibri" w:eastAsia="Microsoft YaHei"/>
          <w:sz w:val="22"/>
          <w:color w:val="666666"/>
        </w:rPr>
        <w:tab/>
      </w:r>
      <w:r>
        <w:rPr>
          <w:rFonts w:ascii="Calibri" w:hAnsi="Calibri" w:eastAsia="Microsoft YaHei" w:cs="Calibri"/>
          <w:sz w:val="22"/>
          <w:color w:val="666666"/>
          <w:szCs w:val="22"/>
        </w:rPr>
        <w:t>16</w:t>
      </w:r>
    </w:p>
    <w:p>
      <w:pPr>
        <w:pStyle w:val="TOC1"/>
      </w:pPr>
      <w:r>
        <w:rPr>
          <w:rFonts w:ascii="Calibri" w:hAnsi="Calibri" w:eastAsia="Microsoft YaHei" w:cs="Calibri"/>
          <w:sz w:val="22"/>
          <w:b/>
          <w:color w:val="1E1E1E"/>
          <w:szCs w:val="22"/>
        </w:rPr>
        <w:t>Article 5: Transparency and Reporting</w:t>
      </w:r>
      <w:r>
        <w:rPr>
          <w:rFonts w:ascii="Calibri" w:hAnsi="Calibri" w:eastAsia="Microsoft YaHei"/>
          <w:sz w:val="22"/>
          <w:b/>
          <w:color w:val="1E1E1E"/>
        </w:rPr>
        <w:tab/>
      </w:r>
      <w:r>
        <w:rPr>
          <w:rFonts w:ascii="Calibri" w:hAnsi="Calibri" w:eastAsia="Microsoft YaHei" w:cs="Calibri"/>
          <w:sz w:val="22"/>
          <w:b/>
          <w:color w:val="1E1E1E"/>
          <w:szCs w:val="22"/>
        </w:rPr>
        <w:t>18</w:t>
      </w:r>
    </w:p>
    <w:p>
      <w:pPr>
        <w:pStyle w:val="TOC2"/>
      </w:pPr>
      <w:r>
        <w:rPr>
          <w:rFonts w:ascii="Calibri" w:hAnsi="Calibri" w:eastAsia="Microsoft YaHei" w:cs="Calibri"/>
          <w:sz w:val="22"/>
          <w:color w:val="666666"/>
          <w:szCs w:val="22"/>
        </w:rPr>
        <w:t>5.1 Quarterly Transparency Report</w:t>
      </w:r>
      <w:r>
        <w:rPr>
          <w:rFonts w:ascii="Calibri" w:hAnsi="Calibri" w:eastAsia="Microsoft YaHei"/>
          <w:sz w:val="22"/>
          <w:color w:val="666666"/>
        </w:rPr>
        <w:tab/>
      </w:r>
      <w:r>
        <w:rPr>
          <w:rFonts w:ascii="Calibri" w:hAnsi="Calibri" w:eastAsia="Microsoft YaHei" w:cs="Calibri"/>
          <w:sz w:val="22"/>
          <w:color w:val="666666"/>
          <w:szCs w:val="22"/>
        </w:rPr>
        <w:t>18</w:t>
      </w:r>
    </w:p>
    <w:p>
      <w:pPr>
        <w:pStyle w:val="TOC2"/>
      </w:pPr>
      <w:r>
        <w:rPr>
          <w:rFonts w:ascii="Calibri" w:hAnsi="Calibri" w:eastAsia="Microsoft YaHei" w:cs="Calibri"/>
          <w:sz w:val="22"/>
          <w:color w:val="666666"/>
          <w:szCs w:val="22"/>
        </w:rPr>
        <w:t>5.2 Annual Audit Report</w:t>
      </w:r>
      <w:r>
        <w:rPr>
          <w:rFonts w:ascii="Calibri" w:hAnsi="Calibri" w:eastAsia="Microsoft YaHei"/>
          <w:sz w:val="22"/>
          <w:color w:val="666666"/>
        </w:rPr>
        <w:tab/>
      </w:r>
      <w:r>
        <w:rPr>
          <w:rFonts w:ascii="Calibri" w:hAnsi="Calibri" w:eastAsia="Microsoft YaHei" w:cs="Calibri"/>
          <w:sz w:val="22"/>
          <w:color w:val="666666"/>
          <w:szCs w:val="22"/>
        </w:rPr>
        <w:t>18</w:t>
      </w:r>
    </w:p>
    <w:p>
      <w:pPr>
        <w:pStyle w:val="TOC2"/>
      </w:pPr>
      <w:r>
        <w:rPr>
          <w:rFonts w:ascii="Calibri" w:hAnsi="Calibri" w:eastAsia="Microsoft YaHei" w:cs="Calibri"/>
          <w:sz w:val="22"/>
          <w:color w:val="666666"/>
          <w:szCs w:val="22"/>
        </w:rPr>
        <w:t>5.3 Public Access</w:t>
      </w:r>
      <w:r>
        <w:rPr>
          <w:rFonts w:ascii="Calibri" w:hAnsi="Calibri" w:eastAsia="Microsoft YaHei"/>
          <w:sz w:val="22"/>
          <w:color w:val="666666"/>
        </w:rPr>
        <w:tab/>
      </w:r>
      <w:r>
        <w:rPr>
          <w:rFonts w:ascii="Calibri" w:hAnsi="Calibri" w:eastAsia="Microsoft YaHei" w:cs="Calibri"/>
          <w:sz w:val="22"/>
          <w:color w:val="666666"/>
          <w:szCs w:val="22"/>
        </w:rPr>
        <w:t>19</w:t>
      </w:r>
    </w:p>
    <w:p>
      <w:pPr>
        <w:pStyle w:val="TOC1"/>
      </w:pPr>
      <w:r>
        <w:rPr>
          <w:rFonts w:ascii="Calibri" w:hAnsi="Calibri" w:eastAsia="Microsoft YaHei" w:cs="Calibri"/>
          <w:sz w:val="22"/>
          <w:b/>
          <w:color w:val="1E1E1E"/>
          <w:szCs w:val="22"/>
        </w:rPr>
        <w:t>Article 6: Dispute Resolution</w:t>
      </w:r>
      <w:r>
        <w:rPr>
          <w:rFonts w:ascii="Calibri" w:hAnsi="Calibri" w:eastAsia="Microsoft YaHei"/>
          <w:sz w:val="22"/>
          <w:b/>
          <w:color w:val="1E1E1E"/>
        </w:rPr>
        <w:tab/>
      </w:r>
      <w:r>
        <w:rPr>
          <w:rFonts w:ascii="Calibri" w:hAnsi="Calibri" w:eastAsia="Microsoft YaHei" w:cs="Calibri"/>
          <w:sz w:val="22"/>
          <w:b/>
          <w:color w:val="1E1E1E"/>
          <w:szCs w:val="22"/>
        </w:rPr>
        <w:t>20</w:t>
      </w:r>
    </w:p>
    <w:p>
      <w:pPr>
        <w:pStyle w:val="TOC2"/>
      </w:pPr>
      <w:r>
        <w:rPr>
          <w:rFonts w:ascii="Calibri" w:hAnsi="Calibri" w:eastAsia="Microsoft YaHei" w:cs="Calibri"/>
          <w:sz w:val="22"/>
          <w:color w:val="666666"/>
          <w:szCs w:val="22"/>
        </w:rPr>
        <w:t>6.1 JIC-Level Disputes</w:t>
      </w:r>
      <w:r>
        <w:rPr>
          <w:rFonts w:ascii="Calibri" w:hAnsi="Calibri" w:eastAsia="Microsoft YaHei"/>
          <w:sz w:val="22"/>
          <w:color w:val="666666"/>
        </w:rPr>
        <w:tab/>
      </w:r>
      <w:r>
        <w:rPr>
          <w:rFonts w:ascii="Calibri" w:hAnsi="Calibri" w:eastAsia="Microsoft YaHei" w:cs="Calibri"/>
          <w:sz w:val="22"/>
          <w:color w:val="666666"/>
          <w:szCs w:val="22"/>
        </w:rPr>
        <w:t>20</w:t>
      </w:r>
    </w:p>
    <w:p>
      <w:pPr>
        <w:pStyle w:val="TOC2"/>
      </w:pPr>
      <w:r>
        <w:rPr>
          <w:rFonts w:ascii="Calibri" w:hAnsi="Calibri" w:eastAsia="Microsoft YaHei" w:cs="Calibri"/>
          <w:sz w:val="22"/>
          <w:color w:val="666666"/>
          <w:szCs w:val="22"/>
        </w:rPr>
        <w:t>6.2 Arbitration</w:t>
      </w:r>
      <w:r>
        <w:rPr>
          <w:rFonts w:ascii="Calibri" w:hAnsi="Calibri" w:eastAsia="Microsoft YaHei"/>
          <w:sz w:val="22"/>
          <w:color w:val="666666"/>
        </w:rPr>
        <w:tab/>
      </w:r>
      <w:r>
        <w:rPr>
          <w:rFonts w:ascii="Calibri" w:hAnsi="Calibri" w:eastAsia="Microsoft YaHei" w:cs="Calibri"/>
          <w:sz w:val="22"/>
          <w:color w:val="666666"/>
          <w:szCs w:val="22"/>
        </w:rPr>
        <w:t>20</w:t>
      </w:r>
    </w:p>
    <w:p>
      <w:pPr>
        <w:pStyle w:val="TOC2"/>
      </w:pPr>
      <w:r>
        <w:rPr>
          <w:rFonts w:ascii="Calibri" w:hAnsi="Calibri" w:eastAsia="Microsoft YaHei" w:cs="Calibri"/>
          <w:sz w:val="22"/>
          <w:color w:val="666666"/>
          <w:szCs w:val="22"/>
        </w:rPr>
        <w:t>6.3 Standstill During Dispute</w:t>
      </w:r>
      <w:r>
        <w:rPr>
          <w:rFonts w:ascii="Calibri" w:hAnsi="Calibri" w:eastAsia="Microsoft YaHei"/>
          <w:sz w:val="22"/>
          <w:color w:val="666666"/>
        </w:rPr>
        <w:tab/>
      </w:r>
      <w:r>
        <w:rPr>
          <w:rFonts w:ascii="Calibri" w:hAnsi="Calibri" w:eastAsia="Microsoft YaHei" w:cs="Calibri"/>
          <w:sz w:val="22"/>
          <w:color w:val="666666"/>
          <w:szCs w:val="22"/>
        </w:rPr>
        <w:t>21</w:t>
      </w:r>
    </w:p>
    <w:p>
      <w:pPr>
        <w:pStyle w:val="TOC1"/>
      </w:pPr>
      <w:r>
        <w:rPr>
          <w:rFonts w:ascii="Calibri" w:hAnsi="Calibri" w:eastAsia="Microsoft YaHei" w:cs="Calibri"/>
          <w:sz w:val="22"/>
          <w:b/>
          <w:color w:val="1E1E1E"/>
          <w:szCs w:val="22"/>
        </w:rPr>
        <w:t>Article 7: Technical Review and Amendments</w:t>
      </w:r>
      <w:r>
        <w:rPr>
          <w:rFonts w:ascii="Calibri" w:hAnsi="Calibri" w:eastAsia="Microsoft YaHei"/>
          <w:sz w:val="22"/>
          <w:b/>
          <w:color w:val="1E1E1E"/>
        </w:rPr>
        <w:tab/>
      </w:r>
      <w:r>
        <w:rPr>
          <w:rFonts w:ascii="Calibri" w:hAnsi="Calibri" w:eastAsia="Microsoft YaHei" w:cs="Calibri"/>
          <w:sz w:val="22"/>
          <w:b/>
          <w:color w:val="1E1E1E"/>
          <w:szCs w:val="22"/>
        </w:rPr>
        <w:t>22</w:t>
      </w:r>
    </w:p>
    <w:p>
      <w:pPr>
        <w:pStyle w:val="TOC2"/>
      </w:pPr>
      <w:r>
        <w:rPr>
          <w:rFonts w:ascii="Calibri" w:hAnsi="Calibri" w:eastAsia="Microsoft YaHei" w:cs="Calibri"/>
          <w:sz w:val="22"/>
          <w:color w:val="666666"/>
          <w:szCs w:val="22"/>
        </w:rPr>
        <w:t>7.1 Annual Review</w:t>
      </w:r>
      <w:r>
        <w:rPr>
          <w:rFonts w:ascii="Calibri" w:hAnsi="Calibri" w:eastAsia="Microsoft YaHei"/>
          <w:sz w:val="22"/>
          <w:color w:val="666666"/>
        </w:rPr>
        <w:tab/>
      </w:r>
      <w:r>
        <w:rPr>
          <w:rFonts w:ascii="Calibri" w:hAnsi="Calibri" w:eastAsia="Microsoft YaHei" w:cs="Calibri"/>
          <w:sz w:val="22"/>
          <w:color w:val="666666"/>
          <w:szCs w:val="22"/>
        </w:rPr>
        <w:t>22</w:t>
      </w:r>
    </w:p>
    <w:p>
      <w:pPr>
        <w:pStyle w:val="TOC2"/>
      </w:pPr>
      <w:r>
        <w:rPr>
          <w:rFonts w:ascii="Calibri" w:hAnsi="Calibri" w:eastAsia="Microsoft YaHei" w:cs="Calibri"/>
          <w:sz w:val="22"/>
          <w:color w:val="666666"/>
          <w:szCs w:val="22"/>
        </w:rPr>
        <w:t>7.2 Amendments</w:t>
      </w:r>
      <w:r>
        <w:rPr>
          <w:rFonts w:ascii="Calibri" w:hAnsi="Calibri" w:eastAsia="Microsoft YaHei"/>
          <w:sz w:val="22"/>
          <w:color w:val="666666"/>
        </w:rPr>
        <w:tab/>
      </w:r>
      <w:r>
        <w:rPr>
          <w:rFonts w:ascii="Calibri" w:hAnsi="Calibri" w:eastAsia="Microsoft YaHei" w:cs="Calibri"/>
          <w:sz w:val="22"/>
          <w:color w:val="666666"/>
          <w:szCs w:val="22"/>
        </w:rPr>
        <w:t>22</w:t>
      </w:r>
    </w:p>
    <w:p>
      <w:pPr>
        <w:pStyle w:val="TOC2"/>
      </w:pPr>
      <w:r>
        <w:rPr>
          <w:rFonts w:ascii="Calibri" w:hAnsi="Calibri" w:eastAsia="Microsoft YaHei" w:cs="Calibri"/>
          <w:sz w:val="22"/>
          <w:color w:val="666666"/>
          <w:szCs w:val="22"/>
        </w:rPr>
        <w:t>7.3 Emergency Amendments</w:t>
      </w:r>
      <w:r>
        <w:rPr>
          <w:rFonts w:ascii="Calibri" w:hAnsi="Calibri" w:eastAsia="Microsoft YaHei"/>
          <w:sz w:val="22"/>
          <w:color w:val="666666"/>
        </w:rPr>
        <w:tab/>
      </w:r>
      <w:r>
        <w:rPr>
          <w:rFonts w:ascii="Calibri" w:hAnsi="Calibri" w:eastAsia="Microsoft YaHei" w:cs="Calibri"/>
          <w:sz w:val="22"/>
          <w:color w:val="666666"/>
          <w:szCs w:val="22"/>
        </w:rPr>
        <w:t>23</w:t>
      </w:r>
    </w:p>
    <w:p>
      <w:pPr>
        <w:pStyle w:val="TOC1"/>
      </w:pPr>
      <w:r>
        <w:rPr>
          <w:rFonts w:ascii="Calibri" w:hAnsi="Calibri" w:eastAsia="Microsoft YaHei" w:cs="Calibri"/>
          <w:sz w:val="22"/>
          <w:b/>
          <w:color w:val="1E1E1E"/>
          <w:szCs w:val="22"/>
        </w:rPr>
        <w:t>Article 8: Final Provisions</w:t>
      </w:r>
      <w:r>
        <w:rPr>
          <w:rFonts w:ascii="Calibri" w:hAnsi="Calibri" w:eastAsia="Microsoft YaHei"/>
          <w:sz w:val="22"/>
          <w:b/>
          <w:color w:val="1E1E1E"/>
        </w:rPr>
        <w:tab/>
      </w:r>
      <w:r>
        <w:rPr>
          <w:rFonts w:ascii="Calibri" w:hAnsi="Calibri" w:eastAsia="Microsoft YaHei" w:cs="Calibri"/>
          <w:sz w:val="22"/>
          <w:b/>
          <w:color w:val="1E1E1E"/>
          <w:szCs w:val="22"/>
        </w:rPr>
        <w:t>24</w:t>
      </w:r>
    </w:p>
    <w:p>
      <w:pPr>
        <w:pStyle w:val="TOC2"/>
      </w:pPr>
      <w:r>
        <w:rPr>
          <w:rFonts w:ascii="Calibri" w:hAnsi="Calibri" w:eastAsia="Microsoft YaHei" w:cs="Calibri"/>
          <w:sz w:val="22"/>
          <w:color w:val="666666"/>
          <w:szCs w:val="22"/>
        </w:rPr>
        <w:t>8.1 Duration and Termination</w:t>
      </w:r>
      <w:r>
        <w:rPr>
          <w:rFonts w:ascii="Calibri" w:hAnsi="Calibri" w:eastAsia="Microsoft YaHei"/>
          <w:sz w:val="22"/>
          <w:color w:val="666666"/>
        </w:rPr>
        <w:tab/>
      </w:r>
      <w:r>
        <w:rPr>
          <w:rFonts w:ascii="Calibri" w:hAnsi="Calibri" w:eastAsia="Microsoft YaHei" w:cs="Calibri"/>
          <w:sz w:val="22"/>
          <w:color w:val="666666"/>
          <w:szCs w:val="22"/>
        </w:rPr>
        <w:t>24</w:t>
      </w:r>
    </w:p>
    <w:p>
      <w:pPr>
        <w:pStyle w:val="TOC2"/>
      </w:pPr>
      <w:r>
        <w:rPr>
          <w:rFonts w:ascii="Calibri" w:hAnsi="Calibri" w:eastAsia="Microsoft YaHei" w:cs="Calibri"/>
          <w:sz w:val="22"/>
          <w:color w:val="666666"/>
          <w:szCs w:val="22"/>
        </w:rPr>
        <w:t>8.2 Relationship to Other Annexes</w:t>
      </w:r>
      <w:r>
        <w:rPr>
          <w:rFonts w:ascii="Calibri" w:hAnsi="Calibri" w:eastAsia="Microsoft YaHei"/>
          <w:sz w:val="22"/>
          <w:color w:val="666666"/>
        </w:rPr>
        <w:tab/>
      </w:r>
      <w:r>
        <w:rPr>
          <w:rFonts w:ascii="Calibri" w:hAnsi="Calibri" w:eastAsia="Microsoft YaHei" w:cs="Calibri"/>
          <w:sz w:val="22"/>
          <w:color w:val="666666"/>
          <w:szCs w:val="22"/>
        </w:rPr>
        <w:t>25</w:t>
      </w:r>
    </w:p>
    <w:p>
      <w:pPr>
        <w:pStyle w:val="TOC2"/>
      </w:pPr>
      <w:r>
        <w:rPr>
          <w:rFonts w:ascii="Calibri" w:hAnsi="Calibri" w:eastAsia="Microsoft YaHei" w:cs="Calibri"/>
          <w:sz w:val="22"/>
          <w:color w:val="666666"/>
          <w:szCs w:val="22"/>
        </w:rPr>
        <w:t>8.3 Annex Signatures</w:t>
      </w:r>
      <w:r>
        <w:rPr>
          <w:rFonts w:ascii="Calibri" w:hAnsi="Calibri" w:eastAsia="Microsoft YaHei"/>
          <w:sz w:val="22"/>
          <w:color w:val="666666"/>
        </w:rPr>
        <w:tab/>
      </w:r>
      <w:r>
        <w:rPr>
          <w:rFonts w:ascii="Calibri" w:hAnsi="Calibri" w:eastAsia="Microsoft YaHei" w:cs="Calibri"/>
          <w:sz w:val="22"/>
          <w:color w:val="666666"/>
          <w:szCs w:val="22"/>
        </w:rPr>
        <w:t>25</w:t>
      </w:r>
    </w:p>
    <w:p>
      <w:pPr>
        <w:pStyle w:val="TOC1"/>
      </w:pPr>
      <w:r>
        <w:rPr>
          <w:rFonts w:ascii="Calibri" w:hAnsi="Calibri" w:eastAsia="Microsoft YaHei" w:cs="Calibri"/>
          <w:sz w:val="22"/>
          <w:b/>
          <w:color w:val="1E1E1E"/>
          <w:szCs w:val="22"/>
        </w:rPr>
        <w:t>Signature Pages</w:t>
      </w:r>
      <w:r>
        <w:rPr>
          <w:rFonts w:ascii="Calibri" w:hAnsi="Calibri" w:eastAsia="Microsoft YaHei"/>
          <w:sz w:val="22"/>
          <w:b/>
          <w:color w:val="1E1E1E"/>
        </w:rPr>
        <w:tab/>
      </w:r>
      <w:r>
        <w:rPr>
          <w:rFonts w:ascii="Calibri" w:hAnsi="Calibri" w:eastAsia="Microsoft YaHei" w:cs="Calibri"/>
          <w:sz w:val="22"/>
          <w:b/>
          <w:color w:val="1E1E1E"/>
          <w:szCs w:val="22"/>
        </w:rPr>
        <w:t>26</w:t>
      </w:r>
    </w:p>
    <w:p>
      <w:pPr>
        <w:pStyle w:val="TOC1"/>
      </w:pPr>
      <w:r>
        <w:rPr>
          <w:rFonts w:ascii="Calibri" w:hAnsi="Calibri" w:eastAsia="Microsoft YaHei" w:cs="Calibri"/>
          <w:sz w:val="22"/>
          <w:b/>
          <w:color w:val="1E1E1E"/>
          <w:szCs w:val="22"/>
        </w:rPr>
        <w:t>Negotiator's Annotations</w:t>
      </w:r>
      <w:r>
        <w:rPr>
          <w:rFonts w:ascii="Calibri" w:hAnsi="Calibri" w:eastAsia="Microsoft YaHei"/>
          <w:sz w:val="22"/>
          <w:b/>
          <w:color w:val="1E1E1E"/>
        </w:rPr>
        <w:tab/>
      </w:r>
      <w:r>
        <w:rPr>
          <w:rFonts w:ascii="Calibri" w:hAnsi="Calibri" w:eastAsia="Microsoft YaHei" w:cs="Calibri"/>
          <w:sz w:val="22"/>
          <w:b/>
          <w:color w:val="1E1E1E"/>
          <w:szCs w:val="22"/>
        </w:rPr>
        <w:t>28</w:t>
      </w:r>
    </w:p>
    <w:p>
      <w:pPr>
        <w:pStyle w:val="Normal"/>
      </w:pPr>
      <w:r>
        <w:fldChar w:fldCharType="end"/>
      </w:r>
    </w:p>
    <w:p>
      <w:pPr>
        <w:pStyle w:val="Normal"/>
        <w:sectPr>
          <w:type w:val="nextPage"/>
          <w:pgSz w:w="11906" w:h="16838"/>
          <w:pgMar w:top="1800" w:right="1440" w:bottom="1440" w:left="1440" w:header="720" w:footer="720"/>
        </w:sectPr>
      </w:pPr>
    </w:p>
    <w:p>
      <w:pPr>
        <w:pStyle w:val="Heading1"/>
      </w:pPr>
      <w:bookmarkStart w:name="_Toc001" w:id="2"/>
      <w:r>
        <w:rPr>
          <w:rFonts w:ascii="Calibri" w:hAnsi="Calibri" w:eastAsia="Microsoft YaHei" w:cs="Calibri"/>
          <w:b/>
          <w:color w:val="1A2744"/>
          <w:sz w:val="32"/>
          <w:szCs w:val="32"/>
        </w:rPr>
        <w:t>Preamble</w:t>
      </w:r>
      <w:bookmarkEnd w:id="2"/>
    </w:p>
    <w:p>
      <w:pPr>
        <w:pStyle w:val="Normal"/>
      </w:pPr>
      <w:r>
        <w:rPr>
          <w:rFonts w:ascii="Calibri" w:hAnsi="Calibri" w:eastAsia="Microsoft YaHei" w:cs="Calibri"/>
          <w:color w:val="1E1E1E"/>
          <w:sz w:val="22"/>
          <w:szCs w:val="22"/>
        </w:rPr>
        <w:t>The Parties to the Hormuz Standardization Understanding (HSU),</w:t>
      </w:r>
    </w:p>
    <w:p>
      <w:pPr>
        <w:pStyle w:val="Normal"/>
      </w:pPr>
      <w:r>
        <w:rPr>
          <w:rFonts w:ascii="Calibri" w:hAnsi="Calibri" w:eastAsia="Microsoft YaHei" w:cs="Calibri"/>
          <w:color w:val="1E1E1E"/>
          <w:sz w:val="22"/>
          <w:szCs w:val="22"/>
        </w:rPr>
        <w:t>Recognizing the June 17, 2026, Islamabad Memorandum of Understanding and its provisions regarding the facilitation of humanitarian and economic measures;</w:t>
      </w:r>
    </w:p>
    <w:p>
      <w:pPr>
        <w:pStyle w:val="Normal"/>
      </w:pPr>
      <w:r>
        <w:rPr>
          <w:rFonts w:ascii="Calibri" w:hAnsi="Calibri" w:eastAsia="Microsoft YaHei" w:cs="Calibri"/>
          <w:color w:val="1E1E1E"/>
          <w:sz w:val="22"/>
          <w:szCs w:val="22"/>
        </w:rPr>
        <w:t>Desiring to establish a transparent, verifiable, and internationally supervised mechanism for the release and utilization of restricted assets to support humanitarian objectives and economic stabilization;</w:t>
      </w:r>
    </w:p>
    <w:p>
      <w:pPr>
        <w:pStyle w:val="Normal"/>
      </w:pPr>
      <w:r>
        <w:rPr>
          <w:rFonts w:ascii="Calibri" w:hAnsi="Calibri" w:eastAsia="Microsoft YaHei" w:cs="Calibri"/>
          <w:color w:val="1E1E1E"/>
          <w:sz w:val="22"/>
          <w:szCs w:val="22"/>
        </w:rPr>
        <w:t>Acknowledging that the success of the HSU framework is enhanced by the parallel implementation of economic facilitation measures;</w:t>
      </w:r>
    </w:p>
    <w:p>
      <w:pPr>
        <w:pStyle w:val="Normal"/>
      </w:pPr>
      <w:r>
        <w:rPr>
          <w:rFonts w:ascii="Calibri" w:hAnsi="Calibri" w:eastAsia="Microsoft YaHei" w:cs="Calibri"/>
          <w:color w:val="1E1E1E"/>
          <w:sz w:val="22"/>
          <w:szCs w:val="22"/>
        </w:rPr>
        <w:t>Reaffirming that nothing in this Annex constitutes recognition of any Party's sovereignty, jurisdiction, or administrative authority over the Strait of Hormuz or any part thereof;</w:t>
      </w:r>
    </w:p>
    <w:p>
      <w:pPr>
        <w:pStyle w:val="Normal"/>
      </w:pPr>
      <w:r>
        <w:rPr>
          <w:rFonts w:ascii="Calibri" w:hAnsi="Calibri" w:eastAsia="Microsoft YaHei" w:cs="Calibri"/>
          <w:color w:val="1E1E1E"/>
          <w:sz w:val="22"/>
          <w:szCs w:val="22"/>
        </w:rPr>
        <w:t>Affirming that this Annex is a humanitarian and economic facilitation instrument, separate and distinct from the navigational safety and deconfliction protocols of the HSU;</w:t>
      </w:r>
    </w:p>
    <w:p>
      <w:pPr>
        <w:pStyle w:val="Normal"/>
      </w:pPr>
      <w:r>
        <w:rPr>
          <w:rFonts w:ascii="Calibri" w:hAnsi="Calibri" w:eastAsia="Microsoft YaHei" w:cs="Calibri"/>
          <w:color w:val="1E1E1E"/>
          <w:sz w:val="22"/>
          <w:szCs w:val="22"/>
        </w:rPr>
        <w:t>Noting that the assets addressed in this Annex are held in restricted accounts and that their release is subject to the terms and conditions established herein;</w:t>
      </w:r>
    </w:p>
    <w:p>
      <w:pPr>
        <w:pStyle w:val="Normal"/>
      </w:pPr>
      <w:r>
        <w:rPr>
          <w:rFonts w:ascii="Calibri" w:hAnsi="Calibri" w:eastAsia="Microsoft YaHei" w:cs="Calibri"/>
          <w:color w:val="1E1E1E"/>
          <w:sz w:val="22"/>
          <w:szCs w:val="22"/>
        </w:rPr>
        <w:t>Emphasizing that this Annex is a voluntary, technical arrangement that supplements, but does not replace, the Parties' rights and obligations under international law;</w:t>
      </w:r>
    </w:p>
    <w:p>
      <w:pPr>
        <w:pStyle w:val="Normal"/>
      </w:pPr>
      <w:r>
        <w:rPr>
          <w:rFonts w:ascii="Calibri" w:hAnsi="Calibri" w:eastAsia="Microsoft YaHei" w:cs="Calibri"/>
          <w:color w:val="1E1E1E"/>
          <w:sz w:val="22"/>
          <w:szCs w:val="22"/>
        </w:rPr>
        <w:t>Have Agreed as Follows:</w:t>
      </w:r>
    </w:p>
    <w:p>
      <w:pPr>
        <w:pStyle w:val="Heading1"/>
      </w:pPr>
      <w:bookmarkStart w:name="_Toc002" w:id="3"/>
      <w:r>
        <w:rPr>
          <w:rFonts w:ascii="Calibri" w:hAnsi="Calibri" w:eastAsia="Microsoft YaHei" w:cs="Calibri"/>
          <w:b/>
          <w:color w:val="1A2744"/>
          <w:sz w:val="32"/>
          <w:szCs w:val="32"/>
        </w:rPr>
        <w:t>Article 1: Definitions and Scope</w:t>
      </w:r>
      <w:bookmarkEnd w:id="3"/>
    </w:p>
    <w:p>
      <w:pPr>
        <w:pStyle w:val="Heading2"/>
      </w:pPr>
      <w:r>
        <w:rPr>
          <w:rFonts w:ascii="Calibri" w:hAnsi="Calibri" w:eastAsia="Microsoft YaHei" w:cs="Calibri"/>
          <w:b/>
          <w:color w:val="1E1E1E"/>
          <w:sz w:val="26"/>
          <w:szCs w:val="26"/>
        </w:rPr>
        <w:t>1.1 Definitions</w:t>
      </w:r>
    </w:p>
    <w:p>
      <w:pPr>
        <w:pStyle w:val="Normal"/>
      </w:pPr>
      <w:r>
        <w:rPr>
          <w:rFonts w:ascii="Calibri" w:hAnsi="Calibri" w:eastAsia="Microsoft YaHei" w:cs="Calibri"/>
          <w:color w:val="1E1E1E"/>
          <w:sz w:val="22"/>
          <w:szCs w:val="22"/>
        </w:rPr>
        <w:t>For the purposes of this Annex:</w:t>
      </w:r>
    </w:p>
    <w:p>
      <w:pPr>
        <w:pStyle w:val="Normal"/>
      </w:pPr>
      <w:r>
        <w:rPr>
          <w:b/>
          <w:rFonts w:ascii="Calibri" w:hAnsi="Calibri" w:eastAsia="Microsoft YaHei" w:cs="Calibri"/>
          <w:color w:val="1E1E1E"/>
          <w:sz w:val="22"/>
          <w:szCs w:val="22"/>
        </w:rPr>
        <w:t>"Restricted Assets"</w:t>
      </w:r>
      <w:r>
        <w:rPr>
          <w:rFonts w:ascii="Calibri" w:hAnsi="Calibri" w:eastAsia="Microsoft YaHei" w:cs="Calibri"/>
          <w:color w:val="1E1E1E"/>
          <w:sz w:val="22"/>
          <w:szCs w:val="22"/>
        </w:rPr>
        <w:t xml:space="preserve"> refers to the approximately six billion United States dollars (USD $6,000,000,000) in Iranian oil revenues currently held in restricted accounts in Qatar, as referenced in the June 17, 2026, Islamabad Memorandum of Understanding, and any interest or earnings accrued thereon.</w:t>
      </w:r>
    </w:p>
    <w:p>
      <w:pPr>
        <w:pStyle w:val="Normal"/>
      </w:pPr>
      <w:r>
        <w:rPr>
          <w:b/>
          <w:rFonts w:ascii="Calibri" w:hAnsi="Calibri" w:eastAsia="Microsoft YaHei" w:cs="Calibri"/>
          <w:color w:val="1E1E1E"/>
          <w:sz w:val="22"/>
          <w:szCs w:val="22"/>
        </w:rPr>
        <w:t>"Goodwill Escrow Account"</w:t>
      </w:r>
      <w:r>
        <w:rPr>
          <w:rFonts w:ascii="Calibri" w:hAnsi="Calibri" w:eastAsia="Microsoft YaHei" w:cs="Calibri"/>
          <w:color w:val="1E1E1E"/>
          <w:sz w:val="22"/>
          <w:szCs w:val="22"/>
        </w:rPr>
        <w:t xml:space="preserve"> means the escrow account established under Article 2 of this Annex for the purpose of holding, managing, and disbursing Restricted Assets.</w:t>
      </w:r>
    </w:p>
    <w:p>
      <w:pPr>
        <w:pStyle w:val="Normal"/>
      </w:pPr>
      <w:r>
        <w:rPr>
          <w:b/>
          <w:rFonts w:ascii="Calibri" w:hAnsi="Calibri" w:eastAsia="Microsoft YaHei" w:cs="Calibri"/>
          <w:color w:val="1E1E1E"/>
          <w:sz w:val="22"/>
          <w:szCs w:val="22"/>
        </w:rPr>
        <w:t>"Qualified Humanitarian Goods"</w:t>
      </w:r>
      <w:r>
        <w:rPr>
          <w:rFonts w:ascii="Calibri" w:hAnsi="Calibri" w:eastAsia="Microsoft YaHei" w:cs="Calibri"/>
          <w:color w:val="1E1E1E"/>
          <w:sz w:val="22"/>
          <w:szCs w:val="22"/>
        </w:rPr>
        <w:t xml:space="preserve"> means food, medicine, medical equipment, agricultural products, essential civilian goods, and other humanitarian supplies as defined by the Joint Implementation Commission (JIC) in consultation with the International Maritime Organization (IMO) and relevant United Nations agencies.</w:t>
      </w:r>
    </w:p>
    <w:p>
      <w:pPr>
        <w:pStyle w:val="Normal"/>
      </w:pPr>
      <w:r>
        <w:rPr>
          <w:b/>
          <w:rFonts w:ascii="Calibri" w:hAnsi="Calibri" w:eastAsia="Microsoft YaHei" w:cs="Calibri"/>
          <w:color w:val="1E1E1E"/>
          <w:sz w:val="22"/>
          <w:szCs w:val="22"/>
        </w:rPr>
        <w:t>"Approved Suppliers"</w:t>
      </w:r>
      <w:r>
        <w:rPr>
          <w:rFonts w:ascii="Calibri" w:hAnsi="Calibri" w:eastAsia="Microsoft YaHei" w:cs="Calibri"/>
          <w:color w:val="1E1E1E"/>
          <w:sz w:val="22"/>
          <w:szCs w:val="22"/>
        </w:rPr>
        <w:t xml:space="preserve"> means suppliers of Qualified Humanitarian Goods that have received pre-approval by the JIC and meet the following objective standards: (i) not listed on the U.S. OFAC SDN List; (ii) not subject to EU or UN sanctions; (iii) registered with the UN Office for the Coordination of Humanitarian Affairs as a humanitarian supplier; (iv) compliant with ISO 28000 supply chain security standards. The JIC pre-approves a supplier by consensus, or if consensus is not achievable, by three-fourths majority vote. A supplier approved by the JIC under this standard is not subject to unilateral designation by any Party for activities conducted under this Annex. Unilateral designation triggers a Level 2 violation and automatic JIC review.</w:t>
      </w:r>
    </w:p>
    <w:p>
      <w:pPr>
        <w:pStyle w:val="Normal"/>
      </w:pPr>
      <w:r>
        <w:rPr>
          <w:b/>
          <w:rFonts w:ascii="Calibri" w:hAnsi="Calibri" w:eastAsia="Microsoft YaHei" w:cs="Calibri"/>
          <w:color w:val="1E1E1E"/>
          <w:sz w:val="22"/>
          <w:szCs w:val="22"/>
        </w:rPr>
        <w:t>"Disbursement Period"</w:t>
      </w:r>
      <w:r>
        <w:rPr>
          <w:rFonts w:ascii="Calibri" w:hAnsi="Calibri" w:eastAsia="Microsoft YaHei" w:cs="Calibri"/>
          <w:color w:val="1E1E1E"/>
          <w:sz w:val="22"/>
          <w:szCs w:val="22"/>
        </w:rPr>
        <w:t xml:space="preserve"> means a designated period of time, aligned with the Phase schedule of Annex 1AD, during which specific disbursements from the Goodwill Escrow Account are authorized.</w:t>
      </w:r>
    </w:p>
    <w:p>
      <w:pPr>
        <w:pStyle w:val="Normal"/>
      </w:pPr>
      <w:r>
        <w:rPr>
          <w:b/>
          <w:rFonts w:ascii="Calibri" w:hAnsi="Calibri" w:eastAsia="Microsoft YaHei" w:cs="Calibri"/>
          <w:color w:val="1E1E1E"/>
          <w:sz w:val="22"/>
          <w:szCs w:val="22"/>
        </w:rPr>
        <w:t>"Verification Body"</w:t>
      </w:r>
      <w:r>
        <w:rPr>
          <w:rFonts w:ascii="Calibri" w:hAnsi="Calibri" w:eastAsia="Microsoft YaHei" w:cs="Calibri"/>
          <w:color w:val="1E1E1E"/>
          <w:sz w:val="22"/>
          <w:szCs w:val="22"/>
        </w:rPr>
        <w:t xml:space="preserve"> means the Technical Working Group (TWG) or an independent third-party verification entity appointed by the JIC to confirm compliance with this Annex.</w:t>
      </w:r>
    </w:p>
    <w:p>
      <w:pPr>
        <w:pStyle w:val="Normal"/>
      </w:pPr>
      <w:r>
        <w:rPr>
          <w:b/>
          <w:rFonts w:ascii="Calibri" w:hAnsi="Calibri" w:eastAsia="Microsoft YaHei" w:cs="Calibri"/>
          <w:color w:val="1E1E1E"/>
          <w:sz w:val="22"/>
          <w:szCs w:val="22"/>
        </w:rPr>
        <w:t>"Beneficiary"</w:t>
      </w:r>
      <w:r>
        <w:rPr>
          <w:rFonts w:ascii="Calibri" w:hAnsi="Calibri" w:eastAsia="Microsoft YaHei" w:cs="Calibri"/>
          <w:color w:val="1E1E1E"/>
          <w:sz w:val="22"/>
          <w:szCs w:val="22"/>
        </w:rPr>
        <w:t xml:space="preserve"> means the Islamic Republic of Iran as the ultimate recipient of the Restricted Assets, subject to the terms and conditions of this Annex.</w:t>
      </w:r>
    </w:p>
    <w:p>
      <w:pPr>
        <w:pStyle w:val="Normal"/>
      </w:pPr>
      <w:r>
        <w:rPr>
          <w:b/>
          <w:rFonts w:ascii="Calibri" w:hAnsi="Calibri" w:eastAsia="Microsoft YaHei" w:cs="Calibri"/>
          <w:color w:val="1E1E1E"/>
          <w:sz w:val="22"/>
          <w:szCs w:val="22"/>
        </w:rPr>
        <w:t>"Neutral Escrow Bank"</w:t>
      </w:r>
      <w:r>
        <w:rPr>
          <w:rFonts w:ascii="Calibri" w:hAnsi="Calibri" w:eastAsia="Microsoft YaHei" w:cs="Calibri"/>
          <w:color w:val="1E1E1E"/>
          <w:sz w:val="22"/>
          <w:szCs w:val="22"/>
        </w:rPr>
        <w:t xml:space="preserve"> means the financial institution selected under Article 2.2 to administer the Goodwill Escrow Account.</w:t>
      </w:r>
    </w:p>
    <w:p>
      <w:pPr>
        <w:pStyle w:val="Normal"/>
      </w:pPr>
      <w:r>
        <w:rPr>
          <w:b/>
          <w:rFonts w:ascii="Calibri" w:hAnsi="Calibri" w:eastAsia="Microsoft YaHei" w:cs="Calibri"/>
          <w:color w:val="1E1E1E"/>
          <w:sz w:val="22"/>
          <w:szCs w:val="22"/>
        </w:rPr>
        <w:t>"Humanitarian Sub-Account"</w:t>
      </w:r>
      <w:r>
        <w:rPr>
          <w:rFonts w:ascii="Calibri" w:hAnsi="Calibri" w:eastAsia="Microsoft YaHei" w:cs="Calibri"/>
          <w:color w:val="1E1E1E"/>
          <w:sz w:val="22"/>
          <w:szCs w:val="22"/>
        </w:rPr>
        <w:t xml:space="preserve"> means the sub-account within the Goodwill Escrow Account designated for the purchase of Qualified Humanitarian Goods.</w:t>
      </w:r>
    </w:p>
    <w:p>
      <w:pPr>
        <w:pStyle w:val="Normal"/>
      </w:pPr>
      <w:r>
        <w:rPr>
          <w:b/>
          <w:rFonts w:ascii="Calibri" w:hAnsi="Calibri" w:eastAsia="Microsoft YaHei" w:cs="Calibri"/>
          <w:color w:val="1E1E1E"/>
          <w:sz w:val="22"/>
          <w:szCs w:val="22"/>
        </w:rPr>
        <w:t>"Economic Facilitation Sub-Account"</w:t>
      </w:r>
      <w:r>
        <w:rPr>
          <w:rFonts w:ascii="Calibri" w:hAnsi="Calibri" w:eastAsia="Microsoft YaHei" w:cs="Calibri"/>
          <w:color w:val="1E1E1E"/>
          <w:sz w:val="22"/>
          <w:szCs w:val="22"/>
        </w:rPr>
        <w:t xml:space="preserve"> means the sub-account within the Goodwill Escrow Account designated for economic stabilization and infrastructure projects.</w:t>
      </w:r>
    </w:p>
    <w:p>
      <w:pPr>
        <w:pStyle w:val="Normal"/>
      </w:pPr>
      <w:r>
        <w:rPr>
          <w:b/>
          <w:rFonts w:ascii="Calibri" w:hAnsi="Calibri" w:eastAsia="Microsoft YaHei" w:cs="Calibri"/>
          <w:color w:val="1E1E1E"/>
          <w:sz w:val="22"/>
          <w:szCs w:val="22"/>
        </w:rPr>
        <w:t>"Disbursement Certification"</w:t>
      </w:r>
      <w:r>
        <w:rPr>
          <w:rFonts w:ascii="Calibri" w:hAnsi="Calibri" w:eastAsia="Microsoft YaHei" w:cs="Calibri"/>
          <w:color w:val="1E1E1E"/>
          <w:sz w:val="22"/>
          <w:szCs w:val="22"/>
        </w:rPr>
        <w:t xml:space="preserve"> means the formal certification issued by the JIC authorizing a disbursement from the Goodwill Escrow Account.</w:t>
      </w:r>
    </w:p>
    <w:p>
      <w:pPr>
        <w:pStyle w:val="Normal"/>
      </w:pPr>
      <w:r>
        <w:rPr>
          <w:b/>
          <w:rFonts w:ascii="Calibri" w:hAnsi="Calibri" w:eastAsia="Microsoft YaHei" w:cs="Calibri"/>
          <w:color w:val="1E1E1E"/>
          <w:sz w:val="22"/>
          <w:szCs w:val="22"/>
        </w:rPr>
        <w:t>"Approved Destination"</w:t>
      </w:r>
      <w:r>
        <w:rPr>
          <w:rFonts w:ascii="Calibri" w:hAnsi="Calibri" w:eastAsia="Microsoft YaHei" w:cs="Calibri"/>
          <w:color w:val="1E1E1E"/>
          <w:sz w:val="22"/>
          <w:szCs w:val="22"/>
        </w:rPr>
        <w:t xml:space="preserve"> means a location designated by the JIC for the delivery of Qualified Humanitarian Goods, which is within the territory of the Beneficiary.</w:t>
      </w:r>
    </w:p>
    <w:p>
      <w:pPr>
        <w:pStyle w:val="Normal"/>
      </w:pPr>
      <w:r>
        <w:rPr>
          <w:b/>
          <w:rFonts w:ascii="Calibri" w:hAnsi="Calibri" w:eastAsia="Microsoft YaHei" w:cs="Calibri"/>
          <w:color w:val="1E1E1E"/>
          <w:sz w:val="22"/>
          <w:szCs w:val="22"/>
        </w:rPr>
        <w:t>"Supply Chain"</w:t>
      </w:r>
      <w:r>
        <w:rPr>
          <w:rFonts w:ascii="Calibri" w:hAnsi="Calibri" w:eastAsia="Microsoft YaHei" w:cs="Calibri"/>
          <w:color w:val="1E1E1E"/>
          <w:sz w:val="22"/>
          <w:szCs w:val="22"/>
        </w:rPr>
        <w:t xml:space="preserve"> means the end-to-end process for procuring, transporting, and delivering Qualified Humanitarian Goods to Approved Destinations.</w:t>
      </w:r>
    </w:p>
    <w:p>
      <w:pPr>
        <w:pStyle w:val="Heading2"/>
      </w:pPr>
      <w:r>
        <w:rPr>
          <w:rFonts w:ascii="Calibri" w:hAnsi="Calibri" w:eastAsia="Microsoft YaHei" w:cs="Calibri"/>
          <w:b/>
          <w:color w:val="1E1E1E"/>
          <w:sz w:val="26"/>
          <w:szCs w:val="26"/>
        </w:rPr>
        <w:t>1.2 Scope</w:t>
      </w:r>
    </w:p>
    <w:p>
      <w:pPr>
        <w:pStyle w:val="Normal"/>
      </w:pPr>
      <w:r>
        <w:rPr>
          <w:rFonts w:ascii="Calibri" w:hAnsi="Calibri" w:eastAsia="Microsoft YaHei" w:cs="Calibri"/>
          <w:color w:val="1E1E1E"/>
          <w:sz w:val="22"/>
          <w:szCs w:val="22"/>
        </w:rPr>
        <w:t>This Annex establishes the following mechanisms: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creation and governance of the Goodwill Escrow Account.</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The phased release and disbursement of Restricted Assets.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The verification and compliance framework for disbursements.</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Humanitarian procurement and supply chain protocols.</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Transparency, reporting, and audit requirements.</w:t>
      </w:r>
    </w:p>
    <w:p>
      <w:pPr>
        <w:pStyle w:val="Normal"/>
        <w:ind w:left="720" w:hanging="360"/>
      </w:pPr>
      <w:r>
        <w:rPr>
          <w:b/>
          <w:color w:val="4A5568"/>
          <w:rFonts w:ascii="Calibri" w:hAnsi="Calibri" w:eastAsia="Microsoft YaHei" w:cs="Calibri"/>
          <w:sz w:val="22"/>
          <w:szCs w:val="22"/>
        </w:rPr>
        <w:t>(f)</w:t>
      </w:r>
      <w:r>
        <w:rPr>
          <w:rFonts w:ascii="Calibri" w:hAnsi="Calibri" w:eastAsia="Microsoft YaHei" w:cs="Calibri"/>
          <w:color w:val="1E1E1E"/>
          <w:sz w:val="22"/>
          <w:szCs w:val="22"/>
        </w:rPr>
        <w:t xml:space="preserve"> Dispute resolution procedures specific to this Annex.</w:t>
      </w:r>
    </w:p>
    <w:p>
      <w:pPr>
        <w:pStyle w:val="Normal"/>
        <w:ind w:left="720" w:hanging="360"/>
      </w:pPr>
      <w:r>
        <w:rPr>
          <w:b/>
          <w:color w:val="4A5568"/>
          <w:rFonts w:ascii="Calibri" w:hAnsi="Calibri" w:eastAsia="Microsoft YaHei" w:cs="Calibri"/>
          <w:sz w:val="22"/>
          <w:szCs w:val="22"/>
        </w:rPr>
        <w:t>(g)</w:t>
      </w:r>
      <w:r>
        <w:rPr>
          <w:rFonts w:ascii="Calibri" w:hAnsi="Calibri" w:eastAsia="Microsoft YaHei" w:cs="Calibri"/>
          <w:color w:val="1E1E1E"/>
          <w:sz w:val="22"/>
          <w:szCs w:val="22"/>
        </w:rPr>
        <w:t xml:space="preserve"> The relationship between this Annex and other HSU annexes.</w:t>
      </w:r>
    </w:p>
    <w:p>
      <w:pPr>
        <w:pStyle w:val="Normal"/>
      </w:pPr>
      <w:r>
        <w:rPr>
          <w:rFonts w:ascii="Calibri" w:hAnsi="Calibri" w:eastAsia="Microsoft YaHei" w:cs="Calibri"/>
          <w:color w:val="1E1E1E"/>
          <w:sz w:val="22"/>
          <w:szCs w:val="22"/>
        </w:rPr>
        <w:t>This Annex applies exclusively to the Restricted Assets identified in Article 1.1. Nothing in this Annex applies to any other assets, funds, or property held by any Party, whether restricted, frozen, or otherwise.</w:t>
      </w:r>
    </w:p>
    <w:p>
      <w:pPr>
        <w:pStyle w:val="Heading2"/>
      </w:pPr>
      <w:r>
        <w:rPr>
          <w:rFonts w:ascii="Calibri" w:hAnsi="Calibri" w:eastAsia="Microsoft YaHei" w:cs="Calibri"/>
          <w:b/>
          <w:color w:val="1E1E1E"/>
          <w:sz w:val="26"/>
          <w:szCs w:val="26"/>
        </w:rPr>
        <w:t>1.3 Non-Prejudice Clause</w:t>
      </w:r>
    </w:p>
    <w:p>
      <w:pPr>
        <w:pStyle w:val="Normal"/>
      </w:pPr>
      <w:r>
        <w:rPr>
          <w:rFonts w:ascii="Calibri" w:hAnsi="Calibri" w:eastAsia="Microsoft YaHei" w:cs="Calibri"/>
          <w:color w:val="1E1E1E"/>
          <w:sz w:val="22"/>
          <w:szCs w:val="22"/>
        </w:rPr>
        <w:t>Nothing in this Annex, nor in any implementing regulation, disbursement, or procurement made thereunder, constitutes any of the following:</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Recognition by any Party of the sovereign authority, exclusive jurisdiction, or administrative control of any other Party over any territory, waters, or assets.</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A waiver of any legal arguments, claims, or positions held by any Party regarding sanctions, asset freezes, or any other legal or political matters.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A precedent for any other asset release, sanctions relief, or economic facilitation measure.</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An acknowledgment by any Party of any other Party's claims regarding the legality or illegality of sanctions.</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A determination of the legal status of the Restricted Assets under international law.</w:t>
      </w:r>
    </w:p>
    <w:p>
      <w:pPr>
        <w:pStyle w:val="Normal"/>
        <w:ind w:left="720" w:hanging="360"/>
      </w:pPr>
      <w:r>
        <w:rPr>
          <w:b/>
          <w:color w:val="4A5568"/>
          <w:rFonts w:ascii="Calibri" w:hAnsi="Calibri" w:eastAsia="Microsoft YaHei" w:cs="Calibri"/>
          <w:sz w:val="22"/>
          <w:szCs w:val="22"/>
        </w:rPr>
        <w:t>(f)</w:t>
      </w:r>
      <w:r>
        <w:rPr>
          <w:rFonts w:ascii="Calibri" w:hAnsi="Calibri" w:eastAsia="Microsoft YaHei" w:cs="Calibri"/>
          <w:color w:val="1E1E1E"/>
          <w:sz w:val="22"/>
          <w:szCs w:val="22"/>
        </w:rPr>
        <w:t xml:space="preserve"> An admission of liability or responsibility by any Party for the imposition or maintenance of sanctions.</w:t>
      </w:r>
    </w:p>
    <w:p>
      <w:pPr>
        <w:pStyle w:val="Heading2"/>
      </w:pPr>
      <w:r>
        <w:rPr>
          <w:rFonts w:ascii="Calibri" w:hAnsi="Calibri" w:eastAsia="Microsoft YaHei" w:cs="Calibri"/>
          <w:b/>
          <w:color w:val="1E1E1E"/>
          <w:sz w:val="26"/>
          <w:szCs w:val="26"/>
        </w:rPr>
        <w:t>1.4 Humanitarian and Economic Facilitation Purpose</w:t>
      </w:r>
    </w:p>
    <w:p>
      <w:pPr>
        <w:pStyle w:val="Normal"/>
      </w:pPr>
      <w:r>
        <w:rPr>
          <w:rFonts w:ascii="Calibri" w:hAnsi="Calibri" w:eastAsia="Microsoft YaHei" w:cs="Calibri"/>
          <w:color w:val="1E1E1E"/>
          <w:sz w:val="22"/>
          <w:szCs w:val="22"/>
        </w:rPr>
        <w:t>The assets released under this Annex are intended exclusively for the following purposes: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Humanitarian Procurement: The purchase of Qualified Humanitarian Goods for the benefit of the people of the Beneficiary.</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Economic Stabilization: Support for economic stabilization measures as agreed by the Parties, including currency stabilization and essential imports.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Infrastructure and Services: Funding for infrastructure, health, education, and other civilian services.</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International Obligations: Contributions to international organizations that are exclusively humanitarian in nature (WHO, UNICEF, UNHCR, OCHA).</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Public Health: Support for public health initiatives, including pandemic response and medical infrastructure.</w:t>
      </w:r>
    </w:p>
    <w:p>
      <w:pPr>
        <w:pStyle w:val="Normal"/>
      </w:pPr>
      <w:r>
        <w:rPr>
          <w:rFonts w:ascii="Calibri" w:hAnsi="Calibri" w:eastAsia="Microsoft YaHei" w:cs="Calibri"/>
          <w:color w:val="1E1E1E"/>
          <w:sz w:val="22"/>
          <w:szCs w:val="22"/>
        </w:rPr>
        <w:t>The framework architecture prohibits the use of funds released under this Annex for military, intelligence, or security purposes. Any such use constitutes a material breach of this Annex and triggers the consequences under Article 4.4.</w:t>
      </w:r>
    </w:p>
    <w:p>
      <w:pPr>
        <w:pStyle w:val="Heading1"/>
      </w:pPr>
      <w:bookmarkStart w:name="_Toc003" w:id="4"/>
      <w:r>
        <w:rPr>
          <w:rFonts w:ascii="Calibri" w:hAnsi="Calibri" w:eastAsia="Microsoft YaHei" w:cs="Calibri"/>
          <w:b/>
          <w:color w:val="1A2744"/>
          <w:sz w:val="32"/>
          <w:szCs w:val="32"/>
        </w:rPr>
        <w:t>Article 2: Establishment of the Goodwill Escrow Account</w:t>
      </w:r>
      <w:bookmarkEnd w:id="4"/>
    </w:p>
    <w:p>
      <w:pPr>
        <w:pStyle w:val="Heading2"/>
      </w:pPr>
      <w:r>
        <w:rPr>
          <w:rFonts w:ascii="Calibri" w:hAnsi="Calibri" w:eastAsia="Microsoft YaHei" w:cs="Calibri"/>
          <w:b/>
          <w:color w:val="1E1E1E"/>
          <w:sz w:val="26"/>
          <w:szCs w:val="26"/>
        </w:rPr>
        <w:t>2.1 Establishment and Legal Status</w:t>
      </w:r>
    </w:p>
    <w:p>
      <w:pPr>
        <w:pStyle w:val="Normal"/>
      </w:pPr>
      <w:r>
        <w:rPr>
          <w:rFonts w:ascii="Calibri" w:hAnsi="Calibri" w:eastAsia="Microsoft YaHei" w:cs="Calibri"/>
          <w:color w:val="1E1E1E"/>
          <w:sz w:val="22"/>
          <w:szCs w:val="22"/>
        </w:rPr>
        <w:t>A "Goodwill Escrow Account" is established under this Annex. The Account possesses the following legal characteristics: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Charter and Registration: The Account charters and registers in the Sultanate of Oman under Omani commercial law, with recognition by all Parties.</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IMO Registration: The Account registers with the IMO as a humanitarian and economic facilitation instrument.</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Tax Status: The Account is tax-exempt in all signatory states for assets, transactions, and disbursements under this Annex.</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Sovereign Immunity: The Account is immune from attachment, seizure, garnishment, or legal process under the laws of all signatory states.</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Sanctions Protection: The framework architecture prohibits either Party from imposing, enforcing, or threatening sanctions, asset freezes, or restrictive measures against the Goodwill Escrow Account, the Neutral Escrow Bank, or any Approved Supplier for activities conducted in accordance with this Annex. Any such action constitutes a material breach of this Annex and triggers Article 4.4 consequences. The Neutral Escrow Bank seeks indemnification from the Parties for any losses incurred due to sanctions imposed by any Party.</w:t>
      </w:r>
    </w:p>
    <w:p>
      <w:pPr>
        <w:pStyle w:val="Normal"/>
        <w:ind w:left="720" w:hanging="360"/>
      </w:pPr>
      <w:r>
        <w:rPr>
          <w:b/>
          <w:color w:val="4A5568"/>
          <w:rFonts w:ascii="Calibri" w:hAnsi="Calibri" w:eastAsia="Microsoft YaHei" w:cs="Calibri"/>
          <w:sz w:val="22"/>
          <w:szCs w:val="22"/>
        </w:rPr>
        <w:t>(f)</w:t>
      </w:r>
      <w:r>
        <w:rPr>
          <w:rFonts w:ascii="Calibri" w:hAnsi="Calibri" w:eastAsia="Microsoft YaHei" w:cs="Calibri"/>
          <w:color w:val="1E1E1E"/>
          <w:sz w:val="22"/>
          <w:szCs w:val="22"/>
        </w:rPr>
        <w:t xml:space="preserve"> Perpetual Succession: The Account continues in existence regardless of changes in the Parties' governments or political leadership.</w:t>
      </w:r>
    </w:p>
    <w:p>
      <w:pPr>
        <w:pStyle w:val="Normal"/>
        <w:ind w:left="720" w:hanging="360"/>
      </w:pPr>
      <w:r>
        <w:rPr>
          <w:b/>
          <w:color w:val="4A5568"/>
          <w:rFonts w:ascii="Calibri" w:hAnsi="Calibri" w:eastAsia="Microsoft YaHei" w:cs="Calibri"/>
          <w:sz w:val="22"/>
          <w:szCs w:val="22"/>
        </w:rPr>
        <w:t>(g)</w:t>
      </w:r>
      <w:r>
        <w:rPr>
          <w:rFonts w:ascii="Calibri" w:hAnsi="Calibri" w:eastAsia="Microsoft YaHei" w:cs="Calibri"/>
          <w:color w:val="1E1E1E"/>
          <w:sz w:val="22"/>
          <w:szCs w:val="22"/>
        </w:rPr>
        <w:t xml:space="preserve"> Legal Capacity: The Account possesses full legal capacity to enter into contracts, acquire and dispose of property, and participate in legal proceedings.</w:t>
      </w:r>
    </w:p>
    <w:p>
      <w:pPr>
        <w:pStyle w:val="Heading2"/>
      </w:pPr>
      <w:r>
        <w:rPr>
          <w:rFonts w:ascii="Calibri" w:hAnsi="Calibri" w:eastAsia="Microsoft YaHei" w:cs="Calibri"/>
          <w:b/>
          <w:color w:val="1E1E1E"/>
          <w:sz w:val="26"/>
          <w:szCs w:val="26"/>
        </w:rPr>
        <w:t>2.2 Account Administration</w:t>
      </w:r>
    </w:p>
    <w:p>
      <w:pPr>
        <w:pStyle w:val="Normal"/>
      </w:pPr>
      <w:r>
        <w:rPr>
          <w:rFonts w:ascii="Calibri" w:hAnsi="Calibri" w:eastAsia="Microsoft YaHei" w:cs="Calibri"/>
          <w:color w:val="1E1E1E"/>
          <w:sz w:val="22"/>
          <w:szCs w:val="22"/>
        </w:rPr>
        <w:t>The Goodwill Escrow Account is administered by a Neutral Escrow Bank selected by the JIC. The following standards apply:</w:t>
      </w:r>
    </w:p>
    <w:p>
      <w:pPr>
        <w:pStyle w:val="Heading3"/>
      </w:pPr>
      <w:r>
        <w:rPr>
          <w:rFonts w:ascii="Calibri" w:hAnsi="Calibri" w:eastAsia="Microsoft YaHei" w:cs="Calibri"/>
          <w:b/>
          <w:color w:val="4A5568"/>
          <w:sz w:val="24"/>
          <w:szCs w:val="24"/>
        </w:rPr>
        <w:t>Qualification Standards</w:t>
      </w:r>
    </w:p>
    <w:p>
      <w:pPr>
        <w:pStyle w:val="Normal"/>
      </w:pPr>
      <w:r>
        <w:rPr>
          <w:rFonts w:ascii="Calibri" w:hAnsi="Calibri" w:eastAsia="Microsoft YaHei" w:cs="Calibri"/>
          <w:color w:val="1E1E1E"/>
          <w:sz w:val="22"/>
          <w:szCs w:val="22"/>
        </w:rPr>
        <w:t>The bank meets the following objective criteria:</w:t>
      </w:r>
    </w:p>
    <w:tbl>
      <w:tblPr>
        <w:tblW w:w="5000" w:type="pct"/>
        <w:tblBorders>
          <w:top w:val="single" w:color="1A2744" w:sz="12"/>
          <w:left w:val="nil"/>
          <w:bottom w:val="single" w:color="1A2744" w:sz="12"/>
          <w:right w:val="nil"/>
          <w:insideH w:val="single" w:color="D1D5DB" w:sz="4"/>
          <w:insideV w:val="nil"/>
        </w:tblBorders>
      </w:tblPr>
      <w:tblGrid>
        <w:gridCol w:w="4500"/>
        <w:gridCol w:w="4500"/>
      </w:tblGrid>
      <w:tr>
        <w:trPr>
          <w:tblHeader w:val="1"/>
        </w:trPr>
        <w:tc>
          <w:tcPr>
            <w:tcW w:w="4500" w:type="dxa"/>
            <w:shd w:val="clear" w:fill="F1F2F4" w:color="auto"/>
          </w:tcPr>
          <w:p>
            <w:pPr>
              <w:pStyle w:val="Normal"/>
              <w:spacing w:before="60" w:after="60"/>
              <w:jc w:val="center"/>
            </w:pPr>
            <w:r>
              <w:rPr>
                <w:b/>
                <w:color w:val="1E1E1E"/>
                <w:sz w:val="20"/>
                <w:rFonts w:ascii="Calibri" w:hAnsi="Calibri" w:eastAsia="Microsoft YaHei" w:cs="Calibri"/>
                <w:szCs w:val="20"/>
              </w:rPr>
              <w:t>Criterion</w:t>
            </w:r>
          </w:p>
        </w:tc>
        <w:tc>
          <w:tcPr>
            <w:tcW w:w="4500" w:type="dxa"/>
            <w:shd w:val="clear" w:fill="F1F2F4" w:color="auto"/>
          </w:tcPr>
          <w:p>
            <w:pPr>
              <w:pStyle w:val="Normal"/>
              <w:spacing w:before="60" w:after="60"/>
              <w:jc w:val="center"/>
            </w:pPr>
            <w:r>
              <w:rPr>
                <w:b/>
                <w:color w:val="1E1E1E"/>
                <w:sz w:val="20"/>
                <w:rFonts w:ascii="Calibri" w:hAnsi="Calibri" w:eastAsia="Microsoft YaHei" w:cs="Calibri"/>
                <w:szCs w:val="20"/>
              </w:rPr>
              <w:t>Standard</w:t>
            </w:r>
          </w:p>
        </w:tc>
      </w:tr>
      <w:tr>
        <w:tc>
          <w:tcPr>
            <w:tcW w:w="4500" w:type="dxa"/>
          </w:tcPr>
          <w:p>
            <w:pPr>
              <w:pStyle w:val="Normal"/>
              <w:spacing w:before="40" w:after="40"/>
            </w:pPr>
            <w:r>
              <w:rPr>
                <w:color w:val="1E1E1E"/>
                <w:sz w:val="20"/>
                <w:rFonts w:ascii="Calibri" w:hAnsi="Calibri" w:eastAsia="Microsoft YaHei" w:cs="Calibri"/>
                <w:szCs w:val="20"/>
              </w:rPr>
              <w:t>Credit Rating</w:t>
            </w:r>
          </w:p>
        </w:tc>
        <w:tc>
          <w:tcPr>
            <w:tcW w:w="4500" w:type="dxa"/>
          </w:tcPr>
          <w:p>
            <w:pPr>
              <w:pStyle w:val="Normal"/>
              <w:spacing w:before="40" w:after="40"/>
            </w:pPr>
            <w:r>
              <w:rPr>
                <w:color w:val="1E1E1E"/>
                <w:sz w:val="20"/>
                <w:rFonts w:ascii="Calibri" w:hAnsi="Calibri" w:eastAsia="Microsoft YaHei" w:cs="Calibri"/>
                <w:szCs w:val="20"/>
              </w:rPr>
              <w:t>A- or higher by Standard and Poor's; A3 or higher by Moody's</w:t>
            </w:r>
          </w:p>
        </w:tc>
      </w:tr>
      <w:tr>
        <w:tc>
          <w:tcPr>
            <w:tcW w:w="4500" w:type="dxa"/>
          </w:tcPr>
          <w:p>
            <w:pPr>
              <w:pStyle w:val="Normal"/>
              <w:spacing w:before="40" w:after="40"/>
            </w:pPr>
            <w:r>
              <w:rPr>
                <w:color w:val="1E1E1E"/>
                <w:sz w:val="20"/>
                <w:rFonts w:ascii="Calibri" w:hAnsi="Calibri" w:eastAsia="Microsoft YaHei" w:cs="Calibri"/>
                <w:szCs w:val="20"/>
              </w:rPr>
              <w:t>Licensing</w:t>
            </w:r>
          </w:p>
        </w:tc>
        <w:tc>
          <w:tcPr>
            <w:tcW w:w="4500" w:type="dxa"/>
          </w:tcPr>
          <w:p>
            <w:pPr>
              <w:pStyle w:val="Normal"/>
              <w:spacing w:before="40" w:after="40"/>
            </w:pPr>
            <w:r>
              <w:rPr>
                <w:color w:val="1E1E1E"/>
                <w:sz w:val="20"/>
                <w:rFonts w:ascii="Calibri" w:hAnsi="Calibri" w:eastAsia="Microsoft YaHei" w:cs="Calibri"/>
                <w:szCs w:val="20"/>
              </w:rPr>
              <w:t>Licensed to operate in all signatory states</w:t>
            </w:r>
          </w:p>
        </w:tc>
      </w:tr>
      <w:tr>
        <w:tc>
          <w:tcPr>
            <w:tcW w:w="4500" w:type="dxa"/>
          </w:tcPr>
          <w:p>
            <w:pPr>
              <w:pStyle w:val="Normal"/>
              <w:spacing w:before="40" w:after="40"/>
            </w:pPr>
            <w:r>
              <w:rPr>
                <w:color w:val="1E1E1E"/>
                <w:sz w:val="20"/>
                <w:rFonts w:ascii="Calibri" w:hAnsi="Calibri" w:eastAsia="Microsoft YaHei" w:cs="Calibri"/>
                <w:szCs w:val="20"/>
              </w:rPr>
              <w:t>Sanctions Status</w:t>
            </w:r>
          </w:p>
        </w:tc>
        <w:tc>
          <w:tcPr>
            <w:tcW w:w="4500" w:type="dxa"/>
          </w:tcPr>
          <w:p>
            <w:pPr>
              <w:pStyle w:val="Normal"/>
              <w:spacing w:before="40" w:after="40"/>
            </w:pPr>
            <w:r>
              <w:rPr>
                <w:color w:val="1E1E1E"/>
                <w:sz w:val="20"/>
                <w:rFonts w:ascii="Calibri" w:hAnsi="Calibri" w:eastAsia="Microsoft YaHei" w:cs="Calibri"/>
                <w:szCs w:val="20"/>
              </w:rPr>
              <w:t>No sanctions imposed by any signatory state</w:t>
            </w:r>
          </w:p>
        </w:tc>
      </w:tr>
      <w:tr>
        <w:tc>
          <w:tcPr>
            <w:tcW w:w="4500" w:type="dxa"/>
          </w:tcPr>
          <w:p>
            <w:pPr>
              <w:pStyle w:val="Normal"/>
              <w:spacing w:before="40" w:after="40"/>
            </w:pPr>
            <w:r>
              <w:rPr>
                <w:color w:val="1E1E1E"/>
                <w:sz w:val="20"/>
                <w:rFonts w:ascii="Calibri" w:hAnsi="Calibri" w:eastAsia="Microsoft YaHei" w:cs="Calibri"/>
                <w:szCs w:val="20"/>
              </w:rPr>
              <w:t>Compliance History</w:t>
            </w:r>
          </w:p>
        </w:tc>
        <w:tc>
          <w:tcPr>
            <w:tcW w:w="4500" w:type="dxa"/>
          </w:tcPr>
          <w:p>
            <w:pPr>
              <w:pStyle w:val="Normal"/>
              <w:spacing w:before="40" w:after="40"/>
            </w:pPr>
            <w:r>
              <w:rPr>
                <w:color w:val="1E1E1E"/>
                <w:sz w:val="20"/>
                <w:rFonts w:ascii="Calibri" w:hAnsi="Calibri" w:eastAsia="Microsoft YaHei" w:cs="Calibri"/>
                <w:szCs w:val="20"/>
              </w:rPr>
              <w:t>No money laundering or terrorist financing violations in preceding 5 years</w:t>
            </w:r>
          </w:p>
        </w:tc>
      </w:tr>
      <w:tr>
        <w:tc>
          <w:tcPr>
            <w:tcW w:w="4500" w:type="dxa"/>
          </w:tcPr>
          <w:p>
            <w:pPr>
              <w:pStyle w:val="Normal"/>
              <w:spacing w:before="40" w:after="40"/>
            </w:pPr>
            <w:r>
              <w:rPr>
                <w:color w:val="1E1E1E"/>
                <w:sz w:val="20"/>
                <w:rFonts w:ascii="Calibri" w:hAnsi="Calibri" w:eastAsia="Microsoft YaHei" w:cs="Calibri"/>
                <w:szCs w:val="20"/>
              </w:rPr>
              <w:t>Experience</w:t>
            </w:r>
          </w:p>
        </w:tc>
        <w:tc>
          <w:tcPr>
            <w:tcW w:w="4500" w:type="dxa"/>
          </w:tcPr>
          <w:p>
            <w:pPr>
              <w:pStyle w:val="Normal"/>
              <w:spacing w:before="40" w:after="40"/>
            </w:pPr>
            <w:r>
              <w:rPr>
                <w:color w:val="1E1E1E"/>
                <w:sz w:val="20"/>
                <w:rFonts w:ascii="Calibri" w:hAnsi="Calibri" w:eastAsia="Microsoft YaHei" w:cs="Calibri"/>
                <w:szCs w:val="20"/>
              </w:rPr>
              <w:t>Experience managing escrow accounts for international humanitarian or infrastructure projects</w:t>
            </w:r>
          </w:p>
        </w:tc>
      </w:tr>
      <w:tr>
        <w:tc>
          <w:tcPr>
            <w:tcW w:w="4500" w:type="dxa"/>
          </w:tcPr>
          <w:p>
            <w:pPr>
              <w:pStyle w:val="Normal"/>
              <w:spacing w:before="40" w:after="40"/>
            </w:pPr>
            <w:r>
              <w:rPr>
                <w:color w:val="1E1E1E"/>
                <w:sz w:val="20"/>
                <w:rFonts w:ascii="Calibri" w:hAnsi="Calibri" w:eastAsia="Microsoft YaHei" w:cs="Calibri"/>
                <w:szCs w:val="20"/>
              </w:rPr>
              <w:t>Ownership</w:t>
            </w:r>
          </w:p>
        </w:tc>
        <w:tc>
          <w:tcPr>
            <w:tcW w:w="4500" w:type="dxa"/>
          </w:tcPr>
          <w:p>
            <w:pPr>
              <w:pStyle w:val="Normal"/>
              <w:spacing w:before="40" w:after="40"/>
            </w:pPr>
            <w:r>
              <w:rPr>
                <w:color w:val="1E1E1E"/>
                <w:sz w:val="20"/>
                <w:rFonts w:ascii="Calibri" w:hAnsi="Calibri" w:eastAsia="Microsoft YaHei" w:cs="Calibri"/>
                <w:szCs w:val="20"/>
              </w:rPr>
              <w:t>Multinational ownership (not controlled by any single state)</w:t>
            </w:r>
          </w:p>
        </w:tc>
      </w:tr>
      <w:tr>
        <w:tc>
          <w:tcPr>
            <w:tcW w:w="4500" w:type="dxa"/>
          </w:tcPr>
          <w:p>
            <w:pPr>
              <w:pStyle w:val="Normal"/>
              <w:spacing w:before="40" w:after="40"/>
            </w:pPr>
            <w:r>
              <w:rPr>
                <w:color w:val="1E1E1E"/>
                <w:sz w:val="20"/>
                <w:rFonts w:ascii="Calibri" w:hAnsi="Calibri" w:eastAsia="Microsoft YaHei" w:cs="Calibri"/>
                <w:szCs w:val="20"/>
              </w:rPr>
              <w:t>Jurisdiction</w:t>
            </w:r>
          </w:p>
        </w:tc>
        <w:tc>
          <w:tcPr>
            <w:tcW w:w="4500" w:type="dxa"/>
          </w:tcPr>
          <w:p>
            <w:pPr>
              <w:pStyle w:val="Normal"/>
              <w:spacing w:before="40" w:after="40"/>
            </w:pPr>
            <w:r>
              <w:rPr>
                <w:color w:val="1E1E1E"/>
                <w:sz w:val="20"/>
                <w:rFonts w:ascii="Calibri" w:hAnsi="Calibri" w:eastAsia="Microsoft YaHei" w:cs="Calibri"/>
                <w:szCs w:val="20"/>
              </w:rPr>
              <w:t>Neutral jurisdiction with legal system compatible with all signatory states</w:t>
            </w:r>
          </w:p>
        </w:tc>
      </w:tr>
    </w:tbl>
    <w:p>
      <w:pPr>
        <w:pStyle w:val="Heading3"/>
      </w:pPr>
      <w:r>
        <w:rPr>
          <w:rFonts w:ascii="Calibri" w:hAnsi="Calibri" w:eastAsia="Microsoft YaHei" w:cs="Calibri"/>
          <w:b/>
          <w:color w:val="4A5568"/>
          <w:sz w:val="24"/>
          <w:szCs w:val="24"/>
        </w:rPr>
        <w:t>Selection Process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JIC issues a Request for Proposals (RFP) to qualified banks.</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The JIC evaluates proposals based on objective criteria (fees, services, expertise, security).</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The JIC selects the bank by three-fourths majority vote.</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If the JIC cannot agree, the IMO Secretary-General appoints the bank.</w:t>
      </w:r>
    </w:p>
    <w:p>
      <w:pPr>
        <w:pStyle w:val="Heading3"/>
      </w:pPr>
      <w:r>
        <w:rPr>
          <w:rFonts w:ascii="Calibri" w:hAnsi="Calibri" w:eastAsia="Microsoft YaHei" w:cs="Calibri"/>
          <w:b/>
          <w:color w:val="4A5568"/>
          <w:sz w:val="24"/>
          <w:szCs w:val="24"/>
        </w:rPr>
        <w:t>Pre-Qualified Banks</w:t>
      </w:r>
    </w:p>
    <w:p>
      <w:pPr>
        <w:pStyle w:val="Normal"/>
      </w:pPr>
      <w:r>
        <w:rPr>
          <w:rFonts w:ascii="Calibri" w:hAnsi="Calibri" w:eastAsia="Microsoft YaHei" w:cs="Calibri"/>
          <w:color w:val="1E1E1E"/>
          <w:sz w:val="22"/>
          <w:szCs w:val="22"/>
        </w:rPr>
        <w:t>The following banks are pre-qualified for the escrow role:</w:t>
      </w:r>
    </w:p>
    <w:p>
      <w:pPr>
        <w:pStyle w:val="Normal"/>
        <w:ind w:left="720" w:hanging="360"/>
      </w:pPr>
      <w:r>
        <w:rPr>
          <w:b/>
          <w:color w:val="4A5568"/>
          <w:rFonts w:ascii="Calibri" w:hAnsi="Calibri" w:eastAsia="Microsoft YaHei" w:cs="Calibri"/>
          <w:sz w:val="22"/>
          <w:szCs w:val="22"/>
        </w:rPr>
        <w:t>(i)</w:t>
      </w:r>
      <w:r>
        <w:rPr>
          <w:rFonts w:ascii="Calibri" w:hAnsi="Calibri" w:eastAsia="Microsoft YaHei" w:cs="Calibri"/>
          <w:color w:val="1E1E1E"/>
          <w:sz w:val="22"/>
          <w:szCs w:val="22"/>
        </w:rPr>
        <w:t xml:space="preserve"> Qatar National Bank (Qatar) — recommended as the primary candidate</w:t>
      </w:r>
    </w:p>
    <w:p>
      <w:pPr>
        <w:pStyle w:val="Normal"/>
        <w:ind w:left="720" w:hanging="360"/>
      </w:pPr>
      <w:r>
        <w:rPr>
          <w:b/>
          <w:color w:val="4A5568"/>
          <w:rFonts w:ascii="Calibri" w:hAnsi="Calibri" w:eastAsia="Microsoft YaHei" w:cs="Calibri"/>
          <w:sz w:val="22"/>
          <w:szCs w:val="22"/>
        </w:rPr>
        <w:t>(ii)</w:t>
      </w:r>
      <w:r>
        <w:rPr>
          <w:rFonts w:ascii="Calibri" w:hAnsi="Calibri" w:eastAsia="Microsoft YaHei" w:cs="Calibri"/>
          <w:color w:val="1E1E1E"/>
          <w:sz w:val="22"/>
          <w:szCs w:val="22"/>
        </w:rPr>
        <w:t xml:space="preserve"> ICBC (China)</w:t>
      </w:r>
    </w:p>
    <w:p>
      <w:pPr>
        <w:pStyle w:val="Normal"/>
        <w:ind w:left="720" w:hanging="360"/>
      </w:pPr>
      <w:r>
        <w:rPr>
          <w:b/>
          <w:color w:val="4A5568"/>
          <w:rFonts w:ascii="Calibri" w:hAnsi="Calibri" w:eastAsia="Microsoft YaHei" w:cs="Calibri"/>
          <w:sz w:val="22"/>
          <w:szCs w:val="22"/>
        </w:rPr>
        <w:t>(iii)</w:t>
      </w:r>
      <w:r>
        <w:rPr>
          <w:rFonts w:ascii="Calibri" w:hAnsi="Calibri" w:eastAsia="Microsoft YaHei" w:cs="Calibri"/>
          <w:color w:val="1E1E1E"/>
          <w:sz w:val="22"/>
          <w:szCs w:val="22"/>
        </w:rPr>
        <w:t xml:space="preserve"> Bank of China (China)</w:t>
      </w:r>
    </w:p>
    <w:p>
      <w:pPr>
        <w:pStyle w:val="Normal"/>
        <w:ind w:left="720" w:hanging="360"/>
      </w:pPr>
      <w:r>
        <w:rPr>
          <w:b/>
          <w:color w:val="4A5568"/>
          <w:rFonts w:ascii="Calibri" w:hAnsi="Calibri" w:eastAsia="Microsoft YaHei" w:cs="Calibri"/>
          <w:sz w:val="22"/>
          <w:szCs w:val="22"/>
        </w:rPr>
        <w:t>(iv)</w:t>
      </w:r>
      <w:r>
        <w:rPr>
          <w:rFonts w:ascii="Calibri" w:hAnsi="Calibri" w:eastAsia="Microsoft YaHei" w:cs="Calibri"/>
          <w:color w:val="1E1E1E"/>
          <w:sz w:val="22"/>
          <w:szCs w:val="22"/>
        </w:rPr>
        <w:t xml:space="preserve"> Standard Chartered (UK) — conditional on U.S. Treasury comfort letter</w:t>
      </w:r>
    </w:p>
    <w:p>
      <w:pPr>
        <w:pStyle w:val="Normal"/>
        <w:ind w:left="720" w:hanging="360"/>
      </w:pPr>
      <w:r>
        <w:rPr>
          <w:b/>
          <w:color w:val="4A5568"/>
          <w:rFonts w:ascii="Calibri" w:hAnsi="Calibri" w:eastAsia="Microsoft YaHei" w:cs="Calibri"/>
          <w:sz w:val="22"/>
          <w:szCs w:val="22"/>
        </w:rPr>
        <w:t>(v)</w:t>
      </w:r>
      <w:r>
        <w:rPr>
          <w:rFonts w:ascii="Calibri" w:hAnsi="Calibri" w:eastAsia="Microsoft YaHei" w:cs="Calibri"/>
          <w:color w:val="1E1E1E"/>
          <w:sz w:val="22"/>
          <w:szCs w:val="22"/>
        </w:rPr>
        <w:t xml:space="preserve"> A neutral Swiss bank (to be identified) — conditional on U.S. Treasury comfort letter</w:t>
      </w:r>
    </w:p>
    <w:p>
      <w:pPr>
        <w:pStyle w:val="Normal"/>
        <w:ind w:left="720" w:hanging="360"/>
      </w:pPr>
      <w:r>
        <w:rPr>
          <w:b/>
          <w:color w:val="4A5568"/>
          <w:rFonts w:ascii="Calibri" w:hAnsi="Calibri" w:eastAsia="Microsoft YaHei" w:cs="Calibri"/>
          <w:sz w:val="22"/>
          <w:szCs w:val="22"/>
        </w:rPr>
        <w:t>(vi)</w:t>
      </w:r>
      <w:r>
        <w:rPr>
          <w:rFonts w:ascii="Calibri" w:hAnsi="Calibri" w:eastAsia="Microsoft YaHei" w:cs="Calibri"/>
          <w:color w:val="1E1E1E"/>
          <w:sz w:val="22"/>
          <w:szCs w:val="22"/>
        </w:rPr>
        <w:t xml:space="preserve"> The JIC seeks a written comfort letter from the U.S. Department of the Treasury for any bank on the pre-qualified list, confirming that the bank's services under this Annex do not subject it to sanctions or enforcement actions.</w:t>
      </w:r>
    </w:p>
    <w:p>
      <w:pPr>
        <w:pStyle w:val="Normal"/>
      </w:pPr>
      <w:r>
        <w:rPr>
          <w:rFonts w:ascii="Calibri" w:hAnsi="Calibri" w:eastAsia="Microsoft YaHei" w:cs="Calibri"/>
          <w:color w:val="1E1E1E"/>
          <w:sz w:val="22"/>
          <w:szCs w:val="22"/>
        </w:rPr>
        <w:t>The JIC adds or removes banks from the pre-qualified list by three-fourths majority vote.</w:t>
      </w:r>
    </w:p>
    <w:p>
      <w:pPr>
        <w:pStyle w:val="Heading2"/>
      </w:pPr>
      <w:r>
        <w:rPr>
          <w:rFonts w:ascii="Calibri" w:hAnsi="Calibri" w:eastAsia="Microsoft YaHei" w:cs="Calibri"/>
          <w:b/>
          <w:color w:val="1E1E1E"/>
          <w:sz w:val="26"/>
          <w:szCs w:val="26"/>
        </w:rPr>
        <w:t>2.3 Account Structure</w:t>
      </w:r>
    </w:p>
    <w:p>
      <w:pPr>
        <w:pStyle w:val="Normal"/>
      </w:pPr>
      <w:r>
        <w:rPr>
          <w:rFonts w:ascii="Calibri" w:hAnsi="Calibri" w:eastAsia="Microsoft YaHei" w:cs="Calibri"/>
          <w:color w:val="1E1E1E"/>
          <w:sz w:val="22"/>
          <w:szCs w:val="22"/>
        </w:rPr>
        <w:t>The Goodwill Escrow Account is structured as follows: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Humanitarian Sub-Account: Holds funds designated for the purchase of Qualified Humanitarian Goods. This sub-account receives priority for disbursement.</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Economic Facilitation Sub-Account: Holds funds designated for economic stabilization and infrastructure projects. Disbursements from this sub-account are subject to additional verification.</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Administrative Sub-Account: Holds funds for the administrative costs of the Account, including bank fees, verification costs, and oversight expenses. This sub-account is funded by a small percentage (not to exceed 2%) of the Restricted Assets.</w:t>
      </w:r>
    </w:p>
    <w:p>
      <w:pPr>
        <w:pStyle w:val="Heading3"/>
      </w:pPr>
      <w:r>
        <w:rPr>
          <w:rFonts w:ascii="Calibri" w:hAnsi="Calibri" w:eastAsia="Microsoft YaHei" w:cs="Calibri"/>
          <w:b/>
          <w:color w:val="4A5568"/>
          <w:sz w:val="24"/>
          <w:szCs w:val="24"/>
        </w:rPr>
        <w:t>Initial Allocation</w:t>
      </w:r>
    </w:p>
    <w:tbl>
      <w:tblPr>
        <w:tblW w:w="5000" w:type="pct"/>
        <w:tblBorders>
          <w:top w:val="single" w:color="1A2744" w:sz="12"/>
          <w:left w:val="nil"/>
          <w:bottom w:val="single" w:color="1A2744" w:sz="12"/>
          <w:right w:val="nil"/>
          <w:insideH w:val="single" w:color="D1D5DB" w:sz="4"/>
          <w:insideV w:val="nil"/>
        </w:tblBorders>
      </w:tblPr>
      <w:tblGrid>
        <w:gridCol w:w="3000"/>
        <w:gridCol w:w="3000"/>
        <w:gridCol w:w="3000"/>
      </w:tblGrid>
      <w:tr>
        <w:trPr>
          <w:tblHeader w:val="1"/>
        </w:trPr>
        <w:tc>
          <w:tcPr>
            <w:tcW w:w="3000" w:type="dxa"/>
            <w:shd w:val="clear" w:fill="F1F2F4" w:color="auto"/>
          </w:tcPr>
          <w:p>
            <w:pPr>
              <w:pStyle w:val="Normal"/>
              <w:spacing w:before="60" w:after="60"/>
              <w:jc w:val="center"/>
            </w:pPr>
            <w:r>
              <w:rPr>
                <w:b/>
                <w:color w:val="1E1E1E"/>
                <w:sz w:val="20"/>
                <w:rFonts w:ascii="Calibri" w:hAnsi="Calibri" w:eastAsia="Microsoft YaHei" w:cs="Calibri"/>
                <w:szCs w:val="20"/>
              </w:rPr>
              <w:t>Sub-Account</w:t>
            </w:r>
          </w:p>
        </w:tc>
        <w:tc>
          <w:tcPr>
            <w:tcW w:w="3000" w:type="dxa"/>
            <w:shd w:val="clear" w:fill="F1F2F4" w:color="auto"/>
          </w:tcPr>
          <w:p>
            <w:pPr>
              <w:pStyle w:val="Normal"/>
              <w:spacing w:before="60" w:after="60"/>
              <w:jc w:val="center"/>
            </w:pPr>
            <w:r>
              <w:rPr>
                <w:b/>
                <w:color w:val="1E1E1E"/>
                <w:sz w:val="20"/>
                <w:rFonts w:ascii="Calibri" w:hAnsi="Calibri" w:eastAsia="Microsoft YaHei" w:cs="Calibri"/>
                <w:szCs w:val="20"/>
              </w:rPr>
              <w:t>Percentage</w:t>
            </w:r>
          </w:p>
        </w:tc>
        <w:tc>
          <w:tcPr>
            <w:tcW w:w="3000" w:type="dxa"/>
            <w:shd w:val="clear" w:fill="F1F2F4" w:color="auto"/>
          </w:tcPr>
          <w:p>
            <w:pPr>
              <w:pStyle w:val="Normal"/>
              <w:spacing w:before="60" w:after="60"/>
              <w:jc w:val="center"/>
            </w:pPr>
            <w:r>
              <w:rPr>
                <w:b/>
                <w:color w:val="1E1E1E"/>
                <w:sz w:val="20"/>
                <w:rFonts w:ascii="Calibri" w:hAnsi="Calibri" w:eastAsia="Microsoft YaHei" w:cs="Calibri"/>
                <w:szCs w:val="20"/>
              </w:rPr>
              <w:t>Amount</w:t>
            </w:r>
          </w:p>
        </w:tc>
      </w:tr>
      <w:tr>
        <w:tc>
          <w:tcPr>
            <w:tcW w:w="3000" w:type="dxa"/>
          </w:tcPr>
          <w:p>
            <w:pPr>
              <w:pStyle w:val="Normal"/>
              <w:spacing w:before="40" w:after="40"/>
            </w:pPr>
            <w:r>
              <w:rPr>
                <w:color w:val="1E1E1E"/>
                <w:sz w:val="20"/>
                <w:rFonts w:ascii="Calibri" w:hAnsi="Calibri" w:eastAsia="Microsoft YaHei" w:cs="Calibri"/>
                <w:szCs w:val="20"/>
              </w:rPr>
              <w:t>Humanitarian</w:t>
            </w:r>
          </w:p>
        </w:tc>
        <w:tc>
          <w:tcPr>
            <w:tcW w:w="3000" w:type="dxa"/>
          </w:tcPr>
          <w:p>
            <w:pPr>
              <w:pStyle w:val="Normal"/>
              <w:spacing w:before="40" w:after="40"/>
            </w:pPr>
            <w:r>
              <w:rPr>
                <w:color w:val="1E1E1E"/>
                <w:sz w:val="20"/>
                <w:rFonts w:ascii="Calibri" w:hAnsi="Calibri" w:eastAsia="Microsoft YaHei" w:cs="Calibri"/>
                <w:szCs w:val="20"/>
              </w:rPr>
              <w:t>50%</w:t>
            </w:r>
          </w:p>
        </w:tc>
        <w:tc>
          <w:tcPr>
            <w:tcW w:w="3000" w:type="dxa"/>
          </w:tcPr>
          <w:p>
            <w:pPr>
              <w:pStyle w:val="Normal"/>
              <w:spacing w:before="40" w:after="40"/>
            </w:pPr>
            <w:r>
              <w:rPr>
                <w:color w:val="1E1E1E"/>
                <w:sz w:val="20"/>
                <w:rFonts w:ascii="Calibri" w:hAnsi="Calibri" w:eastAsia="Microsoft YaHei" w:cs="Calibri"/>
                <w:szCs w:val="20"/>
              </w:rPr>
              <w:t>$3 billion</w:t>
            </w:r>
          </w:p>
        </w:tc>
      </w:tr>
      <w:tr>
        <w:tc>
          <w:tcPr>
            <w:tcW w:w="3000" w:type="dxa"/>
          </w:tcPr>
          <w:p>
            <w:pPr>
              <w:pStyle w:val="Normal"/>
              <w:spacing w:before="40" w:after="40"/>
            </w:pPr>
            <w:r>
              <w:rPr>
                <w:color w:val="1E1E1E"/>
                <w:sz w:val="20"/>
                <w:rFonts w:ascii="Calibri" w:hAnsi="Calibri" w:eastAsia="Microsoft YaHei" w:cs="Calibri"/>
                <w:szCs w:val="20"/>
              </w:rPr>
              <w:t>Economic Facilitation</w:t>
            </w:r>
          </w:p>
        </w:tc>
        <w:tc>
          <w:tcPr>
            <w:tcW w:w="3000" w:type="dxa"/>
          </w:tcPr>
          <w:p>
            <w:pPr>
              <w:pStyle w:val="Normal"/>
              <w:spacing w:before="40" w:after="40"/>
            </w:pPr>
            <w:r>
              <w:rPr>
                <w:color w:val="1E1E1E"/>
                <w:sz w:val="20"/>
                <w:rFonts w:ascii="Calibri" w:hAnsi="Calibri" w:eastAsia="Microsoft YaHei" w:cs="Calibri"/>
                <w:szCs w:val="20"/>
              </w:rPr>
              <w:t>45%</w:t>
            </w:r>
          </w:p>
        </w:tc>
        <w:tc>
          <w:tcPr>
            <w:tcW w:w="3000" w:type="dxa"/>
          </w:tcPr>
          <w:p>
            <w:pPr>
              <w:pStyle w:val="Normal"/>
              <w:spacing w:before="40" w:after="40"/>
            </w:pPr>
            <w:r>
              <w:rPr>
                <w:color w:val="1E1E1E"/>
                <w:sz w:val="20"/>
                <w:rFonts w:ascii="Calibri" w:hAnsi="Calibri" w:eastAsia="Microsoft YaHei" w:cs="Calibri"/>
                <w:szCs w:val="20"/>
              </w:rPr>
              <w:t>$2.7 billion</w:t>
            </w:r>
          </w:p>
        </w:tc>
      </w:tr>
      <w:tr>
        <w:tc>
          <w:tcPr>
            <w:tcW w:w="3000" w:type="dxa"/>
          </w:tcPr>
          <w:p>
            <w:pPr>
              <w:pStyle w:val="Normal"/>
              <w:spacing w:before="40" w:after="40"/>
            </w:pPr>
            <w:r>
              <w:rPr>
                <w:color w:val="1E1E1E"/>
                <w:sz w:val="20"/>
                <w:rFonts w:ascii="Calibri" w:hAnsi="Calibri" w:eastAsia="Microsoft YaHei" w:cs="Calibri"/>
                <w:szCs w:val="20"/>
              </w:rPr>
              <w:t>Administrative</w:t>
            </w:r>
          </w:p>
        </w:tc>
        <w:tc>
          <w:tcPr>
            <w:tcW w:w="3000" w:type="dxa"/>
          </w:tcPr>
          <w:p>
            <w:pPr>
              <w:pStyle w:val="Normal"/>
              <w:spacing w:before="40" w:after="40"/>
            </w:pPr>
            <w:r>
              <w:rPr>
                <w:color w:val="1E1E1E"/>
                <w:sz w:val="20"/>
                <w:rFonts w:ascii="Calibri" w:hAnsi="Calibri" w:eastAsia="Microsoft YaHei" w:cs="Calibri"/>
                <w:szCs w:val="20"/>
              </w:rPr>
              <w:t>5%</w:t>
            </w:r>
          </w:p>
        </w:tc>
        <w:tc>
          <w:tcPr>
            <w:tcW w:w="3000" w:type="dxa"/>
          </w:tcPr>
          <w:p>
            <w:pPr>
              <w:pStyle w:val="Normal"/>
              <w:spacing w:before="40" w:after="40"/>
            </w:pPr>
            <w:r>
              <w:rPr>
                <w:color w:val="1E1E1E"/>
                <w:sz w:val="20"/>
                <w:rFonts w:ascii="Calibri" w:hAnsi="Calibri" w:eastAsia="Microsoft YaHei" w:cs="Calibri"/>
                <w:szCs w:val="20"/>
              </w:rPr>
              <w:t>$300 million</w:t>
            </w:r>
          </w:p>
        </w:tc>
      </w:tr>
    </w:tbl>
    <w:p>
      <w:pPr>
        <w:pStyle w:val="Normal"/>
      </w:pPr>
      <w:r>
        <w:rPr>
          <w:rFonts w:ascii="Calibri" w:hAnsi="Calibri" w:eastAsia="Microsoft YaHei" w:cs="Calibri"/>
          <w:color w:val="1E1E1E"/>
          <w:sz w:val="22"/>
          <w:szCs w:val="22"/>
        </w:rPr>
        <w:t>The JIC adjusts these percentages by three-fourths majority vote based on operational experience and humanitarian needs.</w:t>
      </w:r>
    </w:p>
    <w:p>
      <w:pPr>
        <w:pStyle w:val="Heading2"/>
      </w:pPr>
      <w:r>
        <w:rPr>
          <w:rFonts w:ascii="Calibri" w:hAnsi="Calibri" w:eastAsia="Microsoft YaHei" w:cs="Calibri"/>
          <w:b/>
          <w:color w:val="1E1E1E"/>
          <w:sz w:val="26"/>
          <w:szCs w:val="26"/>
        </w:rPr>
        <w:t>2.4 Account Signatories and Access</w:t>
      </w:r>
    </w:p>
    <w:p>
      <w:pPr>
        <w:pStyle w:val="Heading3"/>
      </w:pPr>
      <w:r>
        <w:rPr>
          <w:rFonts w:ascii="Calibri" w:hAnsi="Calibri" w:eastAsia="Microsoft YaHei" w:cs="Calibri"/>
          <w:b/>
          <w:color w:val="4A5568"/>
          <w:sz w:val="24"/>
          <w:szCs w:val="24"/>
        </w:rPr>
        <w:t>Signatory Requirements</w:t>
      </w:r>
    </w:p>
    <w:p>
      <w:pPr>
        <w:pStyle w:val="Normal"/>
      </w:pPr>
      <w:r>
        <w:rPr>
          <w:rFonts w:ascii="Calibri" w:hAnsi="Calibri" w:eastAsia="Microsoft YaHei" w:cs="Calibri"/>
          <w:color w:val="1E1E1E"/>
          <w:sz w:val="22"/>
          <w:szCs w:val="22"/>
        </w:rPr>
        <w:t>All disbursements from the Goodwill Escrow Account require two signatures: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One signatory from the JIC (designated by the JIC Chair)</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One signatory from the Neutral Escrow Bank (designated by the bank's compliance officer)</w:t>
      </w:r>
    </w:p>
    <w:p>
      <w:pPr>
        <w:pStyle w:val="Heading3"/>
      </w:pPr>
      <w:r>
        <w:rPr>
          <w:rFonts w:ascii="Calibri" w:hAnsi="Calibri" w:eastAsia="Microsoft YaHei" w:cs="Calibri"/>
          <w:b/>
          <w:color w:val="4A5568"/>
          <w:sz w:val="24"/>
          <w:szCs w:val="24"/>
        </w:rPr>
        <w:t>Emergency Signatory</w:t>
      </w:r>
    </w:p>
    <w:p>
      <w:pPr>
        <w:pStyle w:val="Normal"/>
      </w:pPr>
      <w:r>
        <w:rPr>
          <w:rFonts w:ascii="Calibri" w:hAnsi="Calibri" w:eastAsia="Microsoft YaHei" w:cs="Calibri"/>
          <w:color w:val="1E1E1E"/>
          <w:sz w:val="22"/>
          <w:szCs w:val="22"/>
        </w:rPr>
        <w:t>In the event of a humanitarian emergency requiring immediate disbursement, the following alternate signatory applies: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JIC Chair (Oman) signs alone, provided the JIC confirms the emergency within 72 hours.</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If the JIC does not confirm the emergency, the disbursement reverses and the JIC Chair is subject to a Level 2 violation.</w:t>
      </w:r>
    </w:p>
    <w:p>
      <w:pPr>
        <w:pStyle w:val="Heading3"/>
      </w:pPr>
      <w:r>
        <w:rPr>
          <w:rFonts w:ascii="Calibri" w:hAnsi="Calibri" w:eastAsia="Microsoft YaHei" w:cs="Calibri"/>
          <w:b/>
          <w:color w:val="4A5568"/>
          <w:sz w:val="24"/>
          <w:szCs w:val="24"/>
        </w:rPr>
        <w:t>No Unilateral Access</w:t>
      </w:r>
    </w:p>
    <w:p>
      <w:pPr>
        <w:pStyle w:val="Normal"/>
      </w:pPr>
      <w:r>
        <w:rPr>
          <w:rFonts w:ascii="Calibri" w:hAnsi="Calibri" w:eastAsia="Microsoft YaHei" w:cs="Calibri"/>
          <w:color w:val="1E1E1E"/>
          <w:sz w:val="22"/>
          <w:szCs w:val="22"/>
        </w:rPr>
        <w:t>No Party possesses unilateral access to, or control over, the Goodwill Escrow Account.</w:t>
      </w:r>
    </w:p>
    <w:p>
      <w:pPr>
        <w:pStyle w:val="Normal"/>
      </w:pPr>
      <w:r>
        <w:rPr>
          <w:rFonts w:ascii="Calibri" w:hAnsi="Calibri" w:eastAsia="Microsoft YaHei" w:cs="Calibri"/>
          <w:color w:val="1E1E1E"/>
          <w:sz w:val="22"/>
          <w:b/>
          <w:szCs w:val="22"/>
        </w:rPr>
        <w:t xml:space="preserve">(e) Sanctions Disclaimer: </w:t>
      </w:r>
      <w:r>
        <w:rPr>
          <w:rFonts w:ascii="Calibri" w:hAnsi="Calibri" w:eastAsia="Microsoft YaHei" w:cs="Calibri"/>
          <w:color w:val="1E1E1E"/>
          <w:sz w:val="22"/>
          <w:szCs w:val="22"/>
        </w:rPr>
        <w:t>The Parties acknowledge that domestic legal obligations, including sanctions laws, might require compliance with court orders or regulatory directives. In the event of a conflicting legal obligation, the Party: (i) immediately notifies the JIC; (ii) seeks a legal stay or exemption; (iii) if compliance is compelled, the JIC convenes an emergency session to review the impact on this Annex. Such compelled compliance does not constitute a violation of this Annex, but the Party bears the burden of demonstrating good faith efforts to avoid or mitigate the conflict.</w:t>
      </w:r>
    </w:p>
    <w:p>
      <w:pPr>
        <w:pStyle w:val="Heading3"/>
      </w:pPr>
      <w:r>
        <w:rPr>
          <w:rFonts w:ascii="Calibri" w:hAnsi="Calibri" w:eastAsia="Microsoft YaHei" w:cs="Calibri"/>
          <w:b/>
          <w:color w:val="4A5568"/>
          <w:sz w:val="24"/>
          <w:szCs w:val="24"/>
        </w:rPr>
        <w:t>Real-Time Monitoring</w:t>
      </w:r>
    </w:p>
    <w:p>
      <w:pPr>
        <w:pStyle w:val="Normal"/>
      </w:pPr>
      <w:r>
        <w:rPr>
          <w:rFonts w:ascii="Calibri" w:hAnsi="Calibri" w:eastAsia="Microsoft YaHei" w:cs="Calibri"/>
          <w:color w:val="1E1E1E"/>
          <w:sz w:val="22"/>
          <w:szCs w:val="22"/>
        </w:rPr>
        <w:t>All Parties have read-only, real-time access to the Account's transaction records through the Shared Digital Registry. The registry updates within 6 hours of any transaction.</w:t>
      </w:r>
    </w:p>
    <w:p>
      <w:pPr>
        <w:pStyle w:val="Heading1"/>
      </w:pPr>
      <w:bookmarkStart w:name="_Toc004" w:id="5"/>
      <w:r>
        <w:rPr>
          <w:rFonts w:ascii="Calibri" w:hAnsi="Calibri" w:eastAsia="Microsoft YaHei" w:cs="Calibri"/>
          <w:b/>
          <w:color w:val="1A2744"/>
          <w:sz w:val="32"/>
          <w:szCs w:val="32"/>
        </w:rPr>
        <w:t>Article 3: Disbursement Mechanism</w:t>
      </w:r>
      <w:bookmarkEnd w:id="5"/>
    </w:p>
    <w:p>
      <w:pPr>
        <w:pStyle w:val="Heading2"/>
      </w:pPr>
      <w:r>
        <w:rPr>
          <w:rFonts w:ascii="Calibri" w:hAnsi="Calibri" w:eastAsia="Microsoft YaHei" w:cs="Calibri"/>
          <w:b/>
          <w:color w:val="1E1E1E"/>
          <w:sz w:val="26"/>
          <w:szCs w:val="26"/>
        </w:rPr>
        <w:t>3.1 Phased Disbursement Schedule</w:t>
      </w:r>
    </w:p>
    <w:p>
      <w:pPr>
        <w:pStyle w:val="Normal"/>
      </w:pPr>
      <w:r>
        <w:rPr>
          <w:rFonts w:ascii="Calibri" w:hAnsi="Calibri" w:eastAsia="Microsoft YaHei" w:cs="Calibri"/>
          <w:color w:val="1E1E1E"/>
          <w:sz w:val="22"/>
          <w:szCs w:val="22"/>
        </w:rPr>
        <w:t>Disbursements from the Goodwill Escrow Account release in phases, aligned with the Phase schedule of Annex 1AD (Confidence-Building and Reversible Measures):</w:t>
      </w:r>
    </w:p>
    <w:tbl>
      <w:tblPr>
        <w:tblW w:w="5000" w:type="pct"/>
        <w:tblBorders>
          <w:top w:val="single" w:color="1A2744" w:sz="12"/>
          <w:left w:val="nil"/>
          <w:bottom w:val="single" w:color="1A2744" w:sz="12"/>
          <w:right w:val="nil"/>
          <w:insideH w:val="single" w:color="D1D5DB" w:sz="4"/>
          <w:insideV w:val="nil"/>
        </w:tblBorders>
      </w:tblPr>
      <w:tblGrid>
        <w:gridCol w:w="1800"/>
        <w:gridCol w:w="1800"/>
        <w:gridCol w:w="1800"/>
        <w:gridCol w:w="1800"/>
        <w:gridCol w:w="1800"/>
      </w:tblGrid>
      <w:tr>
        <w:trPr>
          <w:tblHeader w:val="1"/>
        </w:trPr>
        <w:tc>
          <w:tcPr>
            <w:tcW w:w="1800" w:type="dxa"/>
            <w:shd w:val="clear" w:fill="F1F2F4" w:color="auto"/>
          </w:tcPr>
          <w:p>
            <w:pPr>
              <w:pStyle w:val="Normal"/>
              <w:spacing w:before="60" w:after="60"/>
              <w:jc w:val="center"/>
            </w:pPr>
            <w:r>
              <w:rPr>
                <w:b/>
                <w:color w:val="1E1E1E"/>
                <w:sz w:val="20"/>
                <w:rFonts w:ascii="Calibri" w:hAnsi="Calibri" w:eastAsia="Microsoft YaHei" w:cs="Calibri"/>
                <w:szCs w:val="20"/>
              </w:rPr>
              <w:t>Disbursement Phase</w:t>
            </w:r>
          </w:p>
        </w:tc>
        <w:tc>
          <w:tcPr>
            <w:tcW w:w="1800" w:type="dxa"/>
            <w:shd w:val="clear" w:fill="F1F2F4" w:color="auto"/>
          </w:tcPr>
          <w:p>
            <w:pPr>
              <w:pStyle w:val="Normal"/>
              <w:spacing w:before="60" w:after="60"/>
              <w:jc w:val="center"/>
            </w:pPr>
            <w:r>
              <w:rPr>
                <w:b/>
                <w:color w:val="1E1E1E"/>
                <w:sz w:val="20"/>
                <w:rFonts w:ascii="Calibri" w:hAnsi="Calibri" w:eastAsia="Microsoft YaHei" w:cs="Calibri"/>
                <w:szCs w:val="20"/>
              </w:rPr>
              <w:t>HSU Phase Equivalent</w:t>
            </w:r>
          </w:p>
        </w:tc>
        <w:tc>
          <w:tcPr>
            <w:tcW w:w="1800" w:type="dxa"/>
            <w:shd w:val="clear" w:fill="F1F2F4" w:color="auto"/>
          </w:tcPr>
          <w:p>
            <w:pPr>
              <w:pStyle w:val="Normal"/>
              <w:spacing w:before="60" w:after="60"/>
              <w:jc w:val="center"/>
            </w:pPr>
            <w:r>
              <w:rPr>
                <w:b/>
                <w:color w:val="1E1E1E"/>
                <w:sz w:val="20"/>
                <w:rFonts w:ascii="Calibri" w:hAnsi="Calibri" w:eastAsia="Microsoft YaHei" w:cs="Calibri"/>
                <w:szCs w:val="20"/>
              </w:rPr>
              <w:t>Amount</w:t>
            </w:r>
          </w:p>
        </w:tc>
        <w:tc>
          <w:tcPr>
            <w:tcW w:w="1800" w:type="dxa"/>
            <w:shd w:val="clear" w:fill="F1F2F4" w:color="auto"/>
          </w:tcPr>
          <w:p>
            <w:pPr>
              <w:pStyle w:val="Normal"/>
              <w:spacing w:before="60" w:after="60"/>
              <w:jc w:val="center"/>
            </w:pPr>
            <w:r>
              <w:rPr>
                <w:b/>
                <w:color w:val="1E1E1E"/>
                <w:sz w:val="20"/>
                <w:rFonts w:ascii="Calibri" w:hAnsi="Calibri" w:eastAsia="Microsoft YaHei" w:cs="Calibri"/>
                <w:szCs w:val="20"/>
              </w:rPr>
              <w:t>Cumulative Total</w:t>
            </w:r>
          </w:p>
        </w:tc>
        <w:tc>
          <w:tcPr>
            <w:tcW w:w="1800" w:type="dxa"/>
            <w:shd w:val="clear" w:fill="F1F2F4" w:color="auto"/>
          </w:tcPr>
          <w:p>
            <w:pPr>
              <w:pStyle w:val="Normal"/>
              <w:spacing w:before="60" w:after="60"/>
              <w:jc w:val="center"/>
            </w:pPr>
            <w:r>
              <w:rPr>
                <w:b/>
                <w:color w:val="1E1E1E"/>
                <w:sz w:val="20"/>
                <w:rFonts w:ascii="Calibri" w:hAnsi="Calibri" w:eastAsia="Microsoft YaHei" w:cs="Calibri"/>
                <w:szCs w:val="20"/>
              </w:rPr>
              <w:t>Condition</w:t>
            </w:r>
          </w:p>
        </w:tc>
      </w:tr>
      <w:tr>
        <w:tc>
          <w:tcPr>
            <w:tcW w:w="1800" w:type="dxa"/>
          </w:tcPr>
          <w:p>
            <w:pPr>
              <w:pStyle w:val="Normal"/>
              <w:spacing w:before="40" w:after="40"/>
            </w:pPr>
            <w:r>
              <w:rPr>
                <w:color w:val="1E1E1E"/>
                <w:sz w:val="20"/>
                <w:rFonts w:ascii="Calibri" w:hAnsi="Calibri" w:eastAsia="Microsoft YaHei" w:cs="Calibri"/>
                <w:szCs w:val="20"/>
              </w:rPr>
              <w:t>Phase 1</w:t>
            </w:r>
          </w:p>
        </w:tc>
        <w:tc>
          <w:tcPr>
            <w:tcW w:w="1800" w:type="dxa"/>
          </w:tcPr>
          <w:p>
            <w:pPr>
              <w:pStyle w:val="Normal"/>
              <w:spacing w:before="40" w:after="40"/>
            </w:pPr>
            <w:r>
              <w:rPr>
                <w:color w:val="1E1E1E"/>
                <w:sz w:val="20"/>
                <w:rFonts w:ascii="Calibri" w:hAnsi="Calibri" w:eastAsia="Microsoft YaHei" w:cs="Calibri"/>
                <w:szCs w:val="20"/>
              </w:rPr>
              <w:t>Phase 1 (Days 1-14)</w:t>
            </w:r>
          </w:p>
        </w:tc>
        <w:tc>
          <w:tcPr>
            <w:tcW w:w="1800" w:type="dxa"/>
          </w:tcPr>
          <w:p>
            <w:pPr>
              <w:pStyle w:val="Normal"/>
              <w:spacing w:before="40" w:after="40"/>
            </w:pPr>
            <w:r>
              <w:rPr>
                <w:color w:val="1E1E1E"/>
                <w:sz w:val="20"/>
                <w:rFonts w:ascii="Calibri" w:hAnsi="Calibri" w:eastAsia="Microsoft YaHei" w:cs="Calibri"/>
                <w:szCs w:val="20"/>
              </w:rPr>
              <w:t>$500 million</w:t>
            </w:r>
          </w:p>
        </w:tc>
        <w:tc>
          <w:tcPr>
            <w:tcW w:w="1800" w:type="dxa"/>
          </w:tcPr>
          <w:p>
            <w:pPr>
              <w:pStyle w:val="Normal"/>
              <w:spacing w:before="40" w:after="40"/>
            </w:pPr>
            <w:r>
              <w:rPr>
                <w:color w:val="1E1E1E"/>
                <w:sz w:val="20"/>
                <w:rFonts w:ascii="Calibri" w:hAnsi="Calibri" w:eastAsia="Microsoft YaHei" w:cs="Calibri"/>
                <w:szCs w:val="20"/>
              </w:rPr>
              <w:t>$500 million</w:t>
            </w:r>
          </w:p>
        </w:tc>
        <w:tc>
          <w:tcPr>
            <w:tcW w:w="1800" w:type="dxa"/>
          </w:tcPr>
          <w:p>
            <w:pPr>
              <w:pStyle w:val="Normal"/>
              <w:spacing w:before="40" w:after="40"/>
            </w:pPr>
            <w:r>
              <w:rPr>
                <w:color w:val="1E1E1E"/>
                <w:sz w:val="20"/>
                <w:rFonts w:ascii="Calibri" w:hAnsi="Calibri" w:eastAsia="Microsoft YaHei" w:cs="Calibri"/>
                <w:szCs w:val="20"/>
              </w:rPr>
              <w:t>HSU signed; JIC operational; initial verification completed</w:t>
            </w:r>
          </w:p>
        </w:tc>
      </w:tr>
      <w:tr>
        <w:tc>
          <w:tcPr>
            <w:tcW w:w="1800" w:type="dxa"/>
          </w:tcPr>
          <w:p>
            <w:pPr>
              <w:pStyle w:val="Normal"/>
              <w:spacing w:before="40" w:after="40"/>
            </w:pPr>
            <w:r>
              <w:rPr>
                <w:color w:val="1E1E1E"/>
                <w:sz w:val="20"/>
                <w:rFonts w:ascii="Calibri" w:hAnsi="Calibri" w:eastAsia="Microsoft YaHei" w:cs="Calibri"/>
                <w:szCs w:val="20"/>
              </w:rPr>
              <w:t>Phase 2</w:t>
            </w:r>
          </w:p>
        </w:tc>
        <w:tc>
          <w:tcPr>
            <w:tcW w:w="1800" w:type="dxa"/>
          </w:tcPr>
          <w:p>
            <w:pPr>
              <w:pStyle w:val="Normal"/>
              <w:spacing w:before="40" w:after="40"/>
            </w:pPr>
            <w:r>
              <w:rPr>
                <w:color w:val="1E1E1E"/>
                <w:sz w:val="20"/>
                <w:rFonts w:ascii="Calibri" w:hAnsi="Calibri" w:eastAsia="Microsoft YaHei" w:cs="Calibri"/>
                <w:szCs w:val="20"/>
              </w:rPr>
              <w:t>Phase 2 (Days 15-45)</w:t>
            </w:r>
          </w:p>
        </w:tc>
        <w:tc>
          <w:tcPr>
            <w:tcW w:w="1800" w:type="dxa"/>
          </w:tcPr>
          <w:p>
            <w:pPr>
              <w:pStyle w:val="Normal"/>
              <w:spacing w:before="40" w:after="40"/>
            </w:pPr>
            <w:r>
              <w:rPr>
                <w:color w:val="1E1E1E"/>
                <w:sz w:val="20"/>
                <w:rFonts w:ascii="Calibri" w:hAnsi="Calibri" w:eastAsia="Microsoft YaHei" w:cs="Calibri"/>
                <w:szCs w:val="20"/>
              </w:rPr>
              <w:t>$1 billion</w:t>
            </w:r>
          </w:p>
        </w:tc>
        <w:tc>
          <w:tcPr>
            <w:tcW w:w="1800" w:type="dxa"/>
          </w:tcPr>
          <w:p>
            <w:pPr>
              <w:pStyle w:val="Normal"/>
              <w:spacing w:before="40" w:after="40"/>
            </w:pPr>
            <w:r>
              <w:rPr>
                <w:color w:val="1E1E1E"/>
                <w:sz w:val="20"/>
                <w:rFonts w:ascii="Calibri" w:hAnsi="Calibri" w:eastAsia="Microsoft YaHei" w:cs="Calibri"/>
                <w:szCs w:val="20"/>
              </w:rPr>
              <w:t>$1.5 billion</w:t>
            </w:r>
          </w:p>
        </w:tc>
        <w:tc>
          <w:tcPr>
            <w:tcW w:w="1800" w:type="dxa"/>
          </w:tcPr>
          <w:p>
            <w:pPr>
              <w:pStyle w:val="Normal"/>
              <w:spacing w:before="40" w:after="40"/>
            </w:pPr>
            <w:r>
              <w:rPr>
                <w:color w:val="1E1E1E"/>
                <w:sz w:val="20"/>
                <w:rFonts w:ascii="Calibri" w:hAnsi="Calibri" w:eastAsia="Microsoft YaHei" w:cs="Calibri"/>
                <w:szCs w:val="20"/>
              </w:rPr>
              <w:t>Phase 1 certification; no Level 3+ violations; humanitarian procurement plan approved</w:t>
            </w:r>
          </w:p>
        </w:tc>
      </w:tr>
      <w:tr>
        <w:tc>
          <w:tcPr>
            <w:tcW w:w="1800" w:type="dxa"/>
          </w:tcPr>
          <w:p>
            <w:pPr>
              <w:pStyle w:val="Normal"/>
              <w:spacing w:before="40" w:after="40"/>
            </w:pPr>
            <w:r>
              <w:rPr>
                <w:color w:val="1E1E1E"/>
                <w:sz w:val="20"/>
                <w:rFonts w:ascii="Calibri" w:hAnsi="Calibri" w:eastAsia="Microsoft YaHei" w:cs="Calibri"/>
                <w:szCs w:val="20"/>
              </w:rPr>
              <w:t>Phase 3</w:t>
            </w:r>
          </w:p>
        </w:tc>
        <w:tc>
          <w:tcPr>
            <w:tcW w:w="1800" w:type="dxa"/>
          </w:tcPr>
          <w:p>
            <w:pPr>
              <w:pStyle w:val="Normal"/>
              <w:spacing w:before="40" w:after="40"/>
            </w:pPr>
            <w:r>
              <w:rPr>
                <w:color w:val="1E1E1E"/>
                <w:sz w:val="20"/>
                <w:rFonts w:ascii="Calibri" w:hAnsi="Calibri" w:eastAsia="Microsoft YaHei" w:cs="Calibri"/>
                <w:szCs w:val="20"/>
              </w:rPr>
              <w:t>Phase 3 (Days 46-90)</w:t>
            </w:r>
          </w:p>
        </w:tc>
        <w:tc>
          <w:tcPr>
            <w:tcW w:w="1800" w:type="dxa"/>
          </w:tcPr>
          <w:p>
            <w:pPr>
              <w:pStyle w:val="Normal"/>
              <w:spacing w:before="40" w:after="40"/>
            </w:pPr>
            <w:r>
              <w:rPr>
                <w:color w:val="1E1E1E"/>
                <w:sz w:val="20"/>
                <w:rFonts w:ascii="Calibri" w:hAnsi="Calibri" w:eastAsia="Microsoft YaHei" w:cs="Calibri"/>
                <w:szCs w:val="20"/>
              </w:rPr>
              <w:t>$1.5 billion</w:t>
            </w:r>
          </w:p>
        </w:tc>
        <w:tc>
          <w:tcPr>
            <w:tcW w:w="1800" w:type="dxa"/>
          </w:tcPr>
          <w:p>
            <w:pPr>
              <w:pStyle w:val="Normal"/>
              <w:spacing w:before="40" w:after="40"/>
            </w:pPr>
            <w:r>
              <w:rPr>
                <w:color w:val="1E1E1E"/>
                <w:sz w:val="20"/>
                <w:rFonts w:ascii="Calibri" w:hAnsi="Calibri" w:eastAsia="Microsoft YaHei" w:cs="Calibri"/>
                <w:szCs w:val="20"/>
              </w:rPr>
              <w:t>$3 billion</w:t>
            </w:r>
          </w:p>
        </w:tc>
        <w:tc>
          <w:tcPr>
            <w:tcW w:w="1800" w:type="dxa"/>
          </w:tcPr>
          <w:p>
            <w:pPr>
              <w:pStyle w:val="Normal"/>
              <w:spacing w:before="40" w:after="40"/>
            </w:pPr>
            <w:r>
              <w:rPr>
                <w:color w:val="1E1E1E"/>
                <w:sz w:val="20"/>
                <w:rFonts w:ascii="Calibri" w:hAnsi="Calibri" w:eastAsia="Microsoft YaHei" w:cs="Calibri"/>
                <w:szCs w:val="20"/>
              </w:rPr>
              <w:t>Phase 2 certification; sustained compliance; economic facilitation plan approved</w:t>
            </w:r>
          </w:p>
        </w:tc>
      </w:tr>
      <w:tr>
        <w:tc>
          <w:tcPr>
            <w:tcW w:w="1800" w:type="dxa"/>
          </w:tcPr>
          <w:p>
            <w:pPr>
              <w:pStyle w:val="Normal"/>
              <w:spacing w:before="40" w:after="40"/>
            </w:pPr>
            <w:r>
              <w:rPr>
                <w:color w:val="1E1E1E"/>
                <w:sz w:val="20"/>
                <w:rFonts w:ascii="Calibri" w:hAnsi="Calibri" w:eastAsia="Microsoft YaHei" w:cs="Calibri"/>
                <w:szCs w:val="20"/>
              </w:rPr>
              <w:t>Phase 4</w:t>
            </w:r>
          </w:p>
        </w:tc>
        <w:tc>
          <w:tcPr>
            <w:tcW w:w="1800" w:type="dxa"/>
          </w:tcPr>
          <w:p>
            <w:pPr>
              <w:pStyle w:val="Normal"/>
              <w:spacing w:before="40" w:after="40"/>
            </w:pPr>
            <w:r>
              <w:rPr>
                <w:color w:val="1E1E1E"/>
                <w:sz w:val="20"/>
                <w:rFonts w:ascii="Calibri" w:hAnsi="Calibri" w:eastAsia="Microsoft YaHei" w:cs="Calibri"/>
                <w:szCs w:val="20"/>
              </w:rPr>
              <w:t>Phase 4 (Days 91-180)</w:t>
            </w:r>
          </w:p>
        </w:tc>
        <w:tc>
          <w:tcPr>
            <w:tcW w:w="1800" w:type="dxa"/>
          </w:tcPr>
          <w:p>
            <w:pPr>
              <w:pStyle w:val="Normal"/>
              <w:spacing w:before="40" w:after="40"/>
            </w:pPr>
            <w:r>
              <w:rPr>
                <w:color w:val="1E1E1E"/>
                <w:sz w:val="20"/>
                <w:rFonts w:ascii="Calibri" w:hAnsi="Calibri" w:eastAsia="Microsoft YaHei" w:cs="Calibri"/>
                <w:szCs w:val="20"/>
              </w:rPr>
              <w:t>$2 billion</w:t>
            </w:r>
          </w:p>
        </w:tc>
        <w:tc>
          <w:tcPr>
            <w:tcW w:w="1800" w:type="dxa"/>
          </w:tcPr>
          <w:p>
            <w:pPr>
              <w:pStyle w:val="Normal"/>
              <w:spacing w:before="40" w:after="40"/>
            </w:pPr>
            <w:r>
              <w:rPr>
                <w:color w:val="1E1E1E"/>
                <w:sz w:val="20"/>
                <w:rFonts w:ascii="Calibri" w:hAnsi="Calibri" w:eastAsia="Microsoft YaHei" w:cs="Calibri"/>
                <w:szCs w:val="20"/>
              </w:rPr>
              <w:t>$5 billion</w:t>
            </w:r>
          </w:p>
        </w:tc>
        <w:tc>
          <w:tcPr>
            <w:tcW w:w="1800" w:type="dxa"/>
          </w:tcPr>
          <w:p>
            <w:pPr>
              <w:pStyle w:val="Normal"/>
              <w:spacing w:before="40" w:after="40"/>
            </w:pPr>
            <w:r>
              <w:rPr>
                <w:color w:val="1E1E1E"/>
                <w:sz w:val="20"/>
                <w:rFonts w:ascii="Calibri" w:hAnsi="Calibri" w:eastAsia="Microsoft YaHei" w:cs="Calibri"/>
                <w:szCs w:val="20"/>
              </w:rPr>
              <w:t>Phase 3 certification; HSU operational; supply chain verified</w:t>
            </w:r>
          </w:p>
        </w:tc>
      </w:tr>
      <w:tr>
        <w:tc>
          <w:tcPr>
            <w:tcW w:w="1800" w:type="dxa"/>
          </w:tcPr>
          <w:p>
            <w:pPr>
              <w:pStyle w:val="Normal"/>
              <w:spacing w:before="40" w:after="40"/>
            </w:pPr>
            <w:r>
              <w:rPr>
                <w:color w:val="1E1E1E"/>
                <w:sz w:val="20"/>
                <w:rFonts w:ascii="Calibri" w:hAnsi="Calibri" w:eastAsia="Microsoft YaHei" w:cs="Calibri"/>
                <w:szCs w:val="20"/>
              </w:rPr>
              <w:t>Final Release</w:t>
            </w:r>
          </w:p>
        </w:tc>
        <w:tc>
          <w:tcPr>
            <w:tcW w:w="1800" w:type="dxa"/>
          </w:tcPr>
          <w:p>
            <w:pPr>
              <w:pStyle w:val="Normal"/>
              <w:spacing w:before="40" w:after="40"/>
            </w:pPr>
            <w:r>
              <w:rPr>
                <w:color w:val="1E1E1E"/>
                <w:sz w:val="20"/>
                <w:rFonts w:ascii="Calibri" w:hAnsi="Calibri" w:eastAsia="Microsoft YaHei" w:cs="Calibri"/>
                <w:szCs w:val="20"/>
              </w:rPr>
              <w:t>Post-Phase 4</w:t>
            </w:r>
          </w:p>
        </w:tc>
        <w:tc>
          <w:tcPr>
            <w:tcW w:w="1800" w:type="dxa"/>
          </w:tcPr>
          <w:p>
            <w:pPr>
              <w:pStyle w:val="Normal"/>
              <w:spacing w:before="40" w:after="40"/>
            </w:pPr>
            <w:r>
              <w:rPr>
                <w:color w:val="1E1E1E"/>
                <w:sz w:val="20"/>
                <w:rFonts w:ascii="Calibri" w:hAnsi="Calibri" w:eastAsia="Microsoft YaHei" w:cs="Calibri"/>
                <w:szCs w:val="20"/>
              </w:rPr>
              <w:t>$1 billion</w:t>
            </w:r>
          </w:p>
        </w:tc>
        <w:tc>
          <w:tcPr>
            <w:tcW w:w="1800" w:type="dxa"/>
          </w:tcPr>
          <w:p>
            <w:pPr>
              <w:pStyle w:val="Normal"/>
              <w:spacing w:before="40" w:after="40"/>
            </w:pPr>
            <w:r>
              <w:rPr>
                <w:color w:val="1E1E1E"/>
                <w:sz w:val="20"/>
                <w:rFonts w:ascii="Calibri" w:hAnsi="Calibri" w:eastAsia="Microsoft YaHei" w:cs="Calibri"/>
                <w:szCs w:val="20"/>
              </w:rPr>
              <w:t>$6 billion</w:t>
            </w:r>
          </w:p>
        </w:tc>
        <w:tc>
          <w:tcPr>
            <w:tcW w:w="1800" w:type="dxa"/>
          </w:tcPr>
          <w:p>
            <w:pPr>
              <w:pStyle w:val="Normal"/>
              <w:spacing w:before="40" w:after="40"/>
            </w:pPr>
            <w:r>
              <w:rPr>
                <w:color w:val="1E1E1E"/>
                <w:sz w:val="20"/>
                <w:rFonts w:ascii="Calibri" w:hAnsi="Calibri" w:eastAsia="Microsoft YaHei" w:cs="Calibri"/>
                <w:szCs w:val="20"/>
              </w:rPr>
              <w:t>Full Implementation Certificate issued; all compliance metrics met</w:t>
            </w:r>
          </w:p>
        </w:tc>
      </w:tr>
    </w:tbl>
    <w:p>
      <w:pPr>
        <w:pStyle w:val="Normal"/>
      </w:pPr>
      <w:r>
        <w:rPr>
          <w:rFonts w:ascii="Calibri" w:hAnsi="Calibri" w:eastAsia="Microsoft YaHei" w:cs="Calibri"/>
          <w:color w:val="1E1E1E"/>
          <w:sz w:val="22"/>
          <w:szCs w:val="22"/>
        </w:rPr>
        <w:t>Total: $6 billion</w:t>
      </w:r>
    </w:p>
    <w:p>
      <w:pPr>
        <w:pStyle w:val="Heading3"/>
      </w:pPr>
      <w:r>
        <w:rPr>
          <w:rFonts w:ascii="Calibri" w:hAnsi="Calibri" w:eastAsia="Microsoft YaHei" w:cs="Calibri"/>
          <w:b/>
          <w:color w:val="4A5568"/>
          <w:sz w:val="24"/>
          <w:szCs w:val="24"/>
        </w:rPr>
        <w:t>Accelerated Disbursement</w:t>
      </w:r>
    </w:p>
    <w:p>
      <w:pPr>
        <w:pStyle w:val="Normal"/>
      </w:pPr>
      <w:r>
        <w:rPr>
          <w:rFonts w:ascii="Calibri" w:hAnsi="Calibri" w:eastAsia="Microsoft YaHei" w:cs="Calibri"/>
          <w:color w:val="1E1E1E"/>
          <w:sz w:val="22"/>
          <w:szCs w:val="22"/>
        </w:rPr>
        <w:t>If the JIC certifies that all Phases of Annex 1AD are completed within 90 days (instead of the standard 180 days), the Parties agree to accelerate the remaining disbursements. Acceleration requires unanimous JIC consent.</w:t>
      </w:r>
    </w:p>
    <w:p>
      <w:pPr>
        <w:pStyle w:val="Heading3"/>
      </w:pPr>
      <w:r>
        <w:rPr>
          <w:rFonts w:ascii="Calibri" w:hAnsi="Calibri" w:eastAsia="Microsoft YaHei" w:cs="Calibri"/>
          <w:b/>
          <w:color w:val="4A5568"/>
          <w:sz w:val="24"/>
          <w:szCs w:val="24"/>
        </w:rPr>
        <w:t>Delayed Disbursement</w:t>
      </w:r>
    </w:p>
    <w:p>
      <w:pPr>
        <w:pStyle w:val="Normal"/>
      </w:pPr>
      <w:r>
        <w:rPr>
          <w:rFonts w:ascii="Calibri" w:hAnsi="Calibri" w:eastAsia="Microsoft YaHei" w:cs="Calibri"/>
          <w:color w:val="1E1E1E"/>
          <w:sz w:val="22"/>
          <w:szCs w:val="22"/>
        </w:rPr>
        <w:t>If a Phase is delayed under Annex 1AD, the corresponding disbursement delays proportionally. The JIC reviews the delay and authorizes partial disbursement if the delay is due to technical rather than political reasons.</w:t>
      </w:r>
    </w:p>
    <w:p>
      <w:pPr>
        <w:pStyle w:val="Heading2"/>
      </w:pPr>
      <w:r>
        <w:rPr>
          <w:rFonts w:ascii="Calibri" w:hAnsi="Calibri" w:eastAsia="Microsoft YaHei" w:cs="Calibri"/>
          <w:b/>
          <w:color w:val="1E1E1E"/>
          <w:sz w:val="26"/>
          <w:szCs w:val="26"/>
        </w:rPr>
        <w:t>3.2 Disbursement Triggers</w:t>
      </w:r>
    </w:p>
    <w:p>
      <w:pPr>
        <w:pStyle w:val="Normal"/>
      </w:pPr>
      <w:r>
        <w:rPr>
          <w:rFonts w:ascii="Calibri" w:hAnsi="Calibri" w:eastAsia="Microsoft YaHei" w:cs="Calibri"/>
          <w:color w:val="1E1E1E"/>
          <w:sz w:val="22"/>
          <w:szCs w:val="22"/>
        </w:rPr>
        <w:t>Each disbursement is triggered by the following cumulative conditions:</w:t>
      </w:r>
    </w:p>
    <w:p>
      <w:pPr>
        <w:pStyle w:val="Heading3"/>
      </w:pPr>
      <w:r>
        <w:rPr>
          <w:rFonts w:ascii="Calibri" w:hAnsi="Calibri" w:eastAsia="Microsoft YaHei" w:cs="Calibri"/>
          <w:b/>
          <w:color w:val="4A5568"/>
          <w:sz w:val="24"/>
          <w:szCs w:val="24"/>
        </w:rPr>
        <w:t>Disbursement Phase 1</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HSU is signed and in force.</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The JIC is operational and has convened its first meeting.</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The Neutral Escrow Bank is selected and the Account is established.</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The TWG completes initial verification of the Restricted Assets' availability.</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No Level 3 or Level 4 violations have occurred.</w:t>
      </w:r>
    </w:p>
    <w:p>
      <w:pPr>
        <w:pStyle w:val="Heading3"/>
      </w:pPr>
      <w:r>
        <w:rPr>
          <w:rFonts w:ascii="Calibri" w:hAnsi="Calibri" w:eastAsia="Microsoft YaHei" w:cs="Calibri"/>
          <w:b/>
          <w:color w:val="4A5568"/>
          <w:sz w:val="24"/>
          <w:szCs w:val="24"/>
        </w:rPr>
        <w:t>Disbursement Phase 2</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JIC issues a Phase 1 Completion Certificate under Annex 1AD.</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No Level 3 or Level 4 violations occurred during Phase 1.</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The Beneficiary submits a humanitarian procurement plan approved by the JIC.</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The Approved Suppliers List is established.</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The TWG verifies that the humanitarian procurement plan complies with this Annex.</w:t>
      </w:r>
    </w:p>
    <w:p>
      <w:pPr>
        <w:pStyle w:val="Heading3"/>
      </w:pPr>
      <w:r>
        <w:rPr>
          <w:rFonts w:ascii="Calibri" w:hAnsi="Calibri" w:eastAsia="Microsoft YaHei" w:cs="Calibri"/>
          <w:b/>
          <w:color w:val="4A5568"/>
          <w:sz w:val="24"/>
          <w:szCs w:val="24"/>
        </w:rPr>
        <w:t>Disbursement Phase 3</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JIC issues a Phase 2 Completion Certificate under Annex 1AD.</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No Level 3 or Level 4 violations occurred during Phase 2.</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The Beneficiary submits an economic facilitation plan approved by the JIC.</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The TWG verifies that humanitarian procurement is proceeding according to plan.</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The JIC certifies that the Beneficiary is in compliance with all applicable HSU provisions.</w:t>
      </w:r>
    </w:p>
    <w:p>
      <w:pPr>
        <w:pStyle w:val="Heading3"/>
      </w:pPr>
      <w:r>
        <w:rPr>
          <w:rFonts w:ascii="Calibri" w:hAnsi="Calibri" w:eastAsia="Microsoft YaHei" w:cs="Calibri"/>
          <w:b/>
          <w:color w:val="4A5568"/>
          <w:sz w:val="24"/>
          <w:szCs w:val="24"/>
        </w:rPr>
        <w:t>Disbursement Phase 4</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JIC issues a Phase 3 Completion Certificate under Annex 1AD.</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No Level 3 or Level 4 violations occurred during Phase 3.</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The TWG verifies that humanitarian procurement is on track.</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The JIC certifies that the Beneficiary is in sustained compliance.</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The IMO auditor issues a preliminary positive assessment.</w:t>
      </w:r>
    </w:p>
    <w:p>
      <w:pPr>
        <w:pStyle w:val="Heading3"/>
      </w:pPr>
      <w:r>
        <w:rPr>
          <w:rFonts w:ascii="Calibri" w:hAnsi="Calibri" w:eastAsia="Microsoft YaHei" w:cs="Calibri"/>
          <w:b/>
          <w:color w:val="4A5568"/>
          <w:sz w:val="24"/>
          <w:szCs w:val="24"/>
        </w:rPr>
        <w:t>Final Release</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JIC issues a Phase 4 Completion Certificate under Annex 1AD.</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The JIC issues a Full Implementation Certificate.</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No Level 2, 3, or 4 violations occurred during Phase 4.</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The IMO auditor issues a final positive assessment.</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All humanitarian procurement obligations are met.</w:t>
      </w:r>
    </w:p>
    <w:p>
      <w:pPr>
        <w:pStyle w:val="Heading2"/>
      </w:pPr>
      <w:r>
        <w:rPr>
          <w:rFonts w:ascii="Calibri" w:hAnsi="Calibri" w:eastAsia="Microsoft YaHei" w:cs="Calibri"/>
          <w:b/>
          <w:color w:val="1E1E1E"/>
          <w:sz w:val="26"/>
          <w:szCs w:val="26"/>
        </w:rPr>
        <w:t>3.3 Disbursement Procedure</w:t>
      </w:r>
    </w:p>
    <w:p>
      <w:pPr>
        <w:pStyle w:val="Normal"/>
      </w:pPr>
      <w:r>
        <w:rPr>
          <w:rFonts w:ascii="Calibri" w:hAnsi="Calibri" w:eastAsia="Microsoft YaHei" w:cs="Calibri"/>
          <w:color w:val="1E1E1E"/>
          <w:sz w:val="22"/>
          <w:szCs w:val="22"/>
        </w:rPr>
        <w:t>Upon satisfaction of the disbursement triggers in Article 3.2, the following procedure applies:</w:t>
      </w:r>
    </w:p>
    <w:p>
      <w:pPr>
        <w:pStyle w:val="Heading3"/>
      </w:pPr>
      <w:r>
        <w:rPr>
          <w:rFonts w:ascii="Calibri" w:hAnsi="Calibri" w:eastAsia="Microsoft YaHei" w:cs="Calibri"/>
          <w:b/>
          <w:color w:val="4A5568"/>
          <w:sz w:val="24"/>
          <w:szCs w:val="24"/>
        </w:rPr>
        <w:t>Step 1: JIC Certification</w:t>
      </w:r>
    </w:p>
    <w:p>
      <w:pPr>
        <w:pStyle w:val="Normal"/>
      </w:pPr>
      <w:r>
        <w:rPr>
          <w:rFonts w:ascii="Calibri" w:hAnsi="Calibri" w:eastAsia="Microsoft YaHei" w:cs="Calibri"/>
          <w:color w:val="1E1E1E"/>
          <w:sz w:val="22"/>
          <w:szCs w:val="22"/>
        </w:rPr>
        <w:t>The JIC issues a Disbursement Certification, specifying:</w:t>
      </w:r>
    </w:p>
    <w:p>
      <w:pPr>
        <w:ind w:left="720" w:hanging="360"/>
      </w:pPr>
      <w:r>
        <w:rPr>
          <w:b/>
          <w:color w:val="4A5568"/>
        </w:rPr>
        <w:t xml:space="preserve">(a)</w:t>
      </w:r>
      <w:r>
        <w:t xml:space="preserve"> The Phase and amount being disbursed.</w:t>
      </w:r>
    </w:p>
    <w:p>
      <w:pPr>
        <w:ind w:left="720" w:hanging="360"/>
      </w:pPr>
      <w:r>
        <w:rPr>
          <w:b/>
          <w:color w:val="4A5568"/>
        </w:rPr>
        <w:t xml:space="preserve">(b)</w:t>
      </w:r>
      <w:r>
        <w:t xml:space="preserve"> The sub-account from which funds are being released.</w:t>
      </w:r>
    </w:p>
    <w:p>
      <w:pPr>
        <w:ind w:left="720" w:hanging="360"/>
      </w:pPr>
      <w:r>
        <w:rPr>
          <w:b/>
          <w:color w:val="4A5568"/>
        </w:rPr>
        <w:t xml:space="preserve">(c)</w:t>
      </w:r>
      <w:r>
        <w:t xml:space="preserve"> The verification sources confirming compliance.</w:t>
      </w:r>
    </w:p>
    <w:p>
      <w:pPr>
        <w:ind w:left="720" w:hanging="360"/>
      </w:pPr>
      <w:r>
        <w:rPr>
          <w:b/>
          <w:color w:val="4A5568"/>
        </w:rPr>
        <w:t xml:space="preserve">(d)</w:t>
      </w:r>
      <w:r>
        <w:t xml:space="preserve"> The destination account for the disbursement.</w:t>
      </w:r>
    </w:p>
    <w:p>
      <w:pPr>
        <w:ind w:left="720" w:hanging="360"/>
      </w:pPr>
      <w:r>
        <w:rPr>
          <w:b/>
          <w:color w:val="4A5568"/>
        </w:rPr>
        <w:t xml:space="preserve">(e)</w:t>
      </w:r>
      <w:r>
        <w:t xml:space="preserve"> The intended use of funds (humanitarian or economic facilitation).</w:t>
      </w:r>
    </w:p>
    <w:p>
      <w:pPr>
        <w:ind w:left="720" w:hanging="360"/>
      </w:pPr>
      <w:r>
        <w:rPr>
          <w:b/>
          <w:color w:val="4A5568"/>
        </w:rPr>
        <w:t xml:space="preserve">(f)</w:t>
      </w:r>
      <w:r>
        <w:t xml:space="preserve"> Any conditions or restrictions on the use of funds.</w:t>
      </w:r>
    </w:p>
    <w:p>
      <w:r>
        <w:t>The Disbursement Certification requires a three-fourths majority vote of the JIC.</w:t>
      </w:r>
    </w:p>
    <w:p>
      <w:pPr>
        <w:pStyle w:val="Heading3"/>
      </w:pPr>
      <w:r>
        <w:t>Step 2: Bank Authorization</w:t>
      </w:r>
    </w:p>
    <w:p>
      <w:r>
        <w:t>The Neutral Escrow Bank receives the Disbursement Certification and verifies:</w:t>
      </w:r>
    </w:p>
    <w:p>
      <w:pPr>
        <w:ind w:left="720" w:hanging="360"/>
      </w:pPr>
      <w:r>
        <w:rPr>
          <w:b/>
          <w:color w:val="4A5568"/>
        </w:rPr>
        <w:t xml:space="preserve">(a)</w:t>
      </w:r>
      <w:r>
        <w:t xml:space="preserve"> The authenticity of the certification (signatures, timestamps).</w:t>
      </w:r>
    </w:p>
    <w:p>
      <w:pPr>
        <w:ind w:left="720" w:hanging="360"/>
      </w:pPr>
      <w:r>
        <w:rPr>
          <w:b/>
          <w:color w:val="4A5568"/>
        </w:rPr>
        <w:t xml:space="preserve">(b)</w:t>
      </w:r>
      <w:r>
        <w:t xml:space="preserve"> The compliance with all Account rules and procedures.</w:t>
      </w:r>
    </w:p>
    <w:p>
      <w:pPr>
        <w:ind w:left="720" w:hanging="360"/>
      </w:pPr>
      <w:r>
        <w:rPr>
          <w:b/>
          <w:color w:val="4A5568"/>
        </w:rPr>
        <w:t xml:space="preserve">(c)</w:t>
      </w:r>
      <w:r>
        <w:t xml:space="preserve"> The absence of any sanctions or legal restrictions on the transaction.</w:t>
      </w:r>
    </w:p>
    <w:p>
      <w:pPr>
        <w:ind w:left="720" w:hanging="360"/>
      </w:pPr>
      <w:r>
        <w:rPr>
          <w:b/>
          <w:color w:val="4A5568"/>
        </w:rPr>
        <w:t xml:space="preserve">(d)</w:t>
      </w:r>
      <w:r>
        <w:t xml:space="preserve"> The identity of the recipient account.</w:t>
      </w:r>
    </w:p>
    <w:p>
      <w:pPr>
        <w:ind w:left="720" w:hanging="360"/>
      </w:pPr>
      <w:r>
        <w:rPr>
          <w:b/>
          <w:color w:val="4A5568"/>
        </w:rPr>
        <w:t xml:space="preserve">(e)</w:t>
      </w:r>
      <w:r>
        <w:t xml:space="preserve"> The consistency of the disbursement with the Account's humanitarian purpose.</w:t>
      </w:r>
    </w:p>
    <w:p>
      <w:pPr>
        <w:pStyle w:val="Heading3"/>
      </w:pPr>
      <w:r>
        <w:t>Step 3: Funds Transfer</w:t>
      </w:r>
    </w:p>
    <w:p>
      <w:r>
        <w:t>The bank transfers the funds to the designated account, with the following tracking:</w:t>
      </w:r>
    </w:p>
    <w:p>
      <w:pPr>
        <w:ind w:left="720" w:hanging="360"/>
      </w:pPr>
      <w:r>
        <w:rPr>
          <w:b/>
          <w:color w:val="4A5568"/>
        </w:rPr>
        <w:t xml:space="preserve">(a)</w:t>
      </w:r>
      <w:r>
        <w:t xml:space="preserve"> The transfer is logged in the Shared Digital Registry within 6 hours.</w:t>
      </w:r>
    </w:p>
    <w:p>
      <w:pPr>
        <w:ind w:left="720" w:hanging="360"/>
      </w:pPr>
      <w:r>
        <w:rPr>
          <w:b/>
          <w:color w:val="4A5568"/>
        </w:rPr>
        <w:t xml:space="preserve">(b)</w:t>
      </w:r>
      <w:r>
        <w:t xml:space="preserve"> All Parties receive notification within 6 hours.</w:t>
      </w:r>
    </w:p>
    <w:p>
      <w:pPr>
        <w:ind w:left="720" w:hanging="360"/>
      </w:pPr>
      <w:r>
        <w:rPr>
          <w:b/>
          <w:color w:val="4A5568"/>
        </w:rPr>
        <w:t xml:space="preserve">(c)</w:t>
      </w:r>
      <w:r>
        <w:t xml:space="preserve"> The transfer is recorded in the monthly financial statement.</w:t>
      </w:r>
    </w:p>
    <w:p>
      <w:pPr>
        <w:ind w:left="720" w:hanging="360"/>
      </w:pPr>
      <w:r>
        <w:rPr>
          <w:b/>
          <w:color w:val="4A5568"/>
        </w:rPr>
        <w:t xml:space="preserve">(d)</w:t>
      </w:r>
      <w:r>
        <w:t xml:space="preserve"> The transfer is documented in the annual audit report.</w:t>
      </w:r>
    </w:p>
    <w:p>
      <w:pPr>
        <w:pStyle w:val="Heading3"/>
      </w:pPr>
      <w:r>
        <w:t>Step 4: Disbursement Confirmation</w:t>
      </w:r>
    </w:p>
    <w:p>
      <w:r>
        <w:t>The receiving Party confirms receipt of funds and provides:</w:t>
      </w:r>
    </w:p>
    <w:p>
      <w:pPr>
        <w:ind w:left="720" w:hanging="360"/>
      </w:pPr>
      <w:r>
        <w:rPr>
          <w:b/>
          <w:color w:val="4A5568"/>
        </w:rPr>
        <w:t xml:space="preserve">(a)</w:t>
      </w:r>
      <w:r>
        <w:t xml:space="preserve"> A detailed accounting of the use of funds (for humanitarian sub-account).</w:t>
      </w:r>
    </w:p>
    <w:p>
      <w:pPr>
        <w:ind w:left="720" w:hanging="360"/>
      </w:pPr>
      <w:r>
        <w:rPr>
          <w:b/>
          <w:color w:val="4A5568"/>
        </w:rPr>
        <w:t xml:space="preserve">(b)</w:t>
      </w:r>
      <w:r>
        <w:t xml:space="preserve"> A progress report (for economic facilitation sub-account).</w:t>
      </w:r>
    </w:p>
    <w:p>
      <w:pPr>
        <w:ind w:left="720" w:hanging="360"/>
      </w:pPr>
      <w:r>
        <w:rPr>
          <w:b/>
          <w:color w:val="4A5568"/>
        </w:rPr>
        <w:t xml:space="preserve">(c)</w:t>
      </w:r>
      <w:r>
        <w:t xml:space="preserve"> Verification of delivery (for humanitarian goods).</w:t>
      </w:r>
    </w:p>
    <w:p>
      <w:pPr>
        <w:ind w:left="720" w:hanging="360"/>
      </w:pPr>
      <w:r>
        <w:rPr>
          <w:b/>
          <w:color w:val="4A5568"/>
        </w:rPr>
        <w:t xml:space="preserve">(d)</w:t>
      </w:r>
      <w:r>
        <w:t xml:space="preserve"> Documentation of compliance with the intended use of funds.</w:t>
      </w:r>
    </w:p>
    <w:p>
      <w:r>
        <w:t>The confirmation is submitted to the JIC within 30 days of disbursement.</w:t>
      </w:r>
    </w:p>
    <w:p>
      <w:pPr>
        <w:pStyle w:val="Heading2"/>
      </w:pPr>
      <w:r>
        <w:t>3.4 Humanitarian Procurement Protocol</w:t>
      </w:r>
    </w:p>
    <w:p>
      <w:r>
        <w:t>For disbursements from the Humanitarian Sub-Account, the following procurement protocol applies:</w:t>
      </w:r>
    </w:p>
    <w:p>
      <w:pPr>
        <w:pStyle w:val="Heading3"/>
      </w:pPr>
      <w:r>
        <w:t>Approved Suppliers List</w:t>
      </w:r>
    </w:p>
    <w:p>
      <w:r>
        <w:t>The JIC maintains an Approved Suppliers List for Qualified Humanitarian Goods. The list includes:</w:t>
      </w:r>
    </w:p>
    <w:p>
      <w:pPr>
        <w:ind w:left="720" w:hanging="360"/>
      </w:pPr>
      <w:r>
        <w:rPr>
          <w:b/>
          <w:color w:val="4A5568"/>
        </w:rPr>
        <w:t xml:space="preserve">(a)</w:t>
      </w:r>
      <w:r>
        <w:t xml:space="preserve"> Suppliers from all Parties and third countries.</w:t>
      </w:r>
    </w:p>
    <w:p>
      <w:pPr>
        <w:ind w:left="720" w:hanging="360"/>
      </w:pPr>
      <w:r>
        <w:rPr>
          <w:b/>
          <w:color w:val="4A5568"/>
        </w:rPr>
        <w:t xml:space="preserve">(b)</w:t>
      </w:r>
      <w:r>
        <w:t xml:space="preserve"> Suppliers not subject to sanctions or restrictive measures by any Party.</w:t>
      </w:r>
    </w:p>
    <w:p>
      <w:pPr>
        <w:ind w:left="720" w:hanging="360"/>
      </w:pPr>
      <w:r>
        <w:rPr>
          <w:b/>
          <w:color w:val="4A5568"/>
        </w:rPr>
        <w:t xml:space="preserve">(c)</w:t>
      </w:r>
      <w:r>
        <w:t xml:space="preserve"> Suppliers with verifiable track records of humanitarian delivery.</w:t>
      </w:r>
    </w:p>
    <w:p>
      <w:pPr>
        <w:ind w:left="720" w:hanging="360"/>
      </w:pPr>
      <w:r>
        <w:rPr>
          <w:b/>
          <w:color w:val="4A5568"/>
        </w:rPr>
        <w:t xml:space="preserve">(d)</w:t>
      </w:r>
      <w:r>
        <w:t xml:space="preserve"> Suppliers with transparent pricing and supply chain practices.</w:t>
      </w:r>
    </w:p>
    <w:p>
      <w:pPr>
        <w:ind w:left="720" w:hanging="360"/>
      </w:pPr>
      <w:r>
        <w:rPr>
          <w:b/>
          <w:color w:val="4A5568"/>
        </w:rPr>
        <w:t xml:space="preserve">(e)</w:t>
      </w:r>
      <w:r>
        <w:t xml:space="preserve"> Suppliers that meet international quality and safety standards.</w:t>
      </w:r>
    </w:p>
    <w:p>
      <w:r>
        <w:t>The JIC reviews and updates the Approved Suppliers List quarterly. Any Party nominates a supplier for inclusion. The JIC approves nominations by consensus or, if consensus is not achievable, by three-fourths majority vote.</w:t>
      </w:r>
    </w:p>
    <w:p>
      <w:pPr>
        <w:pStyle w:val="Heading3"/>
      </w:pPr>
      <w:r>
        <w:t>Procurement Process</w:t>
      </w:r>
    </w:p>
    <w:p>
      <w:pPr>
        <w:ind w:left="720" w:hanging="360"/>
      </w:pPr>
      <w:r>
        <w:rPr>
          <w:b/>
          <w:color w:val="4A5568"/>
        </w:rPr>
        <w:t xml:space="preserve">(a)</w:t>
      </w:r>
      <w:r>
        <w:t xml:space="preserve"> Request Submission: The Beneficiary submits a procurement request to the JIC.</w:t>
      </w:r>
    </w:p>
    <w:p>
      <w:pPr>
        <w:ind w:left="720" w:hanging="360"/>
      </w:pPr>
      <w:r>
        <w:rPr>
          <w:b/>
          <w:color w:val="4A5568"/>
        </w:rPr>
        <w:t xml:space="preserve">(b)</w:t>
      </w:r>
      <w:r>
        <w:t xml:space="preserve"> Request Contents: The request specifies: the goods being procured (description, quantity, quality standards); the Approved Supplier; the destination (Approved Destination within the Beneficiary's territory); the delivery timeline; the total cost (including shipping and insurance); the verification method for delivery confirmation.</w:t>
      </w:r>
    </w:p>
    <w:p>
      <w:pPr>
        <w:ind w:left="720" w:hanging="360"/>
      </w:pPr>
      <w:r>
        <w:rPr>
          <w:b/>
          <w:color w:val="4A5568"/>
        </w:rPr>
        <w:t xml:space="preserve">(c)</w:t>
      </w:r>
      <w:r>
        <w:t xml:space="preserve"> JIC Review: The JIC reviews and approves the request within 14 days.</w:t>
      </w:r>
    </w:p>
    <w:p>
      <w:pPr>
        <w:ind w:left="720" w:hanging="360"/>
      </w:pPr>
      <w:r>
        <w:rPr>
          <w:b/>
          <w:color w:val="4A5568"/>
        </w:rPr>
        <w:t xml:space="preserve">(d)</w:t>
      </w:r>
      <w:r>
        <w:t xml:space="preserve"> Bank Release: The Neutral Escrow Bank releases funds directly to the Approved Supplier, not to the Beneficiary's government.</w:t>
      </w:r>
    </w:p>
    <w:p>
      <w:pPr>
        <w:ind w:left="720" w:hanging="360"/>
      </w:pPr>
      <w:r>
        <w:rPr>
          <w:b/>
          <w:color w:val="4A5568"/>
        </w:rPr>
        <w:t xml:space="preserve">(e)</w:t>
      </w:r>
      <w:r>
        <w:t xml:space="preserve"> Delivery: The Approved Supplier delivers goods to the Approved Destination.</w:t>
      </w:r>
    </w:p>
    <w:p>
      <w:pPr>
        <w:ind w:left="720" w:hanging="360"/>
      </w:pPr>
      <w:r>
        <w:rPr>
          <w:b/>
          <w:color w:val="4A5568"/>
        </w:rPr>
        <w:t xml:space="preserve">(f)</w:t>
      </w:r>
      <w:r>
        <w:t xml:space="preserve"> Confirmation: The Beneficiary confirms receipt of goods and provides documentation.</w:t>
      </w:r>
    </w:p>
    <w:p>
      <w:pPr>
        <w:pStyle w:val="Heading3"/>
      </w:pPr>
      <w:r>
        <w:t>Verification</w:t>
      </w:r>
    </w:p>
    <w:p>
      <w:pPr>
        <w:ind w:left="720" w:hanging="360"/>
      </w:pPr>
      <w:r>
        <w:rPr>
          <w:b/>
          <w:color w:val="4A5568"/>
        </w:rPr>
        <w:t xml:space="preserve">(a)</w:t>
      </w:r>
      <w:r>
        <w:t xml:space="preserve"> The Beneficiary verifies receipt of goods and submits documentation to the JIC within 14 days.</w:t>
      </w:r>
    </w:p>
    <w:p>
      <w:pPr>
        <w:ind w:left="720" w:hanging="360"/>
      </w:pPr>
      <w:r>
        <w:rPr>
          <w:b/>
          <w:color w:val="4A5568"/>
        </w:rPr>
        <w:t xml:space="preserve">(b)</w:t>
      </w:r>
      <w:r>
        <w:t xml:space="preserve"> The TWG conducts spot checks on deliveries (random sampling, minimum 10% of transactions).</w:t>
      </w:r>
    </w:p>
    <w:p>
      <w:pPr>
        <w:ind w:left="720" w:hanging="360"/>
      </w:pPr>
      <w:r>
        <w:rPr>
          <w:b/>
          <w:color w:val="4A5568"/>
        </w:rPr>
        <w:t xml:space="preserve">(c)</w:t>
      </w:r>
      <w:r>
        <w:t xml:space="preserve"> The TWG reports findings to the JIC quarterly.</w:t>
      </w:r>
    </w:p>
    <w:p>
      <w:pPr>
        <w:ind w:left="720" w:hanging="360"/>
      </w:pPr>
      <w:r>
        <w:rPr>
          <w:b/>
          <w:color w:val="4A5568"/>
        </w:rPr>
        <w:t xml:space="preserve">(d)</w:t>
      </w:r>
      <w:r>
        <w:t xml:space="preserve"> All procurement records are published in the annual transparency report.</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The IMO auditor reviews procurement compliance annually.</w:t>
      </w:r>
    </w:p>
    <w:p>
      <w:pPr>
        <w:pStyle w:val="Heading3"/>
      </w:pPr>
      <w:r>
        <w:rPr>
          <w:rFonts w:ascii="Calibri" w:hAnsi="Calibri" w:eastAsia="Microsoft YaHei" w:cs="Calibri"/>
          <w:b/>
          <w:color w:val="4A5568"/>
          <w:sz w:val="24"/>
          <w:szCs w:val="24"/>
        </w:rPr>
        <w:t>Emergency Procurement</w:t>
      </w:r>
    </w:p>
    <w:p>
      <w:pPr>
        <w:pStyle w:val="Normal"/>
      </w:pPr>
      <w:r>
        <w:rPr>
          <w:rFonts w:ascii="Calibri" w:hAnsi="Calibri" w:eastAsia="Microsoft YaHei" w:cs="Calibri"/>
          <w:color w:val="1E1E1E"/>
          <w:sz w:val="22"/>
          <w:szCs w:val="22"/>
        </w:rPr>
        <w:t>In the event of a humanitarian emergency (as defined by the UN), the following expedited procedure applies: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Beneficiary submits an emergency procurement request.</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The JIC reviews and approves within 72 hours.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The Neutral Escrow Bank releases funds within 24 hours of approval.</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The Beneficiary submits documentation within 30 days of delivery.</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The JIC reviews the emergency procurement at its next regular session.</w:t>
      </w:r>
    </w:p>
    <w:p>
      <w:pPr>
        <w:pStyle w:val="Heading3"/>
      </w:pPr>
      <w:r>
        <w:rPr>
          <w:rFonts w:ascii="Calibri" w:hAnsi="Calibri" w:eastAsia="Microsoft YaHei" w:cs="Calibri"/>
          <w:b/>
          <w:color w:val="4A5568"/>
          <w:sz w:val="24"/>
          <w:szCs w:val="24"/>
        </w:rPr>
        <w:t>Supply Chain Integrity Standards</w:t>
      </w:r>
    </w:p>
    <w:p>
      <w:pPr>
        <w:pStyle w:val="Normal"/>
      </w:pPr>
      <w:r>
        <w:rPr>
          <w:rFonts w:ascii="Calibri" w:hAnsi="Calibri" w:eastAsia="Microsoft YaHei" w:cs="Calibri"/>
          <w:color w:val="1E1E1E"/>
          <w:sz w:val="22"/>
          <w:szCs w:val="22"/>
        </w:rPr>
        <w:t>All Approved Suppliers comply with ISO 28000 Supply Chain Security and UN OCHA Humanitarian Logistics Standards. Blockchain traceability applies to all shipments exceeding USD $1 million. The TWG compares all procurement against UN Global Marketplace price indices; deviations exceeding 15 percent trigger automatic review. Supplier sanctions status re-verifies every 30 days.</w:t>
      </w:r>
    </w:p>
    <w:p>
      <w:pPr>
        <w:pStyle w:val="Heading2"/>
      </w:pPr>
      <w:r>
        <w:rPr>
          <w:rFonts w:ascii="Calibri" w:hAnsi="Calibri" w:eastAsia="Microsoft YaHei" w:cs="Calibri"/>
          <w:b/>
          <w:color w:val="1E1E1E"/>
          <w:sz w:val="26"/>
          <w:szCs w:val="26"/>
        </w:rPr>
        <w:t>3.5 Currency Stabilization Measures</w:t>
      </w:r>
    </w:p>
    <w:p>
      <w:pPr>
        <w:pStyle w:val="Normal"/>
      </w:pPr>
      <w:r>
        <w:rPr>
          <w:rFonts w:ascii="Calibri" w:hAnsi="Calibri" w:eastAsia="Microsoft YaHei" w:cs="Calibri"/>
          <w:color w:val="1E1E1E"/>
          <w:sz w:val="22"/>
          <w:szCs w:val="22"/>
        </w:rPr>
        <w:t>The Economic Facilitation Sub-Account is available for currency stabilization measures if the Parties agree and if such measures are consistent with applicable sanctions laws. Currency stabilization disbursements require unanimous JIC consent and prior written confirmation from the Neutral Escrow Bank that the proposed transaction does not expose the bank to sanctions risk. The JIC reviews all currency stabilization proposals at a dedicated session before authorization.</w:t>
      </w:r>
    </w:p>
    <w:p>
      <w:pPr>
        <w:pStyle w:val="Heading2"/>
      </w:pPr>
      <w:r>
        <w:rPr>
          <w:rFonts w:ascii="Calibri" w:hAnsi="Calibri" w:eastAsia="Microsoft YaHei" w:cs="Calibri"/>
          <w:b/>
          <w:color w:val="1E1E1E"/>
          <w:sz w:val="26"/>
          <w:szCs w:val="26"/>
        </w:rPr>
        <w:t>3.6 Pre-Positioned Humanitarian Reserves</w:t>
      </w:r>
    </w:p>
    <w:p>
      <w:pPr>
        <w:pStyle w:val="Normal"/>
      </w:pPr>
      <w:r>
        <w:rPr>
          <w:rFonts w:ascii="Calibri" w:hAnsi="Calibri" w:eastAsia="Microsoft YaHei" w:cs="Calibri"/>
          <w:color w:val="1E1E1E"/>
          <w:sz w:val="22"/>
          <w:szCs w:val="22"/>
        </w:rPr>
        <w:t>A USD $100 million Rapid Response Tranche operates within the Humanitarian Sub-Account. Funds remain in liquid form and are accessible via the Emergency Signatory procedure. The JIC pre-approves standing procurement agreements with 3-5 global humanitarian logistics providers. In a UN-declared emergency, the JIC Chair authorizes disbursement up to USD $5 million per incident without full JIC review, provided: (i) a UN-declared emergency exists; (ii) the TWG receives notification within 6 hours; (iii) the JIC ratifies within 72 hours; (iv) the JIC Chair provides a written justification; (v) the disbursement posts to the Shared Digital Registry within 12 hours. Unratified disbursements reverse automatically. The aggregate Rapid Response disbursements in any 12-month period do not exceed USD $25 million without JIC approval. Unused Rapid Response funds roll back into the Humanitarian Sub-Account quarterly.</w:t>
      </w:r>
    </w:p>
    <w:p>
      <w:pPr>
        <w:pStyle w:val="Heading1"/>
      </w:pPr>
      <w:bookmarkStart w:name="_Toc005" w:id="6"/>
      <w:r>
        <w:rPr>
          <w:rFonts w:ascii="Calibri" w:hAnsi="Calibri" w:eastAsia="Microsoft YaHei" w:cs="Calibri"/>
          <w:b/>
          <w:color w:val="1A2744"/>
          <w:sz w:val="32"/>
          <w:szCs w:val="32"/>
        </w:rPr>
        <w:t>Article 4: Verification and Compliance</w:t>
      </w:r>
      <w:bookmarkEnd w:id="6"/>
    </w:p>
    <w:p>
      <w:pPr>
        <w:pStyle w:val="Heading2"/>
      </w:pPr>
      <w:r>
        <w:rPr>
          <w:rFonts w:ascii="Calibri" w:hAnsi="Calibri" w:eastAsia="Microsoft YaHei" w:cs="Calibri"/>
          <w:b/>
          <w:color w:val="1E1E1E"/>
          <w:sz w:val="26"/>
          <w:szCs w:val="26"/>
        </w:rPr>
        <w:t>4.1 Verification Standards</w:t>
      </w:r>
    </w:p>
    <w:p>
      <w:pPr>
        <w:pStyle w:val="Normal"/>
      </w:pPr>
      <w:r>
        <w:rPr>
          <w:rFonts w:ascii="Calibri" w:hAnsi="Calibri" w:eastAsia="Microsoft YaHei" w:cs="Calibri"/>
          <w:color w:val="1E1E1E"/>
          <w:sz w:val="22"/>
          <w:szCs w:val="22"/>
        </w:rPr>
        <w:t>Compliance with this Annex is verified using the following standards: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Two-Source Verification: All compliance findings require at least two independent monitoring sources.</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Consistency Standard: The data values fall within the measurement tolerance defined for each metric.</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Timeliness: Data collection occurs within 15 minutes of the alleged incident (for operational matters) or within 15 days (for procurement matters).</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Corroboration: A single-source finding receives provisional status pending corroboration.</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Independence: The sources are not derived from the same sensor, platform, or entity.</w:t>
      </w:r>
    </w:p>
    <w:p>
      <w:pPr>
        <w:pStyle w:val="Normal"/>
        <w:ind w:left="720" w:hanging="360"/>
      </w:pPr>
      <w:r>
        <w:rPr>
          <w:b/>
          <w:color w:val="4A5568"/>
          <w:rFonts w:ascii="Calibri" w:hAnsi="Calibri" w:eastAsia="Microsoft YaHei" w:cs="Calibri"/>
          <w:sz w:val="22"/>
          <w:szCs w:val="22"/>
        </w:rPr>
        <w:t>(f)</w:t>
      </w:r>
      <w:r>
        <w:rPr>
          <w:rFonts w:ascii="Calibri" w:hAnsi="Calibri" w:eastAsia="Microsoft YaHei" w:cs="Calibri"/>
          <w:color w:val="1E1E1E"/>
          <w:sz w:val="22"/>
          <w:szCs w:val="22"/>
        </w:rPr>
        <w:t xml:space="preserve"> Transparency: All verification records are maintained in the Shared Digital Registry.</w:t>
      </w:r>
    </w:p>
    <w:p>
      <w:pPr>
        <w:pStyle w:val="Heading3"/>
      </w:pPr>
      <w:r>
        <w:rPr>
          <w:rFonts w:ascii="Calibri" w:hAnsi="Calibri" w:eastAsia="Microsoft YaHei" w:cs="Calibri"/>
          <w:b/>
          <w:color w:val="4A5568"/>
          <w:sz w:val="24"/>
          <w:szCs w:val="24"/>
        </w:rPr>
        <w:t>Measurement Tolerances</w:t>
      </w:r>
    </w:p>
    <w:tbl>
      <w:tblPr>
        <w:tblW w:w="5000" w:type="pct"/>
        <w:tblBorders>
          <w:top w:val="single" w:color="1A2744" w:sz="12"/>
          <w:left w:val="nil"/>
          <w:bottom w:val="single" w:color="1A2744" w:sz="12"/>
          <w:right w:val="nil"/>
          <w:insideH w:val="single" w:color="D1D5DB" w:sz="4"/>
          <w:insideV w:val="nil"/>
        </w:tblBorders>
      </w:tblPr>
      <w:tblGrid>
        <w:gridCol w:w="3000"/>
        <w:gridCol w:w="3000"/>
        <w:gridCol w:w="3000"/>
      </w:tblGrid>
      <w:tr>
        <w:trPr>
          <w:tblHeader w:val="1"/>
        </w:trPr>
        <w:tc>
          <w:tcPr>
            <w:tcW w:w="3000" w:type="dxa"/>
            <w:shd w:val="clear" w:fill="F1F2F4" w:color="auto"/>
          </w:tcPr>
          <w:p>
            <w:pPr>
              <w:pStyle w:val="Normal"/>
              <w:spacing w:before="60" w:after="60"/>
              <w:jc w:val="center"/>
            </w:pPr>
            <w:r>
              <w:rPr>
                <w:b/>
                <w:color w:val="1E1E1E"/>
                <w:sz w:val="20"/>
                <w:rFonts w:ascii="Calibri" w:hAnsi="Calibri" w:eastAsia="Microsoft YaHei" w:cs="Calibri"/>
                <w:szCs w:val="20"/>
              </w:rPr>
              <w:t>Metric</w:t>
            </w:r>
          </w:p>
        </w:tc>
        <w:tc>
          <w:tcPr>
            <w:tcW w:w="3000" w:type="dxa"/>
            <w:shd w:val="clear" w:fill="F1F2F4" w:color="auto"/>
          </w:tcPr>
          <w:p>
            <w:pPr>
              <w:pStyle w:val="Normal"/>
              <w:spacing w:before="60" w:after="60"/>
              <w:jc w:val="center"/>
            </w:pPr>
            <w:r>
              <w:rPr>
                <w:b/>
                <w:color w:val="1E1E1E"/>
                <w:sz w:val="20"/>
                <w:rFonts w:ascii="Calibri" w:hAnsi="Calibri" w:eastAsia="Microsoft YaHei" w:cs="Calibri"/>
                <w:szCs w:val="20"/>
              </w:rPr>
              <w:t>Tolerance</w:t>
            </w:r>
          </w:p>
        </w:tc>
        <w:tc>
          <w:tcPr>
            <w:tcW w:w="3000" w:type="dxa"/>
            <w:shd w:val="clear" w:fill="F1F2F4" w:color="auto"/>
          </w:tcPr>
          <w:p>
            <w:pPr>
              <w:pStyle w:val="Normal"/>
              <w:spacing w:before="60" w:after="60"/>
              <w:jc w:val="center"/>
            </w:pPr>
            <w:r>
              <w:rPr>
                <w:b/>
                <w:color w:val="1E1E1E"/>
                <w:sz w:val="20"/>
                <w:rFonts w:ascii="Calibri" w:hAnsi="Calibri" w:eastAsia="Microsoft YaHei" w:cs="Calibri"/>
                <w:szCs w:val="20"/>
              </w:rPr>
              <w:t>Verification Source</w:t>
            </w:r>
          </w:p>
        </w:tc>
      </w:tr>
      <w:tr>
        <w:tc>
          <w:tcPr>
            <w:tcW w:w="3000" w:type="dxa"/>
          </w:tcPr>
          <w:p>
            <w:pPr>
              <w:pStyle w:val="Normal"/>
              <w:spacing w:before="40" w:after="40"/>
            </w:pPr>
            <w:r>
              <w:rPr>
                <w:color w:val="1E1E1E"/>
                <w:sz w:val="20"/>
                <w:rFonts w:ascii="Calibri" w:hAnsi="Calibri" w:eastAsia="Microsoft YaHei" w:cs="Calibri"/>
                <w:szCs w:val="20"/>
              </w:rPr>
              <w:t>Procurement amount</w:t>
            </w:r>
          </w:p>
        </w:tc>
        <w:tc>
          <w:tcPr>
            <w:tcW w:w="3000" w:type="dxa"/>
          </w:tcPr>
          <w:p>
            <w:pPr>
              <w:pStyle w:val="Normal"/>
              <w:spacing w:before="40" w:after="40"/>
            </w:pPr>
            <w:r>
              <w:rPr>
                <w:color w:val="1E1E1E"/>
                <w:sz w:val="20"/>
                <w:rFonts w:ascii="Calibri" w:hAnsi="Calibri" w:eastAsia="Microsoft YaHei" w:cs="Calibri"/>
                <w:szCs w:val="20"/>
              </w:rPr>
              <w:t>+/-5%</w:t>
            </w:r>
          </w:p>
        </w:tc>
        <w:tc>
          <w:tcPr>
            <w:tcW w:w="3000" w:type="dxa"/>
          </w:tcPr>
          <w:p>
            <w:pPr>
              <w:pStyle w:val="Normal"/>
              <w:spacing w:before="40" w:after="40"/>
            </w:pPr>
            <w:r>
              <w:rPr>
                <w:color w:val="1E1E1E"/>
                <w:sz w:val="20"/>
                <w:rFonts w:ascii="Calibri" w:hAnsi="Calibri" w:eastAsia="Microsoft YaHei" w:cs="Calibri"/>
                <w:szCs w:val="20"/>
              </w:rPr>
              <w:t>Bank records, supplier invoices</w:t>
            </w:r>
          </w:p>
        </w:tc>
      </w:tr>
      <w:tr>
        <w:tc>
          <w:tcPr>
            <w:tcW w:w="3000" w:type="dxa"/>
          </w:tcPr>
          <w:p>
            <w:pPr>
              <w:pStyle w:val="Normal"/>
              <w:spacing w:before="40" w:after="40"/>
            </w:pPr>
            <w:r>
              <w:rPr>
                <w:color w:val="1E1E1E"/>
                <w:sz w:val="20"/>
                <w:rFonts w:ascii="Calibri" w:hAnsi="Calibri" w:eastAsia="Microsoft YaHei" w:cs="Calibri"/>
                <w:szCs w:val="20"/>
              </w:rPr>
              <w:t>Delivery timeline</w:t>
            </w:r>
          </w:p>
        </w:tc>
        <w:tc>
          <w:tcPr>
            <w:tcW w:w="3000" w:type="dxa"/>
          </w:tcPr>
          <w:p>
            <w:pPr>
              <w:pStyle w:val="Normal"/>
              <w:spacing w:before="40" w:after="40"/>
            </w:pPr>
            <w:r>
              <w:rPr>
                <w:color w:val="1E1E1E"/>
                <w:sz w:val="20"/>
                <w:rFonts w:ascii="Calibri" w:hAnsi="Calibri" w:eastAsia="Microsoft YaHei" w:cs="Calibri"/>
                <w:szCs w:val="20"/>
              </w:rPr>
              <w:t>+/-7 days</w:t>
            </w:r>
          </w:p>
        </w:tc>
        <w:tc>
          <w:tcPr>
            <w:tcW w:w="3000" w:type="dxa"/>
          </w:tcPr>
          <w:p>
            <w:pPr>
              <w:pStyle w:val="Normal"/>
              <w:spacing w:before="40" w:after="40"/>
            </w:pPr>
            <w:r>
              <w:rPr>
                <w:color w:val="1E1E1E"/>
                <w:sz w:val="20"/>
                <w:rFonts w:ascii="Calibri" w:hAnsi="Calibri" w:eastAsia="Microsoft YaHei" w:cs="Calibri"/>
                <w:szCs w:val="20"/>
              </w:rPr>
              <w:t>Shipping documents, customs records</w:t>
            </w:r>
          </w:p>
        </w:tc>
      </w:tr>
      <w:tr>
        <w:tc>
          <w:tcPr>
            <w:tcW w:w="3000" w:type="dxa"/>
          </w:tcPr>
          <w:p>
            <w:pPr>
              <w:pStyle w:val="Normal"/>
              <w:spacing w:before="40" w:after="40"/>
            </w:pPr>
            <w:r>
              <w:rPr>
                <w:color w:val="1E1E1E"/>
                <w:sz w:val="20"/>
                <w:rFonts w:ascii="Calibri" w:hAnsi="Calibri" w:eastAsia="Microsoft YaHei" w:cs="Calibri"/>
                <w:szCs w:val="20"/>
              </w:rPr>
              <w:t>Goods quality</w:t>
            </w:r>
          </w:p>
        </w:tc>
        <w:tc>
          <w:tcPr>
            <w:tcW w:w="3000" w:type="dxa"/>
          </w:tcPr>
          <w:p>
            <w:pPr>
              <w:pStyle w:val="Normal"/>
              <w:spacing w:before="40" w:after="40"/>
            </w:pPr>
            <w:r>
              <w:rPr>
                <w:color w:val="1E1E1E"/>
                <w:sz w:val="20"/>
                <w:rFonts w:ascii="Calibri" w:hAnsi="Calibri" w:eastAsia="Microsoft YaHei" w:cs="Calibri"/>
                <w:szCs w:val="20"/>
              </w:rPr>
              <w:t>As specified</w:t>
            </w:r>
          </w:p>
        </w:tc>
        <w:tc>
          <w:tcPr>
            <w:tcW w:w="3000" w:type="dxa"/>
          </w:tcPr>
          <w:p>
            <w:pPr>
              <w:pStyle w:val="Normal"/>
              <w:spacing w:before="40" w:after="40"/>
            </w:pPr>
            <w:r>
              <w:rPr>
                <w:color w:val="1E1E1E"/>
                <w:sz w:val="20"/>
                <w:rFonts w:ascii="Calibri" w:hAnsi="Calibri" w:eastAsia="Microsoft YaHei" w:cs="Calibri"/>
                <w:szCs w:val="20"/>
              </w:rPr>
              <w:t>Third-party inspection</w:t>
            </w:r>
          </w:p>
        </w:tc>
      </w:tr>
      <w:tr>
        <w:tc>
          <w:tcPr>
            <w:tcW w:w="3000" w:type="dxa"/>
          </w:tcPr>
          <w:p>
            <w:pPr>
              <w:pStyle w:val="Normal"/>
              <w:spacing w:before="40" w:after="40"/>
            </w:pPr>
            <w:r>
              <w:rPr>
                <w:color w:val="1E1E1E"/>
                <w:sz w:val="20"/>
                <w:rFonts w:ascii="Calibri" w:hAnsi="Calibri" w:eastAsia="Microsoft YaHei" w:cs="Calibri"/>
                <w:szCs w:val="20"/>
              </w:rPr>
              <w:t>Use of funds</w:t>
            </w:r>
          </w:p>
        </w:tc>
        <w:tc>
          <w:tcPr>
            <w:tcW w:w="3000" w:type="dxa"/>
          </w:tcPr>
          <w:p>
            <w:pPr>
              <w:pStyle w:val="Normal"/>
              <w:spacing w:before="40" w:after="40"/>
            </w:pPr>
            <w:r>
              <w:rPr>
                <w:color w:val="1E1E1E"/>
                <w:sz w:val="20"/>
                <w:rFonts w:ascii="Calibri" w:hAnsi="Calibri" w:eastAsia="Microsoft YaHei" w:cs="Calibri"/>
                <w:szCs w:val="20"/>
              </w:rPr>
              <w:t>100% compliance</w:t>
            </w:r>
          </w:p>
        </w:tc>
        <w:tc>
          <w:tcPr>
            <w:tcW w:w="3000" w:type="dxa"/>
          </w:tcPr>
          <w:p>
            <w:pPr>
              <w:pStyle w:val="Normal"/>
              <w:spacing w:before="40" w:after="40"/>
            </w:pPr>
            <w:r>
              <w:rPr>
                <w:color w:val="1E1E1E"/>
                <w:sz w:val="20"/>
                <w:rFonts w:ascii="Calibri" w:hAnsi="Calibri" w:eastAsia="Microsoft YaHei" w:cs="Calibri"/>
                <w:szCs w:val="20"/>
              </w:rPr>
              <w:t>Bank records, JIC review</w:t>
            </w:r>
          </w:p>
        </w:tc>
      </w:tr>
      <w:tr>
        <w:tc>
          <w:tcPr>
            <w:tcW w:w="3000" w:type="dxa"/>
          </w:tcPr>
          <w:p>
            <w:pPr>
              <w:pStyle w:val="Normal"/>
              <w:spacing w:before="40" w:after="40"/>
            </w:pPr>
            <w:r>
              <w:rPr>
                <w:color w:val="1E1E1E"/>
                <w:sz w:val="20"/>
                <w:rFonts w:ascii="Calibri" w:hAnsi="Calibri" w:eastAsia="Microsoft YaHei" w:cs="Calibri"/>
                <w:szCs w:val="20"/>
              </w:rPr>
              <w:t>Sanctions compliance</w:t>
            </w:r>
          </w:p>
        </w:tc>
        <w:tc>
          <w:tcPr>
            <w:tcW w:w="3000" w:type="dxa"/>
          </w:tcPr>
          <w:p>
            <w:pPr>
              <w:pStyle w:val="Normal"/>
              <w:spacing w:before="40" w:after="40"/>
            </w:pPr>
            <w:r>
              <w:rPr>
                <w:color w:val="1E1E1E"/>
                <w:sz w:val="20"/>
                <w:rFonts w:ascii="Calibri" w:hAnsi="Calibri" w:eastAsia="Microsoft YaHei" w:cs="Calibri"/>
                <w:szCs w:val="20"/>
              </w:rPr>
              <w:t>100% compliance</w:t>
            </w:r>
          </w:p>
        </w:tc>
        <w:tc>
          <w:tcPr>
            <w:tcW w:w="3000" w:type="dxa"/>
          </w:tcPr>
          <w:p>
            <w:pPr>
              <w:pStyle w:val="Normal"/>
              <w:spacing w:before="40" w:after="40"/>
            </w:pPr>
            <w:r>
              <w:rPr>
                <w:color w:val="1E1E1E"/>
                <w:sz w:val="20"/>
                <w:rFonts w:ascii="Calibri" w:hAnsi="Calibri" w:eastAsia="Microsoft YaHei" w:cs="Calibri"/>
                <w:szCs w:val="20"/>
              </w:rPr>
              <w:t>Sanctions screening, JIC review</w:t>
            </w:r>
          </w:p>
        </w:tc>
      </w:tr>
    </w:tbl>
    <w:p>
      <w:pPr>
        <w:pStyle w:val="Heading2"/>
      </w:pPr>
      <w:r>
        <w:rPr>
          <w:rFonts w:ascii="Calibri" w:hAnsi="Calibri" w:eastAsia="Microsoft YaHei" w:cs="Calibri"/>
          <w:b/>
          <w:color w:val="1E1E1E"/>
          <w:sz w:val="26"/>
          <w:szCs w:val="26"/>
        </w:rPr>
        <w:t>4.2 Verification Body</w:t>
      </w:r>
    </w:p>
    <w:p>
      <w:pPr>
        <w:pStyle w:val="Normal"/>
      </w:pPr>
      <w:r>
        <w:rPr>
          <w:rFonts w:ascii="Calibri" w:hAnsi="Calibri" w:eastAsia="Microsoft YaHei" w:cs="Calibri"/>
          <w:color w:val="1E1E1E"/>
          <w:sz w:val="22"/>
          <w:szCs w:val="22"/>
        </w:rPr>
        <w:t>The Technical Working Group (TWG) serves as the primary verification body for this Annex, with the following responsibilities: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TWG verifies compliance with disbursement triggers under Article 3.2.</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The TWG verifies the use of humanitarian funds under Article 3.4.</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The TWG verifies the delivery of Qualified Humanitarian Goods.</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The TWG conducts spot checks and audits on procurement transactions.</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The TWG reports findings to the JIC quarterly.</w:t>
      </w:r>
    </w:p>
    <w:p>
      <w:pPr>
        <w:pStyle w:val="Normal"/>
        <w:ind w:left="720" w:hanging="360"/>
      </w:pPr>
      <w:r>
        <w:rPr>
          <w:b/>
          <w:color w:val="4A5568"/>
          <w:rFonts w:ascii="Calibri" w:hAnsi="Calibri" w:eastAsia="Microsoft YaHei" w:cs="Calibri"/>
          <w:sz w:val="22"/>
          <w:szCs w:val="22"/>
        </w:rPr>
        <w:t>(f)</w:t>
      </w:r>
      <w:r>
        <w:rPr>
          <w:rFonts w:ascii="Calibri" w:hAnsi="Calibri" w:eastAsia="Microsoft YaHei" w:cs="Calibri"/>
          <w:color w:val="1E1E1E"/>
          <w:sz w:val="22"/>
          <w:szCs w:val="22"/>
        </w:rPr>
        <w:t xml:space="preserve"> The TWG investigates allegations of misuse or diversion of funds.</w:t>
      </w:r>
    </w:p>
    <w:p>
      <w:pPr>
        <w:pStyle w:val="Heading3"/>
      </w:pPr>
      <w:r>
        <w:rPr>
          <w:rFonts w:ascii="Calibri" w:hAnsi="Calibri" w:eastAsia="Microsoft YaHei" w:cs="Calibri"/>
          <w:b/>
          <w:color w:val="4A5568"/>
          <w:sz w:val="24"/>
          <w:szCs w:val="24"/>
        </w:rPr>
        <w:t>TWG Powers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Access to all Account records and transaction data.</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Authority to request additional documentation from the Beneficiary or Approved Suppliers.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Authority to conduct on-site inspections of Approved Destinations.</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Authority to commission independent third-party audits.</w:t>
      </w:r>
    </w:p>
    <w:p>
      <w:pPr>
        <w:pStyle w:val="Heading3"/>
      </w:pPr>
      <w:r>
        <w:rPr>
          <w:rFonts w:ascii="Calibri" w:hAnsi="Calibri" w:eastAsia="Microsoft YaHei" w:cs="Calibri"/>
          <w:b/>
          <w:color w:val="4A5568"/>
          <w:sz w:val="24"/>
          <w:szCs w:val="24"/>
        </w:rPr>
        <w:t>TWG Reporting</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Monthly status reports to the JIC.</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Quarterly verification reports published in the Compliance Dashboard.</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Annual verification summary submitted to the IMO auditor.</w:t>
      </w:r>
    </w:p>
    <w:p>
      <w:pPr>
        <w:pStyle w:val="Heading2"/>
      </w:pPr>
      <w:r>
        <w:rPr>
          <w:rFonts w:ascii="Calibri" w:hAnsi="Calibri" w:eastAsia="Microsoft YaHei" w:cs="Calibri"/>
          <w:b/>
          <w:color w:val="1E1E1E"/>
          <w:sz w:val="26"/>
          <w:szCs w:val="26"/>
        </w:rPr>
        <w:t>4.3 Independent Auditor</w:t>
      </w:r>
    </w:p>
    <w:p>
      <w:pPr>
        <w:pStyle w:val="Normal"/>
      </w:pPr>
      <w:r>
        <w:rPr>
          <w:rFonts w:ascii="Calibri" w:hAnsi="Calibri" w:eastAsia="Microsoft YaHei" w:cs="Calibri"/>
          <w:color w:val="1E1E1E"/>
          <w:sz w:val="22"/>
          <w:szCs w:val="22"/>
        </w:rPr>
        <w:t>The IMO appoints an independent auditor to conduct the following audits:</w:t>
      </w:r>
    </w:p>
    <w:p>
      <w:pPr>
        <w:pStyle w:val="Heading3"/>
      </w:pPr>
      <w:r>
        <w:rPr>
          <w:rFonts w:ascii="Calibri" w:hAnsi="Calibri" w:eastAsia="Microsoft YaHei" w:cs="Calibri"/>
          <w:b/>
          <w:color w:val="4A5568"/>
          <w:sz w:val="24"/>
          <w:szCs w:val="24"/>
        </w:rPr>
        <w:t>Annual Financial Audit</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Comprehensive review of the Goodwill Escrow Account's financial statements.</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Verification of all disbursements and receipts.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Assessment of internal controls and financial management.</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Certification of the Account's compliance with International Financial Reporting Standards (IFRS).</w:t>
      </w:r>
    </w:p>
    <w:p>
      <w:pPr>
        <w:pStyle w:val="Heading3"/>
      </w:pPr>
      <w:r>
        <w:rPr>
          <w:rFonts w:ascii="Calibri" w:hAnsi="Calibri" w:eastAsia="Microsoft YaHei" w:cs="Calibri"/>
          <w:b/>
          <w:color w:val="4A5568"/>
          <w:sz w:val="24"/>
          <w:szCs w:val="24"/>
        </w:rPr>
        <w:t>Humanitarian Audit</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Assessment of the procurement and delivery of humanitarian goods.</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Verification of the Approved Suppliers List and procurement process.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Evaluation of the effectiveness of humanitarian assistance.</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Identification of areas for improvement.</w:t>
      </w:r>
    </w:p>
    <w:p>
      <w:pPr>
        <w:pStyle w:val="Heading3"/>
      </w:pPr>
      <w:r>
        <w:rPr>
          <w:rFonts w:ascii="Calibri" w:hAnsi="Calibri" w:eastAsia="Microsoft YaHei" w:cs="Calibri"/>
          <w:b/>
          <w:color w:val="4A5568"/>
          <w:sz w:val="24"/>
          <w:szCs w:val="24"/>
        </w:rPr>
        <w:t>Compliance Audit</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Verification that all Parties adhere to the terms of this Annex.</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Assessment of the Beneficiary's use of funds.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Evaluation of the JIC's oversight and verification activities.</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Recommendations for compliance improvement.</w:t>
      </w:r>
    </w:p>
    <w:p>
      <w:pPr>
        <w:pStyle w:val="Heading3"/>
      </w:pPr>
      <w:r>
        <w:rPr>
          <w:rFonts w:ascii="Calibri" w:hAnsi="Calibri" w:eastAsia="Microsoft YaHei" w:cs="Calibri"/>
          <w:b/>
          <w:color w:val="4A5568"/>
          <w:sz w:val="24"/>
          <w:szCs w:val="24"/>
        </w:rPr>
        <w:t>Special Audits</w:t>
      </w:r>
    </w:p>
    <w:p>
      <w:pPr>
        <w:pStyle w:val="Normal"/>
      </w:pPr>
      <w:r>
        <w:rPr>
          <w:rFonts w:ascii="Calibri" w:hAnsi="Calibri" w:eastAsia="Microsoft YaHei" w:cs="Calibri"/>
          <w:color w:val="1E1E1E"/>
          <w:sz w:val="22"/>
          <w:szCs w:val="22"/>
        </w:rPr>
        <w:t>Any Party or the JIC requests a special audit with 30 days' notice. The IMO appoints auditors within 14 days of the request. The special audit is completed within 60 days.</w:t>
      </w:r>
    </w:p>
    <w:p>
      <w:pPr>
        <w:pStyle w:val="Heading2"/>
      </w:pPr>
      <w:r>
        <w:rPr>
          <w:rFonts w:ascii="Calibri" w:hAnsi="Calibri" w:eastAsia="Microsoft YaHei" w:cs="Calibri"/>
          <w:b/>
          <w:color w:val="1E1E1E"/>
          <w:sz w:val="26"/>
          <w:szCs w:val="26"/>
        </w:rPr>
        <w:t>4.4 Compliance Consequences</w:t>
      </w:r>
    </w:p>
    <w:p>
      <w:pPr>
        <w:pStyle w:val="Normal"/>
      </w:pPr>
      <w:r>
        <w:rPr>
          <w:rFonts w:ascii="Calibri" w:hAnsi="Calibri" w:eastAsia="Microsoft YaHei" w:cs="Calibri"/>
          <w:color w:val="1E1E1E"/>
          <w:sz w:val="22"/>
          <w:szCs w:val="22"/>
        </w:rPr>
        <w:t>If the JIC determines that a Party has violated the provisions of this Annex, the following consequences apply:</w:t>
      </w:r>
    </w:p>
    <w:tbl>
      <w:tblPr>
        <w:tblW w:w="5000" w:type="pct"/>
        <w:tblBorders>
          <w:top w:val="single" w:color="1A2744" w:sz="12"/>
          <w:left w:val="nil"/>
          <w:bottom w:val="single" w:color="1A2744" w:sz="12"/>
          <w:right w:val="nil"/>
          <w:insideH w:val="single" w:color="D1D5DB" w:sz="4"/>
          <w:insideV w:val="nil"/>
        </w:tblBorders>
      </w:tblPr>
      <w:tblGrid>
        <w:gridCol w:w="3000"/>
        <w:gridCol w:w="3000"/>
        <w:gridCol w:w="3000"/>
      </w:tblGrid>
      <w:tr>
        <w:trPr>
          <w:tblHeader w:val="1"/>
        </w:trPr>
        <w:tc>
          <w:tcPr>
            <w:tcW w:w="3000" w:type="dxa"/>
            <w:shd w:val="clear" w:fill="F1F2F4" w:color="auto"/>
          </w:tcPr>
          <w:p>
            <w:pPr>
              <w:pStyle w:val="Normal"/>
              <w:spacing w:before="60" w:after="60"/>
              <w:jc w:val="center"/>
            </w:pPr>
            <w:r>
              <w:rPr>
                <w:b/>
                <w:color w:val="1E1E1E"/>
                <w:sz w:val="20"/>
                <w:rFonts w:ascii="Calibri" w:hAnsi="Calibri" w:eastAsia="Microsoft YaHei" w:cs="Calibri"/>
                <w:szCs w:val="20"/>
              </w:rPr>
              <w:t>Violation Level</w:t>
            </w:r>
          </w:p>
        </w:tc>
        <w:tc>
          <w:tcPr>
            <w:tcW w:w="3000" w:type="dxa"/>
            <w:shd w:val="clear" w:fill="F1F2F4" w:color="auto"/>
          </w:tcPr>
          <w:p>
            <w:pPr>
              <w:pStyle w:val="Normal"/>
              <w:spacing w:before="60" w:after="60"/>
              <w:jc w:val="center"/>
            </w:pPr>
            <w:r>
              <w:rPr>
                <w:b/>
                <w:color w:val="1E1E1E"/>
                <w:sz w:val="20"/>
                <w:rFonts w:ascii="Calibri" w:hAnsi="Calibri" w:eastAsia="Microsoft YaHei" w:cs="Calibri"/>
                <w:szCs w:val="20"/>
              </w:rPr>
              <w:t>Definition</w:t>
            </w:r>
          </w:p>
        </w:tc>
        <w:tc>
          <w:tcPr>
            <w:tcW w:w="3000" w:type="dxa"/>
            <w:shd w:val="clear" w:fill="F1F2F4" w:color="auto"/>
          </w:tcPr>
          <w:p>
            <w:pPr>
              <w:pStyle w:val="Normal"/>
              <w:spacing w:before="60" w:after="60"/>
              <w:jc w:val="center"/>
            </w:pPr>
            <w:r>
              <w:rPr>
                <w:b/>
                <w:color w:val="1E1E1E"/>
                <w:sz w:val="20"/>
                <w:rFonts w:ascii="Calibri" w:hAnsi="Calibri" w:eastAsia="Microsoft YaHei" w:cs="Calibri"/>
                <w:szCs w:val="20"/>
              </w:rPr>
              <w:t>Consequence</w:t>
            </w:r>
          </w:p>
        </w:tc>
      </w:tr>
      <w:tr>
        <w:tc>
          <w:tcPr>
            <w:tcW w:w="3000" w:type="dxa"/>
          </w:tcPr>
          <w:p>
            <w:pPr>
              <w:pStyle w:val="Normal"/>
              <w:spacing w:before="40" w:after="40"/>
            </w:pPr>
            <w:r>
              <w:rPr>
                <w:color w:val="1E1E1E"/>
                <w:sz w:val="20"/>
                <w:rFonts w:ascii="Calibri" w:hAnsi="Calibri" w:eastAsia="Microsoft YaHei" w:cs="Calibri"/>
                <w:szCs w:val="20"/>
              </w:rPr>
              <w:t>Level 1 (Minor)</w:t>
            </w:r>
          </w:p>
        </w:tc>
        <w:tc>
          <w:tcPr>
            <w:tcW w:w="3000" w:type="dxa"/>
          </w:tcPr>
          <w:p>
            <w:pPr>
              <w:pStyle w:val="Normal"/>
              <w:spacing w:before="40" w:after="40"/>
            </w:pPr>
            <w:r>
              <w:rPr>
                <w:color w:val="1E1E1E"/>
                <w:sz w:val="20"/>
                <w:rFonts w:ascii="Calibri" w:hAnsi="Calibri" w:eastAsia="Microsoft YaHei" w:cs="Calibri"/>
                <w:szCs w:val="20"/>
              </w:rPr>
              <w:t>Administrative non-compliance; minor reporting delay; minor procurement deviation</w:t>
            </w:r>
          </w:p>
        </w:tc>
        <w:tc>
          <w:tcPr>
            <w:tcW w:w="3000" w:type="dxa"/>
          </w:tcPr>
          <w:p>
            <w:pPr>
              <w:pStyle w:val="Normal"/>
              <w:spacing w:before="40" w:after="40"/>
            </w:pPr>
            <w:r>
              <w:rPr>
                <w:color w:val="1E1E1E"/>
                <w:sz w:val="20"/>
                <w:rFonts w:ascii="Calibri" w:hAnsi="Calibri" w:eastAsia="Microsoft YaHei" w:cs="Calibri"/>
                <w:szCs w:val="20"/>
              </w:rPr>
              <w:t>JIC issues private Notice of Concern; corrective action is required within 30 days</w:t>
            </w:r>
          </w:p>
        </w:tc>
      </w:tr>
      <w:tr>
        <w:tc>
          <w:tcPr>
            <w:tcW w:w="3000" w:type="dxa"/>
          </w:tcPr>
          <w:p>
            <w:pPr>
              <w:pStyle w:val="Normal"/>
              <w:spacing w:before="40" w:after="40"/>
            </w:pPr>
            <w:r>
              <w:rPr>
                <w:color w:val="1E1E1E"/>
                <w:sz w:val="20"/>
                <w:rFonts w:ascii="Calibri" w:hAnsi="Calibri" w:eastAsia="Microsoft YaHei" w:cs="Calibri"/>
                <w:szCs w:val="20"/>
              </w:rPr>
              <w:t>Level 2 (Moderate)</w:t>
            </w:r>
          </w:p>
        </w:tc>
        <w:tc>
          <w:tcPr>
            <w:tcW w:w="3000" w:type="dxa"/>
          </w:tcPr>
          <w:p>
            <w:pPr>
              <w:pStyle w:val="Normal"/>
              <w:spacing w:before="40" w:after="40"/>
            </w:pPr>
            <w:r>
              <w:rPr>
                <w:color w:val="1E1E1E"/>
                <w:sz w:val="20"/>
                <w:rFonts w:ascii="Calibri" w:hAnsi="Calibri" w:eastAsia="Microsoft YaHei" w:cs="Calibri"/>
                <w:szCs w:val="20"/>
              </w:rPr>
              <w:t>Misuse of humanitarian funds; unauthorized diversion; material procurement deviation; sanctions violation</w:t>
            </w:r>
          </w:p>
        </w:tc>
        <w:tc>
          <w:tcPr>
            <w:tcW w:w="3000" w:type="dxa"/>
          </w:tcPr>
          <w:p>
            <w:pPr>
              <w:pStyle w:val="Normal"/>
              <w:spacing w:before="40" w:after="40"/>
            </w:pPr>
            <w:r>
              <w:rPr>
                <w:color w:val="1E1E1E"/>
                <w:sz w:val="20"/>
                <w:rFonts w:ascii="Calibri" w:hAnsi="Calibri" w:eastAsia="Microsoft YaHei" w:cs="Calibri"/>
                <w:szCs w:val="20"/>
              </w:rPr>
              <w:t>Disbursement suspends for 30 days; JIC issues public Compliance Alert; corrective action is required within 60 days</w:t>
            </w:r>
          </w:p>
        </w:tc>
      </w:tr>
      <w:tr>
        <w:tc>
          <w:tcPr>
            <w:tcW w:w="3000" w:type="dxa"/>
          </w:tcPr>
          <w:p>
            <w:pPr>
              <w:pStyle w:val="Normal"/>
              <w:spacing w:before="40" w:after="40"/>
            </w:pPr>
            <w:r>
              <w:rPr>
                <w:color w:val="1E1E1E"/>
                <w:sz w:val="20"/>
                <w:rFonts w:ascii="Calibri" w:hAnsi="Calibri" w:eastAsia="Microsoft YaHei" w:cs="Calibri"/>
                <w:szCs w:val="20"/>
              </w:rPr>
              <w:t>Level 3 (Serious)</w:t>
            </w:r>
          </w:p>
        </w:tc>
        <w:tc>
          <w:tcPr>
            <w:tcW w:w="3000" w:type="dxa"/>
          </w:tcPr>
          <w:p>
            <w:pPr>
              <w:pStyle w:val="Normal"/>
              <w:spacing w:before="40" w:after="40"/>
            </w:pPr>
            <w:r>
              <w:rPr>
                <w:color w:val="1E1E1E"/>
                <w:sz w:val="20"/>
                <w:rFonts w:ascii="Calibri" w:hAnsi="Calibri" w:eastAsia="Microsoft YaHei" w:cs="Calibri"/>
                <w:szCs w:val="20"/>
              </w:rPr>
              <w:t>Material diversion of funds; fraud or corruption; persistent non-compliance; use of funds for military purposes</w:t>
            </w:r>
          </w:p>
        </w:tc>
        <w:tc>
          <w:tcPr>
            <w:tcW w:w="3000" w:type="dxa"/>
          </w:tcPr>
          <w:p>
            <w:pPr>
              <w:pStyle w:val="Normal"/>
              <w:spacing w:before="40" w:after="40"/>
            </w:pPr>
            <w:r>
              <w:rPr>
                <w:color w:val="1E1E1E"/>
                <w:sz w:val="20"/>
                <w:rFonts w:ascii="Calibri" w:hAnsi="Calibri" w:eastAsia="Microsoft YaHei" w:cs="Calibri"/>
                <w:szCs w:val="20"/>
              </w:rPr>
              <w:t>Disbursement suspends for 90 days; JIC refers matter to relevant authorities; mandatory JIC emergency session within 14 days</w:t>
            </w:r>
          </w:p>
        </w:tc>
      </w:tr>
      <w:tr>
        <w:tc>
          <w:tcPr>
            <w:tcW w:w="3000" w:type="dxa"/>
          </w:tcPr>
          <w:p>
            <w:pPr>
              <w:pStyle w:val="Normal"/>
              <w:spacing w:before="40" w:after="40"/>
            </w:pPr>
            <w:r>
              <w:rPr>
                <w:color w:val="1E1E1E"/>
                <w:sz w:val="20"/>
                <w:rFonts w:ascii="Calibri" w:hAnsi="Calibri" w:eastAsia="Microsoft YaHei" w:cs="Calibri"/>
                <w:szCs w:val="20"/>
              </w:rPr>
              <w:t>Level 4 (Critical)</w:t>
            </w:r>
          </w:p>
        </w:tc>
        <w:tc>
          <w:tcPr>
            <w:tcW w:w="3000" w:type="dxa"/>
          </w:tcPr>
          <w:p>
            <w:pPr>
              <w:pStyle w:val="Normal"/>
              <w:spacing w:before="40" w:after="40"/>
            </w:pPr>
            <w:r>
              <w:rPr>
                <w:color w:val="1E1E1E"/>
                <w:sz w:val="20"/>
                <w:rFonts w:ascii="Calibri" w:hAnsi="Calibri" w:eastAsia="Microsoft YaHei" w:cs="Calibri"/>
                <w:szCs w:val="20"/>
              </w:rPr>
              <w:t>Systematic fraud; repudiation of this Annex; material breach of HSU; use of funds for terrorism</w:t>
            </w:r>
          </w:p>
        </w:tc>
        <w:tc>
          <w:tcPr>
            <w:tcW w:w="3000" w:type="dxa"/>
          </w:tcPr>
          <w:p>
            <w:pPr>
              <w:pStyle w:val="Normal"/>
              <w:spacing w:before="40" w:after="40"/>
            </w:pPr>
            <w:r>
              <w:rPr>
                <w:color w:val="1E1E1E"/>
                <w:sz w:val="20"/>
                <w:rFonts w:ascii="Calibri" w:hAnsi="Calibri" w:eastAsia="Microsoft YaHei" w:cs="Calibri"/>
                <w:szCs w:val="20"/>
              </w:rPr>
              <w:t>This Annex suspends; all disbursements freeze; the HSU undergoes review under Article 8</w:t>
            </w:r>
          </w:p>
        </w:tc>
      </w:tr>
    </w:tbl>
    <w:p>
      <w:pPr>
        <w:pStyle w:val="Heading3"/>
      </w:pPr>
      <w:r>
        <w:rPr>
          <w:rFonts w:ascii="Calibri" w:hAnsi="Calibri" w:eastAsia="Microsoft YaHei" w:cs="Calibri"/>
          <w:b/>
          <w:color w:val="4A5568"/>
          <w:sz w:val="24"/>
          <w:szCs w:val="24"/>
        </w:rPr>
        <w:t>Mitigation</w:t>
      </w:r>
    </w:p>
    <w:p>
      <w:pPr>
        <w:pStyle w:val="Normal"/>
      </w:pPr>
      <w:r>
        <w:rPr>
          <w:rFonts w:ascii="Calibri" w:hAnsi="Calibri" w:eastAsia="Microsoft YaHei" w:cs="Calibri"/>
          <w:color w:val="1E1E1E"/>
          <w:sz w:val="22"/>
          <w:szCs w:val="22"/>
        </w:rPr>
        <w:t>If a Party demonstrates that a violation was inadvertent and takes corrective action within the specified timeline, the JIC:</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Reduces the violation level (e.g., Level 2 to Level 1).</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Reduces the suspension period.</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Lifts the suspension upon certification of corrective action.</w:t>
      </w:r>
    </w:p>
    <w:p>
      <w:pPr>
        <w:pStyle w:val="Normal"/>
      </w:pPr>
      <w:r>
        <w:rPr>
          <w:rFonts w:ascii="Calibri" w:hAnsi="Calibri" w:eastAsia="Microsoft YaHei" w:cs="Calibri"/>
          <w:color w:val="1E1E1E"/>
          <w:sz w:val="22"/>
          <w:szCs w:val="22"/>
        </w:rPr>
        <w:t>The Party bears the burden of demonstrating good faith.</w:t>
      </w:r>
    </w:p>
    <w:p>
      <w:pPr>
        <w:pStyle w:val="Heading3"/>
      </w:pPr>
      <w:r>
        <w:rPr>
          <w:rFonts w:ascii="Calibri" w:hAnsi="Calibri" w:eastAsia="Microsoft YaHei" w:cs="Calibri"/>
          <w:b/>
          <w:color w:val="4A5568"/>
          <w:sz w:val="24"/>
          <w:szCs w:val="24"/>
        </w:rPr>
        <w:t>Repeated Violations</w:t>
      </w:r>
    </w:p>
    <w:p>
      <w:pPr>
        <w:pStyle w:val="Normal"/>
      </w:pPr>
      <w:r>
        <w:rPr>
          <w:rFonts w:ascii="Calibri" w:hAnsi="Calibri" w:eastAsia="Microsoft YaHei" w:cs="Calibri"/>
          <w:color w:val="1E1E1E"/>
          <w:sz w:val="22"/>
          <w:szCs w:val="22"/>
        </w:rPr>
        <w:t>If a Party has three or more Level 2 violations in a 12-month period, the JIC convenes an emergency session to review the Party's participation in this Annex. The JIC recommends suspension or termination of the Party's benefits under this Annex.</w:t>
      </w:r>
    </w:p>
    <w:p>
      <w:pPr>
        <w:pStyle w:val="Heading1"/>
      </w:pPr>
      <w:bookmarkStart w:name="_Toc006" w:id="7"/>
      <w:r>
        <w:rPr>
          <w:rFonts w:ascii="Calibri" w:hAnsi="Calibri" w:eastAsia="Microsoft YaHei" w:cs="Calibri"/>
          <w:b/>
          <w:color w:val="1A2744"/>
          <w:sz w:val="32"/>
          <w:szCs w:val="32"/>
        </w:rPr>
        <w:t>Article 5: Transparency and Reporting</w:t>
      </w:r>
      <w:bookmarkEnd w:id="7"/>
    </w:p>
    <w:p>
      <w:pPr>
        <w:pStyle w:val="Heading2"/>
      </w:pPr>
      <w:r>
        <w:rPr>
          <w:rFonts w:ascii="Calibri" w:hAnsi="Calibri" w:eastAsia="Microsoft YaHei" w:cs="Calibri"/>
          <w:b/>
          <w:color w:val="1E1E1E"/>
          <w:sz w:val="26"/>
          <w:szCs w:val="26"/>
        </w:rPr>
        <w:t>5.1 Quarterly Transparency Report</w:t>
      </w:r>
    </w:p>
    <w:p>
      <w:pPr>
        <w:pStyle w:val="Normal"/>
      </w:pPr>
      <w:r>
        <w:rPr>
          <w:rFonts w:ascii="Calibri" w:hAnsi="Calibri" w:eastAsia="Microsoft YaHei" w:cs="Calibri"/>
          <w:color w:val="1E1E1E"/>
          <w:sz w:val="22"/>
          <w:szCs w:val="22"/>
        </w:rPr>
        <w:t>The JIC publishes a Quarterly Transparency Report for this Annex, containing:</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Total assets in the Goodwill Escrow Account (beginning and ending balance).</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Disbursements made during the quarter (by Phase and sub-account).</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Humanitarian procurement summary: goods purchased (description, quantity, value); suppliers used; destinations; delivery status.</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Economic facilitation summary: projects funded; status of projects; funds utilized.</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Compliance status (Green/Yellow/Red/White for each metric).</w:t>
      </w:r>
    </w:p>
    <w:p>
      <w:pPr>
        <w:pStyle w:val="Normal"/>
        <w:ind w:left="720" w:hanging="360"/>
      </w:pPr>
      <w:r>
        <w:rPr>
          <w:b/>
          <w:color w:val="4A5568"/>
          <w:rFonts w:ascii="Calibri" w:hAnsi="Calibri" w:eastAsia="Microsoft YaHei" w:cs="Calibri"/>
          <w:sz w:val="22"/>
          <w:szCs w:val="22"/>
        </w:rPr>
        <w:t>(f)</w:t>
      </w:r>
      <w:r>
        <w:rPr>
          <w:rFonts w:ascii="Calibri" w:hAnsi="Calibri" w:eastAsia="Microsoft YaHei" w:cs="Calibri"/>
          <w:color w:val="1E1E1E"/>
          <w:sz w:val="22"/>
          <w:szCs w:val="22"/>
        </w:rPr>
        <w:t xml:space="preserve"> Audit status (pending, completed, findings).</w:t>
      </w:r>
    </w:p>
    <w:p>
      <w:pPr>
        <w:pStyle w:val="Normal"/>
        <w:ind w:left="720" w:hanging="360"/>
      </w:pPr>
      <w:r>
        <w:rPr>
          <w:b/>
          <w:color w:val="4A5568"/>
          <w:rFonts w:ascii="Calibri" w:hAnsi="Calibri" w:eastAsia="Microsoft YaHei" w:cs="Calibri"/>
          <w:sz w:val="22"/>
          <w:szCs w:val="22"/>
        </w:rPr>
        <w:t>(g)</w:t>
      </w:r>
      <w:r>
        <w:rPr>
          <w:rFonts w:ascii="Calibri" w:hAnsi="Calibri" w:eastAsia="Microsoft YaHei" w:cs="Calibri"/>
          <w:color w:val="1E1E1E"/>
          <w:sz w:val="22"/>
          <w:szCs w:val="22"/>
        </w:rPr>
        <w:t xml:space="preserve"> Any disputes, violations, or remediation actions.</w:t>
      </w:r>
    </w:p>
    <w:p>
      <w:pPr>
        <w:pStyle w:val="Normal"/>
        <w:ind w:left="720" w:hanging="360"/>
      </w:pPr>
      <w:r>
        <w:rPr>
          <w:b/>
          <w:color w:val="4A5568"/>
          <w:rFonts w:ascii="Calibri" w:hAnsi="Calibri" w:eastAsia="Microsoft YaHei" w:cs="Calibri"/>
          <w:sz w:val="22"/>
          <w:szCs w:val="22"/>
        </w:rPr>
        <w:t>(h)</w:t>
      </w:r>
      <w:r>
        <w:rPr>
          <w:rFonts w:ascii="Calibri" w:hAnsi="Calibri" w:eastAsia="Microsoft YaHei" w:cs="Calibri"/>
          <w:color w:val="1E1E1E"/>
          <w:sz w:val="22"/>
          <w:szCs w:val="22"/>
        </w:rPr>
        <w:t xml:space="preserve"> TWG verification findings.</w:t>
      </w:r>
    </w:p>
    <w:p>
      <w:pPr>
        <w:pStyle w:val="Normal"/>
        <w:ind w:left="720" w:hanging="360"/>
      </w:pPr>
      <w:r>
        <w:rPr>
          <w:b/>
          <w:color w:val="4A5568"/>
          <w:rFonts w:ascii="Calibri" w:hAnsi="Calibri" w:eastAsia="Microsoft YaHei" w:cs="Calibri"/>
          <w:sz w:val="22"/>
          <w:szCs w:val="22"/>
        </w:rPr>
        <w:t>(i)</w:t>
      </w:r>
      <w:r>
        <w:rPr>
          <w:rFonts w:ascii="Calibri" w:hAnsi="Calibri" w:eastAsia="Microsoft YaHei" w:cs="Calibri"/>
          <w:color w:val="1E1E1E"/>
          <w:sz w:val="22"/>
          <w:szCs w:val="22"/>
        </w:rPr>
        <w:t xml:space="preserve"> Recommendations for improvement.</w:t>
      </w:r>
    </w:p>
    <w:p>
      <w:pPr>
        <w:pStyle w:val="Normal"/>
      </w:pPr>
      <w:r>
        <w:rPr>
          <w:rFonts w:ascii="Calibri" w:hAnsi="Calibri" w:eastAsia="Microsoft YaHei" w:cs="Calibri"/>
          <w:color w:val="1E1E1E"/>
          <w:sz w:val="22"/>
          <w:szCs w:val="22"/>
        </w:rPr>
        <w:t>The Quarterly Transparency Report is published within 30 days of the quarter's end. It is submitted to all Parties, the IMO, and published on the JIC's public website in English, Farsi, and Arabic.</w:t>
      </w:r>
    </w:p>
    <w:p>
      <w:pPr>
        <w:pStyle w:val="Heading2"/>
      </w:pPr>
      <w:r>
        <w:rPr>
          <w:rFonts w:ascii="Calibri" w:hAnsi="Calibri" w:eastAsia="Microsoft YaHei" w:cs="Calibri"/>
          <w:b/>
          <w:color w:val="1E1E1E"/>
          <w:sz w:val="26"/>
          <w:szCs w:val="26"/>
        </w:rPr>
        <w:t>5.2 Annual Audit Report</w:t>
      </w:r>
    </w:p>
    <w:p>
      <w:pPr>
        <w:pStyle w:val="Normal"/>
      </w:pPr>
      <w:r>
        <w:rPr>
          <w:rFonts w:ascii="Calibri" w:hAnsi="Calibri" w:eastAsia="Microsoft YaHei" w:cs="Calibri"/>
          <w:color w:val="1E1E1E"/>
          <w:sz w:val="22"/>
          <w:szCs w:val="22"/>
        </w:rPr>
        <w:t>The IMO publishes an Annual Audit Report for this Annex, containing:</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Audited financial statements for the Goodwill Escrow Account.</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Assessment of humanitarian procurement effectiveness: goods delivered vs. planned; timeliness of delivery; quality of goods; beneficiary satisfaction.</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Evaluation of compliance with this Annex: verification of disbursement triggers; assessment of fund utilization; identification of any compliance gaps.</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Recommendations for improvement.</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Certification of the Account's compliance with international standards.</w:t>
      </w:r>
    </w:p>
    <w:p>
      <w:pPr>
        <w:pStyle w:val="Normal"/>
      </w:pPr>
      <w:r>
        <w:rPr>
          <w:rFonts w:ascii="Calibri" w:hAnsi="Calibri" w:eastAsia="Microsoft YaHei" w:cs="Calibri"/>
          <w:color w:val="1E1E1E"/>
          <w:sz w:val="22"/>
          <w:szCs w:val="22"/>
        </w:rPr>
        <w:t>The Annual Audit Report is published within 90 days of the fiscal year end. It is submitted to all Parties, the JIC, and published on the IMO website.</w:t>
      </w:r>
    </w:p>
    <w:p>
      <w:pPr>
        <w:pStyle w:val="Heading2"/>
      </w:pPr>
      <w:r>
        <w:rPr>
          <w:rFonts w:ascii="Calibri" w:hAnsi="Calibri" w:eastAsia="Microsoft YaHei" w:cs="Calibri"/>
          <w:b/>
          <w:color w:val="1E1E1E"/>
          <w:sz w:val="26"/>
          <w:szCs w:val="26"/>
        </w:rPr>
        <w:t>5.3 Public Access</w:t>
      </w:r>
    </w:p>
    <w:p>
      <w:pPr>
        <w:pStyle w:val="Heading3"/>
      </w:pPr>
      <w:r>
        <w:rPr>
          <w:rFonts w:ascii="Calibri" w:hAnsi="Calibri" w:eastAsia="Microsoft YaHei" w:cs="Calibri"/>
          <w:b/>
          <w:color w:val="4A5568"/>
          <w:sz w:val="24"/>
          <w:szCs w:val="24"/>
        </w:rPr>
        <w:t>Website</w:t>
      </w:r>
    </w:p>
    <w:p>
      <w:pPr>
        <w:pStyle w:val="Normal"/>
      </w:pPr>
      <w:r>
        <w:rPr>
          <w:rFonts w:ascii="Calibri" w:hAnsi="Calibri" w:eastAsia="Microsoft YaHei" w:cs="Calibri"/>
          <w:color w:val="1E1E1E"/>
          <w:sz w:val="22"/>
          <w:szCs w:val="22"/>
        </w:rPr>
        <w:t>A publicly accessible website is maintained for this Annex, containing the full text of this Annex, Quarterly Transparency Reports (redacted for commercial sensitivity), Annual Audit Reports (redacted for commercial sensitivity), and Compliance Dashboard. The Approved Suppliers List and specific procurement records are not published publicly; they are accessible only to the JIC, the Parties, and the IMO auditor on a need-to-know basis. The public website contains: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full text of this Annex and any amendments.</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Quarterly Transparency Reports.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Annual Audit Reports.</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Compliance Dashboard.</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Redacted procurement guidelines and procedures (specific supplier identities excluded from public view).</w:t>
      </w:r>
    </w:p>
    <w:p>
      <w:pPr>
        <w:pStyle w:val="Normal"/>
        <w:ind w:left="720" w:hanging="360"/>
      </w:pPr>
      <w:r>
        <w:rPr>
          <w:b/>
          <w:color w:val="4A5568"/>
          <w:rFonts w:ascii="Calibri" w:hAnsi="Calibri" w:eastAsia="Microsoft YaHei" w:cs="Calibri"/>
          <w:sz w:val="22"/>
          <w:szCs w:val="22"/>
        </w:rPr>
        <w:t>(f)</w:t>
      </w:r>
      <w:r>
        <w:rPr>
          <w:rFonts w:ascii="Calibri" w:hAnsi="Calibri" w:eastAsia="Microsoft YaHei" w:cs="Calibri"/>
          <w:color w:val="1E1E1E"/>
          <w:sz w:val="22"/>
          <w:szCs w:val="22"/>
        </w:rPr>
        <w:t xml:space="preserve"> Contact information for the JIC and Neutral Escrow Bank.</w:t>
      </w:r>
    </w:p>
    <w:p>
      <w:pPr>
        <w:pStyle w:val="Normal"/>
      </w:pPr>
      <w:r>
        <w:rPr>
          <w:rFonts w:ascii="Calibri" w:hAnsi="Calibri" w:eastAsia="Microsoft YaHei" w:cs="Calibri"/>
          <w:color w:val="1E1E1E"/>
          <w:sz w:val="22"/>
          <w:szCs w:val="22"/>
        </w:rPr>
        <w:t>The website operates in English, Farsi, and Arabic.</w:t>
      </w:r>
    </w:p>
    <w:p>
      <w:pPr>
        <w:pStyle w:val="Heading3"/>
      </w:pPr>
      <w:r>
        <w:rPr>
          <w:rFonts w:ascii="Calibri" w:hAnsi="Calibri" w:eastAsia="Microsoft YaHei" w:cs="Calibri"/>
          <w:b/>
          <w:color w:val="4A5568"/>
          <w:sz w:val="24"/>
          <w:szCs w:val="24"/>
        </w:rPr>
        <w:t>Media Protocol</w:t>
      </w:r>
    </w:p>
    <w:p>
      <w:pPr>
        <w:pStyle w:val="Normal"/>
      </w:pPr>
      <w:r>
        <w:rPr>
          <w:rFonts w:ascii="Calibri" w:hAnsi="Calibri" w:eastAsia="Microsoft YaHei" w:cs="Calibri"/>
          <w:color w:val="1E1E1E"/>
          <w:sz w:val="22"/>
          <w:szCs w:val="22"/>
        </w:rPr>
        <w:t>For all significant developments under this Annex (Level 2+ violations, major disbursements, procurement milestones), the JIC issues a standardized media statement within 24 hours. The statement is shared with all Parties prior to publication.</w:t>
      </w:r>
    </w:p>
    <w:p>
      <w:pPr>
        <w:pStyle w:val="Heading3"/>
      </w:pPr>
      <w:r>
        <w:rPr>
          <w:rFonts w:ascii="Calibri" w:hAnsi="Calibri" w:eastAsia="Microsoft YaHei" w:cs="Calibri"/>
          <w:b/>
          <w:color w:val="4A5568"/>
          <w:sz w:val="24"/>
          <w:szCs w:val="24"/>
        </w:rPr>
        <w:t>Public Inquiries</w:t>
      </w:r>
    </w:p>
    <w:p>
      <w:pPr>
        <w:pStyle w:val="Normal"/>
      </w:pPr>
      <w:r>
        <w:rPr>
          <w:rFonts w:ascii="Calibri" w:hAnsi="Calibri" w:eastAsia="Microsoft YaHei" w:cs="Calibri"/>
          <w:color w:val="1E1E1E"/>
          <w:sz w:val="22"/>
          <w:szCs w:val="22"/>
        </w:rPr>
        <w:t>The JIC maintains a Public Information Officer to handle inquiries from the media, public, and international organizations. The PIO is available during regular business hours and for emergencies.</w:t>
      </w:r>
    </w:p>
    <w:p>
      <w:pPr>
        <w:pStyle w:val="Heading1"/>
      </w:pPr>
      <w:bookmarkStart w:name="_Toc007" w:id="8"/>
      <w:r>
        <w:rPr>
          <w:rFonts w:ascii="Calibri" w:hAnsi="Calibri" w:eastAsia="Microsoft YaHei" w:cs="Calibri"/>
          <w:b/>
          <w:color w:val="1A2744"/>
          <w:sz w:val="32"/>
          <w:szCs w:val="32"/>
        </w:rPr>
        <w:t>Article 6: Dispute Resolution</w:t>
      </w:r>
      <w:bookmarkEnd w:id="8"/>
    </w:p>
    <w:p>
      <w:pPr>
        <w:pStyle w:val="Heading2"/>
      </w:pPr>
      <w:r>
        <w:rPr>
          <w:rFonts w:ascii="Calibri" w:hAnsi="Calibri" w:eastAsia="Microsoft YaHei" w:cs="Calibri"/>
          <w:b/>
          <w:color w:val="1E1E1E"/>
          <w:sz w:val="26"/>
          <w:szCs w:val="26"/>
        </w:rPr>
        <w:t>6.1 JIC-Level Disputes</w:t>
      </w:r>
    </w:p>
    <w:p>
      <w:pPr>
        <w:pStyle w:val="Normal"/>
      </w:pPr>
      <w:r>
        <w:rPr>
          <w:rFonts w:ascii="Calibri" w:hAnsi="Calibri" w:eastAsia="Microsoft YaHei" w:cs="Calibri"/>
          <w:color w:val="1E1E1E"/>
          <w:sz w:val="22"/>
          <w:szCs w:val="22"/>
        </w:rPr>
        <w:t>Any dispute regarding the interpretation or implementation of this Annex is referred to the JIC for resolution. The JIC-level dispute resolution process operates as follows:</w:t>
      </w:r>
    </w:p>
    <w:p>
      <w:pPr>
        <w:pStyle w:val="Heading3"/>
      </w:pPr>
      <w:r>
        <w:rPr>
          <w:rFonts w:ascii="Calibri" w:hAnsi="Calibri" w:eastAsia="Microsoft YaHei" w:cs="Calibri"/>
          <w:b/>
          <w:color w:val="4A5568"/>
          <w:sz w:val="24"/>
          <w:szCs w:val="24"/>
        </w:rPr>
        <w:t>Consultation Period</w:t>
      </w:r>
    </w:p>
    <w:p>
      <w:pPr>
        <w:pStyle w:val="Normal"/>
      </w:pPr>
      <w:r>
        <w:rPr>
          <w:rFonts w:ascii="Calibri" w:hAnsi="Calibri" w:eastAsia="Microsoft YaHei" w:cs="Calibri"/>
          <w:color w:val="1E1E1E"/>
          <w:sz w:val="22"/>
          <w:szCs w:val="22"/>
        </w:rPr>
        <w:t>The JIC has 30 days to resolve the dispute through consultation and negotiation. During this period, all provisions of this Annex not directly in dispute remain in full effect.</w:t>
      </w:r>
    </w:p>
    <w:p>
      <w:pPr>
        <w:pStyle w:val="Heading3"/>
      </w:pPr>
      <w:r>
        <w:rPr>
          <w:rFonts w:ascii="Calibri" w:hAnsi="Calibri" w:eastAsia="Microsoft YaHei" w:cs="Calibri"/>
          <w:b/>
          <w:color w:val="4A5568"/>
          <w:sz w:val="24"/>
          <w:szCs w:val="24"/>
        </w:rPr>
        <w:t>Consultation Methods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Technical Review: The JIC requests the TWG to analyze the disputed matter and provide an objective assessment.</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Party Presentations: Each Party presents its position to the JIC in writing and orally.</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Neutral Assessment: The Omani facilitator drafts a neutral technical assessment based on available evidence.</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Fact-Finding: The JIC appoints a fact-finding panel to investigate the dispute.</w:t>
      </w:r>
    </w:p>
    <w:p>
      <w:pPr>
        <w:pStyle w:val="Heading3"/>
      </w:pPr>
      <w:r>
        <w:rPr>
          <w:rFonts w:ascii="Calibri" w:hAnsi="Calibri" w:eastAsia="Microsoft YaHei" w:cs="Calibri"/>
          <w:b/>
          <w:color w:val="4A5568"/>
          <w:sz w:val="24"/>
          <w:szCs w:val="24"/>
        </w:rPr>
        <w:t>Fact-Finding Panel</w:t>
      </w:r>
    </w:p>
    <w:p>
      <w:pPr>
        <w:pStyle w:val="Normal"/>
      </w:pPr>
      <w:r>
        <w:rPr>
          <w:rFonts w:ascii="Calibri" w:hAnsi="Calibri" w:eastAsia="Microsoft YaHei" w:cs="Calibri"/>
          <w:color w:val="1E1E1E"/>
          <w:sz w:val="22"/>
          <w:szCs w:val="22"/>
        </w:rPr>
        <w:t>The panel consists of three members: one nominated by each Party and one neutral expert appointed by the IMO representative on the JIC. The panel completes its investigation within 21 days and submits a written report to the JIC. The panel's findings are advisory; the JIC retains final decision-making authority.</w:t>
      </w:r>
    </w:p>
    <w:p>
      <w:pPr>
        <w:pStyle w:val="Heading2"/>
      </w:pPr>
      <w:r>
        <w:rPr>
          <w:rFonts w:ascii="Calibri" w:hAnsi="Calibri" w:eastAsia="Microsoft YaHei" w:cs="Calibri"/>
          <w:b/>
          <w:color w:val="1E1E1E"/>
          <w:sz w:val="26"/>
          <w:szCs w:val="26"/>
        </w:rPr>
        <w:t>6.2 Arbitration</w:t>
      </w:r>
    </w:p>
    <w:p>
      <w:pPr>
        <w:pStyle w:val="Normal"/>
      </w:pPr>
      <w:r>
        <w:rPr>
          <w:rFonts w:ascii="Calibri" w:hAnsi="Calibri" w:eastAsia="Microsoft YaHei" w:cs="Calibri"/>
          <w:color w:val="1E1E1E"/>
          <w:sz w:val="22"/>
          <w:szCs w:val="22"/>
        </w:rPr>
        <w:t>If the JIC does not resolve the dispute within 60 days, the dispute proceeds to binding arbitration under the following terms:</w:t>
      </w:r>
    </w:p>
    <w:p>
      <w:pPr>
        <w:pStyle w:val="Heading3"/>
      </w:pPr>
      <w:r>
        <w:rPr>
          <w:rFonts w:ascii="Calibri" w:hAnsi="Calibri" w:eastAsia="Microsoft YaHei" w:cs="Calibri"/>
          <w:b/>
          <w:color w:val="4A5568"/>
          <w:sz w:val="24"/>
          <w:szCs w:val="24"/>
        </w:rPr>
        <w:t>Arbitrator Appointment</w:t>
      </w:r>
    </w:p>
    <w:p>
      <w:pPr>
        <w:pStyle w:val="Normal"/>
      </w:pPr>
      <w:r>
        <w:rPr>
          <w:rFonts w:ascii="Calibri" w:hAnsi="Calibri" w:eastAsia="Microsoft YaHei" w:cs="Calibri"/>
          <w:color w:val="1E1E1E"/>
          <w:sz w:val="22"/>
          <w:szCs w:val="22"/>
        </w:rPr>
        <w:t>The Parties appoint the arbitrator jointly. If the Parties cannot agree within 14 days, the Secretary-General of the IMO appoints the arbitrator.</w:t>
      </w:r>
    </w:p>
    <w:p>
      <w:pPr>
        <w:pStyle w:val="Heading3"/>
      </w:pPr>
      <w:r>
        <w:rPr>
          <w:rFonts w:ascii="Calibri" w:hAnsi="Calibri" w:eastAsia="Microsoft YaHei" w:cs="Calibri"/>
          <w:b/>
          <w:color w:val="4A5568"/>
          <w:sz w:val="24"/>
          <w:szCs w:val="24"/>
        </w:rPr>
        <w:t>Venue</w:t>
      </w:r>
    </w:p>
    <w:p>
      <w:pPr>
        <w:pStyle w:val="Normal"/>
      </w:pPr>
      <w:r>
        <w:rPr>
          <w:rFonts w:ascii="Calibri" w:hAnsi="Calibri" w:eastAsia="Microsoft YaHei" w:cs="Calibri"/>
          <w:color w:val="1E1E1E"/>
          <w:sz w:val="22"/>
          <w:szCs w:val="22"/>
        </w:rPr>
        <w:t>Arbitration proceedings convene in Muscat, Sultanate of Oman. If either Party objects to Muscat, the arbitration moves to Geneva, Switzerland.</w:t>
      </w:r>
    </w:p>
    <w:p>
      <w:pPr>
        <w:pStyle w:val="Heading3"/>
      </w:pPr>
      <w:r>
        <w:rPr>
          <w:rFonts w:ascii="Calibri" w:hAnsi="Calibri" w:eastAsia="Microsoft YaHei" w:cs="Calibri"/>
          <w:b/>
          <w:color w:val="4A5568"/>
          <w:sz w:val="24"/>
          <w:szCs w:val="24"/>
        </w:rPr>
        <w:t>Rules</w:t>
      </w:r>
    </w:p>
    <w:p>
      <w:pPr>
        <w:pStyle w:val="Normal"/>
      </w:pPr>
      <w:r>
        <w:rPr>
          <w:rFonts w:ascii="Calibri" w:hAnsi="Calibri" w:eastAsia="Microsoft YaHei" w:cs="Calibri"/>
          <w:color w:val="1E1E1E"/>
          <w:sz w:val="22"/>
          <w:szCs w:val="22"/>
        </w:rPr>
        <w:t>The arbitration operates under the UNCITRAL Arbitration Rules, adapted for humanitarian and economic facilitation disputes.</w:t>
      </w:r>
    </w:p>
    <w:p>
      <w:pPr>
        <w:pStyle w:val="Heading3"/>
      </w:pPr>
      <w:r>
        <w:rPr>
          <w:rFonts w:ascii="Calibri" w:hAnsi="Calibri" w:eastAsia="Microsoft YaHei" w:cs="Calibri"/>
          <w:b/>
          <w:color w:val="4A5568"/>
          <w:sz w:val="24"/>
          <w:szCs w:val="24"/>
        </w:rPr>
        <w:t>Language</w:t>
      </w:r>
    </w:p>
    <w:p>
      <w:pPr>
        <w:pStyle w:val="Normal"/>
      </w:pPr>
      <w:r>
        <w:rPr>
          <w:rFonts w:ascii="Calibri" w:hAnsi="Calibri" w:eastAsia="Microsoft YaHei" w:cs="Calibri"/>
          <w:color w:val="1E1E1E"/>
          <w:sz w:val="22"/>
          <w:szCs w:val="22"/>
        </w:rPr>
        <w:t>English serves as the sole language of arbitration. Farsi and Arabic translations are provided for convenience but carry no independent legal weight.</w:t>
      </w:r>
    </w:p>
    <w:p>
      <w:pPr>
        <w:pStyle w:val="Heading3"/>
      </w:pPr>
      <w:r>
        <w:rPr>
          <w:rFonts w:ascii="Calibri" w:hAnsi="Calibri" w:eastAsia="Microsoft YaHei" w:cs="Calibri"/>
          <w:b/>
          <w:color w:val="4A5568"/>
          <w:sz w:val="24"/>
          <w:szCs w:val="24"/>
        </w:rPr>
        <w:t>Decision</w:t>
      </w:r>
    </w:p>
    <w:p>
      <w:pPr>
        <w:pStyle w:val="Normal"/>
      </w:pPr>
      <w:r>
        <w:rPr>
          <w:rFonts w:ascii="Calibri" w:hAnsi="Calibri" w:eastAsia="Microsoft YaHei" w:cs="Calibri"/>
          <w:color w:val="1E1E1E"/>
          <w:sz w:val="22"/>
          <w:szCs w:val="22"/>
        </w:rPr>
        <w:t>The arbitrator's decision is final and binding on all Parties. No appeal is permitted.</w:t>
      </w:r>
    </w:p>
    <w:p>
      <w:pPr>
        <w:pStyle w:val="Heading3"/>
      </w:pPr>
      <w:r>
        <w:rPr>
          <w:rFonts w:ascii="Calibri" w:hAnsi="Calibri" w:eastAsia="Microsoft YaHei" w:cs="Calibri"/>
          <w:b/>
          <w:color w:val="4A5568"/>
          <w:sz w:val="24"/>
          <w:szCs w:val="24"/>
        </w:rPr>
        <w:t>Timeline</w:t>
      </w:r>
    </w:p>
    <w:p>
      <w:pPr>
        <w:pStyle w:val="Normal"/>
      </w:pPr>
      <w:r>
        <w:rPr>
          <w:rFonts w:ascii="Calibri" w:hAnsi="Calibri" w:eastAsia="Microsoft YaHei" w:cs="Calibri"/>
          <w:color w:val="1E1E1E"/>
          <w:sz w:val="22"/>
          <w:szCs w:val="22"/>
        </w:rPr>
        <w:t>The arbitrator issues a ruling within 30 days of the first hearing. The timeline extends by mutual agreement of the Parties.</w:t>
      </w:r>
    </w:p>
    <w:p>
      <w:pPr>
        <w:pStyle w:val="Heading3"/>
      </w:pPr>
      <w:r>
        <w:rPr>
          <w:rFonts w:ascii="Calibri" w:hAnsi="Calibri" w:eastAsia="Microsoft YaHei" w:cs="Calibri"/>
          <w:b/>
          <w:color w:val="4A5568"/>
          <w:sz w:val="24"/>
          <w:szCs w:val="24"/>
        </w:rPr>
        <w:t>Costs</w:t>
      </w:r>
    </w:p>
    <w:p>
      <w:pPr>
        <w:pStyle w:val="Normal"/>
      </w:pPr>
      <w:r>
        <w:rPr>
          <w:rFonts w:ascii="Calibri" w:hAnsi="Calibri" w:eastAsia="Microsoft YaHei" w:cs="Calibri"/>
          <w:color w:val="1E1E1E"/>
          <w:sz w:val="22"/>
          <w:szCs w:val="22"/>
        </w:rPr>
        <w:t>The Parties bear the costs of arbitration equally. If the arbitrator determines that one Party acted in bad faith, that Party bears the full costs.</w:t>
      </w:r>
    </w:p>
    <w:p>
      <w:pPr>
        <w:pStyle w:val="Heading2"/>
      </w:pPr>
      <w:r>
        <w:rPr>
          <w:rFonts w:ascii="Calibri" w:hAnsi="Calibri" w:eastAsia="Microsoft YaHei" w:cs="Calibri"/>
          <w:b/>
          <w:color w:val="1E1E1E"/>
          <w:sz w:val="26"/>
          <w:szCs w:val="26"/>
        </w:rPr>
        <w:t>6.3 Standstill During Dispute</w:t>
      </w:r>
    </w:p>
    <w:p>
      <w:pPr>
        <w:pStyle w:val="Normal"/>
      </w:pPr>
      <w:r>
        <w:rPr>
          <w:rFonts w:ascii="Calibri" w:hAnsi="Calibri" w:eastAsia="Microsoft YaHei" w:cs="Calibri"/>
          <w:color w:val="1E1E1E"/>
          <w:sz w:val="22"/>
          <w:szCs w:val="22"/>
        </w:rPr>
        <w:t>During the entire dispute resolution process, whether at the JIC level or in arbitration, the following standstill provisions apply:</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No Escalation: Neither Party takes unilateral coercive action, including military or economic measures, pending resolution of the dispute.</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Continued Operations: All provisions of this Annex not directly in dispute remain in full effect.</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Disbursement Hold: Disbursements related to the dispute are held in escrow pending resolution.</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Humanitarian Exception: Humanitarian procurement disbursements are not subject to dispute holds, provided the procurement request is not directly related to the dispute.</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JIC Continuity: The JIC continues its monitoring and reporting functions without interruption.</w:t>
      </w:r>
    </w:p>
    <w:p>
      <w:pPr>
        <w:pStyle w:val="Heading1"/>
      </w:pPr>
      <w:bookmarkStart w:name="_Toc008" w:id="9"/>
      <w:r>
        <w:rPr>
          <w:rFonts w:ascii="Calibri" w:hAnsi="Calibri" w:eastAsia="Microsoft YaHei" w:cs="Calibri"/>
          <w:b/>
          <w:color w:val="1A2744"/>
          <w:sz w:val="32"/>
          <w:szCs w:val="32"/>
        </w:rPr>
        <w:t>Article 7: Technical Review and Amendments</w:t>
      </w:r>
      <w:bookmarkEnd w:id="9"/>
    </w:p>
    <w:p>
      <w:pPr>
        <w:pStyle w:val="Heading2"/>
      </w:pPr>
      <w:r>
        <w:rPr>
          <w:rFonts w:ascii="Calibri" w:hAnsi="Calibri" w:eastAsia="Microsoft YaHei" w:cs="Calibri"/>
          <w:b/>
          <w:color w:val="1E1E1E"/>
          <w:sz w:val="26"/>
          <w:szCs w:val="26"/>
        </w:rPr>
        <w:t>7.1 Annual Review</w:t>
      </w:r>
    </w:p>
    <w:p>
      <w:pPr>
        <w:pStyle w:val="Normal"/>
      </w:pPr>
      <w:r>
        <w:rPr>
          <w:rFonts w:ascii="Calibri" w:hAnsi="Calibri" w:eastAsia="Microsoft YaHei" w:cs="Calibri"/>
          <w:color w:val="1E1E1E"/>
          <w:sz w:val="22"/>
          <w:szCs w:val="22"/>
        </w:rPr>
        <w:t>The JIC conducts an Annual Review of this Annex, assessing:</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Effectiveness: The effectiveness of the humanitarian procurement mechanism: goods delivered vs. planned; timeliness of delivery; quality of goods; beneficiary satisfaction.</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Financial Management: The integrity and transparency of the Goodwill Escrow Account: compliance with financial standards; accuracy of reporting; absence of fraud or corruption.</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Compliance Patterns: Compliance patterns and trends: number and types of violations; compliance rates by Phase; patterns of non-compliance.</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Operational Improvements: Recommendations for adjustments or improvements: procurement process; verification standards; disbursement schedule; account structure.</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Humanitarian Impact: The humanitarian impact of the assistance: beneficiaries reached; health outcomes; food security; economic stabilization.</w:t>
      </w:r>
    </w:p>
    <w:p>
      <w:pPr>
        <w:pStyle w:val="Normal"/>
      </w:pPr>
      <w:r>
        <w:rPr>
          <w:rFonts w:ascii="Calibri" w:hAnsi="Calibri" w:eastAsia="Microsoft YaHei" w:cs="Calibri"/>
          <w:color w:val="1E1E1E"/>
          <w:sz w:val="22"/>
          <w:szCs w:val="22"/>
        </w:rPr>
        <w:t>The Annual Review produces a formal report to the Parties and the IMO. The report is published publicly, with sensitive operational details redacted.</w:t>
      </w:r>
    </w:p>
    <w:p>
      <w:pPr>
        <w:pStyle w:val="Heading2"/>
      </w:pPr>
      <w:r>
        <w:rPr>
          <w:rFonts w:ascii="Calibri" w:hAnsi="Calibri" w:eastAsia="Microsoft YaHei" w:cs="Calibri"/>
          <w:b/>
          <w:color w:val="1E1E1E"/>
          <w:sz w:val="26"/>
          <w:szCs w:val="26"/>
        </w:rPr>
        <w:t>7.2 Amendments</w:t>
      </w:r>
    </w:p>
    <w:p>
      <w:pPr>
        <w:pStyle w:val="Heading3"/>
      </w:pPr>
      <w:r>
        <w:rPr>
          <w:rFonts w:ascii="Calibri" w:hAnsi="Calibri" w:eastAsia="Microsoft YaHei" w:cs="Calibri"/>
          <w:b/>
          <w:color w:val="4A5568"/>
          <w:sz w:val="24"/>
          <w:szCs w:val="24"/>
        </w:rPr>
        <w:t>Proposed Amendments</w:t>
      </w:r>
    </w:p>
    <w:p>
      <w:pPr>
        <w:pStyle w:val="Normal"/>
      </w:pPr>
      <w:r>
        <w:rPr>
          <w:rFonts w:ascii="Calibri" w:hAnsi="Calibri" w:eastAsia="Microsoft YaHei" w:cs="Calibri"/>
          <w:color w:val="1E1E1E"/>
          <w:sz w:val="22"/>
          <w:szCs w:val="22"/>
        </w:rPr>
        <w:t>Any Party proposes amendments to this Annex by submitting the proposal in writing to the JIC. The proposal specifies the text of the proposed amendment and the rationale for the change.</w:t>
      </w:r>
    </w:p>
    <w:p>
      <w:pPr>
        <w:pStyle w:val="Heading3"/>
      </w:pPr>
      <w:r>
        <w:rPr>
          <w:rFonts w:ascii="Calibri" w:hAnsi="Calibri" w:eastAsia="Microsoft YaHei" w:cs="Calibri"/>
          <w:b/>
          <w:color w:val="4A5568"/>
          <w:sz w:val="24"/>
          <w:szCs w:val="24"/>
        </w:rPr>
        <w:t>Adoption Process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JIC adopts amendments by consensus where possible.</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If consensus is not achievable, the JIC approves amendments by a two-thirds majority vote.</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All amendments require written ratification by all Parties to enter into force.</w:t>
      </w:r>
    </w:p>
    <w:p>
      <w:pPr>
        <w:pStyle w:val="Heading3"/>
      </w:pPr>
      <w:r>
        <w:rPr>
          <w:rFonts w:ascii="Calibri" w:hAnsi="Calibri" w:eastAsia="Microsoft YaHei" w:cs="Calibri"/>
          <w:b/>
          <w:color w:val="4A5568"/>
          <w:sz w:val="24"/>
          <w:szCs w:val="24"/>
        </w:rPr>
        <w:t>Treatment of Amendments</w:t>
      </w:r>
    </w:p>
    <w:p>
      <w:pPr>
        <w:pStyle w:val="Normal"/>
      </w:pPr>
      <w:r>
        <w:rPr>
          <w:rFonts w:ascii="Calibri" w:hAnsi="Calibri" w:eastAsia="Microsoft YaHei" w:cs="Calibri"/>
          <w:color w:val="1E1E1E"/>
          <w:sz w:val="22"/>
          <w:szCs w:val="22"/>
        </w:rPr>
        <w:t>Amendments are treated as technical appendices to this Annex. They do not reopen the political text of the HSU. Technical adjustments to numerical values, timelines, and verification methods fall within the JIC's standing authority under HSU Article 10.2.</w:t>
      </w:r>
    </w:p>
    <w:p>
      <w:pPr>
        <w:pStyle w:val="Heading2"/>
      </w:pPr>
      <w:r>
        <w:rPr>
          <w:rFonts w:ascii="Calibri" w:hAnsi="Calibri" w:eastAsia="Microsoft YaHei" w:cs="Calibri"/>
          <w:b/>
          <w:color w:val="1E1E1E"/>
          <w:sz w:val="26"/>
          <w:szCs w:val="26"/>
        </w:rPr>
        <w:t>7.3 Emergency Amendments</w:t>
      </w:r>
    </w:p>
    <w:p>
      <w:pPr>
        <w:pStyle w:val="Heading3"/>
      </w:pPr>
      <w:r>
        <w:rPr>
          <w:rFonts w:ascii="Calibri" w:hAnsi="Calibri" w:eastAsia="Microsoft YaHei" w:cs="Calibri"/>
          <w:b/>
          <w:color w:val="4A5568"/>
          <w:sz w:val="24"/>
          <w:szCs w:val="24"/>
        </w:rPr>
        <w:t>Criteria</w:t>
      </w:r>
    </w:p>
    <w:p>
      <w:pPr>
        <w:pStyle w:val="Normal"/>
      </w:pPr>
      <w:r>
        <w:rPr>
          <w:rFonts w:ascii="Calibri" w:hAnsi="Calibri" w:eastAsia="Microsoft YaHei" w:cs="Calibri"/>
          <w:color w:val="1E1E1E"/>
          <w:sz w:val="22"/>
          <w:szCs w:val="22"/>
        </w:rPr>
        <w:t>Emergency amendments are adopted only under the following conditions:</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A humanitarian emergency (as defined by the UN) requires expedited action.</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A financial crisis threatens the stability of the Goodwill Escrow Account.</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Significant operational failure prevents the Account from fulfilling its purpose.</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Force majeure prevents compliance with the terms of this Annex.</w:t>
      </w:r>
    </w:p>
    <w:p>
      <w:pPr>
        <w:pStyle w:val="Heading3"/>
      </w:pPr>
      <w:r>
        <w:rPr>
          <w:rFonts w:ascii="Calibri" w:hAnsi="Calibri" w:eastAsia="Microsoft YaHei" w:cs="Calibri"/>
          <w:b/>
          <w:color w:val="4A5568"/>
          <w:sz w:val="24"/>
          <w:szCs w:val="24"/>
        </w:rPr>
        <w:t>Procedure</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Any Party or the JIC proposes an emergency amendment.</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The JIC convenes an emergency session within 72 hours.</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The JIC adopts the emergency amendment by three-fourths majority vote.</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The emergency amendment takes effect immediately upon adoption.</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The emergency amendment is published in the Compliance Dashboard within 24 hours.</w:t>
      </w:r>
    </w:p>
    <w:p>
      <w:pPr>
        <w:pStyle w:val="Heading3"/>
      </w:pPr>
      <w:r>
        <w:rPr>
          <w:rFonts w:ascii="Calibri" w:hAnsi="Calibri" w:eastAsia="Microsoft YaHei" w:cs="Calibri"/>
          <w:b/>
          <w:color w:val="4A5568"/>
          <w:sz w:val="24"/>
          <w:szCs w:val="24"/>
        </w:rPr>
        <w:t>Review</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JIC reviews all emergency amendments at its next regular session (within 30 days).</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The JIC ratifies, modifies, or rescinds the emergency amendment.</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If rescinded, the prior terms are restored retroactively.</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The review is documented in the quarterly Transparency Report.</w:t>
      </w:r>
    </w:p>
    <w:p>
      <w:pPr>
        <w:pStyle w:val="Heading1"/>
      </w:pPr>
      <w:bookmarkStart w:name="_Toc009" w:id="10"/>
      <w:r>
        <w:rPr>
          <w:rFonts w:ascii="Calibri" w:hAnsi="Calibri" w:eastAsia="Microsoft YaHei" w:cs="Calibri"/>
          <w:b/>
          <w:color w:val="1A2744"/>
          <w:sz w:val="32"/>
          <w:szCs w:val="32"/>
        </w:rPr>
        <w:t>Article 8: Final Provisions</w:t>
      </w:r>
      <w:bookmarkEnd w:id="10"/>
    </w:p>
    <w:p>
      <w:pPr>
        <w:pStyle w:val="Heading2"/>
      </w:pPr>
      <w:r>
        <w:rPr>
          <w:rFonts w:ascii="Calibri" w:hAnsi="Calibri" w:eastAsia="Microsoft YaHei" w:cs="Calibri"/>
          <w:b/>
          <w:color w:val="1E1E1E"/>
          <w:sz w:val="26"/>
          <w:szCs w:val="26"/>
        </w:rPr>
        <w:t>8.1 Duration and Termination</w:t>
      </w:r>
    </w:p>
    <w:p>
      <w:pPr>
        <w:pStyle w:val="Heading3"/>
      </w:pPr>
      <w:r>
        <w:rPr>
          <w:rFonts w:ascii="Calibri" w:hAnsi="Calibri" w:eastAsia="Microsoft YaHei" w:cs="Calibri"/>
          <w:b/>
          <w:color w:val="4A5568"/>
          <w:sz w:val="24"/>
          <w:szCs w:val="24"/>
        </w:rPr>
        <w:t>Duration</w:t>
      </w:r>
    </w:p>
    <w:p>
      <w:pPr>
        <w:pStyle w:val="Normal"/>
      </w:pPr>
      <w:r>
        <w:rPr>
          <w:rFonts w:ascii="Calibri" w:hAnsi="Calibri" w:eastAsia="Microsoft YaHei" w:cs="Calibri"/>
          <w:color w:val="1E1E1E"/>
          <w:sz w:val="22"/>
          <w:szCs w:val="22"/>
        </w:rPr>
        <w:t>This Annex remains in effect for the duration of the HSU (36 months from the date of HSU signing, renewable under HSU Article 9.2). If the HSU renews, this Annex renews automatically. If the HSU terminates, this Annex terminates simultaneously.</w:t>
      </w:r>
    </w:p>
    <w:p>
      <w:pPr>
        <w:pStyle w:val="Heading3"/>
      </w:pPr>
      <w:r>
        <w:rPr>
          <w:rFonts w:ascii="Calibri" w:hAnsi="Calibri" w:eastAsia="Microsoft YaHei" w:cs="Calibri"/>
          <w:b/>
          <w:color w:val="4A5568"/>
          <w:sz w:val="24"/>
          <w:szCs w:val="24"/>
        </w:rPr>
        <w:t>Early Termination</w:t>
      </w:r>
    </w:p>
    <w:p>
      <w:pPr>
        <w:pStyle w:val="Normal"/>
      </w:pPr>
      <w:r>
        <w:rPr>
          <w:rFonts w:ascii="Calibri" w:hAnsi="Calibri" w:eastAsia="Microsoft YaHei" w:cs="Calibri"/>
          <w:color w:val="1E1E1E"/>
          <w:sz w:val="22"/>
          <w:szCs w:val="22"/>
        </w:rPr>
        <w:t>Either Party terminates this Annex with 180 days' written notice to the Depositary and the other Party. Termination of this Annex does not automatically terminate the HSU, but the HSU undergoes review if this Annex terminates.</w:t>
      </w:r>
    </w:p>
    <w:p>
      <w:pPr>
        <w:pStyle w:val="Heading3"/>
      </w:pPr>
      <w:r>
        <w:rPr>
          <w:rFonts w:ascii="Calibri" w:hAnsi="Calibri" w:eastAsia="Microsoft YaHei" w:cs="Calibri"/>
          <w:b/>
          <w:color w:val="4A5568"/>
          <w:sz w:val="24"/>
          <w:szCs w:val="24"/>
        </w:rPr>
        <w:t>Wind-Down Period</w:t>
      </w:r>
    </w:p>
    <w:p>
      <w:pPr>
        <w:pStyle w:val="Normal"/>
      </w:pPr>
      <w:r>
        <w:rPr>
          <w:rFonts w:ascii="Calibri" w:hAnsi="Calibri" w:eastAsia="Microsoft YaHei" w:cs="Calibri"/>
          <w:color w:val="1E1E1E"/>
          <w:sz w:val="22"/>
          <w:szCs w:val="22"/>
        </w:rPr>
        <w:t>Upon termination, the following wind-down provisions apply:</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The Goodwill Escrow Account continues to operate for 12 months after termination.</w:t>
      </w:r>
    </w:p>
    <w:p>
      <w:pPr>
        <w:pStyle w:val="Normal"/>
        <w:ind w:left="720" w:hanging="360"/>
      </w:pPr>
      <w:r>
        <w:rPr>
          <w:b/>
          <w:color w:val="4A5568"/>
          <w:rFonts w:ascii="Calibri" w:hAnsi="Calibri" w:eastAsia="Microsoft YaHei" w:cs="Calibri"/>
          <w:sz w:val="22"/>
          <w:szCs w:val="22"/>
        </w:rPr>
        <w:t>(b)</w:t>
      </w:r>
      <w:r>
        <w:rPr>
          <w:rFonts w:ascii="Calibri" w:hAnsi="Calibri" w:eastAsia="Microsoft YaHei" w:cs="Calibri"/>
          <w:color w:val="1E1E1E"/>
          <w:sz w:val="22"/>
          <w:szCs w:val="22"/>
        </w:rPr>
        <w:t xml:space="preserve"> All funds remaining in the Account are distributed as follows: First Priority: outstanding humanitarian procurement obligations (verified by JIC); Second Priority: Account administrative costs for wind-down period; Third Priority: remaining funds are transferred to the IMO for humanitarian programs (with preference for programs in the region).</w:t>
      </w:r>
    </w:p>
    <w:p>
      <w:pPr>
        <w:pStyle w:val="Normal"/>
        <w:ind w:left="720" w:hanging="360"/>
      </w:pPr>
      <w:r>
        <w:rPr>
          <w:b/>
          <w:color w:val="4A5568"/>
          <w:rFonts w:ascii="Calibri" w:hAnsi="Calibri" w:eastAsia="Microsoft YaHei" w:cs="Calibri"/>
          <w:sz w:val="22"/>
          <w:szCs w:val="22"/>
        </w:rPr>
        <w:t>(c)</w:t>
      </w:r>
      <w:r>
        <w:rPr>
          <w:rFonts w:ascii="Calibri" w:hAnsi="Calibri" w:eastAsia="Microsoft YaHei" w:cs="Calibri"/>
          <w:color w:val="1E1E1E"/>
          <w:sz w:val="22"/>
          <w:szCs w:val="22"/>
        </w:rPr>
        <w:t xml:space="preserve"> All financial obligations accrued prior to termination survive termination.</w:t>
      </w:r>
    </w:p>
    <w:p>
      <w:pPr>
        <w:pStyle w:val="Normal"/>
        <w:ind w:left="720" w:hanging="360"/>
      </w:pPr>
      <w:r>
        <w:rPr>
          <w:b/>
          <w:color w:val="4A5568"/>
          <w:rFonts w:ascii="Calibri" w:hAnsi="Calibri" w:eastAsia="Microsoft YaHei" w:cs="Calibri"/>
          <w:sz w:val="22"/>
          <w:szCs w:val="22"/>
        </w:rPr>
        <w:t>(d)</w:t>
      </w:r>
      <w:r>
        <w:rPr>
          <w:rFonts w:ascii="Calibri" w:hAnsi="Calibri" w:eastAsia="Microsoft YaHei" w:cs="Calibri"/>
          <w:color w:val="1E1E1E"/>
          <w:sz w:val="22"/>
          <w:szCs w:val="22"/>
        </w:rPr>
        <w:t xml:space="preserve"> All data collected during the term of this Annex remains subject to data sovereignty provisions.</w:t>
      </w:r>
    </w:p>
    <w:p>
      <w:pPr>
        <w:pStyle w:val="Normal"/>
        <w:ind w:left="720" w:hanging="360"/>
      </w:pPr>
      <w:r>
        <w:rPr>
          <w:b/>
          <w:color w:val="4A5568"/>
          <w:rFonts w:ascii="Calibri" w:hAnsi="Calibri" w:eastAsia="Microsoft YaHei" w:cs="Calibri"/>
          <w:sz w:val="22"/>
          <w:szCs w:val="22"/>
        </w:rPr>
        <w:t>(e)</w:t>
      </w:r>
      <w:r>
        <w:rPr>
          <w:rFonts w:ascii="Calibri" w:hAnsi="Calibri" w:eastAsia="Microsoft YaHei" w:cs="Calibri"/>
          <w:color w:val="1E1E1E"/>
          <w:sz w:val="22"/>
          <w:szCs w:val="22"/>
        </w:rPr>
        <w:t xml:space="preserve"> The TWG verifies the wind-down process and reports to the JIC.</w:t>
      </w:r>
    </w:p>
    <w:p>
      <w:pPr>
        <w:pStyle w:val="Heading3"/>
      </w:pPr>
      <w:r>
        <w:rPr>
          <w:rFonts w:ascii="Calibri" w:hAnsi="Calibri" w:eastAsia="Microsoft YaHei" w:cs="Calibri"/>
          <w:b/>
          <w:color w:val="4A5568"/>
          <w:sz w:val="24"/>
          <w:szCs w:val="24"/>
        </w:rPr>
        <w:t>Survival</w:t>
      </w:r>
    </w:p>
    <w:p>
      <w:pPr>
        <w:pStyle w:val="Normal"/>
      </w:pPr>
      <w:r>
        <w:rPr>
          <w:rFonts w:ascii="Calibri" w:hAnsi="Calibri" w:eastAsia="Microsoft YaHei" w:cs="Calibri"/>
          <w:color w:val="1E1E1E"/>
          <w:sz w:val="22"/>
          <w:szCs w:val="22"/>
        </w:rPr>
        <w:t>The following provisions survive termination of this Annex:</w:t>
      </w:r>
    </w:p>
    <w:p>
      <w:pPr>
        <w:pStyle w:val="Normal"/>
        <w:ind w:left="720" w:hanging="360"/>
      </w:pPr>
      <w:r>
        <w:rPr>
          <w:b/>
          <w:color w:val="4A5568"/>
          <w:rFonts w:ascii="Calibri" w:hAnsi="Calibri" w:eastAsia="Microsoft YaHei" w:cs="Calibri"/>
          <w:sz w:val="22"/>
          <w:szCs w:val="22"/>
        </w:rPr>
        <w:t>(a)</w:t>
      </w:r>
      <w:r>
        <w:rPr>
          <w:rFonts w:ascii="Calibri" w:hAnsi="Calibri" w:eastAsia="Microsoft YaHei" w:cs="Calibri"/>
          <w:color w:val="1E1E1E"/>
          <w:sz w:val="22"/>
          <w:szCs w:val="22"/>
        </w:rPr>
        <w:t xml:space="preserve"> All financial obligations accrued prior to termination.</w:t>
      </w:r>
    </w:p>
    <w:p>
      <w:pPr>
        <w:ind w:left="720" w:hanging="360"/>
      </w:pPr>
      <w:r>
        <w:rPr>
          <w:b/>
          <w:color w:val="4A5568"/>
        </w:rPr>
        <w:t xml:space="preserve">(b)</w:t>
      </w:r>
      <w:r>
        <w:t xml:space="preserve"> All data collected during the term of this Annex, subject to data sovereignty provisions.</w:t>
      </w:r>
    </w:p>
    <w:p>
      <w:pPr>
        <w:ind w:left="720" w:hanging="360"/>
      </w:pPr>
      <w:r>
        <w:rPr>
          <w:b/>
          <w:color w:val="4A5568"/>
        </w:rPr>
        <w:t xml:space="preserve">(c)</w:t>
      </w:r>
      <w:r>
        <w:t xml:space="preserve"> All incident reports and compliance determinations issued by the JIC.</w:t>
      </w:r>
    </w:p>
    <w:p>
      <w:pPr>
        <w:ind w:left="720" w:hanging="360"/>
      </w:pPr>
      <w:r>
        <w:rPr>
          <w:b/>
          <w:color w:val="4A5568"/>
        </w:rPr>
        <w:t xml:space="preserve">(d)</w:t>
      </w:r>
      <w:r>
        <w:t xml:space="preserve"> All dispute resolution proceedings initiated prior to termination.</w:t>
      </w:r>
    </w:p>
    <w:p>
      <w:pPr>
        <w:ind w:left="720" w:hanging="360"/>
      </w:pPr>
      <w:r>
        <w:rPr>
          <w:b/>
          <w:color w:val="4A5568"/>
        </w:rPr>
        <w:t xml:space="preserve">(e)</w:t>
      </w:r>
      <w:r>
        <w:t xml:space="preserve"> The non-prejudice clause in Article 1.3.</w:t>
      </w:r>
    </w:p>
    <w:p>
      <w:pPr>
        <w:pStyle w:val="Heading2"/>
      </w:pPr>
      <w:r>
        <w:rPr>
          <w:rFonts w:ascii="Calibri" w:hAnsi="Calibri" w:eastAsia="Microsoft YaHei" w:cs="Calibri"/>
          <w:b/>
          <w:color w:val="1E1E1E"/>
          <w:sz w:val="26"/>
          <w:szCs w:val="26"/>
        </w:rPr>
        <w:t>8.2 Relationship to Other Annexes</w:t>
      </w:r>
    </w:p>
    <w:p>
      <w:pPr>
        <w:pStyle w:val="Normal"/>
      </w:pPr>
      <w:r>
        <w:rPr>
          <w:rFonts w:ascii="Calibri" w:hAnsi="Calibri" w:eastAsia="Microsoft YaHei" w:cs="Calibri"/>
          <w:color w:val="1E1E1E"/>
          <w:sz w:val="26"/>
          <w:szCs w:val="22"/>
          <w:b/>
        </w:rPr>
        <w:t xml:space="preserve">(a) Compliance Linkage: </w:t>
      </w:r>
      <w:r>
        <w:rPr>
          <w:rFonts w:ascii="Calibri" w:hAnsi="Calibri" w:eastAsia="Microsoft YaHei" w:cs="Calibri"/>
          <w:color w:val="1E1E1E"/>
          <w:sz w:val="22"/>
          <w:szCs w:val="22"/>
        </w:rPr>
        <w:t>Disbursements under this Annex are conditioned upon compliance with: (i) Annex 1AB (Navigation Safety and Deconfliction Protocol), as specified in Article 3.2; (ii) Annex 1AD (Confidence-Building and Reversible Measures), as specified in Article 3.1.</w:t>
      </w:r>
    </w:p>
    <w:p>
      <w:pPr>
        <w:pStyle w:val="Normal"/>
      </w:pPr>
      <w:r>
        <w:rPr>
          <w:rFonts w:ascii="Calibri" w:hAnsi="Calibri" w:eastAsia="Microsoft YaHei" w:cs="Calibri"/>
          <w:color w:val="1E1E1E"/>
          <w:sz w:val="26"/>
          <w:szCs w:val="22"/>
          <w:b/>
        </w:rPr>
        <w:t xml:space="preserve">(b) Suspension Linkage: </w:t>
      </w:r>
      <w:r>
        <w:rPr>
          <w:rFonts w:ascii="Calibri" w:hAnsi="Calibri" w:eastAsia="Microsoft YaHei" w:cs="Calibri"/>
          <w:color w:val="1E1E1E"/>
          <w:sz w:val="22"/>
          <w:szCs w:val="22"/>
        </w:rPr>
        <w:t>A Level 3 or Level 4 violation under Annex 1AB automatically triggers: (i) a suspension of disbursements under this Annex (as specified in Article 4.4); (ii) a mandatory JIC review of both Annex 1AB and this Annex; (iii) activation of the dispute resolution procedures under Article 6.</w:t>
      </w:r>
    </w:p>
    <w:p>
      <w:pPr>
        <w:pStyle w:val="Normal"/>
      </w:pPr>
      <w:r>
        <w:rPr>
          <w:rFonts w:ascii="Calibri" w:hAnsi="Calibri" w:eastAsia="Microsoft YaHei" w:cs="Calibri"/>
          <w:color w:val="1E1E1E"/>
          <w:sz w:val="26"/>
          <w:szCs w:val="22"/>
          <w:b/>
        </w:rPr>
        <w:t xml:space="preserve">(c) Harmonization: </w:t>
      </w:r>
      <w:r>
        <w:rPr>
          <w:rFonts w:ascii="Calibri" w:hAnsi="Calibri" w:eastAsia="Microsoft YaHei" w:cs="Calibri"/>
          <w:color w:val="1E1E1E"/>
          <w:sz w:val="22"/>
          <w:szCs w:val="22"/>
        </w:rPr>
        <w:t>The JIC coordinates implementation of this Annex with the HSC under Annex 1AC to ensure consistent financial management. The JIC ensures that the Goodwill Escrow Account and the HSC escrow account are complementary and not duplicative.</w:t>
      </w:r>
    </w:p>
    <w:p>
      <w:pPr>
        <w:pStyle w:val="Normal"/>
      </w:pPr>
      <w:r>
        <w:rPr>
          <w:rFonts w:ascii="Calibri" w:hAnsi="Calibri" w:eastAsia="Microsoft YaHei" w:cs="Calibri"/>
          <w:color w:val="1E1E1E"/>
          <w:sz w:val="26"/>
          <w:szCs w:val="22"/>
          <w:b/>
        </w:rPr>
        <w:t xml:space="preserve">(d) Supremacy: </w:t>
      </w:r>
      <w:r>
        <w:rPr>
          <w:rFonts w:ascii="Calibri" w:hAnsi="Calibri" w:eastAsia="Microsoft YaHei" w:cs="Calibri"/>
          <w:color w:val="1E1E1E"/>
          <w:sz w:val="22"/>
          <w:szCs w:val="22"/>
        </w:rPr>
        <w:t>In the event of inconsistency between this Annex and any other annex to the HSU, the HSU preamble and Article 1.3 (Non-Prejudice Clause) govern. Nothing in this Annex overrides the sovereignty disclaimer embedded in the HSU.</w:t>
      </w:r>
    </w:p>
    <w:p>
      <w:pPr>
        <w:pStyle w:val="Heading2"/>
      </w:pPr>
      <w:r>
        <w:rPr>
          <w:rFonts w:ascii="Calibri" w:hAnsi="Calibri" w:eastAsia="Microsoft YaHei" w:cs="Calibri"/>
          <w:b/>
          <w:color w:val="1E1E1E"/>
          <w:sz w:val="26"/>
          <w:szCs w:val="26"/>
        </w:rPr>
        <w:t>8.3 Annex Signatures</w:t>
      </w:r>
    </w:p>
    <w:p>
      <w:pPr>
        <w:pStyle w:val="Normal"/>
      </w:pPr>
      <w:r>
        <w:rPr>
          <w:rFonts w:ascii="Calibri" w:hAnsi="Calibri" w:eastAsia="Microsoft YaHei" w:cs="Calibri"/>
          <w:color w:val="1E1E1E"/>
          <w:sz w:val="22"/>
          <w:szCs w:val="22"/>
        </w:rPr>
        <w:t>This Annex is adopted by the Signatories to the HSU and appended to the HSU as an integral component. It does not constitute a separate treaty. The primary signatories to the HSU adopt this Annex by appending their signatures below.</w:t>
      </w:r>
    </w:p>
    <w:p>
      <w:pPr>
        <w:pStyle w:val="Normal"/>
      </w:pPr>
      <w:r>
        <w:rPr>
          <w:rFonts w:ascii="Calibri" w:hAnsi="Calibri" w:eastAsia="Microsoft YaHei" w:cs="Calibri"/>
          <w:color w:val="1E1E1E"/>
          <w:sz w:val="22"/>
          <w:szCs w:val="22"/>
        </w:rPr>
        <w:t>ADOPTED this _____ day of ___________, 2026, in Muscat, Sultanate of Oman.</w:t>
      </w:r>
    </w:p>
    <w:p>
      <w:pPr>
        <w:pStyle w:val="Heading2"/>
        <w:keepNext w:val="1"/>
        <w:spacing w:line="300" w:before="360" w:after="160" w:lineRule="auto"/>
      </w:pPr>
      <w:r>
        <w:rPr>
          <w:rFonts w:ascii="Calibri" w:hAnsi="Calibri" w:eastAsia="Microsoft YaHei" w:cs="Calibri"/>
          <w:b/>
          <w:color w:val="1E1E1E"/>
          <w:sz w:val="26"/>
          <w:szCs w:val="26"/>
        </w:rPr>
        <w:t>8.4 Data Sovereignty and Access</w:t>
      </w:r>
    </w:p>
    <w:p>
      <w:pPr>
        <w:pStyle w:val="Normal"/>
      </w:pPr>
      <w:r>
        <w:rPr>
          <w:rFonts w:ascii="Calibri" w:hAnsi="Calibri" w:eastAsia="Microsoft YaHei" w:cs="Calibri"/>
          <w:color w:val="1E1E1E"/>
          <w:sz w:val="22"/>
          <w:szCs w:val="22"/>
        </w:rPr>
        <w:t>The Data Sovereignty and Access Protocol established in HSU Article 6.3 applies to all financial data, bank records, supplier documentation, and procurement records generated under this Annex. All such data is subject to the same ownership, access, prohibited uses, technical controls, third-party sharing, and retention provisions as HSU Article 6.3.</w:t>
      </w:r>
    </w:p>
    <w:p>
      <w:pPr>
        <w:pStyle w:val="Heading2"/>
        <w:keepNext w:val="1"/>
        <w:spacing w:line="300" w:before="360" w:after="160" w:lineRule="auto"/>
      </w:pPr>
      <w:r>
        <w:rPr>
          <w:rFonts w:ascii="Calibri" w:hAnsi="Calibri" w:eastAsia="Microsoft YaHei" w:cs="Calibri"/>
          <w:b/>
          <w:color w:val="1E1E1E"/>
          <w:sz w:val="26"/>
          <w:szCs w:val="26"/>
        </w:rPr>
        <w:t>8.5 Force Majeure</w:t>
      </w:r>
    </w:p>
    <w:p>
      <w:pPr>
        <w:pStyle w:val="Normal"/>
      </w:pPr>
      <w:r>
        <w:rPr>
          <w:rFonts w:ascii="Calibri" w:hAnsi="Calibri" w:eastAsia="Microsoft YaHei" w:cs="Calibri"/>
          <w:color w:val="1E1E1E"/>
          <w:sz w:val="22"/>
          <w:szCs w:val="22"/>
        </w:rPr>
        <w:t>The Force Majeure provisions of HSU Article 1.1B apply to this Annex. A Party invoking force majeure under this Annex notifies the JIC within 72 hours and specifies the obligations affected. Force majeure does not relieve a Party of its obligations under Article 3.4 (Humanitarian Procurement Protocol) where alternative procurement arrangements are feasible.</w:t>
      </w:r>
    </w:p>
    <w:p>
      <w:pPr>
        <w:pStyle w:val="Heading2"/>
        <w:keepNext w:val="1"/>
        <w:spacing w:line="300" w:before="360" w:after="160" w:lineRule="auto"/>
      </w:pPr>
      <w:r>
        <w:rPr>
          <w:rFonts w:ascii="Calibri" w:hAnsi="Calibri" w:eastAsia="Microsoft YaHei" w:cs="Calibri"/>
          <w:b/>
          <w:color w:val="1E1E1E"/>
          <w:sz w:val="26"/>
          <w:szCs w:val="26"/>
        </w:rPr>
        <w:t>8.6 Non-Retroactivity</w:t>
      </w:r>
    </w:p>
    <w:p>
      <w:pPr>
        <w:pStyle w:val="Normal"/>
      </w:pPr>
      <w:r>
        <w:rPr>
          <w:rFonts w:ascii="Calibri" w:hAnsi="Calibri" w:eastAsia="Microsoft YaHei" w:cs="Calibri"/>
          <w:color w:val="1E1E1E"/>
          <w:sz w:val="22"/>
          <w:szCs w:val="22"/>
        </w:rPr>
        <w:t>This Annex applies exclusively to conduct occurring on or after its effective date. No provision of this Annex is construed as having retroactive effect. Assets, funds, or conduct occurring prior to the effective date are governed by the legal regimes in effect at the time.</w:t>
      </w:r>
    </w:p>
    <w:p>
      <w:pPr>
        <w:pStyle w:val="Heading2"/>
        <w:keepNext w:val="1"/>
        <w:spacing w:line="300" w:before="360" w:after="160" w:lineRule="auto"/>
      </w:pPr>
      <w:r>
        <w:rPr>
          <w:rFonts w:ascii="Calibri" w:hAnsi="Calibri" w:eastAsia="Microsoft YaHei" w:cs="Calibri"/>
          <w:b/>
          <w:color w:val="1E1E1E"/>
          <w:sz w:val="26"/>
          <w:szCs w:val="26"/>
        </w:rPr>
        <w:t>8.7 Confidentiality</w:t>
      </w:r>
    </w:p>
    <w:p>
      <w:pPr>
        <w:pStyle w:val="Normal"/>
      </w:pPr>
      <w:r>
        <w:rPr>
          <w:rFonts w:ascii="Calibri" w:hAnsi="Calibri" w:eastAsia="Microsoft YaHei" w:cs="Calibri"/>
          <w:color w:val="1E1E1E"/>
          <w:sz w:val="22"/>
          <w:szCs w:val="22"/>
        </w:rPr>
        <w:t>The Confidentiality provisions of HSU Article 10.9 apply to this Annex. All financial records, procurement documentation, and bank communications generated under this Annex bear classification as CONFIDENTIAL / RESTRICTED. Disclosure to third parties requires unanimous JIC consent, except as required for emergency response, IMO safety reporting, or as otherwise provided in Article 5.3 of this Annex.</w:t>
      </w:r>
    </w:p>
    <w:p>
      <w:pPr>
        <w:pStyle w:val="Normal"/>
        <w:pageBreakBefore/>
      </w:pPr>
    </w:p>
    <w:p>
      <w:pPr>
        <w:pStyle w:val="Heading1"/>
      </w:pPr>
      <w:bookmarkStart w:name="_Toc010" w:id="11"/>
      <w:r>
        <w:rPr>
          <w:rFonts w:ascii="Calibri" w:hAnsi="Calibri" w:eastAsia="Microsoft YaHei" w:cs="Calibri"/>
          <w:b/>
          <w:color w:val="1A2744"/>
          <w:sz w:val="32"/>
          <w:szCs w:val="32"/>
        </w:rPr>
        <w:t>Signature Pages</w:t>
      </w:r>
      <w:bookmarkEnd w:id="11"/>
    </w:p>
    <w:p>
      <w:pPr>
        <w:pStyle w:val="Normal"/>
      </w:pPr>
      <w:r>
        <w:rPr>
          <w:rFonts w:ascii="Calibri" w:hAnsi="Calibri" w:eastAsia="Microsoft YaHei" w:cs="Calibri"/>
          <w:color w:val="1E1E1E"/>
          <w:sz w:val="22"/>
          <w:szCs w:val="22"/>
        </w:rPr>
        <w:t>FOR THE UNITED STATES OF AMERICA:</w:t>
      </w:r>
    </w:p>
    <w:p>
      <w:pPr>
        <w:pStyle w:val="Normal"/>
        <w:spacing w:before="60" w:after="60"/>
        <w:ind w:left="360"/>
      </w:pPr>
      <w:r>
        <w:rPr>
          <w:color w:val="666666"/>
          <w:sz w:val="20"/>
          <w:rFonts w:ascii="Calibri" w:hAnsi="Calibri" w:eastAsia="Microsoft YaHei" w:cs="Calibri"/>
          <w:szCs w:val="20"/>
        </w:rPr>
        <w:t>Name: ________________________________</w:t>
      </w:r>
    </w:p>
    <w:p>
      <w:pPr>
        <w:pStyle w:val="Normal"/>
        <w:spacing w:before="60" w:after="60"/>
        <w:ind w:left="360"/>
      </w:pPr>
      <w:r>
        <w:rPr>
          <w:color w:val="666666"/>
          <w:sz w:val="20"/>
          <w:rFonts w:ascii="Calibri" w:hAnsi="Calibri" w:eastAsia="Microsoft YaHei" w:cs="Calibri"/>
          <w:szCs w:val="20"/>
        </w:rPr>
        <w:t>Special Envoy for Iran</w:t>
      </w:r>
    </w:p>
    <w:p>
      <w:pPr>
        <w:pStyle w:val="Normal"/>
        <w:spacing w:before="60" w:after="60"/>
        <w:ind w:left="360"/>
      </w:pPr>
      <w:r>
        <w:rPr>
          <w:color w:val="666666"/>
          <w:sz w:val="20"/>
          <w:rFonts w:ascii="Calibri" w:hAnsi="Calibri" w:eastAsia="Microsoft YaHei" w:cs="Calibri"/>
          <w:szCs w:val="20"/>
        </w:rPr>
        <w:t>Date: ________________________________</w:t>
      </w:r>
    </w:p>
    <w:p>
      <w:pPr>
        <w:pStyle w:val="Normal"/>
        <w:spacing w:before="60" w:after="60"/>
        <w:ind w:left="360"/>
      </w:pPr>
      <w:r>
        <w:rPr>
          <w:color w:val="666666"/>
          <w:sz w:val="20"/>
          <w:rFonts w:ascii="Calibri" w:hAnsi="Calibri" w:eastAsia="Microsoft YaHei" w:cs="Calibri"/>
          <w:szCs w:val="20"/>
        </w:rPr>
        <w:t>Signature: ________________________________</w:t>
      </w:r>
    </w:p>
    <w:p>
      <w:pPr>
        <w:pStyle w:val="Normal"/>
        <w:spacing w:before="400"/>
      </w:pPr>
    </w:p>
    <w:p>
      <w:pPr>
        <w:pStyle w:val="Normal"/>
      </w:pPr>
      <w:r>
        <w:rPr>
          <w:rFonts w:ascii="Calibri" w:hAnsi="Calibri" w:eastAsia="Microsoft YaHei" w:cs="Calibri"/>
          <w:color w:val="1E1E1E"/>
          <w:sz w:val="22"/>
          <w:szCs w:val="22"/>
        </w:rPr>
        <w:t>FOR THE ISLAMIC REPUBLIC OF IRAN:</w:t>
      </w:r>
    </w:p>
    <w:p>
      <w:pPr>
        <w:pStyle w:val="Normal"/>
        <w:spacing w:before="60" w:after="60"/>
        <w:ind w:left="360"/>
      </w:pPr>
      <w:r>
        <w:rPr>
          <w:color w:val="666666"/>
          <w:sz w:val="20"/>
          <w:rFonts w:ascii="Calibri" w:hAnsi="Calibri" w:eastAsia="Microsoft YaHei" w:cs="Calibri"/>
          <w:szCs w:val="20"/>
        </w:rPr>
        <w:t>Name: ________________________________</w:t>
      </w:r>
    </w:p>
    <w:p>
      <w:pPr>
        <w:pStyle w:val="Normal"/>
        <w:spacing w:before="60" w:after="60"/>
        <w:ind w:left="360"/>
      </w:pPr>
      <w:r>
        <w:rPr>
          <w:color w:val="666666"/>
          <w:sz w:val="20"/>
          <w:rFonts w:ascii="Calibri" w:hAnsi="Calibri" w:eastAsia="Microsoft YaHei" w:cs="Calibri"/>
          <w:szCs w:val="20"/>
        </w:rPr>
        <w:t>Minister of Foreign Affairs</w:t>
      </w:r>
    </w:p>
    <w:p>
      <w:pPr>
        <w:pStyle w:val="Normal"/>
        <w:spacing w:before="60" w:after="60"/>
        <w:ind w:left="360"/>
      </w:pPr>
      <w:r>
        <w:rPr>
          <w:color w:val="666666"/>
          <w:sz w:val="20"/>
          <w:rFonts w:ascii="Calibri" w:hAnsi="Calibri" w:eastAsia="Microsoft YaHei" w:cs="Calibri"/>
          <w:szCs w:val="20"/>
        </w:rPr>
        <w:t>Date: ________________________________</w:t>
      </w:r>
    </w:p>
    <w:p>
      <w:pPr>
        <w:pStyle w:val="Normal"/>
        <w:spacing w:before="60" w:after="60"/>
        <w:ind w:left="360"/>
      </w:pPr>
      <w:r>
        <w:rPr>
          <w:color w:val="666666"/>
          <w:sz w:val="20"/>
          <w:rFonts w:ascii="Calibri" w:hAnsi="Calibri" w:eastAsia="Microsoft YaHei" w:cs="Calibri"/>
          <w:szCs w:val="20"/>
        </w:rPr>
        <w:t>Signature: ________________________________</w:t>
      </w:r>
    </w:p>
    <w:p>
      <w:pPr>
        <w:pStyle w:val="Normal"/>
        <w:spacing w:before="400"/>
      </w:pPr>
    </w:p>
    <w:p>
      <w:pPr>
        <w:pStyle w:val="Normal"/>
      </w:pPr>
      <w:r>
        <w:rPr>
          <w:rFonts w:ascii="Calibri" w:hAnsi="Calibri" w:eastAsia="Microsoft YaHei" w:cs="Calibri"/>
          <w:color w:val="1E1E1E"/>
          <w:sz w:val="22"/>
          <w:szCs w:val="22"/>
        </w:rPr>
        <w:t>FOR THE SULTANATE OF OMAN (WITNESS):</w:t>
      </w:r>
    </w:p>
    <w:p>
      <w:pPr>
        <w:pStyle w:val="Normal"/>
        <w:spacing w:before="60" w:after="60"/>
        <w:ind w:left="360"/>
      </w:pPr>
      <w:r>
        <w:rPr>
          <w:color w:val="666666"/>
          <w:sz w:val="20"/>
          <w:rFonts w:ascii="Calibri" w:hAnsi="Calibri" w:eastAsia="Microsoft YaHei" w:cs="Calibri"/>
          <w:szCs w:val="20"/>
        </w:rPr>
        <w:t>Name: ________________________________</w:t>
      </w:r>
    </w:p>
    <w:p>
      <w:pPr>
        <w:pStyle w:val="Normal"/>
        <w:spacing w:before="60" w:after="60"/>
        <w:ind w:left="360"/>
      </w:pPr>
      <w:r>
        <w:rPr>
          <w:color w:val="666666"/>
          <w:sz w:val="20"/>
          <w:rFonts w:ascii="Calibri" w:hAnsi="Calibri" w:eastAsia="Microsoft YaHei" w:cs="Calibri"/>
          <w:szCs w:val="20"/>
        </w:rPr>
        <w:t>Minister of Foreign Affairs</w:t>
      </w:r>
    </w:p>
    <w:p>
      <w:pPr>
        <w:pStyle w:val="Normal"/>
        <w:spacing w:before="60" w:after="60"/>
        <w:ind w:left="360"/>
      </w:pPr>
      <w:r>
        <w:rPr>
          <w:color w:val="666666"/>
          <w:sz w:val="20"/>
          <w:rFonts w:ascii="Calibri" w:hAnsi="Calibri" w:eastAsia="Microsoft YaHei" w:cs="Calibri"/>
          <w:szCs w:val="20"/>
        </w:rPr>
        <w:t>Date: ________________________________</w:t>
      </w:r>
    </w:p>
    <w:p>
      <w:pPr>
        <w:pStyle w:val="Normal"/>
        <w:spacing w:before="60" w:after="60"/>
        <w:ind w:left="360"/>
      </w:pPr>
      <w:r>
        <w:rPr>
          <w:color w:val="666666"/>
          <w:sz w:val="20"/>
          <w:rFonts w:ascii="Calibri" w:hAnsi="Calibri" w:eastAsia="Microsoft YaHei" w:cs="Calibri"/>
          <w:szCs w:val="20"/>
        </w:rPr>
        <w:t>Signature: ________________________________</w:t>
      </w:r>
    </w:p>
    <w:p>
      <w:pPr>
        <w:pStyle w:val="Normal"/>
        <w:spacing w:before="400"/>
      </w:pPr>
    </w:p>
    <w:p>
      <w:pPr>
        <w:pStyle w:val="Normal"/>
      </w:pPr>
      <w:r>
        <w:rPr>
          <w:rFonts w:ascii="Calibri" w:hAnsi="Calibri" w:eastAsia="Microsoft YaHei" w:cs="Calibri"/>
          <w:color w:val="1E1E1E"/>
          <w:sz w:val="22"/>
          <w:szCs w:val="22"/>
        </w:rPr>
        <w:t>FOR THE INTERNATIONAL MARITIME ORGANIZATION (WITNESS):</w:t>
      </w:r>
    </w:p>
    <w:p>
      <w:pPr>
        <w:pStyle w:val="Normal"/>
        <w:spacing w:before="60" w:after="60"/>
        <w:ind w:left="360"/>
      </w:pPr>
      <w:r>
        <w:rPr>
          <w:color w:val="666666"/>
          <w:sz w:val="20"/>
          <w:rFonts w:ascii="Calibri" w:hAnsi="Calibri" w:eastAsia="Microsoft YaHei" w:cs="Calibri"/>
          <w:szCs w:val="20"/>
        </w:rPr>
        <w:t>Name: ________________________________</w:t>
      </w:r>
    </w:p>
    <w:p>
      <w:pPr>
        <w:pStyle w:val="Normal"/>
        <w:spacing w:before="60" w:after="60"/>
        <w:ind w:left="360"/>
      </w:pPr>
      <w:r>
        <w:rPr>
          <w:color w:val="666666"/>
          <w:sz w:val="20"/>
          <w:rFonts w:ascii="Calibri" w:hAnsi="Calibri" w:eastAsia="Microsoft YaHei" w:cs="Calibri"/>
          <w:szCs w:val="20"/>
        </w:rPr>
        <w:t>Secretary-General</w:t>
      </w:r>
    </w:p>
    <w:p>
      <w:pPr>
        <w:pStyle w:val="Normal"/>
        <w:spacing w:before="60" w:after="60"/>
        <w:ind w:left="360"/>
      </w:pPr>
      <w:r>
        <w:rPr>
          <w:color w:val="666666"/>
          <w:sz w:val="20"/>
          <w:rFonts w:ascii="Calibri" w:hAnsi="Calibri" w:eastAsia="Microsoft YaHei" w:cs="Calibri"/>
          <w:szCs w:val="20"/>
        </w:rPr>
        <w:t>Date: ________________________________</w:t>
      </w:r>
    </w:p>
    <w:p>
      <w:pPr>
        <w:pStyle w:val="Normal"/>
        <w:spacing w:before="60" w:after="60"/>
        <w:ind w:left="360"/>
      </w:pPr>
      <w:r>
        <w:rPr>
          <w:color w:val="666666"/>
          <w:sz w:val="20"/>
          <w:rFonts w:ascii="Calibri" w:hAnsi="Calibri" w:eastAsia="Microsoft YaHei" w:cs="Calibri"/>
          <w:szCs w:val="20"/>
        </w:rPr>
        <w:t>Signature: ________________________________</w:t>
      </w:r>
    </w:p>
    <w:p>
      <w:pPr>
        <w:pStyle w:val="Normal"/>
        <w:spacing w:before="400"/>
      </w:pPr>
    </w:p>
    <w:p>
      <w:pPr>
        <w:pStyle w:val="Normal"/>
      </w:pPr>
      <w:r>
        <w:rPr>
          <w:rFonts w:ascii="Calibri" w:hAnsi="Calibri" w:eastAsia="Microsoft YaHei" w:cs="Calibri"/>
          <w:color w:val="1E1E1E"/>
          <w:sz w:val="22"/>
          <w:szCs w:val="22"/>
        </w:rPr>
        <w:t>IMPLEMENTING FINANCIAL INSTITUTION ACKNOWLEDGMENT</w:t>
      </w:r>
    </w:p>
    <w:p>
      <w:pPr>
        <w:pStyle w:val="Normal"/>
      </w:pPr>
      <w:r>
        <w:rPr>
          <w:rFonts w:ascii="Calibri" w:hAnsi="Calibri" w:eastAsia="Microsoft YaHei" w:cs="Calibri"/>
          <w:color w:val="1E1E1E"/>
          <w:sz w:val="22"/>
          <w:szCs w:val="22"/>
        </w:rPr>
        <w:t>The undersigned financial institution acknowledges its role as Neutral Escrow Bank for the Goodwill Escrow Account and commits to administering all accounts in accordance with this Annex:</w:t>
      </w:r>
    </w:p>
    <w:p>
      <w:pPr>
        <w:pStyle w:val="Normal"/>
        <w:spacing w:before="60" w:after="60"/>
        <w:ind w:left="360"/>
      </w:pPr>
      <w:r>
        <w:rPr>
          <w:color w:val="666666"/>
          <w:sz w:val="20"/>
          <w:rFonts w:ascii="Calibri" w:hAnsi="Calibri" w:eastAsia="Microsoft YaHei" w:cs="Calibri"/>
          <w:szCs w:val="20"/>
        </w:rPr>
        <w:t>Name of Neutral Bank: ________________________________</w:t>
      </w:r>
    </w:p>
    <w:p>
      <w:pPr>
        <w:pStyle w:val="Normal"/>
        <w:spacing w:before="60" w:after="60"/>
        <w:ind w:left="360"/>
      </w:pPr>
      <w:r>
        <w:rPr>
          <w:color w:val="666666"/>
          <w:sz w:val="20"/>
          <w:rFonts w:ascii="Calibri" w:hAnsi="Calibri" w:eastAsia="Microsoft YaHei" w:cs="Calibri"/>
          <w:szCs w:val="20"/>
        </w:rPr>
        <w:t>Name: ________________________________</w:t>
      </w:r>
    </w:p>
    <w:p>
      <w:pPr>
        <w:pStyle w:val="Normal"/>
        <w:spacing w:before="60" w:after="60"/>
        <w:ind w:left="360"/>
      </w:pPr>
      <w:r>
        <w:rPr>
          <w:color w:val="666666"/>
          <w:sz w:val="20"/>
          <w:rFonts w:ascii="Calibri" w:hAnsi="Calibri" w:eastAsia="Microsoft YaHei" w:cs="Calibri"/>
          <w:szCs w:val="20"/>
        </w:rPr>
        <w:t>Title: ________________________________</w:t>
      </w:r>
    </w:p>
    <w:p>
      <w:pPr>
        <w:pStyle w:val="Normal"/>
        <w:spacing w:before="60" w:after="60"/>
        <w:ind w:left="360"/>
      </w:pPr>
      <w:r>
        <w:rPr>
          <w:color w:val="666666"/>
          <w:sz w:val="20"/>
          <w:rFonts w:ascii="Calibri" w:hAnsi="Calibri" w:eastAsia="Microsoft YaHei" w:cs="Calibri"/>
          <w:szCs w:val="20"/>
        </w:rPr>
        <w:t>Date: ________________________________</w:t>
      </w:r>
    </w:p>
    <w:p>
      <w:pPr>
        <w:pStyle w:val="Normal"/>
        <w:spacing w:before="60" w:after="60"/>
        <w:ind w:left="360"/>
      </w:pPr>
      <w:r>
        <w:rPr>
          <w:color w:val="666666"/>
          <w:sz w:val="20"/>
          <w:rFonts w:ascii="Calibri" w:hAnsi="Calibri" w:eastAsia="Microsoft YaHei" w:cs="Calibri"/>
          <w:szCs w:val="20"/>
        </w:rPr>
        <w:t>Signature: ________________________________</w:t>
      </w:r>
    </w:p>
    <w:p>
      <w:pPr>
        <w:pStyle w:val="Normal"/>
        <w:pageBreakBefore/>
        <w:sectPr>
          <w:headerReference w:type="default" r:id="Rf964287c004c4a0e"/>
          <w:footerReference w:type="default" r:id="R6f79cf6db42d4411"/>
          <w:pgSz w:w="11906" w:h="16838"/>
          <w:pgMar w:top="1800" w:right="1440" w:bottom="1440" w:left="1440" w:header="720" w:footer="720"/>
        </w:sectPr>
      </w:pPr>
    </w:p>
    <w:p>
      <w:pPr>
        <w:pStyle w:val="Normal"/>
        <w:spacing w:before="7000"/>
        <w:jc w:val="center"/>
      </w:pPr>
      <w:r>
        <w:rPr>
          <w:b/>
          <w:color w:val="1A2744"/>
          <w:sz w:val="48"/>
          <w:rFonts w:ascii="Calibri" w:hAnsi="Calibri" w:eastAsia="Microsoft YaHei" w:cs="Calibri"/>
          <w:szCs w:val="48"/>
        </w:rPr>
        <w:t>Annex 1AE</w:t>
      </w:r>
    </w:p>
    <w:p>
      <w:pPr>
        <w:pStyle w:val="Normal"/>
        <w:spacing w:before="200"/>
        <w:jc w:val="center"/>
      </w:pPr>
      <w:r>
        <w:rPr>
          <w:color w:val="4A5568"/>
          <w:sz w:val="22"/>
          <w:rFonts w:ascii="Calibri" w:hAnsi="Calibri" w:eastAsia="Microsoft YaHei" w:cs="Calibri"/>
          <w:szCs w:val="22"/>
        </w:rPr>
        <w:t>Humanitarian Asset Release and Economic Facilitation Mechanism</w:t>
      </w:r>
    </w:p>
    <w:p>
      <w:pPr>
        <w:pStyle w:val="Normal"/>
        <w:spacing w:before="600"/>
        <w:jc w:val="center"/>
      </w:pPr>
      <w:r>
        <w:rPr>
          <w:color w:val="8A95A5"/>
          <w:sz w:val="20"/>
          <w:rFonts w:ascii="Calibri" w:hAnsi="Calibri" w:eastAsia="Microsoft YaHei" w:cs="Calibri"/>
          <w:szCs w:val="20"/>
        </w:rPr>
        <w:t>To the Hormuz Standardization Understanding (HSU)</w:t>
      </w:r>
    </w:p>
    <w:p>
      <w:pPr>
        <w:pStyle w:val="Normal"/>
        <w:spacing w:before="200"/>
        <w:jc w:val="center"/>
      </w:pPr>
      <w:r>
        <w:rPr>
          <w:color w:val="8A95A5"/>
          <w:sz w:val="18"/>
          <w:rFonts w:ascii="Calibri" w:hAnsi="Calibri" w:eastAsia="Microsoft YaHei" w:cs="Calibri"/>
          <w:szCs w:val="18"/>
        </w:rPr>
        <w:t xml:space="preserve">Muscat, Sultanate of Oman  |  July 2026</w:t>
      </w:r>
    </w:p>
    <w:p>
      <w:pPr>
        <w:pStyle w:val="Normal"/>
        <w:spacing w:before="400"/>
        <w:jc w:val="center"/>
      </w:pPr>
      <w:r>
        <w:rPr>
          <w:color w:val="8A95A5"/>
          <w:sz w:val="16"/>
          <w:rFonts w:ascii="Calibri" w:hAnsi="Calibri" w:eastAsia="Microsoft YaHei" w:cs="Calibri"/>
          <w:szCs w:val="16"/>
        </w:rPr>
        <w:t>CONFIDENTIAL / AUTHORIZED NEGOTIATORS ONLY / NOT FOR PUBLIC DISTRIBUTION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95A5"/>
        <w:sz w:val="18"/>
      </w:rPr>
      <w:fldChar w:fldCharType="begin"/>
    </w:r>
    <w:r>
      <w:rPr>
        <w:color w:val="8A95A5"/>
        <w:sz w:val="18"/>
      </w:rPr>
      <w:instrText xml:space="preserve"> PAGE </w:instrText>
    </w:r>
    <w:r>
      <w:rPr>
        <w:color w:val="8A95A5"/>
        <w:sz w:val="18"/>
      </w:rPr>
      <w:fldChar w:fldCharType="separate"/>
    </w:r>
    <w:r>
      <w:rPr>
        <w:color w:val="8A95A5"/>
        <w:sz w:val="18"/>
      </w:rPr>
      <w:t>1</w:t>
    </w:r>
    <w:r>
      <w:rPr>
        <w:color w:val="8A95A5"/>
        <w:sz w:val="18"/>
      </w:rPr>
      <w:fldChar w:fldCharType="end"/>
    </w:r>
    <w:r>
      <w:rPr>
        <w:color w:val="8A95A5"/>
        <w:sz w:val="18"/>
      </w:rPr>
      <w:t xml:space="preserve"> / </w:t>
    </w:r>
    <w:r>
      <w:rPr>
        <w:color w:val="8A95A5"/>
        <w:sz w:val="18"/>
      </w:rPr>
      <w:fldChar w:fldCharType="begin"/>
    </w:r>
    <w:r>
      <w:rPr>
        <w:color w:val="8A95A5"/>
        <w:sz w:val="18"/>
      </w:rPr>
      <w:instrText xml:space="preserve"> NUMPAGES </w:instrText>
    </w:r>
    <w:r>
      <w:rPr>
        <w:color w:val="8A95A5"/>
        <w:sz w:val="18"/>
      </w:rPr>
      <w:fldChar w:fldCharType="separate"/>
    </w:r>
    <w:r>
      <w:rPr>
        <w:color w:val="8A95A5"/>
        <w:sz w:val="18"/>
      </w:rPr>
      <w:t>1</w:t>
    </w:r>
    <w:r>
      <w:rPr>
        <w:color w:val="8A95A5"/>
        <w:sz w:val="18"/>
      </w:rPr>
      <w:fldChar w:fldCharType="end"/>
    </w:r>
  </w:p>
</w:ftr>
</file>

<file path=word/header1.xml><?xml version="1.0" encoding="utf-8"?>
<w:hdr xmlns:w="http://schemas.openxmlformats.org/wordprocessingml/2006/main">
  <w:p>
    <w:pPr>
      <w:jc w:val="right"/>
    </w:pPr>
    <w:r>
      <w:rPr>
        <w:color w:val="8A95A5"/>
        <w:sz w:val="18"/>
      </w:rPr>
      <w:t>Annex 1AE: Humanitarian Asset Release and Economic Facilitation Mechanism</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1E1E1E"/>
      <w:sz w:val="22"/>
    </w:rPr>
  </w:style>
  <w:style w:type="paragraph" w:styleId="Heading1">
    <w:name w:val="heading 1"/>
    <w:basedOn w:val="Normal"/>
    <w:pPr>
      <w:keepNext/>
      <w:keepLines/>
      <w:spacing w:before="480" w:after="240"/>
      <w:outlineLvl w:val="0"/>
    </w:pPr>
    <w:rPr>
      <w:rFonts w:ascii="Calibri" w:hAnsi="Calibri" w:eastAsia="Microsoft YaHei"/>
      <w:b/>
      <w:color w:val="1A2744"/>
      <w:sz w:val="32"/>
    </w:rPr>
  </w:style>
  <w:style w:type="paragraph" w:styleId="Heading2">
    <w:name w:val="heading 2"/>
    <w:basedOn w:val="Normal"/>
    <w:pPr>
      <w:keepNext/>
      <w:keepLines/>
      <w:spacing w:before="360" w:after="160"/>
      <w:outlineLvl w:val="1"/>
    </w:pPr>
    <w:rPr>
      <w:rFonts w:ascii="Calibri" w:hAnsi="Calibri" w:eastAsia="Microsoft YaHei"/>
      <w:b/>
      <w:color w:val="1E1E1E"/>
      <w:sz w:val="26"/>
    </w:rPr>
  </w:style>
  <w:style w:type="paragraph" w:styleId="Heading3">
    <w:name w:val="heading 3"/>
    <w:basedOn w:val="Normal"/>
    <w:pPr>
      <w:keepNext/>
      <w:keepLines/>
      <w:spacing w:before="280" w:after="120"/>
      <w:outlineLvl w:val="2"/>
    </w:pPr>
    <w:rPr>
      <w:rFonts w:ascii="Calibri" w:hAnsi="Calibri" w:eastAsia="Microsoft YaHei"/>
      <w:b/>
      <w:color w:val="4A5568"/>
      <w:sz w:val="24"/>
    </w:rPr>
  </w:style>
  <w:style w:type="paragraph" w:styleId="Caption">
    <w:name w:val="Caption"/>
    <w:basedOn w:val="Normal"/>
    <w:pPr>
      <w:spacing w:before="60" w:after="240"/>
      <w:jc w:val="center"/>
    </w:pPr>
    <w:rPr>
      <w:color w:val="8A95A5"/>
      <w:sz w:val="20"/>
    </w:rPr>
  </w:style>
  <w:style w:type="paragraph" w:styleId="TOC1">
    <w:name w:val="toc 1"/>
    <w:basedOn w:val="Normal"/>
    <w:pPr>
      <w:tabs>
        <w:tab w:val="right" w:leader="dot" w:pos="9350"/>
      </w:tabs>
      <w:spacing w:before="200" w:after="60"/>
      <w:ind w:left="0"/>
    </w:pPr>
    <w:rPr>
      <w:b/>
      <w:color w:val="1E1E1E"/>
    </w:rPr>
  </w:style>
  <w:style w:type="paragraph" w:styleId="TOC2">
    <w:name w:val="toc 2"/>
    <w:basedOn w:val="Normal"/>
    <w:pPr>
      <w:tabs>
        <w:tab w:val="right" w:leader="dot" w:pos="9350"/>
      </w:tabs>
      <w:spacing w:before="60" w:after="60"/>
      <w:ind w:left="360"/>
    </w:pPr>
    <w:rPr>
      <w:color w:val="666666"/>
    </w:rPr>
  </w:style>
</w:styles>
</file>

<file path=word/_rels/document.xml.rels><?xml version='1.0' encoding='UTF-8'?>
<Relationships xmlns="http://schemas.openxmlformats.org/package/2006/relationships"><Relationship Id="R1daf43dac8eb4947" Type="http://schemas.openxmlformats.org/officeDocument/2006/relationships/image" Target="media/image.png" /><Relationship Id="R1f26e9a3d3f14687" Type="http://schemas.openxmlformats.org/officeDocument/2006/relationships/numbering" Target="numbering.xml" /><Relationship Id="R6f79cf6db42d4411" Type="http://schemas.openxmlformats.org/officeDocument/2006/relationships/footer" Target="footer1.xml" /><Relationship Id="R97fa799b44614547" Type="http://schemas.openxmlformats.org/officeDocument/2006/relationships/styles" Target="styles.xml" /><Relationship Id="R9fd078942ff049e6" Type="http://schemas.openxmlformats.org/officeDocument/2006/relationships/settings" Target="settings.xml" /><Relationship Id="Rf964287c004c4a0e" Type="http://schemas.openxmlformats.org/officeDocument/2006/relationships/header" Target="header1.xml" /></Relationships>
</file>