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5.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styles.xml" ContentType="application/vnd.openxmlformats-officedocument.wordprocessingml.styles+xml"/>
  <Override PartName="/word/header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400" w:after="160"/>
        <w:rPr/>
      </w:pPr>
      <w:r>
        <w:rPr/>
      </w:r>
    </w:p>
    <w:p>
      <w:pPr>
        <w:pStyle w:val="Normal"/>
        <w:spacing w:before="0" w:after="120"/>
        <w:jc w:val="center"/>
        <w:rPr/>
      </w:pPr>
      <w:r>
        <w:rPr>
          <w:rFonts w:eastAsia="Microsoft YaHei" w:cs="Calibri"/>
          <w:color w:val="78909C"/>
          <w:spacing w:val="60"/>
          <w:sz w:val="22"/>
          <w:szCs w:val="24"/>
          <w:lang w:val="en-CA" w:eastAsia="en-CA" w:bidi="ar-SA"/>
        </w:rPr>
        <w:t>FRAMEWORK INSTRUMENT</w:t>
      </w:r>
    </w:p>
    <w:p>
      <w:pPr>
        <w:pStyle w:val="Normal"/>
        <w:spacing w:before="200" w:after="120"/>
        <w:jc w:val="center"/>
        <w:rPr/>
      </w:pPr>
      <w:r>
        <w:rPr>
          <w:rFonts w:eastAsia="Microsoft YaHei" w:cs="Calibri"/>
          <w:b/>
          <w:color w:val="37474F"/>
          <w:sz w:val="56"/>
          <w:szCs w:val="24"/>
          <w:lang w:val="en-CA" w:eastAsia="en-CA" w:bidi="ar-SA"/>
        </w:rPr>
        <w:t>STRAIT GOVERNANCE AND</w:t>
      </w:r>
    </w:p>
    <w:p>
      <w:pPr>
        <w:pStyle w:val="Normal"/>
        <w:spacing w:before="0" w:after="240"/>
        <w:jc w:val="center"/>
        <w:rPr/>
      </w:pPr>
      <w:r>
        <w:rPr>
          <w:rFonts w:eastAsia="Microsoft YaHei" w:cs="Calibri"/>
          <w:b/>
          <w:color w:val="37474F"/>
          <w:sz w:val="56"/>
          <w:szCs w:val="24"/>
          <w:lang w:val="en-CA" w:eastAsia="en-CA" w:bidi="ar-SA"/>
        </w:rPr>
        <w:t>DE-CONFLICTION ASSEMBLY</w:t>
      </w:r>
    </w:p>
    <w:p>
      <w:pPr>
        <w:pStyle w:val="Normal"/>
        <w:spacing w:before="0" w:after="120"/>
        <w:jc w:val="center"/>
        <w:rPr/>
      </w:pPr>
      <w:r>
        <w:rPr>
          <w:rFonts w:eastAsia="Microsoft YaHei" w:cs="Calibri"/>
          <w:b/>
          <w:color w:val="455A64"/>
          <w:sz w:val="36"/>
          <w:szCs w:val="24"/>
          <w:lang w:val="en-CA" w:eastAsia="en-CA" w:bidi="ar-SA"/>
        </w:rPr>
        <w:t>(SGDA)  VERSION 2.0</w:t>
      </w:r>
    </w:p>
    <w:p>
      <w:pPr>
        <w:pStyle w:val="Normal"/>
        <w:spacing w:before="0" w:after="480"/>
        <w:jc w:val="center"/>
        <w:rPr/>
      </w:pPr>
      <w:r>
        <w:rPr>
          <w:rFonts w:eastAsia="Microsoft YaHei" w:cs="Calibri"/>
          <w:color w:val="78909C"/>
          <w:sz w:val="18"/>
          <w:szCs w:val="24"/>
          <w:lang w:val="en-CA" w:eastAsia="en-CA" w:bidi="ar-SA"/>
        </w:rPr>
        <w:t>Multilateral Transformation Package MT-1 Incorporated</w:t>
      </w:r>
    </w:p>
    <w:p>
      <w:pPr>
        <w:pStyle w:val="Normal"/>
        <w:spacing w:before="0" w:after="120"/>
        <w:ind w:left="900" w:right="900" w:hanging="0"/>
        <w:jc w:val="center"/>
        <w:rPr/>
      </w:pPr>
      <w:r>
        <w:rPr>
          <w:rFonts w:eastAsia="Microsoft YaHei" w:cs="Calibri"/>
          <w:color w:val="455A64"/>
          <w:sz w:val="22"/>
          <w:szCs w:val="24"/>
          <w:lang w:val="en-CA" w:eastAsia="en-CA" w:bidi="ar-SA"/>
        </w:rPr>
        <w:t>An Operative Framework for Maritime Governance, Naval De-confliction, Nuclear Material Disposition, and Economic Stabilization in the Strait of Hormuz</w:t>
      </w:r>
    </w:p>
    <w:p>
      <w:pPr>
        <w:pStyle w:val="Normal"/>
        <w:spacing w:before="240" w:after="120"/>
        <w:jc w:val="center"/>
        <w:rPr/>
      </w:pPr>
      <w:r>
        <w:rPr>
          <w:rFonts w:eastAsia="Microsoft YaHei" w:cs="Calibri"/>
          <w:i/>
          <w:color w:val="78909C"/>
          <w:sz w:val="20"/>
          <w:szCs w:val="24"/>
          <w:lang w:val="en-CA" w:eastAsia="en-CA" w:bidi="ar-SA"/>
        </w:rPr>
        <w:t>Implementing Instrument of the Islamabad Memorandum of Understanding</w:t>
      </w:r>
    </w:p>
    <w:p>
      <w:pPr>
        <w:pStyle w:val="Normal"/>
        <w:spacing w:before="2000" w:after="160"/>
        <w:rPr/>
      </w:pPr>
      <w:r>
        <w:rPr/>
      </w:r>
    </w:p>
    <w:p>
      <w:pPr>
        <w:pStyle w:val="Normal"/>
        <w:spacing w:before="0" w:after="60"/>
        <w:jc w:val="center"/>
        <w:rPr/>
      </w:pPr>
      <w:r>
        <w:rPr>
          <w:rFonts w:eastAsia="Microsoft YaHei" w:cs="Calibri"/>
          <w:color w:val="455A64"/>
          <w:sz w:val="20"/>
          <w:szCs w:val="24"/>
          <w:lang w:val="en-CA" w:eastAsia="en-CA" w:bidi="ar-SA"/>
        </w:rPr>
        <w:t>July 2026</w:t>
      </w:r>
    </w:p>
    <w:p>
      <w:pPr>
        <w:pStyle w:val="Normal"/>
        <w:spacing w:before="0" w:after="60"/>
        <w:jc w:val="center"/>
        <w:rPr/>
      </w:pPr>
      <w:r>
        <w:rPr>
          <w:rFonts w:eastAsia="Microsoft YaHei" w:cs="Calibri"/>
          <w:color w:val="78909C"/>
          <w:sz w:val="18"/>
          <w:szCs w:val="24"/>
          <w:lang w:val="en-CA" w:eastAsia="en-CA" w:bidi="ar-SA"/>
        </w:rPr>
        <w:t>Negotiating Draft | Authorized Participants Only</w:t>
      </w:r>
    </w:p>
    <w:p>
      <w:pPr>
        <w:sectPr>
          <w:headerReference w:type="default" r:id="rId2"/>
          <w:footerReference w:type="default" r:id="rId3"/>
          <w:type w:val="nextPage"/>
          <w:pgSz w:w="11906" w:h="16838"/>
          <w:pgMar w:left="1440" w:right="1440" w:gutter="0" w:header="720" w:top="1440" w:footer="720" w:bottom="1440"/>
          <w:pgBorders w:display="allPages" w:offsetFrom="text">
            <w:top w:val="double" w:sz="12" w:space="24" w:color="37474F"/>
            <w:left w:val="double" w:sz="12" w:space="24" w:color="37474F"/>
            <w:bottom w:val="double" w:sz="12" w:space="24" w:color="37474F"/>
            <w:right w:val="double" w:sz="12" w:space="24" w:color="37474F"/>
          </w:pgBorders>
          <w:pgNumType w:fmt="decimal"/>
          <w:formProt w:val="false"/>
          <w:textDirection w:val="lrTb"/>
          <w:docGrid w:type="default" w:linePitch="100" w:charSpace="0"/>
        </w:sectPr>
        <w:pStyle w:val="Normal"/>
        <w:jc w:val="center"/>
        <w:rPr/>
      </w:pPr>
      <w:r>
        <w:rPr>
          <w:rFonts w:eastAsia="Microsoft YaHei" w:cs="Calibri"/>
          <w:color w:val="78909C"/>
          <w:sz w:val="18"/>
          <w:szCs w:val="24"/>
          <w:lang w:val="en-CA" w:eastAsia="en-CA" w:bidi="ar-SA"/>
        </w:rPr>
        <w:t>Depositary: Swiss Confederation, in its capacity as Neutral Administrator</w:t>
      </w:r>
    </w:p>
    <w:p>
      <w:pPr>
        <w:pStyle w:val="Normal"/>
        <w:spacing w:before="0" w:after="200"/>
        <w:rPr/>
      </w:pPr>
      <w:r>
        <w:rPr>
          <w:rFonts w:eastAsia="Microsoft YaHei" w:cs="Calibri"/>
          <w:b/>
          <w:color w:val="37474F"/>
          <w:sz w:val="28"/>
          <w:szCs w:val="24"/>
          <w:lang w:val="en-CA" w:eastAsia="en-CA" w:bidi="ar-SA"/>
        </w:rPr>
        <w:t>Document Control</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600"/>
        <w:gridCol w:w="6425"/>
      </w:tblGrid>
      <w:tr>
        <w:trPr>
          <w:tblHeader w:val="true"/>
        </w:trPr>
        <w:tc>
          <w:tcPr>
            <w:tcW w:w="2600"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37474F"/>
                <w:kern w:val="2"/>
                <w:sz w:val="18"/>
                <w:szCs w:val="24"/>
                <w:lang w:val="en-CA" w:eastAsia="en-CA" w:bidi="ar-SA"/>
              </w:rPr>
              <w:t>Field</w:t>
            </w:r>
          </w:p>
        </w:tc>
        <w:tc>
          <w:tcPr>
            <w:tcW w:w="6425"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37474F"/>
                <w:kern w:val="2"/>
                <w:sz w:val="18"/>
                <w:szCs w:val="24"/>
                <w:lang w:val="en-CA" w:eastAsia="en-CA" w:bidi="ar-SA"/>
              </w:rPr>
              <w:t>Entry</w:t>
            </w:r>
          </w:p>
        </w:tc>
      </w:tr>
      <w:tr>
        <w:trPr/>
        <w:tc>
          <w:tcPr>
            <w:tcW w:w="26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Instrument</w:t>
            </w:r>
          </w:p>
        </w:tc>
        <w:tc>
          <w:tcPr>
            <w:tcW w:w="64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Strait Governance and De-confliction Assembly (SGDA), Version 2.0</w:t>
            </w:r>
          </w:p>
        </w:tc>
      </w:tr>
      <w:tr>
        <w:trPr/>
        <w:tc>
          <w:tcPr>
            <w:tcW w:w="26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Status</w:t>
            </w:r>
          </w:p>
        </w:tc>
        <w:tc>
          <w:tcPr>
            <w:tcW w:w="64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Negotiating draft for authorized participants; text adheres to the Immutable Present-Tense Matrix</w:t>
            </w:r>
          </w:p>
        </w:tc>
      </w:tr>
      <w:tr>
        <w:trPr/>
        <w:tc>
          <w:tcPr>
            <w:tcW w:w="26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Revision</w:t>
            </w:r>
          </w:p>
        </w:tc>
        <w:tc>
          <w:tcPr>
            <w:tcW w:w="64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Multilateral Transformation Package MT-1 incorporated (conversion from a bilateral United States-Iran instrument to a multilateral framework of the Gulf littoral states and the United States), building on Hardening Amendment Package HP-1 (procedural-sabotage defenses, financial enforcement, operational loophole closures, governance spoiler-proofing, and Annex N)</w:t>
            </w:r>
          </w:p>
        </w:tc>
      </w:tr>
      <w:tr>
        <w:trPr/>
        <w:tc>
          <w:tcPr>
            <w:tcW w:w="26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Date</w:t>
            </w:r>
          </w:p>
        </w:tc>
        <w:tc>
          <w:tcPr>
            <w:tcW w:w="64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July 2026</w:t>
            </w:r>
          </w:p>
        </w:tc>
      </w:tr>
      <w:tr>
        <w:trPr/>
        <w:tc>
          <w:tcPr>
            <w:tcW w:w="26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Parent instrument</w:t>
            </w:r>
          </w:p>
        </w:tc>
        <w:tc>
          <w:tcPr>
            <w:tcW w:w="64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Islamabad Memorandum of Understanding between the United States of America and the Islamic Republic of Iran (June 2026)</w:t>
            </w:r>
          </w:p>
        </w:tc>
      </w:tr>
      <w:tr>
        <w:trPr/>
        <w:tc>
          <w:tcPr>
            <w:tcW w:w="26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Neutral Administrator</w:t>
            </w:r>
          </w:p>
        </w:tc>
        <w:tc>
          <w:tcPr>
            <w:tcW w:w="64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Swiss Confederation</w:t>
            </w:r>
          </w:p>
        </w:tc>
      </w:tr>
      <w:tr>
        <w:trPr/>
        <w:tc>
          <w:tcPr>
            <w:tcW w:w="26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Mediator of Record</w:t>
            </w:r>
          </w:p>
        </w:tc>
        <w:tc>
          <w:tcPr>
            <w:tcW w:w="64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Sultanate of Oman</w:t>
            </w:r>
          </w:p>
        </w:tc>
      </w:tr>
      <w:tr>
        <w:trPr/>
        <w:tc>
          <w:tcPr>
            <w:tcW w:w="26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Verification authority</w:t>
            </w:r>
          </w:p>
        </w:tc>
        <w:tc>
          <w:tcPr>
            <w:tcW w:w="64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International Atomic Energy Agency (IAEA), with the Technical Verification Group of the Assembly</w:t>
            </w:r>
          </w:p>
        </w:tc>
      </w:tr>
      <w:tr>
        <w:trPr/>
        <w:tc>
          <w:tcPr>
            <w:tcW w:w="26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Maritime coordination</w:t>
            </w:r>
          </w:p>
        </w:tc>
        <w:tc>
          <w:tcPr>
            <w:tcW w:w="64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Corridor Operations Cell, Muscat, with a liaison detachment in Bandar Abbas</w:t>
            </w:r>
          </w:p>
        </w:tc>
      </w:tr>
      <w:tr>
        <w:trPr/>
        <w:tc>
          <w:tcPr>
            <w:tcW w:w="26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Reconstruction coordination</w:t>
            </w:r>
          </w:p>
        </w:tc>
        <w:tc>
          <w:tcPr>
            <w:tcW w:w="64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Reconstruction Steering Committee, Doha, with the Qatar Central Bank as escrow agent and the World Bank as fiduciary co-administrator (Annex N)</w:t>
            </w:r>
          </w:p>
        </w:tc>
      </w:tr>
      <w:tr>
        <w:trPr/>
        <w:tc>
          <w:tcPr>
            <w:tcW w:w="2600"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Continuing effect</w:t>
            </w:r>
          </w:p>
        </w:tc>
        <w:tc>
          <w:tcPr>
            <w:tcW w:w="6425"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This instrument operates under the Continuing Effect Rule (Article 22): no provision expires by calendar date alone</w:t>
            </w:r>
          </w:p>
        </w:tc>
      </w:tr>
    </w:tbl>
    <w:p>
      <w:pPr>
        <w:pStyle w:val="Normal"/>
        <w:spacing w:before="0" w:after="60"/>
        <w:rPr/>
      </w:pPr>
      <w:r>
        <w:rPr/>
      </w:r>
    </w:p>
    <w:tbl>
      <w:tblPr>
        <w:tblStyle w:val="TableNormal"/>
        <w:tblW w:w="5000" w:type="pct"/>
        <w:jc w:val="left"/>
        <w:tblInd w:w="390" w:type="dxa"/>
        <w:tblLayout w:type="fixed"/>
        <w:tblCellMar>
          <w:top w:w="140" w:type="dxa"/>
          <w:left w:w="200" w:type="dxa"/>
          <w:bottom w:w="140" w:type="dxa"/>
          <w:right w:w="200" w:type="dxa"/>
        </w:tblCellMar>
        <w:tblLook w:val="04a0" w:noHBand="0" w:noVBand="1" w:firstColumn="1" w:lastRow="0" w:lastColumn="0" w:firstRow="1"/>
      </w:tblPr>
      <w:tblGrid>
        <w:gridCol w:w="9026"/>
      </w:tblGrid>
      <w:tr>
        <w:trPr/>
        <w:tc>
          <w:tcPr>
            <w:tcW w:w="9026" w:type="dxa"/>
            <w:tcBorders>
              <w:top w:val="single" w:sz="8" w:space="0" w:color="546E7A"/>
              <w:left w:val="single" w:sz="8" w:space="0" w:color="546E7A"/>
              <w:bottom w:val="single" w:sz="8" w:space="0" w:color="546E7A"/>
              <w:right w:val="single" w:sz="8" w:space="0" w:color="546E7A"/>
            </w:tcBorders>
            <w:shd w:color="auto" w:fill="F5F7F8" w:val="clear"/>
          </w:tcPr>
          <w:p>
            <w:pPr>
              <w:pStyle w:val="Normal"/>
              <w:widowControl/>
              <w:spacing w:before="0" w:after="80"/>
              <w:rPr>
                <w:kern w:val="2"/>
              </w:rPr>
            </w:pPr>
            <w:r>
              <w:rPr>
                <w:rFonts w:eastAsia="Microsoft YaHei" w:cs="Calibri"/>
                <w:b/>
                <w:color w:val="37474F"/>
                <w:kern w:val="2"/>
                <w:sz w:val="21"/>
                <w:szCs w:val="24"/>
                <w:lang w:val="en-CA" w:eastAsia="en-CA" w:bidi="ar-SA"/>
              </w:rPr>
              <w:t>Drafting discipline note</w:t>
            </w:r>
          </w:p>
          <w:p>
            <w:pPr>
              <w:pStyle w:val="Normal"/>
              <w:widowControl/>
              <w:spacing w:before="0" w:after="40"/>
              <w:rPr>
                <w:kern w:val="2"/>
              </w:rPr>
            </w:pPr>
            <w:r>
              <w:rPr>
                <w:rFonts w:eastAsia="Microsoft YaHei" w:cs="Calibri"/>
                <w:color w:val="455A64"/>
                <w:kern w:val="2"/>
                <w:sz w:val="20"/>
                <w:szCs w:val="24"/>
                <w:lang w:val="en-CA" w:eastAsia="en-CA" w:bidi="ar-SA"/>
              </w:rPr>
              <w:t>All text in this instrument adheres to the Immutable Present-Tense Matrix: active present-tense drafting, sovereign mutual-architecture framing, no discretionary softeners, no hierarchical directive vocabulary, and no floating background imagery. The Continuing Effect Rule applies throughout: nothing in this instrument fades, lapses, or dissolves by the passage of time alone. Every obligation persists until the Parties actively modify it through the amendment procedure in Article 24.</w:t>
            </w:r>
          </w:p>
        </w:tc>
      </w:tr>
    </w:tbl>
    <w:p>
      <w:pPr>
        <w:pStyle w:val="Normal"/>
        <w:spacing w:before="0" w:after="60"/>
        <w:rPr/>
      </w:pPr>
      <w:r>
        <w:rPr/>
      </w:r>
    </w:p>
    <w:p>
      <w:pPr>
        <w:pStyle w:val="Normal"/>
        <w:rPr/>
      </w:pPr>
      <w:r>
        <w:rPr>
          <w:rFonts w:eastAsia="Microsoft YaHei" w:cs="Calibri"/>
          <w:color w:val="263238"/>
          <w:sz w:val="21"/>
          <w:szCs w:val="24"/>
          <w:lang w:val="en-CA" w:eastAsia="en-CA" w:bidi="ar-SA"/>
        </w:rPr>
        <w:t>This instrument contains a main body of twenty-four Articles organized in five Parts, followed by fourteen operative Annexes (Annex A through Annex N). The Annexes form an integral part of this instrument. A reference to an Article includes the Annexes that the Article designates as operative for that Article. Annex N incorporates the Reconstruction and Development Fund Protocol as the operative machinery of Article 14.</w:t>
      </w:r>
      <w:r>
        <w:br w:type="page"/>
      </w:r>
    </w:p>
    <w:p>
      <w:pPr>
        <w:pStyle w:val="Normal"/>
        <w:spacing w:before="0" w:after="200"/>
        <w:rPr/>
      </w:pPr>
      <w:r>
        <w:rPr>
          <w:rFonts w:eastAsia="Microsoft YaHei" w:cs="Calibri"/>
          <w:b/>
          <w:color w:val="37474F"/>
          <w:sz w:val="28"/>
          <w:szCs w:val="24"/>
          <w:lang w:val="en-CA" w:eastAsia="en-CA" w:bidi="ar-SA"/>
        </w:rPr>
        <w:t>Table of Contents</w:t>
      </w:r>
    </w:p>
    <w:sdt>
      <w:sdtPr>
        <w:docPartObj>
          <w:docPartGallery w:val="Table of Contents"/>
          <w:docPartUnique w:val="true"/>
        </w:docPartObj>
      </w:sdtPr>
      <w:sdtContent>
        <w:p>
          <w:pPr>
            <w:pStyle w:val="Contents1"/>
            <w:rPr/>
          </w:pPr>
          <w:r>
            <w:fldChar w:fldCharType="begin"/>
          </w:r>
          <w:r>
            <w:rPr>
              <w:webHidden/>
              <w:rStyle w:val="IndexLink"/>
            </w:rPr>
            <w:instrText xml:space="preserve"> TOC \z \o "1-2" \u \h</w:instrText>
          </w:r>
          <w:r>
            <w:rPr>
              <w:webHidden/>
              <w:rStyle w:val="IndexLink"/>
            </w:rPr>
            <w:fldChar w:fldCharType="separate"/>
          </w:r>
          <w:hyperlink w:anchor="__RefHeading___Toc7188_2800514504">
            <w:r>
              <w:rPr>
                <w:webHidden/>
                <w:rStyle w:val="IndexLink"/>
              </w:rPr>
              <w:t>Preamble</w:t>
              <w:tab/>
              <w:t>7</w:t>
            </w:r>
          </w:hyperlink>
        </w:p>
        <w:p>
          <w:pPr>
            <w:pStyle w:val="Contents1"/>
            <w:rPr/>
          </w:pPr>
          <w:hyperlink w:anchor="__RefHeading___Toc7190_2800514504">
            <w:r>
              <w:rPr>
                <w:webHidden/>
                <w:rStyle w:val="IndexLink"/>
              </w:rPr>
              <w:t>Part I: Foundations</w:t>
              <w:tab/>
              <w:t>9</w:t>
            </w:r>
          </w:hyperlink>
        </w:p>
        <w:p>
          <w:pPr>
            <w:pStyle w:val="Contents2"/>
            <w:rPr/>
          </w:pPr>
          <w:hyperlink w:anchor="__RefHeading___Toc7192_2800514504">
            <w:r>
              <w:rPr>
                <w:webHidden/>
                <w:rStyle w:val="IndexLink"/>
              </w:rPr>
              <w:t>Article 1: Purpose, Scope, and Guiding Principles</w:t>
              <w:tab/>
              <w:t>9</w:t>
            </w:r>
          </w:hyperlink>
        </w:p>
        <w:p>
          <w:pPr>
            <w:pStyle w:val="Contents2"/>
            <w:rPr/>
          </w:pPr>
          <w:hyperlink w:anchor="__RefHeading___Toc7194_2800514504">
            <w:r>
              <w:rPr>
                <w:webHidden/>
                <w:rStyle w:val="IndexLink"/>
              </w:rPr>
              <w:t>Article 2: Definitions and Interpretation</w:t>
              <w:tab/>
              <w:t>11</w:t>
            </w:r>
          </w:hyperlink>
        </w:p>
        <w:p>
          <w:pPr>
            <w:pStyle w:val="Contents2"/>
            <w:rPr/>
          </w:pPr>
          <w:hyperlink w:anchor="__RefHeading___Toc7196_2800514504">
            <w:r>
              <w:rPr>
                <w:webHidden/>
                <w:rStyle w:val="IndexLink"/>
              </w:rPr>
              <w:t>Article 3: Legal Character, the Islamabad MOU, and Red Lines</w:t>
              <w:tab/>
              <w:t>13</w:t>
            </w:r>
          </w:hyperlink>
        </w:p>
        <w:p>
          <w:pPr>
            <w:pStyle w:val="Contents1"/>
            <w:rPr/>
          </w:pPr>
          <w:hyperlink w:anchor="__RefHeading___Toc7198_2800514504">
            <w:r>
              <w:rPr>
                <w:webHidden/>
                <w:rStyle w:val="IndexLink"/>
              </w:rPr>
              <w:t>Part II: Maritime Governance</w:t>
              <w:tab/>
              <w:t>16</w:t>
            </w:r>
          </w:hyperlink>
        </w:p>
        <w:p>
          <w:pPr>
            <w:pStyle w:val="Contents2"/>
            <w:rPr/>
          </w:pPr>
          <w:hyperlink w:anchor="__RefHeading___Toc7200_2800514504">
            <w:r>
              <w:rPr>
                <w:webHidden/>
                <w:rStyle w:val="IndexLink"/>
              </w:rPr>
              <w:t>Article 4: The Governance Area and Boundary Coordinates</w:t>
              <w:tab/>
              <w:t>16</w:t>
            </w:r>
          </w:hyperlink>
        </w:p>
        <w:p>
          <w:pPr>
            <w:pStyle w:val="Contents2"/>
            <w:rPr/>
          </w:pPr>
          <w:hyperlink w:anchor="__RefHeading___Toc7202_2800514504">
            <w:r>
              <w:rPr>
                <w:webHidden/>
                <w:rStyle w:val="IndexLink"/>
              </w:rPr>
              <w:t>Article 5: The Two Corridors</w:t>
              <w:tab/>
              <w:t>17</w:t>
            </w:r>
          </w:hyperlink>
        </w:p>
        <w:p>
          <w:pPr>
            <w:pStyle w:val="Contents2"/>
            <w:rPr/>
          </w:pPr>
          <w:hyperlink w:anchor="__RefHeading___Toc7204_2800514504">
            <w:r>
              <w:rPr>
                <w:webHidden/>
                <w:rStyle w:val="IndexLink"/>
              </w:rPr>
              <w:t>Article 6: Vessel Classification and Differential Treatment</w:t>
              <w:tab/>
              <w:t>19</w:t>
            </w:r>
          </w:hyperlink>
        </w:p>
        <w:p>
          <w:pPr>
            <w:pStyle w:val="Contents2"/>
            <w:rPr/>
          </w:pPr>
          <w:hyperlink w:anchor="__RefHeading___Toc7206_2800514504">
            <w:r>
              <w:rPr>
                <w:webHidden/>
                <w:rStyle w:val="IndexLink"/>
              </w:rPr>
              <w:t>Article 7: The Zero-Toll Rule and the Transit Services Fund</w:t>
              <w:tab/>
              <w:t>21</w:t>
            </w:r>
          </w:hyperlink>
        </w:p>
        <w:p>
          <w:pPr>
            <w:pStyle w:val="Contents2"/>
            <w:rPr/>
          </w:pPr>
          <w:hyperlink w:anchor="__RefHeading___Toc7208_2800514504">
            <w:r>
              <w:rPr>
                <w:webHidden/>
                <w:rStyle w:val="IndexLink"/>
              </w:rPr>
              <w:t>Article 8: Safe Passage and the Non-Interdiction Protocol</w:t>
              <w:tab/>
              <w:t>22</w:t>
            </w:r>
          </w:hyperlink>
        </w:p>
        <w:p>
          <w:pPr>
            <w:pStyle w:val="Contents2"/>
            <w:rPr/>
          </w:pPr>
          <w:hyperlink w:anchor="__RefHeading___Toc7210_2800514504">
            <w:r>
              <w:rPr>
                <w:webHidden/>
                <w:rStyle w:val="IndexLink"/>
              </w:rPr>
              <w:t>Article 9: Naval De-confliction and Standoff Geometry</w:t>
              <w:tab/>
              <w:t>23</w:t>
            </w:r>
          </w:hyperlink>
        </w:p>
        <w:p>
          <w:pPr>
            <w:pStyle w:val="Contents1"/>
            <w:rPr/>
          </w:pPr>
          <w:hyperlink w:anchor="__RefHeading___Toc7212_2800514504">
            <w:r>
              <w:rPr>
                <w:webHidden/>
                <w:rStyle w:val="IndexLink"/>
              </w:rPr>
              <w:t>Part III: Nuclear Material Disposition</w:t>
              <w:tab/>
              <w:t>26</w:t>
            </w:r>
          </w:hyperlink>
        </w:p>
        <w:p>
          <w:pPr>
            <w:pStyle w:val="Contents2"/>
            <w:rPr/>
          </w:pPr>
          <w:hyperlink w:anchor="__RefHeading___Toc7214_2800514504">
            <w:r>
              <w:rPr>
                <w:webHidden/>
                <w:rStyle w:val="IndexLink"/>
              </w:rPr>
              <w:t>Article 10: Downblending of the 60 Percent Stockpile to 3.67 Percent</w:t>
              <w:tab/>
              <w:t>26</w:t>
            </w:r>
          </w:hyperlink>
        </w:p>
        <w:p>
          <w:pPr>
            <w:pStyle w:val="Contents2"/>
            <w:rPr/>
          </w:pPr>
          <w:hyperlink w:anchor="__RefHeading___Toc7216_2800514504">
            <w:r>
              <w:rPr>
                <w:webHidden/>
                <w:rStyle w:val="IndexLink"/>
              </w:rPr>
              <w:t>Article 11: The Civilian Ceiling and Continuing Verification</w:t>
              <w:tab/>
              <w:t>27</w:t>
            </w:r>
          </w:hyperlink>
        </w:p>
        <w:p>
          <w:pPr>
            <w:pStyle w:val="Contents1"/>
            <w:rPr/>
          </w:pPr>
          <w:hyperlink w:anchor="__RefHeading___Toc7218_2800514504">
            <w:r>
              <w:rPr>
                <w:webHidden/>
                <w:rStyle w:val="IndexLink"/>
              </w:rPr>
              <w:t>Part IV: Economic Stabilization</w:t>
              <w:tab/>
              <w:t>29</w:t>
            </w:r>
          </w:hyperlink>
        </w:p>
        <w:p>
          <w:pPr>
            <w:pStyle w:val="Contents2"/>
            <w:rPr/>
          </w:pPr>
          <w:hyperlink w:anchor="__RefHeading___Toc7220_2800514504">
            <w:r>
              <w:rPr>
                <w:webHidden/>
                <w:rStyle w:val="IndexLink"/>
              </w:rPr>
              <w:t>Article 12: Oil Waiver Alignment and the Renewal Continuity Rule</w:t>
              <w:tab/>
              <w:t>29</w:t>
            </w:r>
          </w:hyperlink>
        </w:p>
        <w:p>
          <w:pPr>
            <w:pStyle w:val="Contents2"/>
            <w:rPr/>
          </w:pPr>
          <w:hyperlink w:anchor="__RefHeading___Toc7222_2800514504">
            <w:r>
              <w:rPr>
                <w:webHidden/>
                <w:rStyle w:val="IndexLink"/>
              </w:rPr>
              <w:t>Article 13: Sanctions Relief Sequencing, Escrow, and Financial Reconnection</w:t>
              <w:tab/>
              <w:t>30</w:t>
            </w:r>
          </w:hyperlink>
        </w:p>
        <w:p>
          <w:pPr>
            <w:pStyle w:val="Contents2"/>
            <w:rPr/>
          </w:pPr>
          <w:hyperlink w:anchor="__RefHeading___Toc7224_2800514504">
            <w:r>
              <w:rPr>
                <w:webHidden/>
                <w:rStyle w:val="IndexLink"/>
              </w:rPr>
              <w:t>Article 14: The Reconstruction Framework</w:t>
              <w:tab/>
              <w:t>31</w:t>
            </w:r>
          </w:hyperlink>
        </w:p>
        <w:p>
          <w:pPr>
            <w:pStyle w:val="Contents1"/>
            <w:rPr/>
          </w:pPr>
          <w:hyperlink w:anchor="__RefHeading___Toc7226_2800514504">
            <w:r>
              <w:rPr>
                <w:webHidden/>
                <w:rStyle w:val="IndexLink"/>
              </w:rPr>
              <w:t>Part V: Governance and Compliance Architecture</w:t>
              <w:tab/>
              <w:t>34</w:t>
            </w:r>
          </w:hyperlink>
        </w:p>
        <w:p>
          <w:pPr>
            <w:pStyle w:val="Contents2"/>
            <w:rPr/>
          </w:pPr>
          <w:hyperlink w:anchor="__RefHeading___Toc7228_2800514504">
            <w:r>
              <w:rPr>
                <w:webHidden/>
                <w:rStyle w:val="IndexLink"/>
              </w:rPr>
              <w:t>Article 15: The Assembly and Its Bodies</w:t>
              <w:tab/>
              <w:t>34</w:t>
            </w:r>
          </w:hyperlink>
        </w:p>
        <w:p>
          <w:pPr>
            <w:pStyle w:val="Contents2"/>
            <w:rPr/>
          </w:pPr>
          <w:hyperlink w:anchor="__RefHeading___Toc7230_2800514504">
            <w:r>
              <w:rPr>
                <w:webHidden/>
                <w:rStyle w:val="IndexLink"/>
              </w:rPr>
              <w:t>Article 16: The Standing Protocol System</w:t>
              <w:tab/>
              <w:t>37</w:t>
            </w:r>
          </w:hyperlink>
        </w:p>
        <w:p>
          <w:pPr>
            <w:pStyle w:val="Contents2"/>
            <w:rPr/>
          </w:pPr>
          <w:hyperlink w:anchor="__RefHeading___Toc7232_2800514504">
            <w:r>
              <w:rPr>
                <w:webHidden/>
                <w:rStyle w:val="IndexLink"/>
              </w:rPr>
              <w:t>Article 17: The Reciprocity Ledger</w:t>
              <w:tab/>
              <w:t>38</w:t>
            </w:r>
          </w:hyperlink>
        </w:p>
        <w:p>
          <w:pPr>
            <w:pStyle w:val="Contents2"/>
            <w:rPr/>
          </w:pPr>
          <w:hyperlink w:anchor="__RefHeading___Toc7234_2800514504">
            <w:r>
              <w:rPr>
                <w:webHidden/>
                <w:rStyle w:val="IndexLink"/>
              </w:rPr>
              <w:t>Article 18: The Graduated Response and Restoration System</w:t>
              <w:tab/>
              <w:t>40</w:t>
            </w:r>
          </w:hyperlink>
        </w:p>
        <w:p>
          <w:pPr>
            <w:pStyle w:val="Contents2"/>
            <w:rPr/>
          </w:pPr>
          <w:hyperlink w:anchor="__RefHeading___Toc7236_2800514504">
            <w:r>
              <w:rPr>
                <w:webHidden/>
                <w:rStyle w:val="IndexLink"/>
              </w:rPr>
              <w:t>Article 19: The Anticipation Registry</w:t>
              <w:tab/>
              <w:t>42</w:t>
            </w:r>
          </w:hyperlink>
        </w:p>
        <w:p>
          <w:pPr>
            <w:pStyle w:val="Contents2"/>
            <w:rPr/>
          </w:pPr>
          <w:hyperlink w:anchor="__RefHeading___Toc7238_2800514504">
            <w:r>
              <w:rPr>
                <w:webHidden/>
                <w:rStyle w:val="IndexLink"/>
              </w:rPr>
              <w:t>Article 20: The Substantiated Claim Procedure and the Performance Bond</w:t>
              <w:tab/>
              <w:t>44</w:t>
            </w:r>
          </w:hyperlink>
        </w:p>
        <w:p>
          <w:pPr>
            <w:pStyle w:val="Contents2"/>
            <w:rPr/>
          </w:pPr>
          <w:hyperlink w:anchor="__RefHeading___Toc7240_2800514504">
            <w:r>
              <w:rPr>
                <w:webHidden/>
                <w:rStyle w:val="IndexLink"/>
              </w:rPr>
              <w:t>Article 21: Repeat-Deviation Conditions and Anti-Gaming Provisions</w:t>
              <w:tab/>
              <w:t>46</w:t>
            </w:r>
          </w:hyperlink>
        </w:p>
        <w:p>
          <w:pPr>
            <w:pStyle w:val="Contents2"/>
            <w:rPr/>
          </w:pPr>
          <w:hyperlink w:anchor="__RefHeading___Toc7242_2800514504">
            <w:r>
              <w:rPr>
                <w:webHidden/>
                <w:rStyle w:val="IndexLink"/>
              </w:rPr>
              <w:t>Article 22: Continuity, the Continuing Effect Rule, Suspension, and Withdrawal</w:t>
              <w:tab/>
              <w:t>47</w:t>
            </w:r>
          </w:hyperlink>
        </w:p>
        <w:p>
          <w:pPr>
            <w:pStyle w:val="Contents2"/>
            <w:rPr/>
          </w:pPr>
          <w:hyperlink w:anchor="__RefHeading___Toc7244_2800514504">
            <w:r>
              <w:rPr>
                <w:webHidden/>
                <w:rStyle w:val="IndexLink"/>
              </w:rPr>
              <w:t>Article 23: Dispute Resolution and Leadership Channels</w:t>
              <w:tab/>
              <w:t>48</w:t>
            </w:r>
          </w:hyperlink>
        </w:p>
        <w:p>
          <w:pPr>
            <w:pStyle w:val="Contents2"/>
            <w:rPr/>
          </w:pPr>
          <w:hyperlink w:anchor="__RefHeading___Toc7246_2800514504">
            <w:r>
              <w:rPr>
                <w:webHidden/>
                <w:rStyle w:val="IndexLink"/>
              </w:rPr>
              <w:t>Article 24: Final Provisions and Signature</w:t>
              <w:tab/>
              <w:t>49</w:t>
            </w:r>
          </w:hyperlink>
        </w:p>
        <w:p>
          <w:pPr>
            <w:pStyle w:val="Contents1"/>
            <w:rPr/>
          </w:pPr>
          <w:hyperlink w:anchor="__RefHeading___Toc7248_2800514504">
            <w:r>
              <w:rPr>
                <w:webHidden/>
                <w:rStyle w:val="IndexLink"/>
              </w:rPr>
              <w:t>Annex A: Corridor Coordinates and Waypoint Schedule</w:t>
              <w:tab/>
              <w:t>52</w:t>
            </w:r>
          </w:hyperlink>
        </w:p>
        <w:p>
          <w:pPr>
            <w:pStyle w:val="Contents2"/>
            <w:rPr/>
          </w:pPr>
          <w:hyperlink w:anchor="__RefHeading___Toc7250_2800514504">
            <w:r>
              <w:rPr>
                <w:webHidden/>
                <w:rStyle w:val="IndexLink"/>
              </w:rPr>
              <w:t>A.1 Governance Area boundary polygon</w:t>
              <w:tab/>
              <w:t>52</w:t>
            </w:r>
          </w:hyperlink>
        </w:p>
        <w:p>
          <w:pPr>
            <w:pStyle w:val="Contents2"/>
            <w:rPr/>
          </w:pPr>
          <w:hyperlink w:anchor="__RefHeading___Toc7252_2800514504">
            <w:r>
              <w:rPr>
                <w:webHidden/>
                <w:rStyle w:val="IndexLink"/>
              </w:rPr>
              <w:t>A.2 Corridor One (Southern Corridor) waypoints</w:t>
              <w:tab/>
              <w:t>52</w:t>
            </w:r>
          </w:hyperlink>
        </w:p>
        <w:p>
          <w:pPr>
            <w:pStyle w:val="Contents2"/>
            <w:rPr/>
          </w:pPr>
          <w:hyperlink w:anchor="__RefHeading___Toc7254_2800514504">
            <w:r>
              <w:rPr>
                <w:webHidden/>
                <w:rStyle w:val="IndexLink"/>
              </w:rPr>
              <w:t>A.3 Corridor Two (Northern Corridor) waypoints</w:t>
              <w:tab/>
              <w:t>53</w:t>
            </w:r>
          </w:hyperlink>
        </w:p>
        <w:p>
          <w:pPr>
            <w:pStyle w:val="Contents2"/>
            <w:rPr/>
          </w:pPr>
          <w:hyperlink w:anchor="__RefHeading___Toc7256_2800514504">
            <w:r>
              <w:rPr>
                <w:webHidden/>
                <w:rStyle w:val="IndexLink"/>
              </w:rPr>
              <w:t>A.4 Precautionary areas and junction gates</w:t>
              <w:tab/>
              <w:t>53</w:t>
            </w:r>
          </w:hyperlink>
        </w:p>
        <w:p>
          <w:pPr>
            <w:pStyle w:val="Contents2"/>
            <w:rPr/>
          </w:pPr>
          <w:hyperlink w:anchor="__RefHeading___Toc7258_2800514504">
            <w:r>
              <w:rPr>
                <w:webHidden/>
                <w:rStyle w:val="IndexLink"/>
              </w:rPr>
              <w:t>A.5 Anchorage areas</w:t>
              <w:tab/>
              <w:t>53</w:t>
            </w:r>
          </w:hyperlink>
        </w:p>
        <w:p>
          <w:pPr>
            <w:pStyle w:val="Contents2"/>
            <w:rPr/>
          </w:pPr>
          <w:hyperlink w:anchor="__RefHeading___Toc7260_2800514504">
            <w:r>
              <w:rPr>
                <w:webHidden/>
                <w:rStyle w:val="IndexLink"/>
              </w:rPr>
              <w:t>A.6 Standoff reference lines</w:t>
              <w:tab/>
              <w:t>54</w:t>
            </w:r>
          </w:hyperlink>
        </w:p>
        <w:p>
          <w:pPr>
            <w:pStyle w:val="Contents1"/>
            <w:rPr/>
          </w:pPr>
          <w:hyperlink w:anchor="__RefHeading___Toc7262_2800514504">
            <w:r>
              <w:rPr>
                <w:webHidden/>
                <w:rStyle w:val="IndexLink"/>
              </w:rPr>
              <w:t>Annex B: Vessel Classification and Treatment Matrix</w:t>
              <w:tab/>
              <w:t>55</w:t>
            </w:r>
          </w:hyperlink>
        </w:p>
        <w:p>
          <w:pPr>
            <w:pStyle w:val="Contents2"/>
            <w:rPr/>
          </w:pPr>
          <w:hyperlink w:anchor="__RefHeading___Toc7264_2800514504">
            <w:r>
              <w:rPr>
                <w:webHidden/>
                <w:rStyle w:val="IndexLink"/>
              </w:rPr>
              <w:t>B.1 Master treatment matrix</w:t>
              <w:tab/>
              <w:t>55</w:t>
            </w:r>
          </w:hyperlink>
        </w:p>
        <w:p>
          <w:pPr>
            <w:pStyle w:val="Contents2"/>
            <w:rPr/>
          </w:pPr>
          <w:hyperlink w:anchor="__RefHeading___Toc7266_2800514504">
            <w:r>
              <w:rPr>
                <w:webHidden/>
                <w:rStyle w:val="IndexLink"/>
              </w:rPr>
              <w:t>B.2 Classification determination</w:t>
              <w:tab/>
              <w:t>56</w:t>
            </w:r>
          </w:hyperlink>
        </w:p>
        <w:p>
          <w:pPr>
            <w:pStyle w:val="Contents2"/>
            <w:rPr/>
          </w:pPr>
          <w:hyperlink w:anchor="__RefHeading___Toc7268_2800514504">
            <w:r>
              <w:rPr>
                <w:webHidden/>
                <w:rStyle w:val="IndexLink"/>
              </w:rPr>
              <w:t>B.3 Purpose-based differentials, stated plainly</w:t>
              <w:tab/>
              <w:t>56</w:t>
            </w:r>
          </w:hyperlink>
        </w:p>
        <w:p>
          <w:pPr>
            <w:pStyle w:val="Contents1"/>
            <w:rPr/>
          </w:pPr>
          <w:hyperlink w:anchor="__RefHeading___Toc7270_2800514504">
            <w:r>
              <w:rPr>
                <w:webHidden/>
                <w:rStyle w:val="IndexLink"/>
              </w:rPr>
              <w:t>Annex C: Transit Services Fund Charter</w:t>
              <w:tab/>
              <w:t>57</w:t>
            </w:r>
          </w:hyperlink>
        </w:p>
        <w:p>
          <w:pPr>
            <w:pStyle w:val="Contents2"/>
            <w:rPr/>
          </w:pPr>
          <w:hyperlink w:anchor="__RefHeading___Toc7272_2800514504">
            <w:r>
              <w:rPr>
                <w:webHidden/>
                <w:rStyle w:val="IndexLink"/>
              </w:rPr>
              <w:t>C.1 Status, purpose, and audit</w:t>
              <w:tab/>
              <w:t>57</w:t>
            </w:r>
          </w:hyperlink>
        </w:p>
        <w:p>
          <w:pPr>
            <w:pStyle w:val="Contents2"/>
            <w:rPr/>
          </w:pPr>
          <w:hyperlink w:anchor="__RefHeading___Toc7274_2800514504">
            <w:r>
              <w:rPr>
                <w:webHidden/>
                <w:rStyle w:val="IndexLink"/>
              </w:rPr>
              <w:t>C.2 Eligible services</w:t>
              <w:tab/>
              <w:t>57</w:t>
            </w:r>
          </w:hyperlink>
        </w:p>
        <w:p>
          <w:pPr>
            <w:pStyle w:val="Contents2"/>
            <w:rPr/>
          </w:pPr>
          <w:hyperlink w:anchor="__RefHeading___Toc7276_2800514504">
            <w:r>
              <w:rPr>
                <w:webHidden/>
                <w:rStyle w:val="IndexLink"/>
              </w:rPr>
              <w:t>C.3 Contributions</w:t>
              <w:tab/>
              <w:t>58</w:t>
            </w:r>
          </w:hyperlink>
        </w:p>
        <w:p>
          <w:pPr>
            <w:pStyle w:val="Contents2"/>
            <w:rPr/>
          </w:pPr>
          <w:hyperlink w:anchor="__RefHeading___Toc7278_2800514504">
            <w:r>
              <w:rPr>
                <w:webHidden/>
                <w:rStyle w:val="IndexLink"/>
              </w:rPr>
              <w:t>C.4 Governance of the Fund</w:t>
              <w:tab/>
              <w:t>58</w:t>
            </w:r>
          </w:hyperlink>
        </w:p>
        <w:p>
          <w:pPr>
            <w:pStyle w:val="Contents2"/>
            <w:rPr/>
          </w:pPr>
          <w:hyperlink w:anchor="__RefHeading___Toc7280_2800514504">
            <w:r>
              <w:rPr>
                <w:webHidden/>
                <w:rStyle w:val="IndexLink"/>
              </w:rPr>
              <w:t>C.5 The budget process</w:t>
              <w:tab/>
              <w:t>58</w:t>
            </w:r>
          </w:hyperlink>
        </w:p>
        <w:p>
          <w:pPr>
            <w:pStyle w:val="Contents2"/>
            <w:rPr/>
          </w:pPr>
          <w:hyperlink w:anchor="__RefHeading___Toc7282_2800514504">
            <w:r>
              <w:rPr>
                <w:webHidden/>
                <w:rStyle w:val="IndexLink"/>
              </w:rPr>
              <w:t>C.6 The compensation rate card</w:t>
              <w:tab/>
              <w:t>58</w:t>
            </w:r>
          </w:hyperlink>
        </w:p>
        <w:p>
          <w:pPr>
            <w:pStyle w:val="Contents2"/>
            <w:rPr/>
          </w:pPr>
          <w:hyperlink w:anchor="__RefHeading___Toc7284_2800514504">
            <w:r>
              <w:rPr>
                <w:webHidden/>
                <w:rStyle w:val="IndexLink"/>
              </w:rPr>
              <w:t>C.7 The premium differential index</w:t>
              <w:tab/>
              <w:t>59</w:t>
            </w:r>
          </w:hyperlink>
        </w:p>
        <w:p>
          <w:pPr>
            <w:pStyle w:val="Contents2"/>
            <w:rPr/>
          </w:pPr>
          <w:hyperlink w:anchor="__RefHeading___Toc7286_2800514504">
            <w:r>
              <w:rPr>
                <w:webHidden/>
                <w:rStyle w:val="IndexLink"/>
              </w:rPr>
              <w:t>C.8 Review and continuation</w:t>
              <w:tab/>
              <w:t>59</w:t>
            </w:r>
          </w:hyperlink>
        </w:p>
        <w:p>
          <w:pPr>
            <w:pStyle w:val="Contents1"/>
            <w:rPr/>
          </w:pPr>
          <w:hyperlink w:anchor="__RefHeading___Toc7288_2800514504">
            <w:r>
              <w:rPr>
                <w:webHidden/>
                <w:rStyle w:val="IndexLink"/>
              </w:rPr>
              <w:t>Annex D: Point Schedule for Verified Deviations</w:t>
              <w:tab/>
              <w:t>60</w:t>
            </w:r>
          </w:hyperlink>
        </w:p>
        <w:p>
          <w:pPr>
            <w:pStyle w:val="Contents2"/>
            <w:rPr/>
          </w:pPr>
          <w:hyperlink w:anchor="__RefHeading___Toc7290_2800514504">
            <w:r>
              <w:rPr>
                <w:webHidden/>
                <w:rStyle w:val="IndexLink"/>
              </w:rPr>
              <w:t>D.1 Accumulation and expiration rules</w:t>
              <w:tab/>
              <w:t>60</w:t>
            </w:r>
          </w:hyperlink>
        </w:p>
        <w:p>
          <w:pPr>
            <w:pStyle w:val="Contents2"/>
            <w:rPr/>
          </w:pPr>
          <w:hyperlink w:anchor="__RefHeading___Toc7292_2800514504">
            <w:r>
              <w:rPr>
                <w:webHidden/>
                <w:rStyle w:val="IndexLink"/>
              </w:rPr>
              <w:t>D.2 Nuclear track deviations (Category N)</w:t>
              <w:tab/>
              <w:t>60</w:t>
            </w:r>
          </w:hyperlink>
        </w:p>
        <w:p>
          <w:pPr>
            <w:pStyle w:val="Contents2"/>
            <w:rPr/>
          </w:pPr>
          <w:hyperlink w:anchor="__RefHeading___Toc7294_2800514504">
            <w:r>
              <w:rPr>
                <w:webHidden/>
                <w:rStyle w:val="IndexLink"/>
              </w:rPr>
              <w:t>D.3 Maritime track deviations (Category M)</w:t>
              <w:tab/>
              <w:t>62</w:t>
            </w:r>
          </w:hyperlink>
        </w:p>
        <w:p>
          <w:pPr>
            <w:pStyle w:val="Contents2"/>
            <w:rPr/>
          </w:pPr>
          <w:hyperlink w:anchor="__RefHeading___Toc7296_2800514504">
            <w:r>
              <w:rPr>
                <w:webHidden/>
                <w:rStyle w:val="IndexLink"/>
              </w:rPr>
              <w:t>D.4 Economic track deviations (Category E)</w:t>
              <w:tab/>
              <w:t>62</w:t>
            </w:r>
          </w:hyperlink>
        </w:p>
        <w:p>
          <w:pPr>
            <w:pStyle w:val="Contents2"/>
            <w:rPr/>
          </w:pPr>
          <w:hyperlink w:anchor="__RefHeading___Toc7298_2800514504">
            <w:r>
              <w:rPr>
                <w:webHidden/>
                <w:rStyle w:val="IndexLink"/>
              </w:rPr>
              <w:t>D.5 Governance and institutional deviations (Categories G and I)</w:t>
              <w:tab/>
              <w:t>63</w:t>
            </w:r>
          </w:hyperlink>
        </w:p>
        <w:p>
          <w:pPr>
            <w:pStyle w:val="Contents2"/>
            <w:rPr/>
          </w:pPr>
          <w:hyperlink w:anchor="__RefHeading___Toc7300_2800514504">
            <w:r>
              <w:rPr>
                <w:webHidden/>
                <w:rStyle w:val="IndexLink"/>
              </w:rPr>
              <w:t>D.6 Deliberate hostile deviations (Category X)</w:t>
              <w:tab/>
              <w:t>64</w:t>
            </w:r>
          </w:hyperlink>
        </w:p>
        <w:p>
          <w:pPr>
            <w:pStyle w:val="Contents2"/>
            <w:rPr/>
          </w:pPr>
          <w:hyperlink w:anchor="__RefHeading___Toc7302_2800514504">
            <w:r>
              <w:rPr>
                <w:webHidden/>
                <w:rStyle w:val="IndexLink"/>
              </w:rPr>
              <w:t>D.7 Symmetry note</w:t>
              <w:tab/>
              <w:t>65</w:t>
            </w:r>
          </w:hyperlink>
        </w:p>
        <w:p>
          <w:pPr>
            <w:pStyle w:val="Contents1"/>
            <w:rPr/>
          </w:pPr>
          <w:hyperlink w:anchor="__RefHeading___Toc7304_2800514504">
            <w:r>
              <w:rPr>
                <w:webHidden/>
                <w:rStyle w:val="IndexLink"/>
              </w:rPr>
              <w:t>Annex E: Graduated Response and Restoration Operating Rules</w:t>
              <w:tab/>
              <w:t>66</w:t>
            </w:r>
          </w:hyperlink>
        </w:p>
        <w:p>
          <w:pPr>
            <w:pStyle w:val="Contents2"/>
            <w:rPr/>
          </w:pPr>
          <w:hyperlink w:anchor="__RefHeading___Toc7306_2800514504">
            <w:r>
              <w:rPr>
                <w:webHidden/>
                <w:rStyle w:val="IndexLink"/>
              </w:rPr>
              <w:t>E.1 Sequenced impact</w:t>
              <w:tab/>
              <w:t>66</w:t>
            </w:r>
          </w:hyperlink>
        </w:p>
        <w:p>
          <w:pPr>
            <w:pStyle w:val="Contents2"/>
            <w:rPr/>
          </w:pPr>
          <w:hyperlink w:anchor="__RefHeading___Toc7308_2800514504">
            <w:r>
              <w:rPr>
                <w:webHidden/>
                <w:rStyle w:val="IndexLink"/>
              </w:rPr>
              <w:t>E.2 The proportionality formula</w:t>
              <w:tab/>
              <w:t>66</w:t>
            </w:r>
          </w:hyperlink>
        </w:p>
        <w:p>
          <w:pPr>
            <w:pStyle w:val="Contents2"/>
            <w:rPr/>
          </w:pPr>
          <w:hyperlink w:anchor="__RefHeading___Toc7310_2800514504">
            <w:r>
              <w:rPr>
                <w:webHidden/>
                <w:rStyle w:val="IndexLink"/>
              </w:rPr>
              <w:t>E.3 The consultation architecture</w:t>
              <w:tab/>
              <w:t>66</w:t>
            </w:r>
          </w:hyperlink>
        </w:p>
        <w:p>
          <w:pPr>
            <w:pStyle w:val="Contents2"/>
            <w:rPr/>
          </w:pPr>
          <w:hyperlink w:anchor="__RefHeading___Toc7312_2800514504">
            <w:r>
              <w:rPr>
                <w:webHidden/>
                <w:rStyle w:val="IndexLink"/>
              </w:rPr>
              <w:t>E.4 The restoration ladder</w:t>
              <w:tab/>
              <w:t>67</w:t>
            </w:r>
          </w:hyperlink>
        </w:p>
        <w:p>
          <w:pPr>
            <w:pStyle w:val="Contents2"/>
            <w:rPr/>
          </w:pPr>
          <w:hyperlink w:anchor="__RefHeading___Toc7314_2800514504">
            <w:r>
              <w:rPr>
                <w:webHidden/>
                <w:rStyle w:val="IndexLink"/>
              </w:rPr>
              <w:t>E.5 The asset hold</w:t>
              <w:tab/>
              <w:t>67</w:t>
            </w:r>
          </w:hyperlink>
        </w:p>
        <w:p>
          <w:pPr>
            <w:pStyle w:val="Contents2"/>
            <w:rPr/>
          </w:pPr>
          <w:hyperlink w:anchor="__RefHeading___Toc7316_2800514504">
            <w:r>
              <w:rPr>
                <w:webHidden/>
                <w:rStyle w:val="IndexLink"/>
              </w:rPr>
              <w:t>E.6 The humanitarian reallocation</w:t>
              <w:tab/>
              <w:t>67</w:t>
            </w:r>
          </w:hyperlink>
        </w:p>
        <w:p>
          <w:pPr>
            <w:pStyle w:val="Contents2"/>
            <w:rPr/>
          </w:pPr>
          <w:hyperlink w:anchor="__RefHeading___Toc7318_2800514504">
            <w:r>
              <w:rPr>
                <w:webHidden/>
                <w:rStyle w:val="IndexLink"/>
              </w:rPr>
              <w:t>E.7 The humanitarian surge</w:t>
              <w:tab/>
              <w:t>68</w:t>
            </w:r>
          </w:hyperlink>
        </w:p>
        <w:p>
          <w:pPr>
            <w:pStyle w:val="Contents2"/>
            <w:rPr/>
          </w:pPr>
          <w:hyperlink w:anchor="__RefHeading___Toc7320_2800514504">
            <w:r>
              <w:rPr>
                <w:webHidden/>
                <w:rStyle w:val="IndexLink"/>
              </w:rPr>
              <w:t>E.8 Alert severity for data anomalies</w:t>
              <w:tab/>
              <w:t>68</w:t>
            </w:r>
          </w:hyperlink>
        </w:p>
        <w:p>
          <w:pPr>
            <w:pStyle w:val="Contents2"/>
            <w:rPr/>
          </w:pPr>
          <w:hyperlink w:anchor="__RefHeading___Toc7322_2800514504">
            <w:r>
              <w:rPr>
                <w:webHidden/>
                <w:rStyle w:val="IndexLink"/>
              </w:rPr>
              <w:t>E.9 The good-faith reset</w:t>
              <w:tab/>
              <w:t>68</w:t>
            </w:r>
          </w:hyperlink>
        </w:p>
        <w:p>
          <w:pPr>
            <w:pStyle w:val="Contents1"/>
            <w:rPr/>
          </w:pPr>
          <w:hyperlink w:anchor="__RefHeading___Toc7324_2800514504">
            <w:r>
              <w:rPr>
                <w:webHidden/>
                <w:rStyle w:val="IndexLink"/>
              </w:rPr>
              <w:t>Annex F: Downblending Technical Protocol</w:t>
              <w:tab/>
              <w:t>69</w:t>
            </w:r>
          </w:hyperlink>
        </w:p>
        <w:p>
          <w:pPr>
            <w:pStyle w:val="Contents2"/>
            <w:rPr/>
          </w:pPr>
          <w:hyperlink w:anchor="__RefHeading___Toc7326_2800514504">
            <w:r>
              <w:rPr>
                <w:webHidden/>
                <w:rStyle w:val="IndexLink"/>
              </w:rPr>
              <w:t>F.1 Facility and equipment</w:t>
              <w:tab/>
              <w:t>69</w:t>
            </w:r>
          </w:hyperlink>
        </w:p>
        <w:p>
          <w:pPr>
            <w:pStyle w:val="Contents2"/>
            <w:rPr/>
          </w:pPr>
          <w:hyperlink w:anchor="__RefHeading___Toc7328_2800514504">
            <w:r>
              <w:rPr>
                <w:webHidden/>
                <w:rStyle w:val="IndexLink"/>
              </w:rPr>
              <w:t>F.2 Feedstock logistics</w:t>
              <w:tab/>
              <w:t>69</w:t>
            </w:r>
          </w:hyperlink>
        </w:p>
        <w:p>
          <w:pPr>
            <w:pStyle w:val="Contents2"/>
            <w:rPr/>
          </w:pPr>
          <w:hyperlink w:anchor="__RefHeading___Toc7330_2800514504">
            <w:r>
              <w:rPr>
                <w:webHidden/>
                <w:rStyle w:val="IndexLink"/>
              </w:rPr>
              <w:t>F.3 The batch schedule</w:t>
              <w:tab/>
              <w:t>69</w:t>
            </w:r>
          </w:hyperlink>
        </w:p>
        <w:p>
          <w:pPr>
            <w:pStyle w:val="Contents2"/>
            <w:rPr/>
          </w:pPr>
          <w:hyperlink w:anchor="__RefHeading___Toc7332_2800514504">
            <w:r>
              <w:rPr>
                <w:webHidden/>
                <w:rStyle w:val="IndexLink"/>
              </w:rPr>
              <w:t>F.4 Custody chain</w:t>
              <w:tab/>
              <w:t>70</w:t>
            </w:r>
          </w:hyperlink>
        </w:p>
        <w:p>
          <w:pPr>
            <w:pStyle w:val="Contents2"/>
            <w:rPr/>
          </w:pPr>
          <w:hyperlink w:anchor="__RefHeading___Toc7334_2800514504">
            <w:r>
              <w:rPr>
                <w:webHidden/>
                <w:rStyle w:val="IndexLink"/>
              </w:rPr>
              <w:t>F.5 Measurement, sampling, and the third-laboratory layer</w:t>
              <w:tab/>
              <w:t>70</w:t>
            </w:r>
          </w:hyperlink>
        </w:p>
        <w:p>
          <w:pPr>
            <w:pStyle w:val="Contents2"/>
            <w:rPr/>
          </w:pPr>
          <w:hyperlink w:anchor="__RefHeading___Toc7336_2800514504">
            <w:r>
              <w:rPr>
                <w:webHidden/>
                <w:rStyle w:val="IndexLink"/>
              </w:rPr>
              <w:t>F.6 Verification posture</w:t>
              <w:tab/>
              <w:t>70</w:t>
            </w:r>
          </w:hyperlink>
        </w:p>
        <w:p>
          <w:pPr>
            <w:pStyle w:val="Contents2"/>
            <w:rPr/>
          </w:pPr>
          <w:hyperlink w:anchor="__RefHeading___Toc7338_2800514504">
            <w:r>
              <w:rPr>
                <w:webHidden/>
                <w:rStyle w:val="IndexLink"/>
              </w:rPr>
              <w:t>F.7 Storage module operating rules and independent inspection</w:t>
              <w:tab/>
              <w:t>71</w:t>
            </w:r>
          </w:hyperlink>
        </w:p>
        <w:p>
          <w:pPr>
            <w:pStyle w:val="Contents2"/>
            <w:rPr/>
          </w:pPr>
          <w:hyperlink w:anchor="__RefHeading___Toc7340_2800514504">
            <w:r>
              <w:rPr>
                <w:webHidden/>
                <w:rStyle w:val="IndexLink"/>
              </w:rPr>
              <w:t>F.8 Fuel supply assurance</w:t>
              <w:tab/>
              <w:t>71</w:t>
            </w:r>
          </w:hyperlink>
        </w:p>
        <w:p>
          <w:pPr>
            <w:pStyle w:val="Contents2"/>
            <w:rPr/>
          </w:pPr>
          <w:hyperlink w:anchor="__RefHeading___Toc7342_2800514504">
            <w:r>
              <w:rPr>
                <w:webHidden/>
                <w:rStyle w:val="IndexLink"/>
              </w:rPr>
              <w:t>F.9 The long-term enrichment plan</w:t>
              <w:tab/>
              <w:t>72</w:t>
            </w:r>
          </w:hyperlink>
        </w:p>
        <w:p>
          <w:pPr>
            <w:pStyle w:val="Contents2"/>
            <w:rPr/>
          </w:pPr>
          <w:hyperlink w:anchor="__RefHeading___Toc7344_2800514504">
            <w:r>
              <w:rPr>
                <w:webHidden/>
                <w:rStyle w:val="IndexLink"/>
              </w:rPr>
              <w:t>F.10 Cost and funding</w:t>
              <w:tab/>
              <w:t>72</w:t>
            </w:r>
          </w:hyperlink>
        </w:p>
        <w:p>
          <w:pPr>
            <w:pStyle w:val="Contents1"/>
            <w:rPr/>
          </w:pPr>
          <w:hyperlink w:anchor="__RefHeading___Toc7346_2800514504">
            <w:r>
              <w:rPr>
                <w:webHidden/>
                <w:rStyle w:val="IndexLink"/>
              </w:rPr>
              <w:t>Annex G: Oil Waiver and Financial License Alignment Schedule</w:t>
              <w:tab/>
              <w:t>73</w:t>
            </w:r>
          </w:hyperlink>
        </w:p>
        <w:p>
          <w:pPr>
            <w:pStyle w:val="Contents2"/>
            <w:rPr/>
          </w:pPr>
          <w:hyperlink w:anchor="__RefHeading___Toc7348_2800514504">
            <w:r>
              <w:rPr>
                <w:webHidden/>
                <w:rStyle w:val="IndexLink"/>
              </w:rPr>
              <w:t>G.1 The license baseline register</w:t>
              <w:tab/>
              <w:t>73</w:t>
            </w:r>
          </w:hyperlink>
        </w:p>
        <w:p>
          <w:pPr>
            <w:pStyle w:val="Contents2"/>
            <w:rPr/>
          </w:pPr>
          <w:hyperlink w:anchor="__RefHeading___Toc7350_2800514504">
            <w:r>
              <w:rPr>
                <w:webHidden/>
                <w:rStyle w:val="IndexLink"/>
              </w:rPr>
              <w:t>G.2 The renewal calendar</w:t>
              <w:tab/>
              <w:t>73</w:t>
            </w:r>
          </w:hyperlink>
        </w:p>
        <w:p>
          <w:pPr>
            <w:pStyle w:val="Contents2"/>
            <w:rPr/>
          </w:pPr>
          <w:hyperlink w:anchor="__RefHeading___Toc7352_2800514504">
            <w:r>
              <w:rPr>
                <w:webHidden/>
                <w:rStyle w:val="IndexLink"/>
              </w:rPr>
              <w:t>G.3 The escrow and designated accounts</w:t>
              <w:tab/>
              <w:t>73</w:t>
            </w:r>
          </w:hyperlink>
        </w:p>
        <w:p>
          <w:pPr>
            <w:pStyle w:val="Contents2"/>
            <w:rPr/>
          </w:pPr>
          <w:hyperlink w:anchor="__RefHeading___Toc7354_2800514504">
            <w:r>
              <w:rPr>
                <w:webHidden/>
                <w:rStyle w:val="IndexLink"/>
              </w:rPr>
              <w:t>G.4 The reconstruction financial package</w:t>
              <w:tab/>
              <w:t>74</w:t>
            </w:r>
          </w:hyperlink>
        </w:p>
        <w:p>
          <w:pPr>
            <w:pStyle w:val="Contents2"/>
            <w:rPr/>
          </w:pPr>
          <w:hyperlink w:anchor="__RefHeading___Toc7356_2800514504">
            <w:r>
              <w:rPr>
                <w:webHidden/>
                <w:rStyle w:val="IndexLink"/>
              </w:rPr>
              <w:t>G.5 Financial messaging reconnection</w:t>
              <w:tab/>
              <w:t>74</w:t>
            </w:r>
          </w:hyperlink>
        </w:p>
        <w:p>
          <w:pPr>
            <w:pStyle w:val="Contents2"/>
            <w:rPr/>
          </w:pPr>
          <w:hyperlink w:anchor="__RefHeading___Toc7358_2800514504">
            <w:r>
              <w:rPr>
                <w:webHidden/>
                <w:rStyle w:val="IndexLink"/>
              </w:rPr>
              <w:t>G.6 Buyer and insurer protections</w:t>
              <w:tab/>
              <w:t>74</w:t>
            </w:r>
          </w:hyperlink>
        </w:p>
        <w:p>
          <w:pPr>
            <w:pStyle w:val="Contents1"/>
            <w:rPr/>
          </w:pPr>
          <w:hyperlink w:anchor="__RefHeading___Toc7360_2800514504">
            <w:r>
              <w:rPr>
                <w:webHidden/>
                <w:rStyle w:val="IndexLink"/>
              </w:rPr>
              <w:t>Annex H: Communications and De-confliction Protocols</w:t>
              <w:tab/>
              <w:t>75</w:t>
            </w:r>
          </w:hyperlink>
        </w:p>
        <w:p>
          <w:pPr>
            <w:pStyle w:val="Contents2"/>
            <w:rPr/>
          </w:pPr>
          <w:hyperlink w:anchor="__RefHeading___Toc7362_2800514504">
            <w:r>
              <w:rPr>
                <w:webHidden/>
                <w:rStyle w:val="IndexLink"/>
              </w:rPr>
              <w:t>H.1 The channel architecture</w:t>
              <w:tab/>
              <w:t>75</w:t>
            </w:r>
          </w:hyperlink>
        </w:p>
        <w:p>
          <w:pPr>
            <w:pStyle w:val="Contents2"/>
            <w:rPr/>
          </w:pPr>
          <w:hyperlink w:anchor="__RefHeading___Toc7364_2800514504">
            <w:r>
              <w:rPr>
                <w:webHidden/>
                <w:rStyle w:val="IndexLink"/>
              </w:rPr>
              <w:t>H.2 Crisis contacts: named, senior, and public</w:t>
              <w:tab/>
              <w:t>75</w:t>
            </w:r>
          </w:hyperlink>
        </w:p>
        <w:p>
          <w:pPr>
            <w:pStyle w:val="Contents2"/>
            <w:rPr/>
          </w:pPr>
          <w:hyperlink w:anchor="__RefHeading___Toc7366_2800514504">
            <w:r>
              <w:rPr>
                <w:webHidden/>
                <w:rStyle w:val="IndexLink"/>
              </w:rPr>
              <w:t>H.3 Notice and acknowledgment standards</w:t>
              <w:tab/>
              <w:t>76</w:t>
            </w:r>
          </w:hyperlink>
        </w:p>
        <w:p>
          <w:pPr>
            <w:pStyle w:val="Contents2"/>
            <w:rPr/>
          </w:pPr>
          <w:hyperlink w:anchor="__RefHeading___Toc7368_2800514504">
            <w:r>
              <w:rPr>
                <w:webHidden/>
                <w:rStyle w:val="IndexLink"/>
              </w:rPr>
              <w:t>H.4 The shared operational picture</w:t>
              <w:tab/>
              <w:t>76</w:t>
            </w:r>
          </w:hyperlink>
        </w:p>
        <w:p>
          <w:pPr>
            <w:pStyle w:val="Contents2"/>
            <w:rPr/>
          </w:pPr>
          <w:hyperlink w:anchor="__RefHeading___Toc7370_2800514504">
            <w:r>
              <w:rPr>
                <w:webHidden/>
                <w:rStyle w:val="IndexLink"/>
              </w:rPr>
              <w:t>H.5 The incident ladder</w:t>
              <w:tab/>
              <w:t>76</w:t>
            </w:r>
          </w:hyperlink>
        </w:p>
        <w:p>
          <w:pPr>
            <w:pStyle w:val="Contents2"/>
            <w:rPr/>
          </w:pPr>
          <w:hyperlink w:anchor="__RefHeading___Toc7372_2800514504">
            <w:r>
              <w:rPr>
                <w:webHidden/>
                <w:rStyle w:val="IndexLink"/>
              </w:rPr>
              <w:t>H.6 Pre-authorizations</w:t>
              <w:tab/>
              <w:t>77</w:t>
            </w:r>
          </w:hyperlink>
        </w:p>
        <w:p>
          <w:pPr>
            <w:pStyle w:val="Contents2"/>
            <w:rPr/>
          </w:pPr>
          <w:hyperlink w:anchor="__RefHeading___Toc7374_2800514504">
            <w:r>
              <w:rPr>
                <w:webHidden/>
                <w:rStyle w:val="IndexLink"/>
              </w:rPr>
              <w:t>H.7 Exercises and familiarization</w:t>
              <w:tab/>
              <w:t>77</w:t>
            </w:r>
          </w:hyperlink>
        </w:p>
        <w:p>
          <w:pPr>
            <w:pStyle w:val="Contents2"/>
            <w:rPr/>
          </w:pPr>
          <w:hyperlink w:anchor="__RefHeading___Toc7376_2800514504">
            <w:r>
              <w:rPr>
                <w:webHidden/>
                <w:rStyle w:val="IndexLink"/>
              </w:rPr>
              <w:t>H.8 Air de-confliction</w:t>
              <w:tab/>
              <w:t>77</w:t>
            </w:r>
          </w:hyperlink>
        </w:p>
        <w:p>
          <w:pPr>
            <w:pStyle w:val="Contents1"/>
            <w:rPr/>
          </w:pPr>
          <w:hyperlink w:anchor="__RefHeading___Toc7378_2800514504">
            <w:r>
              <w:rPr>
                <w:webHidden/>
                <w:rStyle w:val="IndexLink"/>
              </w:rPr>
              <w:t>Annex I: Anticipation Registry Operating Rules</w:t>
              <w:tab/>
              <w:t>78</w:t>
            </w:r>
          </w:hyperlink>
        </w:p>
        <w:p>
          <w:pPr>
            <w:pStyle w:val="Contents2"/>
            <w:rPr/>
          </w:pPr>
          <w:hyperlink w:anchor="__RefHeading___Toc7380_2800514504">
            <w:r>
              <w:rPr>
                <w:webHidden/>
                <w:rStyle w:val="IndexLink"/>
              </w:rPr>
              <w:t>I.1 The initial pattern set</w:t>
              <w:tab/>
              <w:t>78</w:t>
            </w:r>
          </w:hyperlink>
        </w:p>
        <w:p>
          <w:pPr>
            <w:pStyle w:val="Contents2"/>
            <w:rPr/>
          </w:pPr>
          <w:hyperlink w:anchor="__RefHeading___Toc7382_2800514504">
            <w:r>
              <w:rPr>
                <w:webHidden/>
                <w:rStyle w:val="IndexLink"/>
              </w:rPr>
              <w:t>I.2 Coordination officers</w:t>
              <w:tab/>
              <w:t>78</w:t>
            </w:r>
          </w:hyperlink>
        </w:p>
        <w:p>
          <w:pPr>
            <w:pStyle w:val="Contents2"/>
            <w:rPr/>
          </w:pPr>
          <w:hyperlink w:anchor="__RefHeading___Toc7384_2800514504">
            <w:r>
              <w:rPr>
                <w:webHidden/>
                <w:rStyle w:val="IndexLink"/>
              </w:rPr>
              <w:t>I.3 Flagging and classification procedure</w:t>
              <w:tab/>
              <w:t>78</w:t>
            </w:r>
          </w:hyperlink>
        </w:p>
        <w:p>
          <w:pPr>
            <w:pStyle w:val="Contents2"/>
            <w:rPr/>
          </w:pPr>
          <w:hyperlink w:anchor="__RefHeading___Toc7386_2800514504">
            <w:r>
              <w:rPr>
                <w:webHidden/>
                <w:rStyle w:val="IndexLink"/>
              </w:rPr>
              <w:t>I.4 Recalibration Session mechanics</w:t>
              <w:tab/>
              <w:t>79</w:t>
            </w:r>
          </w:hyperlink>
        </w:p>
        <w:p>
          <w:pPr>
            <w:pStyle w:val="Contents2"/>
            <w:rPr/>
          </w:pPr>
          <w:hyperlink w:anchor="__RefHeading___Toc7388_2800514504">
            <w:r>
              <w:rPr>
                <w:webHidden/>
                <w:rStyle w:val="IndexLink"/>
              </w:rPr>
              <w:t>I.5 The pattern repository</w:t>
              <w:tab/>
              <w:t>79</w:t>
            </w:r>
          </w:hyperlink>
        </w:p>
        <w:p>
          <w:pPr>
            <w:pStyle w:val="Contents2"/>
            <w:rPr/>
          </w:pPr>
          <w:hyperlink w:anchor="__RefHeading___Toc7390_2800514504">
            <w:r>
              <w:rPr>
                <w:webHidden/>
                <w:rStyle w:val="IndexLink"/>
              </w:rPr>
              <w:t>I.6 Relationship to verification</w:t>
              <w:tab/>
              <w:t>79</w:t>
            </w:r>
          </w:hyperlink>
        </w:p>
        <w:p>
          <w:pPr>
            <w:pStyle w:val="Contents1"/>
            <w:rPr/>
          </w:pPr>
          <w:hyperlink w:anchor="__RefHeading___Toc7392_2800514504">
            <w:r>
              <w:rPr>
                <w:webHidden/>
                <w:rStyle w:val="IndexLink"/>
              </w:rPr>
              <w:t>Annex J: Performance Bond and Claim Rules</w:t>
              <w:tab/>
              <w:t>80</w:t>
            </w:r>
          </w:hyperlink>
        </w:p>
        <w:p>
          <w:pPr>
            <w:pStyle w:val="Contents2"/>
            <w:rPr/>
          </w:pPr>
          <w:hyperlink w:anchor="__RefHeading___Toc7394_2800514504">
            <w:r>
              <w:rPr>
                <w:webHidden/>
                <w:rStyle w:val="IndexLink"/>
              </w:rPr>
              <w:t>J.1 Bond parameters</w:t>
              <w:tab/>
              <w:t>80</w:t>
            </w:r>
          </w:hyperlink>
        </w:p>
        <w:p>
          <w:pPr>
            <w:pStyle w:val="Contents2"/>
            <w:rPr/>
          </w:pPr>
          <w:hyperlink w:anchor="__RefHeading___Toc7396_2800514504">
            <w:r>
              <w:rPr>
                <w:webHidden/>
                <w:rStyle w:val="IndexLink"/>
              </w:rPr>
              <w:t>J.2 Claim processing clock</w:t>
              <w:tab/>
              <w:t>80</w:t>
            </w:r>
          </w:hyperlink>
        </w:p>
        <w:p>
          <w:pPr>
            <w:pStyle w:val="Contents2"/>
            <w:rPr/>
          </w:pPr>
          <w:hyperlink w:anchor="__RefHeading___Toc7398_2800514504">
            <w:r>
              <w:rPr>
                <w:webHidden/>
                <w:rStyle w:val="IndexLink"/>
              </w:rPr>
              <w:t>J.3 High-value claim reserve</w:t>
              <w:tab/>
              <w:t>80</w:t>
            </w:r>
          </w:hyperlink>
        </w:p>
        <w:p>
          <w:pPr>
            <w:pStyle w:val="Contents2"/>
            <w:rPr/>
          </w:pPr>
          <w:hyperlink w:anchor="__RefHeading___Toc7400_2800514504">
            <w:r>
              <w:rPr>
                <w:webHidden/>
                <w:rStyle w:val="IndexLink"/>
              </w:rPr>
              <w:t>J.4 The expedited humanitarian track</w:t>
              <w:tab/>
              <w:t>81</w:t>
            </w:r>
          </w:hyperlink>
        </w:p>
        <w:p>
          <w:pPr>
            <w:pStyle w:val="Contents2"/>
            <w:rPr/>
          </w:pPr>
          <w:hyperlink w:anchor="__RefHeading___Toc7402_2800514504">
            <w:r>
              <w:rPr>
                <w:webHidden/>
                <w:rStyle w:val="IndexLink"/>
              </w:rPr>
              <w:t>J.5 Pacing limits</w:t>
              <w:tab/>
              <w:t>81</w:t>
            </w:r>
          </w:hyperlink>
        </w:p>
        <w:p>
          <w:pPr>
            <w:pStyle w:val="Contents2"/>
            <w:rPr/>
          </w:pPr>
          <w:hyperlink w:anchor="__RefHeading___Toc7404_2800514504">
            <w:r>
              <w:rPr>
                <w:webHidden/>
                <w:rStyle w:val="IndexLink"/>
              </w:rPr>
              <w:t>J.6 The challenge escalation ladder and second opinion</w:t>
              <w:tab/>
              <w:t>81</w:t>
            </w:r>
          </w:hyperlink>
        </w:p>
        <w:p>
          <w:pPr>
            <w:pStyle w:val="Contents2"/>
            <w:rPr/>
          </w:pPr>
          <w:hyperlink w:anchor="__RefHeading___Toc7406_2800514504">
            <w:r>
              <w:rPr>
                <w:webHidden/>
                <w:rStyle w:val="IndexLink"/>
              </w:rPr>
              <w:t>J.7 The Independent Investigation Facility</w:t>
              <w:tab/>
              <w:t>82</w:t>
            </w:r>
          </w:hyperlink>
        </w:p>
        <w:p>
          <w:pPr>
            <w:pStyle w:val="Contents1"/>
            <w:rPr/>
          </w:pPr>
          <w:hyperlink w:anchor="__RefHeading___Toc7408_2800514504">
            <w:r>
              <w:rPr>
                <w:webHidden/>
                <w:rStyle w:val="IndexLink"/>
              </w:rPr>
              <w:t>Annex K: Implementation Timeline and Activation Checklists</w:t>
              <w:tab/>
              <w:t>83</w:t>
            </w:r>
          </w:hyperlink>
        </w:p>
        <w:p>
          <w:pPr>
            <w:pStyle w:val="Contents2"/>
            <w:rPr/>
          </w:pPr>
          <w:hyperlink w:anchor="__RefHeading___Toc7410_2800514504">
            <w:r>
              <w:rPr>
                <w:webHidden/>
                <w:rStyle w:val="IndexLink"/>
              </w:rPr>
              <w:t>K.1 The activation sequence</w:t>
              <w:tab/>
              <w:t>83</w:t>
            </w:r>
          </w:hyperlink>
        </w:p>
        <w:p>
          <w:pPr>
            <w:pStyle w:val="Contents2"/>
            <w:rPr/>
          </w:pPr>
          <w:hyperlink w:anchor="__RefHeading___Toc7412_2800514504">
            <w:r>
              <w:rPr>
                <w:webHidden/>
                <w:rStyle w:val="IndexLink"/>
              </w:rPr>
              <w:t>K.2 Pre-activation checklist</w:t>
              <w:tab/>
              <w:t>83</w:t>
            </w:r>
          </w:hyperlink>
        </w:p>
        <w:p>
          <w:pPr>
            <w:pStyle w:val="Contents2"/>
            <w:rPr/>
          </w:pPr>
          <w:hyperlink w:anchor="__RefHeading___Toc7414_2800514504">
            <w:r>
              <w:rPr>
                <w:webHidden/>
                <w:rStyle w:val="IndexLink"/>
              </w:rPr>
              <w:t>K.3 Day 1 checklist</w:t>
              <w:tab/>
              <w:t>84</w:t>
            </w:r>
          </w:hyperlink>
        </w:p>
        <w:p>
          <w:pPr>
            <w:pStyle w:val="Contents2"/>
            <w:rPr/>
          </w:pPr>
          <w:hyperlink w:anchor="__RefHeading___Toc7416_2800514504">
            <w:r>
              <w:rPr>
                <w:webHidden/>
                <w:rStyle w:val="IndexLink"/>
              </w:rPr>
              <w:t>K.4 Standing weekly rhythm</w:t>
              <w:tab/>
              <w:t>84</w:t>
            </w:r>
          </w:hyperlink>
        </w:p>
        <w:p>
          <w:pPr>
            <w:pStyle w:val="Contents1"/>
            <w:rPr/>
          </w:pPr>
          <w:hyperlink w:anchor="__RefHeading___Toc7418_2800514504">
            <w:r>
              <w:rPr>
                <w:webHidden/>
                <w:rStyle w:val="IndexLink"/>
              </w:rPr>
              <w:t>Annex L: Red Line Register</w:t>
              <w:tab/>
              <w:t>85</w:t>
            </w:r>
          </w:hyperlink>
        </w:p>
        <w:p>
          <w:pPr>
            <w:pStyle w:val="Contents2"/>
            <w:rPr/>
          </w:pPr>
          <w:hyperlink w:anchor="__RefHeading___Toc7420_2800514504">
            <w:r>
              <w:rPr>
                <w:webHidden/>
                <w:rStyle w:val="IndexLink"/>
              </w:rPr>
              <w:t>L.1 Registered Red Lines</w:t>
              <w:tab/>
              <w:t>85</w:t>
            </w:r>
          </w:hyperlink>
        </w:p>
        <w:p>
          <w:pPr>
            <w:pStyle w:val="Contents2"/>
            <w:rPr/>
          </w:pPr>
          <w:hyperlink w:anchor="__RefHeading___Toc7422_2800514504">
            <w:r>
              <w:rPr>
                <w:webHidden/>
                <w:rStyle w:val="IndexLink"/>
              </w:rPr>
              <w:t>L.2 Register maintenance</w:t>
              <w:tab/>
              <w:t>86</w:t>
            </w:r>
          </w:hyperlink>
        </w:p>
        <w:p>
          <w:pPr>
            <w:pStyle w:val="Contents1"/>
            <w:rPr/>
          </w:pPr>
          <w:hyperlink w:anchor="__RefHeading___Toc7424_2800514504">
            <w:r>
              <w:rPr>
                <w:webHidden/>
                <w:rStyle w:val="IndexLink"/>
              </w:rPr>
              <w:t>Annex M: Glossary of Framework Terms and MOU Alignment Map</w:t>
              <w:tab/>
              <w:t>87</w:t>
            </w:r>
          </w:hyperlink>
        </w:p>
        <w:p>
          <w:pPr>
            <w:pStyle w:val="Contents2"/>
            <w:rPr/>
          </w:pPr>
          <w:hyperlink w:anchor="__RefHeading___Toc7426_2800514504">
            <w:r>
              <w:rPr>
                <w:webHidden/>
                <w:rStyle w:val="IndexLink"/>
              </w:rPr>
              <w:t>M.1 Neutral terminology register</w:t>
              <w:tab/>
              <w:t>87</w:t>
            </w:r>
          </w:hyperlink>
        </w:p>
        <w:p>
          <w:pPr>
            <w:pStyle w:val="Contents2"/>
            <w:rPr/>
          </w:pPr>
          <w:hyperlink w:anchor="__RefHeading___Toc7428_2800514504">
            <w:r>
              <w:rPr>
                <w:webHidden/>
                <w:rStyle w:val="IndexLink"/>
              </w:rPr>
              <w:t>M.2 MOU alignment map</w:t>
              <w:tab/>
              <w:t>88</w:t>
            </w:r>
          </w:hyperlink>
        </w:p>
        <w:p>
          <w:pPr>
            <w:pStyle w:val="Contents2"/>
            <w:rPr/>
          </w:pPr>
          <w:hyperlink w:anchor="__RefHeading___Toc7430_2800514504">
            <w:r>
              <w:rPr>
                <w:webHidden/>
                <w:rStyle w:val="IndexLink"/>
              </w:rPr>
              <w:t>M.3 Closing note</w:t>
              <w:tab/>
              <w:t>89</w:t>
            </w:r>
          </w:hyperlink>
        </w:p>
        <w:p>
          <w:pPr>
            <w:pStyle w:val="Contents1"/>
            <w:rPr/>
          </w:pPr>
          <w:hyperlink w:anchor="__RefHeading___Toc7432_2800514504">
            <w:r>
              <w:rPr>
                <w:webHidden/>
                <w:rStyle w:val="IndexLink"/>
              </w:rPr>
              <w:t>Annex N: Reconstruction and Development Fund Protocol</w:t>
              <w:tab/>
              <w:t>90</w:t>
            </w:r>
          </w:hyperlink>
        </w:p>
        <w:p>
          <w:pPr>
            <w:pStyle w:val="Contents2"/>
            <w:rPr/>
          </w:pPr>
          <w:hyperlink w:anchor="__RefHeading___Toc7434_2800514504">
            <w:r>
              <w:rPr>
                <w:webHidden/>
                <w:rStyle w:val="IndexLink"/>
              </w:rPr>
              <w:t>N.1 Purpose and structure</w:t>
              <w:tab/>
              <w:t>90</w:t>
            </w:r>
          </w:hyperlink>
        </w:p>
        <w:p>
          <w:pPr>
            <w:pStyle w:val="Contents2"/>
            <w:rPr/>
          </w:pPr>
          <w:hyperlink w:anchor="__RefHeading___Toc7436_2800514504">
            <w:r>
              <w:rPr>
                <w:webHidden/>
                <w:rStyle w:val="IndexLink"/>
              </w:rPr>
              <w:t>N.2 Definitions</w:t>
              <w:tab/>
              <w:t>90</w:t>
            </w:r>
          </w:hyperlink>
        </w:p>
        <w:p>
          <w:pPr>
            <w:pStyle w:val="Contents2"/>
            <w:rPr/>
          </w:pPr>
          <w:hyperlink w:anchor="__RefHeading___Toc7438_2800514504">
            <w:r>
              <w:rPr>
                <w:webHidden/>
                <w:rStyle w:val="IndexLink"/>
              </w:rPr>
              <w:t>N.3 The seven sub-funds and sovereign co-financing</w:t>
              <w:tab/>
              <w:t>91</w:t>
            </w:r>
          </w:hyperlink>
        </w:p>
        <w:p>
          <w:pPr>
            <w:pStyle w:val="Contents2"/>
            <w:rPr/>
          </w:pPr>
          <w:hyperlink w:anchor="__RefHeading___Toc7440_2800514504">
            <w:r>
              <w:rPr>
                <w:webHidden/>
                <w:rStyle w:val="IndexLink"/>
              </w:rPr>
              <w:t>N.4 Project origination and Iranian sovereign selection</w:t>
              <w:tab/>
              <w:t>91</w:t>
            </w:r>
          </w:hyperlink>
        </w:p>
        <w:p>
          <w:pPr>
            <w:pStyle w:val="Contents2"/>
            <w:rPr/>
          </w:pPr>
          <w:hyperlink w:anchor="__RefHeading___Toc7442_2800514504">
            <w:r>
              <w:rPr>
                <w:webHidden/>
                <w:rStyle w:val="IndexLink"/>
              </w:rPr>
              <w:t>N.5 Contributors, governance, and the sanctions firewall</w:t>
              <w:tab/>
              <w:t>92</w:t>
            </w:r>
          </w:hyperlink>
        </w:p>
        <w:p>
          <w:pPr>
            <w:pStyle w:val="Contents2"/>
            <w:rPr/>
          </w:pPr>
          <w:hyperlink w:anchor="__RefHeading___Toc7444_2800514504">
            <w:r>
              <w:rPr>
                <w:webHidden/>
                <w:rStyle w:val="IndexLink"/>
              </w:rPr>
              <w:t>N.6 Project approval standards</w:t>
              <w:tab/>
              <w:t>92</w:t>
            </w:r>
          </w:hyperlink>
        </w:p>
        <w:p>
          <w:pPr>
            <w:pStyle w:val="Contents2"/>
            <w:rPr/>
          </w:pPr>
          <w:hyperlink w:anchor="__RefHeading___Toc7446_2800514504">
            <w:r>
              <w:rPr>
                <w:webHidden/>
                <w:rStyle w:val="IndexLink"/>
              </w:rPr>
              <w:t>N.7 Performance-based disbursement and the no-clawback guarantee</w:t>
              <w:tab/>
              <w:t>92</w:t>
            </w:r>
          </w:hyperlink>
        </w:p>
        <w:p>
          <w:pPr>
            <w:pStyle w:val="Contents2"/>
            <w:rPr/>
          </w:pPr>
          <w:hyperlink w:anchor="__RefHeading___Toc7448_2800514504">
            <w:r>
              <w:rPr>
                <w:webHidden/>
                <w:rStyle w:val="IndexLink"/>
              </w:rPr>
              <w:t>N.8 Governance, transparency, and integrity</w:t>
              <w:tab/>
              <w:t>93</w:t>
            </w:r>
          </w:hyperlink>
        </w:p>
        <w:p>
          <w:pPr>
            <w:pStyle w:val="Contents2"/>
            <w:rPr/>
          </w:pPr>
          <w:hyperlink w:anchor="__RefHeading___Toc7450_2800514504">
            <w:r>
              <w:rPr>
                <w:webHidden/>
                <w:rStyle w:val="IndexLink"/>
              </w:rPr>
              <w:t>N.9 The United States non-cash participation package</w:t>
              <w:tab/>
              <w:t>93</w:t>
            </w:r>
          </w:hyperlink>
        </w:p>
        <w:p>
          <w:pPr>
            <w:pStyle w:val="Contents2"/>
            <w:rPr/>
          </w:pPr>
          <w:hyperlink w:anchor="__RefHeading___Toc7452_2800514504">
            <w:r>
              <w:rPr>
                <w:webHidden/>
                <w:rStyle w:val="IndexLink"/>
              </w:rPr>
              <w:t>N.10 Supplementary windows to the MOU floor</w:t>
              <w:tab/>
              <w:t>94</w:t>
            </w:r>
          </w:hyperlink>
        </w:p>
        <w:p>
          <w:pPr>
            <w:pStyle w:val="Contents2"/>
            <w:rPr/>
          </w:pPr>
          <w:hyperlink w:anchor="__RefHeading___Toc7454_2800514504">
            <w:r>
              <w:rPr>
                <w:webHidden/>
                <w:rStyle w:val="IndexLink"/>
              </w:rPr>
              <w:t>N.11 Sovereign procurement and non-directed purchasing</w:t>
              <w:tab/>
              <w:t>94</w:t>
            </w:r>
          </w:hyperlink>
        </w:p>
        <w:p>
          <w:pPr>
            <w:pStyle w:val="Contents2"/>
            <w:rPr/>
          </w:pPr>
          <w:hyperlink w:anchor="__RefHeading___Toc7456_2800514504">
            <w:r>
              <w:rPr>
                <w:webHidden/>
                <w:rStyle w:val="IndexLink"/>
              </w:rPr>
              <w:t>N.12 The force majeure fallback protocol</w:t>
              <w:tab/>
              <w:t>95</w:t>
            </w:r>
          </w:hyperlink>
        </w:p>
        <w:p>
          <w:pPr>
            <w:pStyle w:val="Contents2"/>
            <w:rPr/>
          </w:pPr>
          <w:hyperlink w:anchor="__RefHeading___Toc7458_2800514504">
            <w:r>
              <w:rPr>
                <w:webHidden/>
                <w:rStyle w:val="IndexLink"/>
              </w:rPr>
              <w:t>N.13 Dispute resolution and continuity</w:t>
              <w:tab/>
              <w:t>95</w:t>
            </w:r>
          </w:hyperlink>
        </w:p>
        <w:p>
          <w:pPr>
            <w:pStyle w:val="Contents2"/>
            <w:rPr/>
          </w:pPr>
          <w:hyperlink w:anchor="__RefHeading___Toc7460_2800514504">
            <w:r>
              <w:rPr>
                <w:webHidden/>
                <w:rStyle w:val="IndexLink"/>
              </w:rPr>
              <w:t>N.14 Alignment with the Assembly</w:t>
              <w:tab/>
              <w:t>95</w:t>
            </w:r>
          </w:hyperlink>
        </w:p>
        <w:p>
          <w:pPr>
            <w:pStyle w:val="Contents2"/>
            <w:rPr/>
          </w:pPr>
          <w:hyperlink w:anchor="__RefHeading___Toc7462_2800514504">
            <w:r>
              <w:rPr>
                <w:webHidden/>
                <w:rStyle w:val="IndexLink"/>
              </w:rPr>
              <w:t>N.15 Gulf Dependents' Reconstruction Trust</w:t>
              <w:tab/>
              <w:t>95</w:t>
            </w:r>
          </w:hyperlink>
        </w:p>
        <w:p>
          <w:pPr>
            <w:pStyle w:val="Contents2"/>
            <w:rPr/>
          </w:pPr>
          <w:hyperlink w:anchor="__RefHeading___Toc7464_2800514504">
            <w:r>
              <w:rPr>
                <w:webHidden/>
                <w:rStyle w:val="IndexLink"/>
              </w:rPr>
              <w:t>N.16 Gulf Strategic Reserve Fund</w:t>
              <w:tab/>
              <w:t>96</w:t>
            </w:r>
          </w:hyperlink>
          <w:r>
            <w:rPr>
              <w:rStyle w:val="IndexLink"/>
            </w:rPr>
            <w:fldChar w:fldCharType="end"/>
          </w:r>
        </w:p>
      </w:sdtContent>
    </w:sdt>
    <w:p>
      <w:pPr>
        <w:sectPr>
          <w:headerReference w:type="even" r:id="rId4"/>
          <w:headerReference w:type="default" r:id="rId5"/>
          <w:footerReference w:type="even" r:id="rId6"/>
          <w:footerReference w:type="default" r:id="rId7"/>
          <w:type w:val="nextPage"/>
          <w:pgSz w:w="11906" w:h="16838"/>
          <w:pgMar w:left="1440" w:right="1440" w:gutter="0" w:header="720" w:top="1440" w:footer="720" w:bottom="1440"/>
          <w:pgNumType w:fmt="decimal"/>
          <w:formProt w:val="false"/>
          <w:textDirection w:val="lrTb"/>
          <w:docGrid w:type="default" w:linePitch="100" w:charSpace="0"/>
        </w:sectPr>
        <w:pStyle w:val="Normal"/>
        <w:widowControl/>
        <w:bidi w:val="0"/>
        <w:spacing w:lineRule="auto" w:line="300" w:before="0" w:after="160"/>
        <w:jc w:val="both"/>
        <w:rPr>
          <w:rFonts w:ascii="Calibri" w:hAnsi="Calibri" w:eastAsia="Microsoft YaHei"/>
          <w:color w:val="263238"/>
          <w:sz w:val="21"/>
        </w:rPr>
      </w:pPr>
      <w:r>
        <w:rPr>
          <w:rFonts w:eastAsia="Microsoft YaHei"/>
          <w:color w:val="263238"/>
          <w:sz w:val="21"/>
        </w:rPr>
      </w:r>
    </w:p>
    <w:p>
      <w:pPr>
        <w:pStyle w:val="Heading1"/>
        <w:rPr/>
      </w:pPr>
      <w:bookmarkStart w:id="0" w:name="__RefHeading___Toc7188_2800514504"/>
      <w:bookmarkStart w:id="1" w:name="_TocSg1"/>
      <w:bookmarkEnd w:id="0"/>
      <w:r>
        <w:rPr>
          <w:rFonts w:eastAsia="Microsoft YaHei" w:cs="Calibri"/>
          <w:b/>
          <w:color w:val="455A64"/>
          <w:sz w:val="20"/>
          <w:szCs w:val="24"/>
          <w:lang w:val="en-CA" w:eastAsia="en-CA" w:bidi="ar-SA"/>
        </w:rPr>
        <w:t>Preamble</w:t>
      </w:r>
      <w:bookmarkEnd w:id="1"/>
    </w:p>
    <w:p>
      <w:pPr>
        <w:pStyle w:val="Normal"/>
        <w:rPr/>
      </w:pPr>
      <w:r>
        <w:rPr>
          <w:rFonts w:eastAsia="Microsoft YaHei" w:cs="Calibri"/>
          <w:color w:val="263238"/>
          <w:sz w:val="21"/>
          <w:szCs w:val="24"/>
          <w:lang w:val="en-CA" w:eastAsia="en-CA" w:bidi="ar-SA"/>
        </w:rPr>
        <w:t>The Islamic Republic of Iran, the Kingdom of Saudi Arabia, the State of Kuwait, the State of Qatar, the Kingdom of Bahrain, the United Arab Emirates, the Sultanate of Oman, and the United States of America (the Parties), collectively the coastal and littoral states of the Persian Gulf, with the facilitation of the Sultanate of Oman as Mediator of Record and the Swiss Confederation as Neutral Administrator,</w:t>
      </w:r>
    </w:p>
    <w:p>
      <w:pPr>
        <w:pStyle w:val="Normal"/>
        <w:rPr/>
      </w:pPr>
      <w:r>
        <w:rPr>
          <w:rFonts w:eastAsia="Microsoft YaHei" w:cs="Calibri"/>
          <w:color w:val="263238"/>
          <w:sz w:val="21"/>
          <w:szCs w:val="24"/>
          <w:lang w:val="en-CA" w:eastAsia="en-CA" w:bidi="ar-SA"/>
        </w:rPr>
        <w:t>Recalling the Islamabad Memorandum of Understanding of June 2026 (the MOU), in which the Parties declared the immediate and permanent termination of military operations on all fronts, undertook to respect each other's sovereignty and territorial integrity, committed to negotiate a final deal within sixty days extendable by mutual consent, and agreed that the disposition of stockpiled enriched material proceeds, at minimum, through downblending on site under the supervision of the International Atomic Energy Agency;</w:t>
      </w:r>
    </w:p>
    <w:p>
      <w:pPr>
        <w:pStyle w:val="Normal"/>
        <w:rPr/>
      </w:pPr>
      <w:r>
        <w:rPr>
          <w:rFonts w:eastAsia="Microsoft YaHei" w:cs="Calibri"/>
          <w:color w:val="263238"/>
          <w:sz w:val="21"/>
          <w:szCs w:val="24"/>
          <w:lang w:val="en-CA" w:eastAsia="en-CA" w:bidi="ar-SA"/>
        </w:rPr>
        <w:t>Recalling further the general license issued by the United States Department of the Treasury on June 23, 2026, authorizing for sixty days the production, export, delivery, and sale of Iranian crude oil, petroleum products, and petrochemicals, together with associated financial, insurance, and shipping services, and noting that the Hormuz navigation commitment stands as a direct precondition of that license;</w:t>
      </w:r>
    </w:p>
    <w:p>
      <w:pPr>
        <w:pStyle w:val="Normal"/>
        <w:rPr/>
      </w:pPr>
      <w:r>
        <w:rPr>
          <w:rFonts w:eastAsia="Microsoft YaHei" w:cs="Calibri"/>
          <w:color w:val="263238"/>
          <w:sz w:val="21"/>
          <w:szCs w:val="24"/>
          <w:lang w:val="en-CA" w:eastAsia="en-CA" w:bidi="ar-SA"/>
        </w:rPr>
        <w:t>Recognizing that the Strait of Hormuz carries approximately one fifth of the world's seaborne oil supply and a substantial share of global liquefied natural gas, that the territorial seas, exclusive economic zones, and maritime entitlements of the Islamic Republic of Iran, the Sultanate of Oman, and the United Arab Emirates converge in this waterway, and that the uninterrupted, toll-free operation of the Strait constitutes a shared interest of all Gulf littoral states, the coastal states, the United States as the principal guarantor of regional security, and the international community as a whole;</w:t>
      </w:r>
    </w:p>
    <w:p>
      <w:pPr>
        <w:pStyle w:val="Normal"/>
        <w:rPr/>
      </w:pPr>
      <w:r>
        <w:rPr>
          <w:rFonts w:eastAsia="Microsoft YaHei" w:cs="Calibri"/>
          <w:color w:val="263238"/>
          <w:sz w:val="21"/>
          <w:szCs w:val="24"/>
          <w:lang w:val="en-CA" w:eastAsia="en-CA" w:bidi="ar-SA"/>
        </w:rPr>
        <w:t>Affirming that durable maritime order in the Strait does not rest on the restraint of one Party for the benefit of the other, but on a mutual architecture in which the framework itself carries the obligations, the corridors themselves carry the rules, and the verification systems themselves carry the evidence;</w:t>
      </w:r>
    </w:p>
    <w:p>
      <w:pPr>
        <w:pStyle w:val="Normal"/>
        <w:rPr/>
      </w:pPr>
      <w:r>
        <w:rPr>
          <w:rFonts w:eastAsia="Microsoft YaHei" w:cs="Calibri"/>
          <w:color w:val="263238"/>
          <w:sz w:val="21"/>
          <w:szCs w:val="24"/>
          <w:lang w:val="en-CA" w:eastAsia="en-CA" w:bidi="ar-SA"/>
        </w:rPr>
        <w:t>Determined that this instrument solve the toll question definitively by separating the right of passage, which the framework holds absolute and free, from the cost of services, which the framework funds collectively through a dedicated multilateral mechanism;</w:t>
      </w:r>
    </w:p>
    <w:p>
      <w:pPr>
        <w:pStyle w:val="Normal"/>
        <w:rPr/>
      </w:pPr>
      <w:r>
        <w:rPr>
          <w:rFonts w:eastAsia="Microsoft YaHei" w:cs="Calibri"/>
          <w:color w:val="263238"/>
          <w:sz w:val="21"/>
          <w:szCs w:val="24"/>
          <w:lang w:val="en-CA" w:eastAsia="en-CA" w:bidi="ar-SA"/>
        </w:rPr>
        <w:t>Determined further that every commitment in this instrument operate in the present tense as a living state of the architecture, that no provision fade or expire by the mere passage of time, that every consequence arrive graduated, proportionate, and reversible, and that no violation of any kind produce permanent exclusion from the framework;</w:t>
      </w:r>
    </w:p>
    <w:p>
      <w:pPr>
        <w:pStyle w:val="Normal"/>
        <w:rPr/>
      </w:pPr>
      <w:r>
        <w:rPr>
          <w:rFonts w:eastAsia="Microsoft YaHei" w:cs="Calibri"/>
          <w:color w:val="263238"/>
          <w:sz w:val="21"/>
          <w:szCs w:val="24"/>
          <w:lang w:val="en-CA" w:eastAsia="en-CA" w:bidi="ar-SA"/>
        </w:rPr>
        <w:t>Conscious that snapback mechanics kill agreements, that binary collapse dynamics produce binary collapse outcomes, and that this instrument therefore replaces collapse with breathing room: discretionary benefits pause first, core constraints survive longest, humanitarian protections remain absolute, and restoration stays always available;</w:t>
      </w:r>
    </w:p>
    <w:p>
      <w:pPr>
        <w:pStyle w:val="Normal"/>
        <w:rPr/>
      </w:pPr>
      <w:r>
        <w:rPr>
          <w:rFonts w:eastAsia="Microsoft YaHei" w:cs="Calibri"/>
          <w:color w:val="263238"/>
          <w:sz w:val="21"/>
          <w:szCs w:val="24"/>
          <w:lang w:val="en-CA" w:eastAsia="en-CA" w:bidi="ar-SA"/>
        </w:rPr>
        <w:t>Resolved, further, that the Framework harden itself against procedural sabotage, financial evasion, operational loopholes, and governance spoilers, so that no actor profits from delay, obscurity, or manufactured ambiguity;</w:t>
      </w:r>
    </w:p>
    <w:p>
      <w:pPr>
        <w:pStyle w:val="Normal"/>
        <w:rPr/>
      </w:pPr>
      <w:r>
        <w:rPr>
          <w:rFonts w:eastAsia="Microsoft YaHei" w:cs="Calibri"/>
          <w:color w:val="263238"/>
          <w:sz w:val="21"/>
          <w:szCs w:val="24"/>
          <w:lang w:val="en-CA" w:eastAsia="en-CA" w:bidi="ar-SA"/>
        </w:rPr>
        <w:t>Have agreed as follows.</w:t>
      </w:r>
      <w:r>
        <w:br w:type="page"/>
      </w:r>
    </w:p>
    <w:p>
      <w:pPr>
        <w:pStyle w:val="Heading1"/>
        <w:rPr/>
      </w:pPr>
      <w:bookmarkStart w:id="2" w:name="__RefHeading___Toc7190_2800514504"/>
      <w:bookmarkStart w:id="3" w:name="_TocSg2"/>
      <w:bookmarkEnd w:id="2"/>
      <w:r>
        <w:rPr>
          <w:rFonts w:eastAsia="Microsoft YaHei" w:cs="Calibri"/>
          <w:b/>
          <w:color w:val="455A64"/>
          <w:sz w:val="20"/>
          <w:szCs w:val="24"/>
          <w:lang w:val="en-CA" w:eastAsia="en-CA" w:bidi="ar-SA"/>
        </w:rPr>
        <w:t>Part I: Foundations</w:t>
      </w:r>
      <w:bookmarkEnd w:id="3"/>
    </w:p>
    <w:p>
      <w:pPr>
        <w:pStyle w:val="Heading2"/>
        <w:rPr/>
      </w:pPr>
      <w:bookmarkStart w:id="4" w:name="__RefHeading___Toc7192_2800514504"/>
      <w:bookmarkEnd w:id="4"/>
      <w:r>
        <w:rPr>
          <w:rFonts w:eastAsia="Microsoft YaHei" w:cs="Calibri"/>
          <w:b/>
          <w:color w:val="455A64"/>
          <w:sz w:val="26"/>
          <w:szCs w:val="24"/>
          <w:lang w:val="en-CA" w:eastAsia="en-CA" w:bidi="ar-SA"/>
        </w:rPr>
        <w:t>Article 1: Purpose, Scope, and Guiding Principles</w:t>
      </w:r>
    </w:p>
    <w:p>
      <w:pPr>
        <w:pStyle w:val="Heading3"/>
        <w:rPr/>
      </w:pPr>
      <w:r>
        <w:rPr>
          <w:rFonts w:eastAsia="Microsoft YaHei" w:cs="Calibri"/>
          <w:b/>
          <w:color w:val="546E7A"/>
          <w:sz w:val="22"/>
          <w:szCs w:val="24"/>
          <w:lang w:val="en-CA" w:eastAsia="en-CA" w:bidi="ar-SA"/>
        </w:rPr>
        <w:t>1.1 Purpose</w:t>
      </w:r>
    </w:p>
    <w:p>
      <w:pPr>
        <w:pStyle w:val="Normal"/>
        <w:rPr/>
      </w:pPr>
      <w:r>
        <w:rPr>
          <w:rFonts w:eastAsia="Microsoft YaHei" w:cs="Calibri"/>
          <w:color w:val="263238"/>
          <w:sz w:val="21"/>
          <w:szCs w:val="24"/>
          <w:lang w:val="en-CA" w:eastAsia="en-CA" w:bidi="ar-SA"/>
        </w:rPr>
        <w:t>This instrument establishes the Strait Governance and De-confliction Assembly (the Assembly) and its operative framework (the Framework). The Framework achieves five purposes:</w:t>
      </w:r>
    </w:p>
    <w:p>
      <w:pPr>
        <w:pStyle w:val="Normal"/>
        <w:numPr>
          <w:ilvl w:val="0"/>
          <w:numId w:val="1"/>
        </w:numPr>
        <w:spacing w:lineRule="auto" w:line="312" w:before="0" w:after="120"/>
        <w:rPr/>
      </w:pPr>
      <w:r>
        <w:rPr>
          <w:rFonts w:eastAsia="Microsoft YaHei" w:cs="Calibri"/>
          <w:color w:val="263238"/>
          <w:sz w:val="21"/>
          <w:szCs w:val="24"/>
          <w:lang w:val="en-CA" w:eastAsia="en-CA" w:bidi="ar-SA"/>
        </w:rPr>
        <w:t>Maritime order. The Framework governs transit through the Strait of Hormuz and the Gulf of Oman through two defined corridors, with the full participation of all Gulf littoral states in corridor management, vessel classification, and coastal service delivery, a zero-toll rule, a non-interdiction protocol, and a naval de-confliction geometry, so that every vessel transits safely, predictably, and free of charge.</w:t>
      </w:r>
    </w:p>
    <w:p>
      <w:pPr>
        <w:pStyle w:val="Normal"/>
        <w:numPr>
          <w:ilvl w:val="0"/>
          <w:numId w:val="1"/>
        </w:numPr>
        <w:spacing w:lineRule="auto" w:line="312" w:before="0" w:after="120"/>
        <w:rPr/>
      </w:pPr>
      <w:r>
        <w:rPr>
          <w:rFonts w:eastAsia="Microsoft YaHei" w:cs="Calibri"/>
          <w:color w:val="263238"/>
          <w:sz w:val="21"/>
          <w:szCs w:val="24"/>
          <w:lang w:val="en-CA" w:eastAsia="en-CA" w:bidi="ar-SA"/>
        </w:rPr>
        <w:t>Nuclear disposition. The Framework executes the downblending of the 60 percent enriched uranium stockpile to the civilian level of 3.67 percent within the territory of the Islamic Republic of Iran, under continuous IAEA supervision, in implementation of paragraph 8 of the MOU.</w:t>
      </w:r>
    </w:p>
    <w:p>
      <w:pPr>
        <w:pStyle w:val="Normal"/>
        <w:numPr>
          <w:ilvl w:val="0"/>
          <w:numId w:val="1"/>
        </w:numPr>
        <w:spacing w:lineRule="auto" w:line="312" w:before="0" w:after="120"/>
        <w:rPr/>
      </w:pPr>
      <w:r>
        <w:rPr>
          <w:rFonts w:eastAsia="Microsoft YaHei" w:cs="Calibri"/>
          <w:color w:val="263238"/>
          <w:sz w:val="21"/>
          <w:szCs w:val="24"/>
          <w:lang w:val="en-CA" w:eastAsia="en-CA" w:bidi="ar-SA"/>
        </w:rPr>
        <w:t>Economic stabilization. The Framework aligns the oil waiver architecture, the sanctions relief schedule, the escrow mechanisms, and the reconstruction framework of the MOU with verified performance, so that economic benefit flows from compliance automatically and pauses proportionately when compliance lapses.</w:t>
      </w:r>
    </w:p>
    <w:p>
      <w:pPr>
        <w:pStyle w:val="Normal"/>
        <w:numPr>
          <w:ilvl w:val="0"/>
          <w:numId w:val="1"/>
        </w:numPr>
        <w:spacing w:lineRule="auto" w:line="312" w:before="0" w:after="120"/>
        <w:rPr/>
      </w:pPr>
      <w:r>
        <w:rPr>
          <w:rFonts w:eastAsia="Microsoft YaHei" w:cs="Calibri"/>
          <w:color w:val="263238"/>
          <w:sz w:val="21"/>
          <w:szCs w:val="24"/>
          <w:lang w:val="en-CA" w:eastAsia="en-CA" w:bidi="ar-SA"/>
        </w:rPr>
        <w:t>De-confliction. The Framework operates standing communication channels, incident protocols, and red line registers that keep the military forces of the Parties separated, informed, and predictable at all times.</w:t>
      </w:r>
    </w:p>
    <w:p>
      <w:pPr>
        <w:pStyle w:val="Normal"/>
        <w:numPr>
          <w:ilvl w:val="0"/>
          <w:numId w:val="1"/>
        </w:numPr>
        <w:spacing w:lineRule="auto" w:line="312" w:before="0" w:after="120"/>
        <w:rPr/>
      </w:pPr>
      <w:r>
        <w:rPr>
          <w:rFonts w:eastAsia="Microsoft YaHei" w:cs="Calibri"/>
          <w:color w:val="263238"/>
          <w:sz w:val="21"/>
          <w:szCs w:val="24"/>
          <w:lang w:val="en-CA" w:eastAsia="en-CA" w:bidi="ar-SA"/>
        </w:rPr>
        <w:t>Durability. The Framework persists through the Continuing Effect Rule. No clause sunsets. No obligation fades. Every mechanism remains in force until the Parties amend it through the procedure in Article 24.</w:t>
      </w:r>
    </w:p>
    <w:p>
      <w:pPr>
        <w:pStyle w:val="Heading3"/>
        <w:rPr/>
      </w:pPr>
      <w:r>
        <w:rPr>
          <w:rFonts w:eastAsia="Microsoft YaHei" w:cs="Calibri"/>
          <w:b/>
          <w:color w:val="546E7A"/>
          <w:sz w:val="22"/>
          <w:szCs w:val="24"/>
          <w:lang w:val="en-CA" w:eastAsia="en-CA" w:bidi="ar-SA"/>
        </w:rPr>
        <w:t>1.2 Scope</w:t>
      </w:r>
    </w:p>
    <w:p>
      <w:pPr>
        <w:pStyle w:val="Normal"/>
        <w:rPr/>
      </w:pPr>
      <w:r>
        <w:rPr>
          <w:rFonts w:eastAsia="Microsoft YaHei" w:cs="Calibri"/>
          <w:color w:val="263238"/>
          <w:sz w:val="21"/>
          <w:szCs w:val="24"/>
          <w:lang w:val="en-CA" w:eastAsia="en-CA" w:bidi="ar-SA"/>
        </w:rPr>
        <w:t>This instrument applies to: (a) the Governance Area defined in Article 4, comprising the Strait of Hormuz and its approaches; (b) all vessels transiting, anchoring, or operating within the Governance Area, classified under Article 6; (c) the nuclear material disposition activities defined in Article 10 and Annex F; (d) the economic mechanisms defined in Articles 12 through 14 and Annex N; and (e) the governance, verification, and compliance activities of the Assembly and its bodies.</w:t>
      </w:r>
    </w:p>
    <w:p>
      <w:pPr>
        <w:pStyle w:val="Normal"/>
        <w:rPr/>
      </w:pPr>
      <w:r>
        <w:rPr>
          <w:rFonts w:eastAsia="Microsoft YaHei" w:cs="Calibri"/>
          <w:color w:val="263238"/>
          <w:sz w:val="21"/>
          <w:szCs w:val="24"/>
          <w:lang w:val="en-CA" w:eastAsia="en-CA" w:bidi="ar-SA"/>
        </w:rPr>
        <w:t>The Framework architecture excludes from its scope: (a) the internal affairs of either Party, consistent with paragraph 2 of the MOU; (b) any determination of sovereignty over islands, waters, or airspace, all of which remain unaffected by this instrument in accordance with Article 3.4; and (c) any authorization of military force, which the Framework excludes absolutely in accordance with Article 9.7.</w:t>
      </w:r>
    </w:p>
    <w:p>
      <w:pPr>
        <w:pStyle w:val="Heading3"/>
        <w:rPr/>
      </w:pPr>
      <w:r>
        <w:rPr>
          <w:rFonts w:eastAsia="Microsoft YaHei" w:cs="Calibri"/>
          <w:b/>
          <w:color w:val="546E7A"/>
          <w:sz w:val="22"/>
          <w:szCs w:val="24"/>
          <w:lang w:val="en-CA" w:eastAsia="en-CA" w:bidi="ar-SA"/>
        </w:rPr>
        <w:t>1.3 Guiding principles</w:t>
      </w:r>
    </w:p>
    <w:p>
      <w:pPr>
        <w:pStyle w:val="Normal"/>
        <w:rPr/>
      </w:pPr>
      <w:r>
        <w:rPr>
          <w:rFonts w:eastAsia="Microsoft YaHei" w:cs="Calibri"/>
          <w:color w:val="263238"/>
          <w:sz w:val="21"/>
          <w:szCs w:val="24"/>
          <w:lang w:val="en-CA" w:eastAsia="en-CA" w:bidi="ar-SA"/>
        </w:rPr>
        <w:t>Eleven principles govern the interpretation and operation of every provision of this instrument:</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399"/>
        <w:gridCol w:w="6626"/>
      </w:tblGrid>
      <w:tr>
        <w:trPr>
          <w:tblHeader w:val="true"/>
        </w:trPr>
        <w:tc>
          <w:tcPr>
            <w:tcW w:w="2399"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37474F"/>
                <w:kern w:val="2"/>
                <w:sz w:val="18"/>
                <w:szCs w:val="24"/>
                <w:lang w:val="en-CA" w:eastAsia="en-CA" w:bidi="ar-SA"/>
              </w:rPr>
              <w:t>Principle</w:t>
            </w:r>
          </w:p>
        </w:tc>
        <w:tc>
          <w:tcPr>
            <w:tcW w:w="6626"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37474F"/>
                <w:kern w:val="2"/>
                <w:sz w:val="18"/>
                <w:szCs w:val="24"/>
                <w:lang w:val="en-CA" w:eastAsia="en-CA" w:bidi="ar-SA"/>
              </w:rPr>
              <w:t>Operative meaning</w:t>
            </w:r>
          </w:p>
        </w:tc>
      </w:tr>
      <w:tr>
        <w:trPr/>
        <w:tc>
          <w:tcPr>
            <w:tcW w:w="23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1. Mutual architecture</w:t>
            </w:r>
          </w:p>
        </w:tc>
        <w:tc>
          <w:tcPr>
            <w:tcW w:w="66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Every obligation attaches to the Framework's design, not to one Party's restraint for the other's benefit. Both Parties stand bound equally by the same structure.</w:t>
            </w:r>
          </w:p>
        </w:tc>
      </w:tr>
      <w:tr>
        <w:trPr/>
        <w:tc>
          <w:tcPr>
            <w:tcW w:w="23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 Continuing effect</w:t>
            </w:r>
          </w:p>
        </w:tc>
        <w:tc>
          <w:tcPr>
            <w:tcW w:w="66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No provision expires by calendar date. Continuation is the default. Termination of any element demands affirmative joint action.</w:t>
            </w:r>
          </w:p>
        </w:tc>
      </w:tr>
      <w:tr>
        <w:trPr/>
        <w:tc>
          <w:tcPr>
            <w:tcW w:w="23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3. Proportionality</w:t>
            </w:r>
          </w:p>
        </w:tc>
        <w:tc>
          <w:tcPr>
            <w:tcW w:w="66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Every consequence matches the severity and duration of the deviation that triggers it. Minor deviations produce minor consequences.</w:t>
            </w:r>
          </w:p>
        </w:tc>
      </w:tr>
      <w:tr>
        <w:trPr/>
        <w:tc>
          <w:tcPr>
            <w:tcW w:w="23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4. Restoration</w:t>
            </w:r>
          </w:p>
        </w:tc>
        <w:tc>
          <w:tcPr>
            <w:tcW w:w="66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Every consequence carries an automatic, defined restoration pathway. No deviation creates permanent exclusion. Full compliance returns a Party to full standing.</w:t>
            </w:r>
          </w:p>
        </w:tc>
      </w:tr>
      <w:tr>
        <w:trPr/>
        <w:tc>
          <w:tcPr>
            <w:tcW w:w="23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5. Humanitarian absolute</w:t>
            </w:r>
          </w:p>
        </w:tc>
        <w:tc>
          <w:tcPr>
            <w:tcW w:w="66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No mechanism in this instrument reduces, delays, or conditions flows of food, medicine, medical equipment, or aviation safety payments, under any circumstances.</w:t>
            </w:r>
          </w:p>
        </w:tc>
      </w:tr>
      <w:tr>
        <w:trPr/>
        <w:tc>
          <w:tcPr>
            <w:tcW w:w="23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6. Modularity</w:t>
            </w:r>
          </w:p>
        </w:tc>
        <w:tc>
          <w:tcPr>
            <w:tcW w:w="66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Each domain of the Framework operates as an independent track. Failure in one track does not cascade into another absent certified spillover under Article 18.6.</w:t>
            </w:r>
          </w:p>
        </w:tc>
      </w:tr>
      <w:tr>
        <w:trPr/>
        <w:tc>
          <w:tcPr>
            <w:tcW w:w="23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7. Human judgment above automation</w:t>
            </w:r>
          </w:p>
        </w:tc>
        <w:tc>
          <w:tcPr>
            <w:tcW w:w="66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Automated systems flag and present evidence. Human officials review, consult, and decide. The sole exception operates under Article 18.8.</w:t>
            </w:r>
          </w:p>
        </w:tc>
      </w:tr>
      <w:tr>
        <w:trPr/>
        <w:tc>
          <w:tcPr>
            <w:tcW w:w="23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8. Structural decoupling of force</w:t>
            </w:r>
          </w:p>
        </w:tc>
        <w:tc>
          <w:tcPr>
            <w:tcW w:w="66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No compliance event, of any tier, in any domain, authorizes, triggers, or justifies the use of military force. Military decisions rest exclusively with the respective head of government under constitutional procedures.</w:t>
            </w:r>
          </w:p>
        </w:tc>
      </w:tr>
      <w:tr>
        <w:trPr/>
        <w:tc>
          <w:tcPr>
            <w:tcW w:w="23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9. Good faith presumption</w:t>
            </w:r>
          </w:p>
        </w:tc>
        <w:tc>
          <w:tcPr>
            <w:tcW w:w="66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Framework presumes good faith. Attribution requires evidence. The architecture excludes rogue actors and false-flag operations from bilateral consequences, subject to the substantiation duty of Article 9.8.</w:t>
            </w:r>
          </w:p>
        </w:tc>
      </w:tr>
      <w:tr>
        <w:trPr/>
        <w:tc>
          <w:tcPr>
            <w:tcW w:w="23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10. No precedent</w:t>
            </w:r>
          </w:p>
        </w:tc>
        <w:tc>
          <w:tcPr>
            <w:tcW w:w="66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Nothing in this instrument establishes a precedent for any other dispute, waterway, or negotiation, nor prejudices the legal position of either Party in any other forum.</w:t>
            </w:r>
          </w:p>
        </w:tc>
      </w:tr>
      <w:tr>
        <w:trPr/>
        <w:tc>
          <w:tcPr>
            <w:tcW w:w="2399"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11. Multilateral ownership</w:t>
            </w:r>
          </w:p>
        </w:tc>
        <w:tc>
          <w:tcPr>
            <w:tcW w:w="6626"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Framework operates as a common good of the Gulf littoral states. Every Party contributes to its operation, benefits from its stability, and participates in its governance through the mechanisms established herein. No single Party exercises dominance over the architecture or its implementation.</w:t>
            </w:r>
          </w:p>
        </w:tc>
      </w:tr>
    </w:tbl>
    <w:p>
      <w:pPr>
        <w:pStyle w:val="Caption1"/>
        <w:rPr/>
      </w:pPr>
      <w:r>
        <w:rPr>
          <w:rFonts w:eastAsia="Microsoft YaHei" w:cs="Calibri"/>
          <w:color w:val="78909C"/>
          <w:sz w:val="18"/>
          <w:szCs w:val="24"/>
          <w:lang w:val="en-CA" w:eastAsia="en-CA" w:bidi="ar-SA"/>
        </w:rPr>
        <w:t>Table 1.1: Guiding principles of the Framework</w:t>
      </w:r>
    </w:p>
    <w:p>
      <w:pPr>
        <w:pStyle w:val="Heading3"/>
        <w:rPr/>
      </w:pPr>
      <w:r>
        <w:rPr>
          <w:rFonts w:eastAsia="Microsoft YaHei" w:cs="Calibri"/>
          <w:b/>
          <w:color w:val="546E7A"/>
          <w:sz w:val="22"/>
          <w:szCs w:val="24"/>
          <w:lang w:val="en-CA" w:eastAsia="en-CA" w:bidi="ar-SA"/>
        </w:rPr>
        <w:t>1.4 The cost-effectiveness rule</w:t>
      </w:r>
    </w:p>
    <w:p>
      <w:pPr>
        <w:pStyle w:val="Normal"/>
        <w:rPr/>
      </w:pPr>
      <w:r>
        <w:rPr>
          <w:rFonts w:eastAsia="Microsoft YaHei" w:cs="Calibri"/>
          <w:color w:val="263238"/>
          <w:sz w:val="21"/>
          <w:szCs w:val="24"/>
          <w:lang w:val="en-CA" w:eastAsia="en-CA" w:bidi="ar-SA"/>
        </w:rPr>
        <w:t>The Framework achieves its purposes with a deliberately lean institutional footprint. The Assembly operates one plenary body, one executive council, one operations cell, one technical group, one neutral administrative office, one assurance council, and one reconstruction steering committee. Existing infrastructure carries the load: Omani and Iranian vessel traffic services, IAEA safeguards systems, the Swiss escrow tradition, the Qatar Central Bank escrow, the World Bank's fiduciary practice, and commercial satellite and classification-society data feeds. The Framework creates no standing naval force, no new international organization with independent legal personality, and no permanent inspection army. Article 15 and Annex C fix the budget, which the Parties and the contributing states fund through the Transit Services Fund and the administrative shares defined therein.</w:t>
      </w:r>
    </w:p>
    <w:p>
      <w:pPr>
        <w:pStyle w:val="Heading3"/>
        <w:rPr/>
      </w:pPr>
      <w:r>
        <w:rPr>
          <w:rFonts w:eastAsia="Microsoft YaHei" w:cs="Calibri"/>
          <w:b/>
          <w:color w:val="546E7A"/>
          <w:sz w:val="22"/>
          <w:szCs w:val="24"/>
          <w:lang w:val="en-CA" w:eastAsia="en-CA" w:bidi="ar-SA"/>
        </w:rPr>
        <w:t>1.5 Political acceptability rule</w:t>
      </w:r>
    </w:p>
    <w:p>
      <w:pPr>
        <w:pStyle w:val="Normal"/>
        <w:rPr/>
      </w:pPr>
      <w:r>
        <w:rPr>
          <w:rFonts w:eastAsia="Microsoft YaHei" w:cs="Calibri"/>
          <w:color w:val="263238"/>
          <w:sz w:val="21"/>
          <w:szCs w:val="24"/>
          <w:lang w:val="en-CA" w:eastAsia="en-CA" w:bidi="ar-SA"/>
        </w:rPr>
        <w:t>Every mechanism in this instrument passes a symmetry test before adoption: the mechanism binds both Parties through the same architecture, produces visible benefit for both publics, avoids vocabulary of concession or capitulation, and permits each Party to present the Framework domestically as a structure it co-governs rather than an order it obeys. The Joint Coordination Council reviews every proposed amendment against this rule under Article 24.3.</w:t>
      </w:r>
    </w:p>
    <w:p>
      <w:pPr>
        <w:pStyle w:val="Heading2"/>
        <w:rPr/>
      </w:pPr>
      <w:bookmarkStart w:id="5" w:name="__RefHeading___Toc7194_2800514504"/>
      <w:bookmarkEnd w:id="5"/>
      <w:r>
        <w:rPr>
          <w:rFonts w:eastAsia="Microsoft YaHei" w:cs="Calibri"/>
          <w:b/>
          <w:color w:val="455A64"/>
          <w:sz w:val="26"/>
          <w:szCs w:val="24"/>
          <w:lang w:val="en-CA" w:eastAsia="en-CA" w:bidi="ar-SA"/>
        </w:rPr>
        <w:t>Article 2: Definitions and Interpretation</w:t>
      </w:r>
    </w:p>
    <w:p>
      <w:pPr>
        <w:pStyle w:val="Heading3"/>
        <w:rPr/>
      </w:pPr>
      <w:r>
        <w:rPr>
          <w:rFonts w:eastAsia="Microsoft YaHei" w:cs="Calibri"/>
          <w:b/>
          <w:color w:val="546E7A"/>
          <w:sz w:val="22"/>
          <w:szCs w:val="24"/>
          <w:lang w:val="en-CA" w:eastAsia="en-CA" w:bidi="ar-SA"/>
        </w:rPr>
        <w:t>2.1 Definitions</w:t>
      </w:r>
    </w:p>
    <w:p>
      <w:pPr>
        <w:pStyle w:val="Normal"/>
        <w:rPr/>
      </w:pPr>
      <w:r>
        <w:rPr>
          <w:rFonts w:eastAsia="Microsoft YaHei" w:cs="Calibri"/>
          <w:color w:val="263238"/>
          <w:sz w:val="21"/>
          <w:szCs w:val="24"/>
          <w:lang w:val="en-CA" w:eastAsia="en-CA" w:bidi="ar-SA"/>
        </w:rPr>
        <w:t>For the purposes of this instrument, the following terms carry the meanings set forth below. Annex M restates these definitions together with the Framework's neutral terminology register.</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499"/>
        <w:gridCol w:w="6526"/>
      </w:tblGrid>
      <w:tr>
        <w:trPr>
          <w:tblHeader w:val="true"/>
        </w:trPr>
        <w:tc>
          <w:tcPr>
            <w:tcW w:w="2499"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37474F"/>
                <w:kern w:val="2"/>
                <w:sz w:val="18"/>
                <w:szCs w:val="24"/>
                <w:lang w:val="en-CA" w:eastAsia="en-CA" w:bidi="ar-SA"/>
              </w:rPr>
              <w:t>Term</w:t>
            </w:r>
          </w:p>
        </w:tc>
        <w:tc>
          <w:tcPr>
            <w:tcW w:w="6526"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37474F"/>
                <w:kern w:val="2"/>
                <w:sz w:val="18"/>
                <w:szCs w:val="24"/>
                <w:lang w:val="en-CA" w:eastAsia="en-CA" w:bidi="ar-SA"/>
              </w:rPr>
              <w:t>Definition</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Adjustment Unit</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 unit of account that the Reciprocity Ledger records upon a verified deviation from an obligation. Adjustment Units offset Compliance Units before new discretionary benefits flow. An Adjustment Unit is an accounting entry, not a punishment.</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Anticipation Registry</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shared database of expected operational patterns, tolerance bands, deviations, and recalibration outcomes described in Article 19 and Annex I.</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Assembly</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Strait Governance and De-confliction Assembly, comprising the Plenary, the Joint Coordination Council, the Corridor Operations Cell, the Technical Verification Group, the Neutral Administrator, the Guarantor Panel, and the Independent Assurance Council.</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Class One event</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 technical deviation of minimal severity as classified under Article 18.2. A Class One event produces no benefit reduction.</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Class Two event</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 material disruption as classified under Article 18.3. A Class Two event produces a graduated reduction of non-humanitarian benefits.</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Class Three event</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 deliberate hostile deviation as classified under Article 18.4. A Class Three event produces an elevated graduated response and activates the Guarantor Panel.</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Compliance Unit</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 unit of account that the Reciprocity Ledger records upon verified completion of an obligation. Compliance Units release benefits automatically.</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Continuing Effect Rule</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rule, stated in Article 22.1, under which no provision of this instrument expires, lapses, or dissolves by the passage of time alone.</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Corridor One</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Southern Corridor described in Article 5.2 and Annex A, routed through the territorial sea of Oman.</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Corridor Two</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Northern Corridor described in Article 5.3 and Annex A, routed through the territorial sea of Iran.</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Corridor Operations Cell</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joint maritime coordination facility described in Article 15.4, seated in Muscat with a liaison detachment in Bandar Abbas.</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Downblending</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verified dilution of uranium enriched to 60 percent U-235 with natural or depleted uranium feedstock to a product assay not exceeding 3.67 percent U-235, as specified in Article 10 and Annex F.</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Governance Area</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maritime and air area bounded by the coordinates in Article 4.2 and Annex A.</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Guarantor Panel</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standing political assurance body described in Article 15.6.</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Gulf Littoral States</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Islamic Republic of Iran, the Kingdom of Saudi Arabia, the State of Kuwait, the State of Qatar, the Kingdom of Bahrain, the United Arab Emirates, and the Sultanate of Oman, together with the United States of America as the extra-regional guarantor state. The Framework designates the Sultanate of Oman and the United Arab Emirates as Coastal States by virtue of their direct maritime frontier with the Strait of Hormuz.</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Independent Assurance Council</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body of five independent experts without government affiliation described in Article 15.9.</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Independent Investigation Facility</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dedicated investigative finance reserve described in Annex J, Section J.7.</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Joint Coordination Council (JCC)</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executive body of the Assembly described in Article 15.3.</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Mediator of Record</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Sultanate of Oman, in its capacity as facilitator of the MOU and of this instrument.</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MOU</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Islamabad Memorandum of Understanding between the United States of America and the Islamic Republic of Iran, June 2026.</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Neutral Administrator</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Swiss Confederation, acting through the office described in Article 15.5.</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Parties</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Islamic Republic of Iran, the Kingdom of Saudi Arabia, the State of Kuwait, the State of Qatar, the Kingdom of Bahrain, the United Arab Emirates, the Sultanate of Oman, and the United States of America, collectively the Gulf Littoral States, each a Party.</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Performance Bond</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financial stake described in Article 20 and Annex J that each Party deposits to underwrite its claims and objections.</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Reciprocity Ledger</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accounting system of Compliance Units and Adjustment Units described in Article 17.</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Reconstruction Steering Committee (RSC)</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oversight body of the Multilateral Reconstruction Fund described in Annex N.</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Red Line</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 boundary condition registered in Annex L whose crossing the Framework architecture structurally prevents.</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Standing Level</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operational status of a Party within the Graduated Response and Restoration System: Level I (Full Standing), Level II (Advisory), Level III (Elevated Response), or Level IV (Critical Response), as defined in Article 18.5.</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Standing Protocol</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 modular, self-contained, reciprocal commitment between the Parties in one domain, instantiated as an annex with its own scope, verification, and review cycle, as described in Article 16.</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Technical Verification Group (TVG)</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technical body described in Article 15.7, which certifies data fidelity and claim confirmations.</w:t>
            </w:r>
          </w:p>
        </w:tc>
      </w:tr>
      <w:tr>
        <w:trPr/>
        <w:tc>
          <w:tcPr>
            <w:tcW w:w="24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Transit Services Fund (TSF)</w:t>
            </w:r>
          </w:p>
        </w:tc>
        <w:tc>
          <w:tcPr>
            <w:tcW w:w="6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multilateral fund described in Article 7 and Annex C that finances corridor services without any charge on passage.</w:t>
            </w:r>
          </w:p>
        </w:tc>
      </w:tr>
      <w:tr>
        <w:trPr/>
        <w:tc>
          <w:tcPr>
            <w:tcW w:w="2499"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Zero-Toll Rule</w:t>
            </w:r>
          </w:p>
        </w:tc>
        <w:tc>
          <w:tcPr>
            <w:tcW w:w="6526"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rule in Article 7.1 under which no charge, fee, toll, due, or payment of any kind attaches to the act of transit through either corridor.</w:t>
            </w:r>
          </w:p>
        </w:tc>
      </w:tr>
    </w:tbl>
    <w:p>
      <w:pPr>
        <w:pStyle w:val="Caption1"/>
        <w:rPr/>
      </w:pPr>
      <w:r>
        <w:rPr>
          <w:rFonts w:eastAsia="Microsoft YaHei" w:cs="Calibri"/>
          <w:color w:val="263238"/>
          <w:sz w:val="18"/>
          <w:szCs w:val="24"/>
          <w:lang w:val="en-CA" w:eastAsia="en-CA" w:bidi="ar-SA"/>
        </w:rPr>
        <w:t>Table 2.1: Defined terms</w:t>
      </w:r>
    </w:p>
    <w:p>
      <w:pPr>
        <w:pStyle w:val="Heading3"/>
        <w:rPr/>
      </w:pPr>
      <w:r>
        <w:rPr>
          <w:rFonts w:eastAsia="Microsoft YaHei" w:cs="Calibri"/>
          <w:b/>
          <w:color w:val="546E7A"/>
          <w:sz w:val="22"/>
          <w:szCs w:val="24"/>
          <w:lang w:val="en-CA" w:eastAsia="en-CA" w:bidi="ar-SA"/>
        </w:rPr>
        <w:t>2.2 Interpretation rules</w:t>
      </w:r>
    </w:p>
    <w:p>
      <w:pPr>
        <w:pStyle w:val="Normal"/>
        <w:numPr>
          <w:ilvl w:val="0"/>
          <w:numId w:val="1"/>
        </w:numPr>
        <w:spacing w:lineRule="auto" w:line="312" w:before="0" w:after="120"/>
        <w:rPr/>
      </w:pPr>
      <w:r>
        <w:rPr>
          <w:rFonts w:eastAsia="Microsoft YaHei" w:cs="Calibri"/>
          <w:color w:val="263238"/>
          <w:sz w:val="21"/>
          <w:szCs w:val="24"/>
          <w:lang w:val="en-CA" w:eastAsia="en-CA" w:bidi="ar-SA"/>
        </w:rPr>
        <w:t>Headings serve convenience only and do not affect interpretation.</w:t>
      </w:r>
    </w:p>
    <w:p>
      <w:pPr>
        <w:pStyle w:val="Normal"/>
        <w:numPr>
          <w:ilvl w:val="0"/>
          <w:numId w:val="1"/>
        </w:numPr>
        <w:spacing w:lineRule="auto" w:line="312" w:before="0" w:after="120"/>
        <w:rPr/>
      </w:pPr>
      <w:r>
        <w:rPr>
          <w:rFonts w:eastAsia="Microsoft YaHei" w:cs="Calibri"/>
          <w:color w:val="263238"/>
          <w:sz w:val="21"/>
          <w:szCs w:val="24"/>
          <w:lang w:val="en-CA" w:eastAsia="en-CA" w:bidi="ar-SA"/>
        </w:rPr>
        <w:t>The singular includes the plural and vice versa where context permits.</w:t>
      </w:r>
    </w:p>
    <w:p>
      <w:pPr>
        <w:pStyle w:val="Normal"/>
        <w:numPr>
          <w:ilvl w:val="0"/>
          <w:numId w:val="1"/>
        </w:numPr>
        <w:spacing w:lineRule="auto" w:line="312" w:before="0" w:after="120"/>
        <w:rPr/>
      </w:pPr>
      <w:r>
        <w:rPr>
          <w:rFonts w:eastAsia="Microsoft YaHei" w:cs="Calibri"/>
          <w:color w:val="263238"/>
          <w:sz w:val="21"/>
          <w:szCs w:val="24"/>
          <w:lang w:val="en-CA" w:eastAsia="en-CA" w:bidi="ar-SA"/>
        </w:rPr>
        <w:t>A reference to days means calendar days unless the text states working days.</w:t>
      </w:r>
    </w:p>
    <w:p>
      <w:pPr>
        <w:pStyle w:val="Normal"/>
        <w:numPr>
          <w:ilvl w:val="0"/>
          <w:numId w:val="1"/>
        </w:numPr>
        <w:spacing w:lineRule="auto" w:line="312" w:before="0" w:after="120"/>
        <w:rPr/>
      </w:pPr>
      <w:r>
        <w:rPr>
          <w:rFonts w:eastAsia="Microsoft YaHei" w:cs="Calibri"/>
          <w:color w:val="263238"/>
          <w:sz w:val="21"/>
          <w:szCs w:val="24"/>
          <w:lang w:val="en-CA" w:eastAsia="en-CA" w:bidi="ar-SA"/>
        </w:rPr>
        <w:t>All times are Coordinated Universal Time (UTC) unless the text states otherwise. The Corridor Operations Cell publishes local-time conversions for operational users.</w:t>
      </w:r>
    </w:p>
    <w:p>
      <w:pPr>
        <w:pStyle w:val="Normal"/>
        <w:numPr>
          <w:ilvl w:val="0"/>
          <w:numId w:val="1"/>
        </w:numPr>
        <w:spacing w:lineRule="auto" w:line="312" w:before="0" w:after="120"/>
        <w:rPr/>
      </w:pPr>
      <w:r>
        <w:rPr>
          <w:rFonts w:eastAsia="Microsoft YaHei" w:cs="Calibri"/>
          <w:color w:val="263238"/>
          <w:sz w:val="21"/>
          <w:szCs w:val="24"/>
          <w:lang w:val="en-CA" w:eastAsia="en-CA" w:bidi="ar-SA"/>
        </w:rPr>
        <w:t>Coordinates use the World Geodetic System 1984 (WGS-84) datum. Positions in degrees and decimal minutes carry a precision of plus or minus 0.05 nautical miles.</w:t>
      </w:r>
    </w:p>
    <w:p>
      <w:pPr>
        <w:pStyle w:val="Normal"/>
        <w:numPr>
          <w:ilvl w:val="0"/>
          <w:numId w:val="1"/>
        </w:numPr>
        <w:spacing w:lineRule="auto" w:line="312" w:before="0" w:after="120"/>
        <w:rPr/>
      </w:pPr>
      <w:r>
        <w:rPr>
          <w:rFonts w:eastAsia="Microsoft YaHei" w:cs="Calibri"/>
          <w:color w:val="263238"/>
          <w:sz w:val="21"/>
          <w:szCs w:val="24"/>
          <w:lang w:val="en-CA" w:eastAsia="en-CA" w:bidi="ar-SA"/>
        </w:rPr>
        <w:t>Where this instrument states that an event activates, triggers, pauses, suspends, or restores a mechanism, the mechanism operates automatically at the moment the stated condition exists, without further decision, unless the text expressly assigns a human review step.</w:t>
      </w:r>
    </w:p>
    <w:p>
      <w:pPr>
        <w:pStyle w:val="Normal"/>
        <w:numPr>
          <w:ilvl w:val="0"/>
          <w:numId w:val="1"/>
        </w:numPr>
        <w:spacing w:lineRule="auto" w:line="312" w:before="0" w:after="120"/>
        <w:rPr/>
      </w:pPr>
      <w:r>
        <w:rPr>
          <w:rFonts w:eastAsia="Microsoft YaHei" w:cs="Calibri"/>
          <w:color w:val="263238"/>
          <w:sz w:val="21"/>
          <w:szCs w:val="24"/>
          <w:lang w:val="en-CA" w:eastAsia="en-CA" w:bidi="ar-SA"/>
        </w:rPr>
        <w:t>In case of conflict between the main body and an Annex, the main body prevails. In case of conflict between this instrument and the MOU, the MOU prevails, and the Parties interpret this instrument to implement the MOU to the maximum extent consistent with its text.</w:t>
      </w:r>
    </w:p>
    <w:p>
      <w:pPr>
        <w:pStyle w:val="Normal"/>
        <w:numPr>
          <w:ilvl w:val="0"/>
          <w:numId w:val="1"/>
        </w:numPr>
        <w:spacing w:lineRule="auto" w:line="312" w:before="0" w:after="120"/>
        <w:rPr/>
      </w:pPr>
      <w:r>
        <w:rPr>
          <w:rFonts w:eastAsia="Microsoft YaHei" w:cs="Calibri"/>
          <w:color w:val="263238"/>
          <w:sz w:val="21"/>
          <w:szCs w:val="24"/>
          <w:lang w:val="en-CA" w:eastAsia="en-CA" w:bidi="ar-SA"/>
        </w:rPr>
        <w:t>The interpretation never defeats the purpose. A reading that hollows out the Zero-Toll Rule, the non-interdiction protocol, the humanitarian absolute, or the Continuing Effect Rule is an incorrect reading.</w:t>
      </w:r>
    </w:p>
    <w:p>
      <w:pPr>
        <w:pStyle w:val="Heading2"/>
        <w:rPr/>
      </w:pPr>
      <w:bookmarkStart w:id="6" w:name="__RefHeading___Toc7196_2800514504"/>
      <w:bookmarkEnd w:id="6"/>
      <w:r>
        <w:rPr>
          <w:rFonts w:eastAsia="Microsoft YaHei" w:cs="Calibri"/>
          <w:b/>
          <w:color w:val="455A64"/>
          <w:sz w:val="26"/>
          <w:szCs w:val="24"/>
          <w:lang w:val="en-CA" w:eastAsia="en-CA" w:bidi="ar-SA"/>
        </w:rPr>
        <w:t>Article 3: Legal Character, the Islamabad MOU, and Red Lines</w:t>
      </w:r>
    </w:p>
    <w:p>
      <w:pPr>
        <w:pStyle w:val="Heading3"/>
        <w:rPr/>
      </w:pPr>
      <w:r>
        <w:rPr>
          <w:rFonts w:eastAsia="Microsoft YaHei" w:cs="Calibri"/>
          <w:b/>
          <w:color w:val="546E7A"/>
          <w:sz w:val="22"/>
          <w:szCs w:val="24"/>
          <w:lang w:val="en-CA" w:eastAsia="en-CA" w:bidi="ar-SA"/>
        </w:rPr>
        <w:t>3.1 Legal character</w:t>
      </w:r>
    </w:p>
    <w:p>
      <w:pPr>
        <w:pStyle w:val="Normal"/>
        <w:rPr/>
      </w:pPr>
      <w:r>
        <w:rPr>
          <w:rFonts w:eastAsia="Microsoft YaHei" w:cs="Calibri"/>
          <w:color w:val="263238"/>
          <w:sz w:val="21"/>
          <w:szCs w:val="24"/>
          <w:lang w:val="en-CA" w:eastAsia="en-CA" w:bidi="ar-SA"/>
        </w:rPr>
        <w:t>This instrument constitutes the implementing framework of the MOU for the maritime, nuclear-disposition, and economic-stabilization domains within its scope. Upon signature by both Parties, this instrument binds the Parties under international law. The Assembly possesses no independent legal personality; it operates as a joint organ of the Parties, assisted by the Neutral Administrator and the Mediator of Record.</w:t>
      </w:r>
    </w:p>
    <w:p>
      <w:pPr>
        <w:pStyle w:val="Heading3"/>
        <w:rPr/>
      </w:pPr>
      <w:r>
        <w:rPr>
          <w:rFonts w:eastAsia="Microsoft YaHei" w:cs="Calibri"/>
          <w:b/>
          <w:color w:val="546E7A"/>
          <w:sz w:val="22"/>
          <w:szCs w:val="24"/>
          <w:lang w:val="en-CA" w:eastAsia="en-CA" w:bidi="ar-SA"/>
        </w:rPr>
        <w:t>3.2 Relationship to the MOU</w:t>
      </w:r>
    </w:p>
    <w:p>
      <w:pPr>
        <w:pStyle w:val="Normal"/>
        <w:rPr/>
      </w:pPr>
      <w:r>
        <w:rPr>
          <w:rFonts w:eastAsia="Microsoft YaHei" w:cs="Calibri"/>
          <w:color w:val="263238"/>
          <w:sz w:val="21"/>
          <w:szCs w:val="24"/>
          <w:lang w:val="en-CA" w:eastAsia="en-CA" w:bidi="ar-SA"/>
        </w:rPr>
        <w:t>This instrument implements the MOU paragraph by paragraph. Annex M contains the complete alignment map. In summary:</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4500"/>
        <w:gridCol w:w="4525"/>
      </w:tblGrid>
      <w:tr>
        <w:trPr>
          <w:tblHeader w:val="true"/>
        </w:trPr>
        <w:tc>
          <w:tcPr>
            <w:tcW w:w="4500"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37474F"/>
                <w:kern w:val="2"/>
                <w:sz w:val="18"/>
                <w:szCs w:val="24"/>
                <w:lang w:val="en-CA" w:eastAsia="en-CA" w:bidi="ar-SA"/>
              </w:rPr>
              <w:t>MOU element</w:t>
            </w:r>
          </w:p>
        </w:tc>
        <w:tc>
          <w:tcPr>
            <w:tcW w:w="4525"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37474F"/>
                <w:kern w:val="2"/>
                <w:sz w:val="18"/>
                <w:szCs w:val="24"/>
                <w:lang w:val="en-CA" w:eastAsia="en-CA" w:bidi="ar-SA"/>
              </w:rPr>
              <w:t>Implementing provision</w:t>
            </w:r>
          </w:p>
        </w:tc>
      </w:tr>
      <w:tr>
        <w:trPr/>
        <w:tc>
          <w:tcPr>
            <w:tcW w:w="45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Permanent termination of military operations on all fronts (para. 1)</w:t>
            </w:r>
          </w:p>
        </w:tc>
        <w:tc>
          <w:tcPr>
            <w:tcW w:w="45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Articles 8 and 9; Annex H; the non-interdiction protocol and the de-confliction geometry</w:t>
            </w:r>
          </w:p>
        </w:tc>
      </w:tr>
      <w:tr>
        <w:trPr/>
        <w:tc>
          <w:tcPr>
            <w:tcW w:w="45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Sovereignty, territorial integrity, non-interference (para. 2)</w:t>
            </w:r>
          </w:p>
        </w:tc>
        <w:tc>
          <w:tcPr>
            <w:tcW w:w="45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Articles 1.2, 3.4; the mutual-architecture principle; Annex L</w:t>
            </w:r>
          </w:p>
        </w:tc>
      </w:tr>
      <w:tr>
        <w:trPr/>
        <w:tc>
          <w:tcPr>
            <w:tcW w:w="45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Final deal within 60 days, extendable by mutual consent (para. 3)</w:t>
            </w:r>
          </w:p>
        </w:tc>
        <w:tc>
          <w:tcPr>
            <w:tcW w:w="45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Article 22 and Annex K; the Recognition-Implementation-Parity Cycle</w:t>
            </w:r>
          </w:p>
        </w:tc>
      </w:tr>
      <w:tr>
        <w:trPr/>
        <w:tc>
          <w:tcPr>
            <w:tcW w:w="45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Reconstruction plan of at least USD 300 billion (para. 6)</w:t>
            </w:r>
          </w:p>
        </w:tc>
        <w:tc>
          <w:tcPr>
            <w:tcW w:w="45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Article 14; Annex N; Annex G, Section 4</w:t>
            </w:r>
          </w:p>
        </w:tc>
      </w:tr>
      <w:tr>
        <w:trPr/>
        <w:tc>
          <w:tcPr>
            <w:tcW w:w="45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Termination of sanctions on an agreed schedule (para. 7)</w:t>
            </w:r>
          </w:p>
        </w:tc>
        <w:tc>
          <w:tcPr>
            <w:tcW w:w="45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Articles 12 and 13; Annex G</w:t>
            </w:r>
          </w:p>
        </w:tc>
      </w:tr>
      <w:tr>
        <w:trPr/>
        <w:tc>
          <w:tcPr>
            <w:tcW w:w="45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No procurement or development of nuclear weapons (para. 8)</w:t>
            </w:r>
          </w:p>
        </w:tc>
        <w:tc>
          <w:tcPr>
            <w:tcW w:w="45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Articles 10 and 11; Annex F; the civilian ceiling</w:t>
            </w:r>
          </w:p>
        </w:tc>
      </w:tr>
      <w:tr>
        <w:trPr/>
        <w:tc>
          <w:tcPr>
            <w:tcW w:w="45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Stockpile disposition by downblending on site under IAEA supervision (para. 8)</w:t>
            </w:r>
          </w:p>
        </w:tc>
        <w:tc>
          <w:tcPr>
            <w:tcW w:w="45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Article 10; Annex F</w:t>
            </w:r>
          </w:p>
        </w:tc>
      </w:tr>
      <w:tr>
        <w:trPr/>
        <w:tc>
          <w:tcPr>
            <w:tcW w:w="4500"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Free and open navigation through the Strait of Hormuz</w:t>
            </w:r>
          </w:p>
        </w:tc>
        <w:tc>
          <w:tcPr>
            <w:tcW w:w="4525"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Articles 4 through 9; Annexes A, B, C</w:t>
            </w:r>
          </w:p>
        </w:tc>
      </w:tr>
    </w:tbl>
    <w:p>
      <w:pPr>
        <w:pStyle w:val="Caption1"/>
        <w:rPr/>
      </w:pPr>
      <w:r>
        <w:rPr>
          <w:rFonts w:eastAsia="Microsoft YaHei" w:cs="Calibri"/>
          <w:color w:val="263238"/>
          <w:sz w:val="18"/>
          <w:szCs w:val="24"/>
          <w:lang w:val="en-CA" w:eastAsia="en-CA" w:bidi="ar-SA"/>
        </w:rPr>
        <w:t>Table 3.1: MOU alignment summary</w:t>
      </w:r>
    </w:p>
    <w:p>
      <w:pPr>
        <w:pStyle w:val="Heading3"/>
        <w:rPr/>
      </w:pPr>
      <w:r>
        <w:rPr>
          <w:rFonts w:eastAsia="Microsoft YaHei" w:cs="Calibri"/>
          <w:b/>
          <w:color w:val="546E7A"/>
          <w:sz w:val="22"/>
          <w:szCs w:val="24"/>
          <w:lang w:val="en-CA" w:eastAsia="en-CA" w:bidi="ar-SA"/>
        </w:rPr>
        <w:t>3.3 The 60-day window</w:t>
      </w:r>
    </w:p>
    <w:p>
      <w:pPr>
        <w:pStyle w:val="Normal"/>
        <w:rPr/>
      </w:pPr>
      <w:r>
        <w:rPr>
          <w:rFonts w:eastAsia="Microsoft YaHei" w:cs="Calibri"/>
          <w:color w:val="263238"/>
          <w:sz w:val="21"/>
          <w:szCs w:val="24"/>
          <w:lang w:val="en-CA" w:eastAsia="en-CA" w:bidi="ar-SA"/>
        </w:rPr>
        <w:t>The Parties adopt this instrument inside the 60-day negotiation window that paragraph 3 of the MOU establishes. The Framework activates in stages under Annex K so that maritime order restores immediately upon signature, nuclear disposition commences within thirty days, and the economic mechanisms align with the waiver calendar. The window's expiry does not expire this instrument: the Continuing Effect Rule carries every activated mechanism forward regardless of the state of the wider negotiation, unless both Parties jointly decide otherwise in writing.</w:t>
      </w:r>
    </w:p>
    <w:p>
      <w:pPr>
        <w:pStyle w:val="Heading3"/>
        <w:rPr/>
      </w:pPr>
      <w:r>
        <w:rPr>
          <w:rFonts w:eastAsia="Microsoft YaHei" w:cs="Calibri"/>
          <w:b/>
          <w:color w:val="546E7A"/>
          <w:sz w:val="22"/>
          <w:szCs w:val="24"/>
          <w:lang w:val="en-CA" w:eastAsia="en-CA" w:bidi="ar-SA"/>
        </w:rPr>
        <w:t>3.4 Non-prejudice to positions</w:t>
      </w:r>
    </w:p>
    <w:p>
      <w:pPr>
        <w:pStyle w:val="Normal"/>
        <w:rPr/>
      </w:pPr>
      <w:r>
        <w:rPr>
          <w:rFonts w:eastAsia="Microsoft YaHei" w:cs="Calibri"/>
          <w:color w:val="263238"/>
          <w:sz w:val="21"/>
          <w:szCs w:val="24"/>
          <w:lang w:val="en-CA" w:eastAsia="en-CA" w:bidi="ar-SA"/>
        </w:rPr>
        <w:t>Nothing in this instrument, and no act performed under it, constitutes recognition of, acquiescence in, or prejudice to: (a) either Party's position on sovereignty over any island, rock, or feature; (b) either Party's position on the legal character of the Strait of Hormuz or the regime of transit passage; (c) the maritime entitlements of Oman or any other coastal state; or (d) any claim or defense in any other forum. Participation in data collection, corridor coordination, or joint bodies carries no political imputation. Data serves technical verification exclusively.</w:t>
      </w:r>
    </w:p>
    <w:p>
      <w:pPr>
        <w:pStyle w:val="Heading3"/>
        <w:rPr/>
      </w:pPr>
      <w:r>
        <w:rPr>
          <w:rFonts w:eastAsia="Microsoft YaHei" w:cs="Calibri"/>
          <w:b/>
          <w:color w:val="546E7A"/>
          <w:sz w:val="22"/>
          <w:szCs w:val="24"/>
          <w:lang w:val="en-CA" w:eastAsia="en-CA" w:bidi="ar-SA"/>
        </w:rPr>
        <w:t>3.5 The Red Line architecture</w:t>
      </w:r>
    </w:p>
    <w:p>
      <w:pPr>
        <w:pStyle w:val="Normal"/>
        <w:rPr/>
      </w:pPr>
      <w:r>
        <w:rPr>
          <w:rFonts w:eastAsia="Microsoft YaHei" w:cs="Calibri"/>
          <w:color w:val="263238"/>
          <w:sz w:val="21"/>
          <w:szCs w:val="24"/>
          <w:lang w:val="en-CA" w:eastAsia="en-CA" w:bidi="ar-SA"/>
        </w:rPr>
        <w:t>Annex L registers the Red Lines of both Parties as stated in the negotiations of June and July 2026. The Framework does not ask either Party to renounce a Red Line. Instead, the architecture makes the crossing structurally unnecessary and structurally costly:</w:t>
      </w:r>
    </w:p>
    <w:p>
      <w:pPr>
        <w:pStyle w:val="Normal"/>
        <w:numPr>
          <w:ilvl w:val="0"/>
          <w:numId w:val="2"/>
        </w:numPr>
        <w:spacing w:lineRule="auto" w:line="312" w:before="0" w:after="120"/>
        <w:rPr/>
      </w:pPr>
      <w:r>
        <w:rPr>
          <w:rFonts w:eastAsia="Microsoft YaHei" w:cs="Calibri"/>
          <w:color w:val="263238"/>
          <w:sz w:val="21"/>
          <w:szCs w:val="24"/>
          <w:lang w:val="en-CA" w:eastAsia="en-CA" w:bidi="ar-SA"/>
        </w:rPr>
        <w:t>The United States registers: no tolls of any kind on passage; no attacks on or seizures of commercial vessels; the Strait open as before the conflict; no nuclear weapon and no path to one; a public commitment that all channels of the Strait are open. The Framework satisfies each through the Zero-Toll Rule, the non-interdiction protocol, the two-corridor geometry, the civilian ceiling with continuous verification, and the joint declaration mechanism of Article 8.6.</w:t>
      </w:r>
    </w:p>
    <w:p>
      <w:pPr>
        <w:pStyle w:val="Normal"/>
        <w:numPr>
          <w:ilvl w:val="0"/>
          <w:numId w:val="2"/>
        </w:numPr>
        <w:spacing w:lineRule="auto" w:line="312" w:before="0" w:after="120"/>
        <w:rPr/>
      </w:pPr>
      <w:r>
        <w:rPr>
          <w:rFonts w:eastAsia="Microsoft YaHei" w:cs="Calibri"/>
          <w:color w:val="263238"/>
          <w:sz w:val="21"/>
          <w:szCs w:val="24"/>
          <w:lang w:val="en-CA" w:eastAsia="en-CA" w:bidi="ar-SA"/>
        </w:rPr>
        <w:t>The Islamic Republic of Iran registers: sovereignty and territorial integrity respected; no regime-change objective; retention of the downblended material on Iranian soil under its ownership; a civilian enrichment capability up to 3.67 percent; an end to strikes and blockade; the sanctions termination schedule honored; and recognition of a legitimate regulatory role in its territorial sea. The Framework satisfies each through the MOU's own paragraph 2, the no-regime-change clause of Article 3.6, in-country dual-lock custody under Annex F, the civilian ceiling of Article 11, the de-confliction geometry of Article 9, the waiver continuity and sequencing of Articles 12 and 13, and the notification regime of Corridor Two in Article 5.3.</w:t>
      </w:r>
    </w:p>
    <w:p>
      <w:pPr>
        <w:pStyle w:val="Normal"/>
        <w:rPr/>
      </w:pPr>
      <w:r>
        <w:rPr>
          <w:rFonts w:eastAsia="Microsoft YaHei" w:cs="Calibri"/>
          <w:color w:val="263238"/>
          <w:sz w:val="21"/>
          <w:szCs w:val="24"/>
          <w:lang w:val="en-CA" w:eastAsia="en-CA" w:bidi="ar-SA"/>
        </w:rPr>
        <w:t>A Party that perceives a Red Line under pressure activates the Red Line Consultation of Article 23.4 before any other response. The consultation convenes within 24 hours. The architecture freezes the relevant mechanism for 72 hours while the consultation proceeds, except for the humanitarian absolute and the custody obligations, which never freeze.</w:t>
      </w:r>
    </w:p>
    <w:p>
      <w:pPr>
        <w:pStyle w:val="Heading3"/>
        <w:rPr/>
      </w:pPr>
      <w:r>
        <w:rPr>
          <w:rFonts w:eastAsia="Microsoft YaHei" w:cs="Calibri"/>
          <w:b/>
          <w:color w:val="546E7A"/>
          <w:sz w:val="22"/>
          <w:szCs w:val="24"/>
          <w:lang w:val="en-CA" w:eastAsia="en-CA" w:bidi="ar-SA"/>
        </w:rPr>
        <w:t>3.6 No regime-change objective</w:t>
      </w:r>
    </w:p>
    <w:p>
      <w:pPr>
        <w:pStyle w:val="Normal"/>
        <w:rPr/>
      </w:pPr>
      <w:r>
        <w:rPr>
          <w:rFonts w:eastAsia="Microsoft YaHei" w:cs="Calibri"/>
          <w:color w:val="263238"/>
          <w:sz w:val="21"/>
          <w:szCs w:val="24"/>
          <w:lang w:val="en-CA" w:eastAsia="en-CA" w:bidi="ar-SA"/>
        </w:rPr>
        <w:t>The Framework architecture excludes any objective of political restructuring, governmental change, or interference in the internal affairs of either Party. No fund, mechanism, penalty, or procedure in this instrument operates for such a purpose. The Joint Confidence Account under Article 13.6 expressly prohibits disbursement for any purpose inconsistent with this clause. This clause restates paragraph 2 of the MOU as an operative rule of the Framework.</w:t>
      </w:r>
      <w:r>
        <w:br w:type="page"/>
      </w:r>
    </w:p>
    <w:p>
      <w:pPr>
        <w:pStyle w:val="Heading1"/>
        <w:rPr/>
      </w:pPr>
      <w:bookmarkStart w:id="7" w:name="__RefHeading___Toc7198_2800514504"/>
      <w:bookmarkStart w:id="8" w:name="_TocSg3"/>
      <w:bookmarkEnd w:id="7"/>
      <w:r>
        <w:rPr>
          <w:rFonts w:eastAsia="Microsoft YaHei" w:cs="Calibri"/>
          <w:b/>
          <w:color w:val="78909C"/>
          <w:sz w:val="18"/>
          <w:szCs w:val="24"/>
          <w:lang w:val="en-CA" w:eastAsia="en-CA" w:bidi="ar-SA"/>
        </w:rPr>
        <w:t>Part II: Maritime Governance</w:t>
      </w:r>
      <w:bookmarkEnd w:id="8"/>
    </w:p>
    <w:p>
      <w:pPr>
        <w:pStyle w:val="Heading2"/>
        <w:rPr/>
      </w:pPr>
      <w:bookmarkStart w:id="9" w:name="__RefHeading___Toc7200_2800514504"/>
      <w:bookmarkEnd w:id="9"/>
      <w:r>
        <w:rPr>
          <w:rFonts w:eastAsia="Microsoft YaHei" w:cs="Calibri"/>
          <w:b/>
          <w:color w:val="455A64"/>
          <w:sz w:val="26"/>
          <w:szCs w:val="24"/>
          <w:lang w:val="en-CA" w:eastAsia="en-CA" w:bidi="ar-SA"/>
        </w:rPr>
        <w:t>Article 4: The Governance Area and Boundary Coordinates</w:t>
      </w:r>
    </w:p>
    <w:p>
      <w:pPr>
        <w:pStyle w:val="Heading3"/>
        <w:rPr/>
      </w:pPr>
      <w:r>
        <w:rPr>
          <w:rFonts w:eastAsia="Microsoft YaHei" w:cs="Calibri"/>
          <w:b/>
          <w:color w:val="546E7A"/>
          <w:sz w:val="22"/>
          <w:szCs w:val="24"/>
          <w:lang w:val="en-CA" w:eastAsia="en-CA" w:bidi="ar-SA"/>
        </w:rPr>
        <w:t>4.1 Establishment</w:t>
      </w:r>
    </w:p>
    <w:p>
      <w:pPr>
        <w:pStyle w:val="Normal"/>
        <w:rPr/>
      </w:pPr>
      <w:r>
        <w:rPr>
          <w:rFonts w:eastAsia="Microsoft YaHei" w:cs="Calibri"/>
          <w:color w:val="263238"/>
          <w:sz w:val="21"/>
          <w:szCs w:val="24"/>
          <w:lang w:val="en-CA" w:eastAsia="en-CA" w:bidi="ar-SA"/>
        </w:rPr>
        <w:t>The Parties establish the Governance Area as the geographic frame within which the corridor rules, the de-confliction geometry, and the operations of the Corridor Operations Cell apply. The Governance Area is an operational construct. It defines where the Framework's rules operate. It defines no boundary between states, delimits no maritime zone, and prejudices no entitlement, consistent with Article 3.4.</w:t>
      </w:r>
    </w:p>
    <w:p>
      <w:pPr>
        <w:pStyle w:val="Heading3"/>
        <w:rPr/>
      </w:pPr>
      <w:r>
        <w:rPr>
          <w:rFonts w:eastAsia="Microsoft YaHei" w:cs="Calibri"/>
          <w:b/>
          <w:color w:val="546E7A"/>
          <w:sz w:val="22"/>
          <w:szCs w:val="24"/>
          <w:lang w:val="en-CA" w:eastAsia="en-CA" w:bidi="ar-SA"/>
        </w:rPr>
        <w:t>4.2 Outer boundary</w:t>
      </w:r>
    </w:p>
    <w:p>
      <w:pPr>
        <w:pStyle w:val="Normal"/>
        <w:rPr/>
      </w:pPr>
      <w:r>
        <w:rPr>
          <w:rFonts w:eastAsia="Microsoft YaHei" w:cs="Calibri"/>
          <w:color w:val="263238"/>
          <w:sz w:val="21"/>
          <w:szCs w:val="24"/>
          <w:lang w:val="en-CA" w:eastAsia="en-CA" w:bidi="ar-SA"/>
        </w:rPr>
        <w:t>The Governance Area comprises the waters and superjacent airspace bounded by the following lines, all positions on the WGS-84 datum:</w:t>
      </w:r>
    </w:p>
    <w:p>
      <w:pPr>
        <w:pStyle w:val="Normal"/>
        <w:numPr>
          <w:ilvl w:val="0"/>
          <w:numId w:val="2"/>
        </w:numPr>
        <w:spacing w:lineRule="auto" w:line="312" w:before="0" w:after="120"/>
        <w:rPr/>
      </w:pPr>
      <w:r>
        <w:rPr>
          <w:rFonts w:eastAsia="Microsoft YaHei" w:cs="Calibri"/>
          <w:color w:val="263238"/>
          <w:sz w:val="21"/>
          <w:szCs w:val="24"/>
          <w:lang w:val="en-CA" w:eastAsia="en-CA" w:bidi="ar-SA"/>
        </w:rPr>
        <w:t>Eastern boundary: the meridian 057 degrees 00.0 minutes East, from the coast of the Musandam Peninsula to the coast of Iran.</w:t>
      </w:r>
    </w:p>
    <w:p>
      <w:pPr>
        <w:pStyle w:val="Normal"/>
        <w:numPr>
          <w:ilvl w:val="0"/>
          <w:numId w:val="2"/>
        </w:numPr>
        <w:spacing w:lineRule="auto" w:line="312" w:before="0" w:after="120"/>
        <w:rPr/>
      </w:pPr>
      <w:r>
        <w:rPr>
          <w:rFonts w:eastAsia="Microsoft YaHei" w:cs="Calibri"/>
          <w:color w:val="263238"/>
          <w:sz w:val="21"/>
          <w:szCs w:val="24"/>
          <w:lang w:val="en-CA" w:eastAsia="en-CA" w:bidi="ar-SA"/>
        </w:rPr>
        <w:t>Western boundary: the meridian 055 degrees 30.0 minutes East, from the coast of the Musandam Peninsula to the coast of Iran.</w:t>
      </w:r>
    </w:p>
    <w:p>
      <w:pPr>
        <w:pStyle w:val="Normal"/>
        <w:numPr>
          <w:ilvl w:val="0"/>
          <w:numId w:val="2"/>
        </w:numPr>
        <w:spacing w:lineRule="auto" w:line="312" w:before="0" w:after="120"/>
        <w:rPr/>
      </w:pPr>
      <w:r>
        <w:rPr>
          <w:rFonts w:eastAsia="Microsoft YaHei" w:cs="Calibri"/>
          <w:color w:val="263238"/>
          <w:sz w:val="21"/>
          <w:szCs w:val="24"/>
          <w:lang w:val="en-CA" w:eastAsia="en-CA" w:bidi="ar-SA"/>
        </w:rPr>
        <w:t>Northern boundary: the coastline of the Islamic Republic of Iran, including the islands of Qeshm, Hormuz, Larak, and Hengam, and the territorial sea generated therefrom.</w:t>
      </w:r>
    </w:p>
    <w:p>
      <w:pPr>
        <w:pStyle w:val="Normal"/>
        <w:numPr>
          <w:ilvl w:val="0"/>
          <w:numId w:val="2"/>
        </w:numPr>
        <w:spacing w:lineRule="auto" w:line="312" w:before="0" w:after="120"/>
        <w:rPr/>
      </w:pPr>
      <w:r>
        <w:rPr>
          <w:rFonts w:eastAsia="Microsoft YaHei" w:cs="Calibri"/>
          <w:color w:val="263238"/>
          <w:sz w:val="21"/>
          <w:szCs w:val="24"/>
          <w:lang w:val="en-CA" w:eastAsia="en-CA" w:bidi="ar-SA"/>
        </w:rPr>
        <w:t>Southern boundary: the coastline of the Musandam Peninsula of the Sultanate of Oman and the coastline of the Emirate of Fujairah and the Emirate of Sharjah of the United Arab Emirates, and the territorial seas generated therefrom, extending to the maritime boundary between the UAE and Oman in the Gulf of Oman.</w:t>
      </w:r>
    </w:p>
    <w:p>
      <w:pPr>
        <w:pStyle w:val="Normal"/>
        <w:rPr/>
      </w:pPr>
      <w:r>
        <w:rPr>
          <w:rFonts w:eastAsia="Microsoft YaHei" w:cs="Calibri"/>
          <w:color w:val="263238"/>
          <w:sz w:val="21"/>
          <w:szCs w:val="24"/>
          <w:lang w:val="en-CA" w:eastAsia="en-CA" w:bidi="ar-SA"/>
        </w:rPr>
        <w:t>Annex A, Table A.1 states the precise polygon of the Governance Area as twelve boundary vertices. The Corridor Operations Cell publishes the chartlet derived from those vertices as the official reference chart of the Framework, in harmony with the traffic separation scheme adopted through the International Maritime Organization.</w:t>
      </w:r>
    </w:p>
    <w:p>
      <w:pPr>
        <w:pStyle w:val="Heading3"/>
        <w:rPr/>
      </w:pPr>
      <w:r>
        <w:rPr>
          <w:rFonts w:eastAsia="Microsoft YaHei" w:cs="Calibri"/>
          <w:b/>
          <w:color w:val="546E7A"/>
          <w:sz w:val="22"/>
          <w:szCs w:val="24"/>
          <w:lang w:val="en-CA" w:eastAsia="en-CA" w:bidi="ar-SA"/>
        </w:rPr>
        <w:t>4.3 Internal reference lines</w:t>
      </w:r>
    </w:p>
    <w:p>
      <w:pPr>
        <w:pStyle w:val="Normal"/>
        <w:rPr/>
      </w:pPr>
      <w:r>
        <w:rPr>
          <w:rFonts w:eastAsia="Microsoft YaHei" w:cs="Calibri"/>
          <w:color w:val="263238"/>
          <w:sz w:val="21"/>
          <w:szCs w:val="24"/>
          <w:lang w:val="en-CA" w:eastAsia="en-CA" w:bidi="ar-SA"/>
        </w:rPr>
        <w:t>Within the Governance Area, the Framework designates: (a) the two corridor centerlines and corridor limit lines of Article 5; (b) the separation zones between opposing traffic streams; (c) two precautionary areas at the eastern and western approaches; (d) the anchorage areas listed in Annex A, Table A.5; (e) the inshore traffic zones reserved for Class 4 vessels; and (f) the standoff reference lines of Article 9. Each line appears in Annex A as a coordinate series. A line's function is operational and regulatory. No line asserts, derogates, or modifies sovereignty or sovereign rights.</w:t>
      </w:r>
    </w:p>
    <w:p>
      <w:pPr>
        <w:pStyle w:val="Heading3"/>
        <w:rPr/>
      </w:pPr>
      <w:r>
        <w:rPr>
          <w:rFonts w:eastAsia="Microsoft YaHei" w:cs="Calibri"/>
          <w:b/>
          <w:color w:val="546E7A"/>
          <w:sz w:val="22"/>
          <w:szCs w:val="24"/>
          <w:lang w:val="en-CA" w:eastAsia="en-CA" w:bidi="ar-SA"/>
        </w:rPr>
        <w:t>4.4 Chart custody and amendment</w:t>
      </w:r>
    </w:p>
    <w:p>
      <w:pPr>
        <w:pStyle w:val="Normal"/>
        <w:rPr/>
      </w:pPr>
      <w:r>
        <w:rPr>
          <w:rFonts w:eastAsia="Microsoft YaHei" w:cs="Calibri"/>
          <w:color w:val="263238"/>
          <w:sz w:val="21"/>
          <w:szCs w:val="24"/>
          <w:lang w:val="en-CA" w:eastAsia="en-CA" w:bidi="ar-SA"/>
        </w:rPr>
        <w:t>The Neutral Administrator holds the master coordinate register. The Corridor Operations Cell maintains the working charts. A coordinate change takes effect only through: (a) a written proposal by the Technical Verification Group confirming navigational safety; (b) consultation with the International Maritime Organization and the International Hydrographic Organization where the change touches an adopted routing measure; (c) a Consensus Minus One decision of the Joint Coordination Council; and (d) publication with 30 days of notice to the maritime community, except where an immediate safety risk justifies 72 hours of notice.</w:t>
      </w:r>
    </w:p>
    <w:p>
      <w:pPr>
        <w:pStyle w:val="Heading2"/>
        <w:rPr/>
      </w:pPr>
      <w:bookmarkStart w:id="10" w:name="__RefHeading___Toc7202_2800514504"/>
      <w:bookmarkEnd w:id="10"/>
      <w:r>
        <w:rPr>
          <w:rFonts w:eastAsia="Microsoft YaHei" w:cs="Calibri"/>
          <w:b/>
          <w:color w:val="455A64"/>
          <w:sz w:val="26"/>
          <w:szCs w:val="24"/>
          <w:lang w:val="en-CA" w:eastAsia="en-CA" w:bidi="ar-SA"/>
        </w:rPr>
        <w:t>Article 5: The Two Corridors</w:t>
      </w:r>
    </w:p>
    <w:p>
      <w:pPr>
        <w:pStyle w:val="Heading3"/>
        <w:rPr/>
      </w:pPr>
      <w:r>
        <w:rPr>
          <w:rFonts w:eastAsia="Microsoft YaHei" w:cs="Calibri"/>
          <w:b/>
          <w:color w:val="546E7A"/>
          <w:sz w:val="22"/>
          <w:szCs w:val="24"/>
          <w:lang w:val="en-CA" w:eastAsia="en-CA" w:bidi="ar-SA"/>
        </w:rPr>
        <w:t>5.1 The dual-corridor system</w:t>
      </w:r>
    </w:p>
    <w:p>
      <w:pPr>
        <w:pStyle w:val="Normal"/>
        <w:rPr/>
      </w:pPr>
      <w:r>
        <w:rPr>
          <w:rFonts w:eastAsia="Microsoft YaHei" w:cs="Calibri"/>
          <w:color w:val="263238"/>
          <w:sz w:val="18"/>
          <w:szCs w:val="24"/>
          <w:lang w:val="en-CA" w:eastAsia="en-CA" w:bidi="ar-SA"/>
        </w:rPr>
        <w:t>Transit through the Strait operates through two corridors. The dual structure reflects the negotiating outcome facilitated by the Mediator of Record in July 2026: the Southern Corridor operates on free navigation, and the Northern Corridor operates on prior notification without tolls. Both corridors operate under the Zero-Toll Rule and the non-interdiction protocol without exception. A vessel's flag, ownership, cargo origin, destination, or insurer does not determine its corridor eligibility. Purpose and class determine treatment, per Article 6.</w:t>
      </w:r>
    </w:p>
    <w:p>
      <w:pPr>
        <w:pStyle w:val="Heading3"/>
        <w:rPr/>
      </w:pPr>
      <w:r>
        <w:rPr>
          <w:rFonts w:eastAsia="Microsoft YaHei" w:cs="Calibri"/>
          <w:b/>
          <w:color w:val="546E7A"/>
          <w:sz w:val="22"/>
          <w:szCs w:val="24"/>
          <w:lang w:val="en-CA" w:eastAsia="en-CA" w:bidi="ar-SA"/>
        </w:rPr>
        <w:t>5.2 Corridor One: the Southern Corridor</w:t>
      </w:r>
    </w:p>
    <w:p>
      <w:pPr>
        <w:pStyle w:val="Normal"/>
        <w:rPr/>
      </w:pPr>
      <w:r>
        <w:rPr>
          <w:rFonts w:eastAsia="Microsoft YaHei" w:cs="Calibri"/>
          <w:color w:val="263238"/>
          <w:sz w:val="18"/>
          <w:szCs w:val="24"/>
          <w:lang w:val="en-CA" w:eastAsia="en-CA" w:bidi="ar-SA"/>
        </w:rPr>
        <w:t>Corridor One follows the established traffic separation scheme through the territorial seas of the Sultanate of Oman and the United Arab Emirates off the Musandam Peninsula and the eastern approaches. The UAE's vessel traffic service in Fujairah provides supplementary traffic information on a voluntary and coordinated basis, and the UAE's maritime security forces participate in the ground-truth patrol program of Article 6.5 on a rotating basis with Oman. Its centerline runs from waypoint S-1 (26 degrees 38.0 minutes North, 056 degrees 52.0 minutes East) in the Gulf of Oman to waypoint S-6 (26 degrees 24.0 minutes North, 055 degrees 38.0 minutes East) in the Gulf, with inbound and outbound lanes of 2.0 nautical miles width separated by a 1.0 nautical mile separation zone. Annex A, Table A.2 states the full waypoint schedule.</w:t>
      </w:r>
    </w:p>
    <w:p>
      <w:pPr>
        <w:pStyle w:val="Normal"/>
        <w:rPr/>
      </w:pPr>
      <w:r>
        <w:rPr>
          <w:rFonts w:eastAsia="Microsoft YaHei" w:cs="Calibri"/>
          <w:color w:val="263238"/>
          <w:sz w:val="18"/>
          <w:szCs w:val="24"/>
          <w:lang w:val="en-CA" w:eastAsia="en-CA" w:bidi="ar-SA"/>
        </w:rPr>
        <w:t>Corridor One operates under the free-navigation rule: any vessel of Classes 1 through 6 transits at any hour, in any direction, without prior approval, prior notification beyond standard automatic identification system carriage, inspection at sea, or charge of any kind. Oman's vessel traffic service provides traffic information on a voluntary basis. The Framework architecture excludes any Iranian approval step for Corridor One, and equally excludes any coalition or third-state approval step. Corridor One restores the pre-conflict pattern of navigation in full.</w:t>
      </w:r>
    </w:p>
    <w:p>
      <w:pPr>
        <w:pStyle w:val="Normal"/>
        <w:rPr/>
      </w:pPr>
      <w:r>
        <w:rPr>
          <w:rFonts w:eastAsia="Microsoft YaHei" w:cs="Calibri"/>
          <w:color w:val="263238"/>
          <w:sz w:val="18"/>
          <w:szCs w:val="24"/>
          <w:lang w:val="en-CA" w:eastAsia="en-CA" w:bidi="ar-SA"/>
        </w:rPr>
        <w:t>Oman's vessel traffic service and the UAE's Fujairah vessel traffic service coordinate on a common traffic picture for Corridor One and the eastern precautionary area. The Corridor Operations Cell maintains a liaison officer from each coastal state's VTS on a rotating basis.</w:t>
      </w:r>
    </w:p>
    <w:p>
      <w:pPr>
        <w:pStyle w:val="Heading3"/>
        <w:rPr/>
      </w:pPr>
      <w:r>
        <w:rPr>
          <w:rFonts w:eastAsia="Microsoft YaHei" w:cs="Calibri"/>
          <w:b/>
          <w:color w:val="546E7A"/>
          <w:sz w:val="22"/>
          <w:szCs w:val="24"/>
          <w:lang w:val="en-CA" w:eastAsia="en-CA" w:bidi="ar-SA"/>
        </w:rPr>
        <w:t>5.3 Corridor Two: the Northern Corridor</w:t>
      </w:r>
    </w:p>
    <w:p>
      <w:pPr>
        <w:pStyle w:val="Normal"/>
        <w:rPr/>
      </w:pPr>
      <w:r>
        <w:rPr>
          <w:rFonts w:eastAsia="Microsoft YaHei" w:cs="Calibri"/>
          <w:color w:val="263238"/>
          <w:sz w:val="18"/>
          <w:szCs w:val="24"/>
          <w:lang w:val="en-CA" w:eastAsia="en-CA" w:bidi="ar-SA"/>
        </w:rPr>
        <w:t>Corridor Two follows the northern deep-water route through the territorial sea of Iran, north of Larak and Hormuz Islands. Its centerline runs from waypoint N-1 (26 degrees 50.0 minutes North, 056 degrees 44.0 minutes East) to waypoint N-6 (26 degrees 40.0 minutes North, 055 degrees 32.0 minutes East), with lanes and separation as stated in Annex A, Table A.3.</w:t>
      </w:r>
    </w:p>
    <w:p>
      <w:pPr>
        <w:pStyle w:val="Normal"/>
        <w:rPr/>
      </w:pPr>
      <w:r>
        <w:rPr>
          <w:rFonts w:eastAsia="Microsoft YaHei" w:cs="Calibri"/>
          <w:color w:val="263238"/>
          <w:sz w:val="18"/>
          <w:szCs w:val="24"/>
          <w:lang w:val="en-CA" w:eastAsia="en-CA" w:bidi="ar-SA"/>
        </w:rPr>
        <w:t>Corridor Two operates under the notification regime: a transiting vessel of Classes 1, 2, 3, or 5 files a transit notice with the Corridor Operations Cell between 72 and 12 hours before entering the corridor, stating identity, class, cargo category in general terms, and intended lane. The notice produces an automatic acknowledgment within 60 minutes of filing. The acknowledgment is administrative, not permissive: transit never awaits approval, and silence beyond 60 minutes constitutes acknowledgment by default. The Iranian vessel traffic service provides traffic information, routing advice, and optional pilotage. The Framework architecture excludes: any toll or charge; any condition on passage beyond the notice; any boarding or inspection at sea of a vessel whose notice is in order; and any delay of a humanitarian vessel under any circumstance.</w:t>
      </w:r>
    </w:p>
    <w:p>
      <w:pPr>
        <w:pStyle w:val="Normal"/>
        <w:rPr/>
      </w:pPr>
      <w:r>
        <w:rPr>
          <w:rFonts w:eastAsia="Microsoft YaHei" w:cs="Calibri"/>
          <w:color w:val="263238"/>
          <w:sz w:val="18"/>
          <w:szCs w:val="24"/>
          <w:lang w:val="en-CA" w:eastAsia="en-CA" w:bidi="ar-SA"/>
        </w:rPr>
        <w:t>The notification regime gives Iran a documented, real-time picture of traffic in its territorial sea, which constitutes the recognition of a legitimate regulatory role that Iran registers in Annex L. The regime simultaneously gives every vessel an absolute right of passage, which satisfies the United States registration that the Strait operates open and toll-free. The architecture thereby converts a sovereignty dispute into an administrative routine.</w:t>
      </w:r>
    </w:p>
    <w:p>
      <w:pPr>
        <w:pStyle w:val="Heading3"/>
        <w:rPr/>
      </w:pPr>
      <w:r>
        <w:rPr>
          <w:rFonts w:eastAsia="Microsoft YaHei" w:cs="Calibri"/>
          <w:b/>
          <w:color w:val="546E7A"/>
          <w:sz w:val="22"/>
          <w:szCs w:val="24"/>
          <w:lang w:val="en-CA" w:eastAsia="en-CA" w:bidi="ar-SA"/>
        </w:rPr>
        <w:t>5.4 Corridor selection and assignment</w:t>
      </w:r>
    </w:p>
    <w:p>
      <w:pPr>
        <w:pStyle w:val="Normal"/>
        <w:rPr/>
      </w:pPr>
      <w:r>
        <w:rPr>
          <w:rFonts w:eastAsia="Microsoft YaHei" w:cs="Calibri"/>
          <w:color w:val="263238"/>
          <w:sz w:val="18"/>
          <w:szCs w:val="24"/>
          <w:lang w:val="en-CA" w:eastAsia="en-CA" w:bidi="ar-SA"/>
        </w:rPr>
        <w:t>The vessel's operator selects the corridor, with the following default assignments that promote order and de-confliction:</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3199"/>
        <w:gridCol w:w="2400"/>
        <w:gridCol w:w="3427"/>
      </w:tblGrid>
      <w:tr>
        <w:trPr>
          <w:tblHeader w:val="true"/>
        </w:trPr>
        <w:tc>
          <w:tcPr>
            <w:tcW w:w="3199"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Traffic profile</w:t>
            </w:r>
          </w:p>
        </w:tc>
        <w:tc>
          <w:tcPr>
            <w:tcW w:w="24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Default corridor</w:t>
            </w:r>
          </w:p>
        </w:tc>
        <w:tc>
          <w:tcPr>
            <w:tcW w:w="3427"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Rationale</w:t>
            </w:r>
          </w:p>
        </w:tc>
      </w:tr>
      <w:tr>
        <w:trPr/>
        <w:tc>
          <w:tcPr>
            <w:tcW w:w="3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Class 1 and Class 3 vessels on through voyages</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Corridor One</w:t>
            </w:r>
          </w:p>
        </w:tc>
        <w:tc>
          <w:tcPr>
            <w:tcW w:w="34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Free navigation; minimal administrative load; deepest separation from coastal military infrastructure</w:t>
            </w:r>
          </w:p>
        </w:tc>
      </w:tr>
      <w:tr>
        <w:trPr/>
        <w:tc>
          <w:tcPr>
            <w:tcW w:w="3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Class 2 energy carriers loading or discharging at Iranian terminals</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Corridor Two</w:t>
            </w:r>
          </w:p>
        </w:tc>
        <w:tc>
          <w:tcPr>
            <w:tcW w:w="34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Direct routing; notification integrates with port scheduling; no diversion around the Musandam headland</w:t>
            </w:r>
          </w:p>
        </w:tc>
      </w:tr>
      <w:tr>
        <w:trPr/>
        <w:tc>
          <w:tcPr>
            <w:tcW w:w="3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Class 2 energy carriers on through voyages</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Operator's choice; Corridor One recommended in the daily schedule</w:t>
            </w:r>
          </w:p>
        </w:tc>
        <w:tc>
          <w:tcPr>
            <w:tcW w:w="34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Load balancing across both corridors</w:t>
            </w:r>
          </w:p>
        </w:tc>
      </w:tr>
      <w:tr>
        <w:trPr/>
        <w:tc>
          <w:tcPr>
            <w:tcW w:w="3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Class 5 humanitarian vessels</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Either corridor; expedited regime in both</w:t>
            </w:r>
          </w:p>
        </w:tc>
        <w:tc>
          <w:tcPr>
            <w:tcW w:w="34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Fastest available route; zero administrative delay</w:t>
            </w:r>
          </w:p>
        </w:tc>
      </w:tr>
      <w:tr>
        <w:trPr/>
        <w:tc>
          <w:tcPr>
            <w:tcW w:w="3199"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Class 7 naval and state vessels</w:t>
            </w:r>
          </w:p>
        </w:tc>
        <w:tc>
          <w:tcPr>
            <w:tcW w:w="2400"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Corridor One only, under Article 9.4</w:t>
            </w:r>
          </w:p>
        </w:tc>
        <w:tc>
          <w:tcPr>
            <w:tcW w:w="3427"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Keeps state vessels out of the territorial sea notification regime and inside the standoff geometry</w:t>
            </w:r>
          </w:p>
        </w:tc>
      </w:tr>
    </w:tbl>
    <w:p>
      <w:pPr>
        <w:pStyle w:val="Caption1"/>
        <w:rPr/>
      </w:pPr>
      <w:r>
        <w:rPr>
          <w:rFonts w:eastAsia="Microsoft YaHei" w:cs="Calibri"/>
          <w:color w:val="263238"/>
          <w:sz w:val="21"/>
          <w:szCs w:val="24"/>
          <w:lang w:val="en-CA" w:eastAsia="en-CA" w:bidi="ar-SA"/>
        </w:rPr>
        <w:t>Table 5.1: Corridor default assignments</w:t>
      </w:r>
    </w:p>
    <w:p>
      <w:pPr>
        <w:pStyle w:val="Normal"/>
        <w:rPr/>
      </w:pPr>
      <w:r>
        <w:rPr>
          <w:rFonts w:eastAsia="Microsoft YaHei" w:cs="Calibri"/>
          <w:color w:val="263238"/>
          <w:sz w:val="18"/>
          <w:szCs w:val="24"/>
          <w:lang w:val="en-CA" w:eastAsia="en-CA" w:bidi="ar-SA"/>
        </w:rPr>
        <w:t>The Corridor Operations Cell publishes a daily corridor schedule that balances traffic between the corridors, prevents bunching, and staggers Class 2 arrivals at single-point moorings. The schedule is advisory for Classes 1 through 6 and binding for Class 7.</w:t>
      </w:r>
    </w:p>
    <w:p>
      <w:pPr>
        <w:pStyle w:val="Heading3"/>
        <w:rPr/>
      </w:pPr>
      <w:r>
        <w:rPr>
          <w:rFonts w:eastAsia="Microsoft YaHei" w:cs="Calibri"/>
          <w:b/>
          <w:color w:val="546E7A"/>
          <w:sz w:val="22"/>
          <w:szCs w:val="24"/>
          <w:lang w:val="en-CA" w:eastAsia="en-CA" w:bidi="ar-SA"/>
        </w:rPr>
        <w:t>5.5 Capacity, speed, and spacing</w:t>
      </w:r>
    </w:p>
    <w:p>
      <w:pPr>
        <w:pStyle w:val="Normal"/>
        <w:rPr/>
      </w:pPr>
      <w:r>
        <w:rPr>
          <w:rFonts w:eastAsia="Microsoft YaHei" w:cs="Calibri"/>
          <w:color w:val="263238"/>
          <w:sz w:val="18"/>
          <w:szCs w:val="24"/>
          <w:lang w:val="en-CA" w:eastAsia="en-CA" w:bidi="ar-SA"/>
        </w:rPr>
        <w:t>Each corridor sustains up to 110 transits per day across both lanes under normal conditions, which exceeds the pre-conflict daily average. In-corridor speed operates between 8 and 14 knots for Classes 1, 2, and 3, with a 3 nautical mile separation between successive laden Class 2 vessels in the same lane. The Corridor Operations Cell adjusts spacing in reduced visibility, and announces adjustments through the daily schedule and the notice to mariners channel.</w:t>
      </w:r>
    </w:p>
    <w:p>
      <w:pPr>
        <w:pStyle w:val="Heading3"/>
        <w:rPr/>
      </w:pPr>
      <w:r>
        <w:rPr>
          <w:rFonts w:eastAsia="Microsoft YaHei" w:cs="Calibri"/>
          <w:b/>
          <w:color w:val="546E7A"/>
          <w:sz w:val="22"/>
          <w:szCs w:val="24"/>
          <w:lang w:val="en-CA" w:eastAsia="en-CA" w:bidi="ar-SA"/>
        </w:rPr>
        <w:t>5.6 Suspension geometry</w:t>
      </w:r>
    </w:p>
    <w:p>
      <w:pPr>
        <w:pStyle w:val="Normal"/>
        <w:rPr/>
      </w:pPr>
      <w:r>
        <w:rPr>
          <w:rFonts w:eastAsia="Microsoft YaHei" w:cs="Calibri"/>
          <w:color w:val="263238"/>
          <w:sz w:val="18"/>
          <w:szCs w:val="24"/>
          <w:lang w:val="en-CA" w:eastAsia="en-CA" w:bidi="ar-SA"/>
        </w:rPr>
        <w:t>A corridor never closes by unilateral act. Temporary routing adjustments occur only for: (a) imminent navigational hazard, announced by the Corridor Operations Cell for a maximum of 72 hours; (b) search and rescue operations, for the duration of the operation; or (c) mines or ordnance discovery, for the duration of clearance under Article 8.5. During any such adjustment, the other corridor absorbs the full traffic load, and the Framework's traffic figures in the Anticipation Registry switch to the surge pattern without any deviation flag. Closure beyond 72 hours constitutes a Class Two event under Annex D, category M-1.</w:t>
      </w:r>
    </w:p>
    <w:p>
      <w:pPr>
        <w:pStyle w:val="Heading2"/>
        <w:rPr/>
      </w:pPr>
      <w:bookmarkStart w:id="11" w:name="__RefHeading___Toc7204_2800514504"/>
      <w:bookmarkEnd w:id="11"/>
      <w:r>
        <w:rPr>
          <w:rFonts w:eastAsia="Microsoft YaHei" w:cs="Calibri"/>
          <w:b/>
          <w:color w:val="455A64"/>
          <w:sz w:val="26"/>
          <w:szCs w:val="24"/>
          <w:lang w:val="en-CA" w:eastAsia="en-CA" w:bidi="ar-SA"/>
        </w:rPr>
        <w:t>Article 6: Vessel Classification and Differential Treatment</w:t>
      </w:r>
    </w:p>
    <w:p>
      <w:pPr>
        <w:pStyle w:val="Heading3"/>
        <w:rPr/>
      </w:pPr>
      <w:r>
        <w:rPr>
          <w:rFonts w:eastAsia="Microsoft YaHei" w:cs="Calibri"/>
          <w:b/>
          <w:color w:val="546E7A"/>
          <w:sz w:val="22"/>
          <w:szCs w:val="24"/>
          <w:lang w:val="en-CA" w:eastAsia="en-CA" w:bidi="ar-SA"/>
        </w:rPr>
        <w:t>6.1 The classification system</w:t>
      </w:r>
    </w:p>
    <w:p>
      <w:pPr>
        <w:pStyle w:val="Normal"/>
        <w:rPr/>
      </w:pPr>
      <w:r>
        <w:rPr>
          <w:rFonts w:eastAsia="Microsoft YaHei" w:cs="Calibri"/>
          <w:color w:val="263238"/>
          <w:sz w:val="18"/>
          <w:szCs w:val="24"/>
          <w:lang w:val="en-CA" w:eastAsia="en-CA" w:bidi="ar-SA"/>
        </w:rPr>
        <w:t>Every vessel in the Governance Area holds one of eight classes. Classification follows the vessel's purpose, not its flag or ownership. The classification society data feed and the automatic identification system message establish the class automatically; the Corridor Operations Cell resolves any ambiguity within 4 hours, and its resolution binds operations until the vessel completes its transit. Annex B states the complete treatment matrix.</w:t>
      </w:r>
    </w:p>
    <w:p>
      <w:pPr>
        <w:pStyle w:val="Heading3"/>
        <w:rPr/>
      </w:pPr>
      <w:r>
        <w:rPr>
          <w:rFonts w:eastAsia="Microsoft YaHei" w:cs="Calibri"/>
          <w:b/>
          <w:color w:val="546E7A"/>
          <w:sz w:val="22"/>
          <w:szCs w:val="24"/>
          <w:lang w:val="en-CA" w:eastAsia="en-CA" w:bidi="ar-SA"/>
        </w:rPr>
        <w:t>6.2 The eight classes</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899"/>
        <w:gridCol w:w="3300"/>
        <w:gridCol w:w="3827"/>
      </w:tblGrid>
      <w:tr>
        <w:trPr>
          <w:tblHeader w:val="true"/>
        </w:trPr>
        <w:tc>
          <w:tcPr>
            <w:tcW w:w="1899"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Class</w:t>
            </w:r>
          </w:p>
        </w:tc>
        <w:tc>
          <w:tcPr>
            <w:tcW w:w="33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Description</w:t>
            </w:r>
          </w:p>
        </w:tc>
        <w:tc>
          <w:tcPr>
            <w:tcW w:w="3827"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Core treatment</w:t>
            </w:r>
          </w:p>
        </w:tc>
      </w:tr>
      <w:tr>
        <w:trPr/>
        <w:tc>
          <w:tcPr>
            <w:tcW w:w="18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Class 1: Commercial cargo</w:t>
            </w:r>
          </w:p>
        </w:tc>
        <w:tc>
          <w:tcPr>
            <w:tcW w:w="33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Container ships, bulk carriers, general cargo, ro-ro, vehicle carriers, reefers</w:t>
            </w:r>
          </w:p>
        </w:tc>
        <w:tc>
          <w:tcPr>
            <w:tcW w:w="38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Standard transit; Corridor One default; notice regime only in Corridor Two; no inspection at sea</w:t>
            </w:r>
          </w:p>
        </w:tc>
      </w:tr>
      <w:tr>
        <w:trPr/>
        <w:tc>
          <w:tcPr>
            <w:tcW w:w="18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Class 2: Energy carriers</w:t>
            </w:r>
          </w:p>
        </w:tc>
        <w:tc>
          <w:tcPr>
            <w:tcW w:w="33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Crude oil tankers, product tankers, LNG and LPG carriers, chemical tankers carrying petroleum derivatives</w:t>
            </w:r>
          </w:p>
        </w:tc>
        <w:tc>
          <w:tcPr>
            <w:tcW w:w="38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Priority scheduling; 3 nautical mile spacing; optional escorted windows; expedited notice; loading-terminal integration in Corridor Two</w:t>
            </w:r>
          </w:p>
        </w:tc>
      </w:tr>
      <w:tr>
        <w:trPr/>
        <w:tc>
          <w:tcPr>
            <w:tcW w:w="18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Class 3: Passenger vessels</w:t>
            </w:r>
          </w:p>
        </w:tc>
        <w:tc>
          <w:tcPr>
            <w:tcW w:w="33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Passenger ships, ferries, crew boats carrying more than 12 passengers</w:t>
            </w:r>
          </w:p>
        </w:tc>
        <w:tc>
          <w:tcPr>
            <w:tcW w:w="38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Highest protection priority; advance manifest through the notice system; daylight transit recommended; dedicated separation from Class 7 activity</w:t>
            </w:r>
          </w:p>
        </w:tc>
      </w:tr>
      <w:tr>
        <w:trPr/>
        <w:tc>
          <w:tcPr>
            <w:tcW w:w="18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Class 4: Fishing and small craft</w:t>
            </w:r>
          </w:p>
        </w:tc>
        <w:tc>
          <w:tcPr>
            <w:tcW w:w="33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Licensed fishing vessels, dhows, and small craft under 24 meters</w:t>
            </w:r>
          </w:p>
        </w:tc>
        <w:tc>
          <w:tcPr>
            <w:tcW w:w="38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Inshore traffic zones; no corridor transit during Class 2 convoy windows; registration through coastal authority as today; non-interference with corridor lanes</w:t>
            </w:r>
          </w:p>
        </w:tc>
      </w:tr>
      <w:tr>
        <w:trPr/>
        <w:tc>
          <w:tcPr>
            <w:tcW w:w="18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Class 5: Humanitarian vessels</w:t>
            </w:r>
          </w:p>
        </w:tc>
        <w:tc>
          <w:tcPr>
            <w:tcW w:w="33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Vessels carrying food, medicine, medical equipment, or relief personnel under charter to a humanitarian agency or verified humanitarian cargo</w:t>
            </w:r>
          </w:p>
        </w:tc>
        <w:tc>
          <w:tcPr>
            <w:tcW w:w="38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Expedited regime; zero administrative delay; zero inspection delay; protected status under the humanitarian absolute; immediate acknowledgment of any notice</w:t>
            </w:r>
          </w:p>
        </w:tc>
      </w:tr>
      <w:tr>
        <w:trPr/>
        <w:tc>
          <w:tcPr>
            <w:tcW w:w="18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Class 6: Government non-naval</w:t>
            </w:r>
          </w:p>
        </w:tc>
        <w:tc>
          <w:tcPr>
            <w:tcW w:w="33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Research, survey, coast guard, customs, and hydrographic vessels on non-enforcement missions</w:t>
            </w:r>
          </w:p>
        </w:tc>
        <w:tc>
          <w:tcPr>
            <w:tcW w:w="38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Notification regime in both corridors; mission description in the notice; de-confliction liaison through the Corridor Operations Cell</w:t>
            </w:r>
          </w:p>
        </w:tc>
      </w:tr>
      <w:tr>
        <w:trPr/>
        <w:tc>
          <w:tcPr>
            <w:tcW w:w="18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Class 7: Naval and state vessels</w:t>
            </w:r>
          </w:p>
        </w:tc>
        <w:tc>
          <w:tcPr>
            <w:tcW w:w="33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Warships and state vessels on government non-commercial service</w:t>
            </w:r>
          </w:p>
        </w:tc>
        <w:tc>
          <w:tcPr>
            <w:tcW w:w="38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Corridor One only; 96-hour advance movement notice through the military channel; standoff geometry of Article 9 applies; no embarkation of inspection teams against merchant vessels inside the Governance Area</w:t>
            </w:r>
          </w:p>
        </w:tc>
      </w:tr>
      <w:tr>
        <w:trPr/>
        <w:tc>
          <w:tcPr>
            <w:tcW w:w="1899"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Class 8: Vessels of concern</w:t>
            </w:r>
          </w:p>
        </w:tc>
        <w:tc>
          <w:tcPr>
            <w:tcW w:w="3300"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Any vessel with a documented, evidence-backed cargo or sanction question pending</w:t>
            </w:r>
          </w:p>
        </w:tc>
        <w:tc>
          <w:tcPr>
            <w:tcW w:w="3827"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21"/>
                <w:szCs w:val="24"/>
                <w:lang w:val="en-CA" w:eastAsia="en-CA" w:bidi="ar-SA"/>
              </w:rPr>
              <w:t>Anchor-and-verify protocol of Article 6.4: resolution at anchorage, never interdiction at sea</w:t>
            </w:r>
          </w:p>
        </w:tc>
      </w:tr>
    </w:tbl>
    <w:p>
      <w:pPr>
        <w:pStyle w:val="Caption1"/>
        <w:rPr/>
      </w:pPr>
      <w:r>
        <w:rPr>
          <w:rFonts w:eastAsia="Microsoft YaHei" w:cs="Calibri"/>
          <w:color w:val="263238"/>
          <w:sz w:val="21"/>
          <w:szCs w:val="24"/>
          <w:lang w:val="en-CA" w:eastAsia="en-CA" w:bidi="ar-SA"/>
        </w:rPr>
        <w:t>Table 6.1: Vessel classes and core treatment</w:t>
      </w:r>
    </w:p>
    <w:p>
      <w:pPr>
        <w:pStyle w:val="Heading3"/>
        <w:rPr/>
      </w:pPr>
      <w:r>
        <w:rPr>
          <w:rFonts w:eastAsia="Microsoft YaHei" w:cs="Calibri"/>
          <w:b/>
          <w:color w:val="546E7A"/>
          <w:sz w:val="22"/>
          <w:szCs w:val="24"/>
          <w:lang w:val="en-CA" w:eastAsia="en-CA" w:bidi="ar-SA"/>
        </w:rPr>
        <w:t>6.3 Treatment principles</w:t>
      </w:r>
    </w:p>
    <w:p>
      <w:pPr>
        <w:pStyle w:val="Normal"/>
        <w:numPr>
          <w:ilvl w:val="0"/>
          <w:numId w:val="1"/>
        </w:numPr>
        <w:spacing w:lineRule="auto" w:line="312" w:before="0" w:after="120"/>
        <w:rPr/>
      </w:pPr>
      <w:r>
        <w:rPr>
          <w:rFonts w:eastAsia="Microsoft YaHei" w:cs="Calibri"/>
          <w:color w:val="263238"/>
          <w:sz w:val="18"/>
          <w:szCs w:val="24"/>
          <w:lang w:val="en-CA" w:eastAsia="en-CA" w:bidi="ar-SA"/>
        </w:rPr>
        <w:t>Purpose governs. Two vessels of identical tonnage receive different treatment if their purposes differ, and identical treatment if their purposes match. Flag never enters the treatment decision.</w:t>
      </w:r>
    </w:p>
    <w:p>
      <w:pPr>
        <w:pStyle w:val="Normal"/>
        <w:numPr>
          <w:ilvl w:val="0"/>
          <w:numId w:val="1"/>
        </w:numPr>
        <w:spacing w:lineRule="auto" w:line="312" w:before="0" w:after="120"/>
        <w:rPr/>
      </w:pPr>
      <w:r>
        <w:rPr>
          <w:rFonts w:eastAsia="Microsoft YaHei" w:cs="Calibri"/>
          <w:color w:val="263238"/>
          <w:sz w:val="18"/>
          <w:szCs w:val="24"/>
          <w:lang w:val="en-CA" w:eastAsia="en-CA" w:bidi="ar-SA"/>
        </w:rPr>
        <w:t>Protection scales with vulnerability. Class 3 and Class 5 vessels receive the highest protection priority in scheduling, spacing, and incident response.</w:t>
      </w:r>
    </w:p>
    <w:p>
      <w:pPr>
        <w:pStyle w:val="Normal"/>
        <w:numPr>
          <w:ilvl w:val="0"/>
          <w:numId w:val="1"/>
        </w:numPr>
        <w:spacing w:lineRule="auto" w:line="312" w:before="0" w:after="120"/>
        <w:rPr/>
      </w:pPr>
      <w:r>
        <w:rPr>
          <w:rFonts w:eastAsia="Microsoft YaHei" w:cs="Calibri"/>
          <w:color w:val="263238"/>
          <w:sz w:val="18"/>
          <w:szCs w:val="24"/>
          <w:lang w:val="en-CA" w:eastAsia="en-CA" w:bidi="ar-SA"/>
        </w:rPr>
        <w:t>Friction scales with risk, at anchor. The Framework concentrates all verification friction in the anchor-and-verify protocol, so that the corridors themselves stay clean, fast, and free.</w:t>
      </w:r>
    </w:p>
    <w:p>
      <w:pPr>
        <w:pStyle w:val="Normal"/>
        <w:numPr>
          <w:ilvl w:val="0"/>
          <w:numId w:val="1"/>
        </w:numPr>
        <w:spacing w:lineRule="auto" w:line="312" w:before="0" w:after="120"/>
        <w:rPr/>
      </w:pPr>
      <w:r>
        <w:rPr>
          <w:rFonts w:eastAsia="Microsoft YaHei" w:cs="Calibri"/>
          <w:color w:val="263238"/>
          <w:sz w:val="18"/>
          <w:szCs w:val="24"/>
          <w:lang w:val="en-CA" w:eastAsia="en-CA" w:bidi="ar-SA"/>
        </w:rPr>
        <w:t>No class carries a charge. The Zero-Toll Rule applies to every class equally, including Class 7.</w:t>
      </w:r>
    </w:p>
    <w:p>
      <w:pPr>
        <w:pStyle w:val="Heading3"/>
        <w:rPr/>
      </w:pPr>
      <w:r>
        <w:rPr>
          <w:rFonts w:eastAsia="Microsoft YaHei" w:cs="Calibri"/>
          <w:b/>
          <w:color w:val="546E7A"/>
          <w:sz w:val="22"/>
          <w:szCs w:val="24"/>
          <w:lang w:val="en-CA" w:eastAsia="en-CA" w:bidi="ar-SA"/>
        </w:rPr>
        <w:t>6.4 Class 8 and the anchor-and-verify protocol</w:t>
      </w:r>
    </w:p>
    <w:p>
      <w:pPr>
        <w:pStyle w:val="Normal"/>
        <w:rPr/>
      </w:pPr>
      <w:r>
        <w:rPr>
          <w:rFonts w:eastAsia="Microsoft YaHei" w:cs="Calibri"/>
          <w:color w:val="263238"/>
          <w:sz w:val="18"/>
          <w:szCs w:val="24"/>
          <w:lang w:val="en-CA" w:eastAsia="en-CA" w:bidi="ar-SA"/>
        </w:rPr>
        <w:t>A vessel becomes Class 8 only through a written, evidence-backed referral to the Corridor Operations Cell by a Party, the Neutral Administrator, or a classification society, stating the specific cargo or documentation question. A referral based on nationality, ownership structure, or routing alone fails automatically and counts against the referring Party's claim record under Article 20.</w:t>
      </w:r>
    </w:p>
    <w:p>
      <w:pPr>
        <w:pStyle w:val="Normal"/>
        <w:rPr/>
      </w:pPr>
      <w:r>
        <w:rPr>
          <w:rFonts w:eastAsia="Microsoft YaHei" w:cs="Calibri"/>
          <w:color w:val="263238"/>
          <w:sz w:val="18"/>
          <w:szCs w:val="24"/>
          <w:lang w:val="en-CA" w:eastAsia="en-CA" w:bidi="ar-SA"/>
        </w:rPr>
        <w:t>Upon a valid referral, the vessel proceeds to a designated anchorage of its chosen corridor state, or continues its voyage if the question resolves through documents. Verification at anchorage completes within 48 hours through a joint team: one inspector designated by the flag state, one by the corridor coastal state, and one from the Technical Verification Group roster. The team examines documents and, only where documents leave a material gap, the specific cargo in question. The vessel then resumes transit with a verified-transit marker. The Framework architecture excludes at-sea boarding, diversion to a third state's port, and detention beyond 72 hours; a question unresolved at 72 hours routes to the Joint Coordination Council, and the vessel resumes transit at hour 96 with the dispute continuing ashore.</w:t>
      </w:r>
    </w:p>
    <w:p>
      <w:pPr>
        <w:pStyle w:val="Heading3"/>
        <w:rPr/>
      </w:pPr>
      <w:r>
        <w:rPr>
          <w:rFonts w:eastAsia="Microsoft YaHei" w:cs="Calibri"/>
          <w:b/>
          <w:color w:val="546E7A"/>
          <w:sz w:val="22"/>
          <w:szCs w:val="24"/>
          <w:lang w:val="en-CA" w:eastAsia="en-CA" w:bidi="ar-SA"/>
        </w:rPr>
        <w:t>6.5 The ground-truth patrol program</w:t>
      </w:r>
    </w:p>
    <w:p>
      <w:pPr>
        <w:pStyle w:val="Normal"/>
        <w:rPr/>
      </w:pPr>
      <w:r>
        <w:rPr>
          <w:rFonts w:eastAsia="Microsoft YaHei" w:cs="Calibri"/>
          <w:color w:val="263238"/>
          <w:sz w:val="18"/>
          <w:szCs w:val="24"/>
          <w:lang w:val="en-CA" w:eastAsia="en-CA" w:bidi="ar-SA"/>
        </w:rPr>
        <w:t>Electronic surveillance deceives: automatic identification system signals spoof, satellite passes gap, and radar coverage bends around geography. The Framework therefore maintains a human verification layer on the water. The Corridor Operations Cell conducts one ground-truth patrol per week in each corridor, executed by mixed-crew patrol craft provided on rotation by the coastal states and embarked with a Technical Verification Group observer. Each patrol physically verifies the position, identity, and declared class of at least 5 percent of the vessels transiting during the patrol window, selected by lot from the live traffic picture immediately before departure. Patrol findings reconcile against the shared operational picture within 24 hours; a discrepancy enters the Anticipation Registry as an operational flag and, where it suggests deliberate signal manipulation, refers to the verification channel under Article 20. A ground-truth patrol never boards, never delays, and never directs a merchant vessel: it observes, photographs, and reconciles. Obstruction of a scheduled patrol classifies under Annex D, category M-2.8. The patrol program substitutes human eyes and physical presence for the telemetry density that the Framework deliberately avoids, and its weekly rhythm keeps the electronic picture honest without turning the corridors into a surveillance grid.</w:t>
      </w:r>
    </w:p>
    <w:p>
      <w:pPr>
        <w:pStyle w:val="Heading2"/>
        <w:rPr/>
      </w:pPr>
      <w:bookmarkStart w:id="12" w:name="__RefHeading___Toc7206_2800514504"/>
      <w:bookmarkEnd w:id="12"/>
      <w:r>
        <w:rPr>
          <w:rFonts w:eastAsia="Microsoft YaHei" w:cs="Calibri"/>
          <w:b/>
          <w:color w:val="455A64"/>
          <w:sz w:val="26"/>
          <w:szCs w:val="24"/>
          <w:lang w:val="en-CA" w:eastAsia="en-CA" w:bidi="ar-SA"/>
        </w:rPr>
        <w:t>Article 7: The Zero-Toll Rule and the Transit Services Fund</w:t>
      </w:r>
    </w:p>
    <w:p>
      <w:pPr>
        <w:pStyle w:val="Heading3"/>
        <w:rPr/>
      </w:pPr>
      <w:r>
        <w:rPr>
          <w:rFonts w:eastAsia="Microsoft YaHei" w:cs="Calibri"/>
          <w:b/>
          <w:color w:val="546E7A"/>
          <w:sz w:val="22"/>
          <w:szCs w:val="24"/>
          <w:lang w:val="en-CA" w:eastAsia="en-CA" w:bidi="ar-SA"/>
        </w:rPr>
        <w:t>7.1 The Zero-Toll Rule</w:t>
      </w:r>
    </w:p>
    <w:p>
      <w:pPr>
        <w:pStyle w:val="Normal"/>
        <w:rPr/>
      </w:pPr>
      <w:r>
        <w:rPr>
          <w:rFonts w:eastAsia="Microsoft YaHei" w:cs="Calibri"/>
          <w:color w:val="263238"/>
          <w:sz w:val="18"/>
          <w:szCs w:val="24"/>
          <w:lang w:val="en-CA" w:eastAsia="en-CA" w:bidi="ar-SA"/>
        </w:rPr>
        <w:t>No charge, fee, toll, due, levy, or payment of any kind attaches to the act of transit through Corridor One or Corridor Two, whether demanded by a Party, a coastal authority, a state enterprise, or any intermediary, and whether framed as a transit fee, a security fee, an environmental fee, a coordination fee, a service fee, or any other description. The substance of a transaction governs its character, not its legal form; a charge whose economic substance prices passage counts as a toll regardless of its label, per Article 21.5. The Rule is absolute, perpetual under the Continuing Effect Rule, and enforceable through Annex D category M-1, which classifies any toll demand or toll collection as a Class Two event on the first occurrence and a Class Three event on the second. The Rule satisfies the foremost maritime demand registered by the United States and removes the question from the negotiating table permanently.</w:t>
      </w:r>
    </w:p>
    <w:p>
      <w:pPr>
        <w:pStyle w:val="Heading3"/>
        <w:rPr/>
      </w:pPr>
      <w:r>
        <w:rPr>
          <w:rFonts w:eastAsia="Microsoft YaHei" w:cs="Calibri"/>
          <w:b/>
          <w:color w:val="546E7A"/>
          <w:sz w:val="22"/>
          <w:szCs w:val="24"/>
          <w:lang w:val="en-CA" w:eastAsia="en-CA" w:bidi="ar-SA"/>
        </w:rPr>
        <w:t>7.2 The problem the Fund solves</w:t>
      </w:r>
    </w:p>
    <w:p>
      <w:pPr>
        <w:pStyle w:val="Normal"/>
        <w:rPr/>
      </w:pPr>
      <w:r>
        <w:rPr>
          <w:rFonts w:eastAsia="Microsoft YaHei" w:cs="Calibri"/>
          <w:color w:val="263238"/>
          <w:sz w:val="18"/>
          <w:szCs w:val="24"/>
          <w:lang w:val="en-CA" w:eastAsia="en-CA" w:bidi="ar-SA"/>
        </w:rPr>
        <w:t>Corridor services cost money: vessel traffic services, hydrographic survey, aids to navigation, search and rescue readiness, pollution response, the Corridor Operations Cell, the ground-truth patrols of Article 6.5, and the de-confliction infrastructure of Article 9. A toll would finance these costs by taxing passage, which the Zero-Toll Rule prohibits. Neglect would finance them not at all, which degrades safety and invites the return of informal charges. The Transit Services Fund solves the dilemma: the Framework finances corridor services collectively, in advance, from multilateral contributions, and compensates verified service delivery through the claim procedure of Article 20. Passage stays free; services stay funded; the coastal states that deliver the services receive fair, verified compensation disconnected from any vessel's transit right.</w:t>
      </w:r>
    </w:p>
    <w:p>
      <w:pPr>
        <w:pStyle w:val="Heading3"/>
        <w:rPr/>
      </w:pPr>
      <w:r>
        <w:rPr>
          <w:rFonts w:eastAsia="Microsoft YaHei" w:cs="Calibri"/>
          <w:b/>
          <w:color w:val="546E7A"/>
          <w:sz w:val="22"/>
          <w:szCs w:val="24"/>
          <w:lang w:val="en-CA" w:eastAsia="en-CA" w:bidi="ar-SA"/>
        </w:rPr>
        <w:t>7.3 Fund capitalization</w:t>
      </w:r>
    </w:p>
    <w:p>
      <w:pPr>
        <w:pStyle w:val="Normal"/>
        <w:rPr/>
      </w:pPr>
      <w:r>
        <w:rPr>
          <w:rFonts w:eastAsia="Microsoft YaHei" w:cs="Calibri"/>
          <w:color w:val="263238"/>
          <w:sz w:val="18"/>
          <w:szCs w:val="24"/>
          <w:lang w:val="en-CA" w:eastAsia="en-CA" w:bidi="ar-SA"/>
        </w:rPr>
        <w:t>Annex C constitutes the Transit Services Fund Charter. The Fund opens with a capitalization of USD 240 million for the first operating year, structured as follows:</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799"/>
        <w:gridCol w:w="1301"/>
        <w:gridCol w:w="1999"/>
        <w:gridCol w:w="2926"/>
      </w:tblGrid>
      <w:tr>
        <w:trPr>
          <w:tblHeader w:val="true"/>
        </w:trPr>
        <w:tc>
          <w:tcPr>
            <w:tcW w:w="2799"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Source</w:t>
            </w:r>
          </w:p>
        </w:tc>
        <w:tc>
          <w:tcPr>
            <w:tcW w:w="130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Share</w:t>
            </w:r>
          </w:p>
        </w:tc>
        <w:tc>
          <w:tcPr>
            <w:tcW w:w="1999"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Amount (USD million)</w:t>
            </w:r>
          </w:p>
        </w:tc>
        <w:tc>
          <w:tcPr>
            <w:tcW w:w="2926"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Mechanism</w:t>
            </w:r>
          </w:p>
        </w:tc>
      </w:tr>
      <w:tr>
        <w:trPr/>
        <w:tc>
          <w:tcPr>
            <w:tcW w:w="27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Gulf littoral states consortium</w:t>
            </w:r>
          </w:p>
        </w:tc>
        <w:tc>
          <w:tcPr>
            <w:tcW w:w="13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25 percent</w:t>
            </w:r>
          </w:p>
        </w:tc>
        <w:tc>
          <w:tcPr>
            <w:tcW w:w="1999"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60</w:t>
            </w:r>
          </w:p>
        </w:tc>
        <w:tc>
          <w:tcPr>
            <w:tcW w:w="29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Assessed contributions from all littoral states</w:t>
            </w:r>
          </w:p>
        </w:tc>
      </w:tr>
      <w:tr>
        <w:trPr/>
        <w:tc>
          <w:tcPr>
            <w:tcW w:w="27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Energy-importing states consortium</w:t>
            </w:r>
          </w:p>
        </w:tc>
        <w:tc>
          <w:tcPr>
            <w:tcW w:w="13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20 percent</w:t>
            </w:r>
          </w:p>
        </w:tc>
        <w:tc>
          <w:tcPr>
            <w:tcW w:w="1999"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48</w:t>
            </w:r>
          </w:p>
        </w:tc>
        <w:tc>
          <w:tcPr>
            <w:tcW w:w="29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Assessed contributions from the principal importing states, collected through the Neutral Administrator</w:t>
            </w:r>
          </w:p>
        </w:tc>
      </w:tr>
      <w:tr>
        <w:trPr/>
        <w:tc>
          <w:tcPr>
            <w:tcW w:w="27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Reconstruction framework seed</w:t>
            </w:r>
          </w:p>
        </w:tc>
        <w:tc>
          <w:tcPr>
            <w:tcW w:w="13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20 percent</w:t>
            </w:r>
          </w:p>
        </w:tc>
        <w:tc>
          <w:tcPr>
            <w:tcW w:w="1999"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48</w:t>
            </w:r>
          </w:p>
        </w:tc>
        <w:tc>
          <w:tcPr>
            <w:tcW w:w="29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 first-call allocation from the reconstruction framework of Article 14 and Annex N, recognized as a strait-stability investment</w:t>
            </w:r>
          </w:p>
        </w:tc>
      </w:tr>
      <w:tr>
        <w:trPr/>
        <w:tc>
          <w:tcPr>
            <w:tcW w:w="27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Shipping and insurance industry facility</w:t>
            </w:r>
          </w:p>
        </w:tc>
        <w:tc>
          <w:tcPr>
            <w:tcW w:w="13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20 percent</w:t>
            </w:r>
          </w:p>
        </w:tc>
        <w:tc>
          <w:tcPr>
            <w:tcW w:w="1999"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48</w:t>
            </w:r>
          </w:p>
        </w:tc>
        <w:tc>
          <w:tcPr>
            <w:tcW w:w="29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 collective facility subscribed by protection and indemnity clubs and hull underwriters, proportional to exposure, replacing war-risk premia as those premia decline</w:t>
            </w:r>
          </w:p>
        </w:tc>
      </w:tr>
      <w:tr>
        <w:trPr/>
        <w:tc>
          <w:tcPr>
            <w:tcW w:w="27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Escrow yield allocation</w:t>
            </w:r>
          </w:p>
        </w:tc>
        <w:tc>
          <w:tcPr>
            <w:tcW w:w="13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10 percent</w:t>
            </w:r>
          </w:p>
        </w:tc>
        <w:tc>
          <w:tcPr>
            <w:tcW w:w="1999"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24</w:t>
            </w:r>
          </w:p>
        </w:tc>
        <w:tc>
          <w:tcPr>
            <w:tcW w:w="29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Interest and yield earned on the escrow balances of Article 13, allocated by the Neutral Administrator</w:t>
            </w:r>
          </w:p>
        </w:tc>
      </w:tr>
      <w:tr>
        <w:trPr/>
        <w:tc>
          <w:tcPr>
            <w:tcW w:w="2799"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GCC Coordination Fund</w:t>
            </w:r>
          </w:p>
        </w:tc>
        <w:tc>
          <w:tcPr>
            <w:tcW w:w="1301"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5 percent</w:t>
            </w:r>
          </w:p>
        </w:tc>
        <w:tc>
          <w:tcPr>
            <w:tcW w:w="1999"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12</w:t>
            </w:r>
          </w:p>
        </w:tc>
        <w:tc>
          <w:tcPr>
            <w:tcW w:w="2926"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An allocation from the Gulf Cooperation Council budget</w:t>
            </w:r>
          </w:p>
        </w:tc>
      </w:tr>
    </w:tbl>
    <w:p>
      <w:pPr>
        <w:pStyle w:val="Caption1"/>
        <w:rPr/>
      </w:pPr>
      <w:r>
        <w:rPr>
          <w:rFonts w:eastAsia="Microsoft YaHei" w:cs="Calibri"/>
          <w:color w:val="263238"/>
          <w:sz w:val="21"/>
          <w:szCs w:val="24"/>
          <w:lang w:val="en-CA" w:eastAsia="en-CA" w:bidi="ar-SA"/>
        </w:rPr>
        <w:t>Table 7.1: Transit Services Fund first-year capitalization</w:t>
      </w:r>
    </w:p>
    <w:p>
      <w:pPr>
        <w:pStyle w:val="Normal"/>
        <w:rPr/>
      </w:pPr>
      <w:r>
        <w:rPr>
          <w:rFonts w:eastAsia="Microsoft YaHei" w:cs="Calibri"/>
          <w:color w:val="263238"/>
          <w:sz w:val="18"/>
          <w:szCs w:val="24"/>
          <w:lang w:val="en-CA" w:eastAsia="en-CA" w:bidi="ar-SA"/>
        </w:rPr>
        <w:t>No contribution conditions transit. No contributor receives routing preference. The contribution schedule recurs annually under the Continuing Effect Rule, and the Joint Coordination Council adjusts it each year through the budget process of Annex C, Section C.5, against the audited cost of services.</w:t>
      </w:r>
    </w:p>
    <w:p>
      <w:pPr>
        <w:pStyle w:val="Heading3"/>
        <w:rPr/>
      </w:pPr>
      <w:r>
        <w:rPr>
          <w:rFonts w:eastAsia="Microsoft YaHei" w:cs="Calibri"/>
          <w:b/>
          <w:color w:val="546E7A"/>
          <w:sz w:val="22"/>
          <w:szCs w:val="24"/>
          <w:lang w:val="en-CA" w:eastAsia="en-CA" w:bidi="ar-SA"/>
        </w:rPr>
        <w:t>7.4 Service compensation without tolls</w:t>
      </w:r>
    </w:p>
    <w:p>
      <w:pPr>
        <w:pStyle w:val="Normal"/>
        <w:rPr/>
      </w:pPr>
      <w:r>
        <w:rPr>
          <w:rFonts w:eastAsia="Microsoft YaHei" w:cs="Calibri"/>
          <w:color w:val="263238"/>
          <w:sz w:val="18"/>
          <w:szCs w:val="24"/>
          <w:lang w:val="en-CA" w:eastAsia="en-CA" w:bidi="ar-SA"/>
        </w:rPr>
        <w:t>Iran, Oman, and the UAE deliver corridor services within their respective corridors: vessel traffic service watch-keeping, pilotage availability, aids to navigation maintenance, coastal radar coverage, search and rescue readiness, ground-truth patrol rotation, and pollution response stand-by. Iran delivers services in Corridor Two. Oman and the UAE coordinate delivery in Corridor One and the precautionary areas. Saudi Arabia, Kuwait, Qatar, and Bahrain contribute to service delivery through the Gulf littoral states consortium and provide specialized assets, including coast guard units, patrol craft, and hydrographic survey vessels, on a rotational basis or through the GCC Coordination Fund. Each coastal state claims compensation through the Substantiated Claim Procedure of Article 20: the claim states the service, the period, and the cost basis; the Technical Verification Group confirms delivery against operational logs; the Neutral Administrator pays confirmed claims from the Fund monthly in arrears. The compensation rate card appears in Annex C, Section C.6, benchmarked to documented cost plus a 10 percent availability margin. A coastal state never bills a vessel; it bills the Fund. A vessel never pays for safety; the community of beneficiaries pays collectively.</w:t>
      </w:r>
    </w:p>
    <w:p>
      <w:pPr>
        <w:pStyle w:val="Heading3"/>
        <w:rPr/>
      </w:pPr>
      <w:r>
        <w:rPr>
          <w:rFonts w:eastAsia="Microsoft YaHei" w:cs="Calibri"/>
          <w:b/>
          <w:color w:val="546E7A"/>
          <w:sz w:val="22"/>
          <w:szCs w:val="24"/>
          <w:lang w:val="en-CA" w:eastAsia="en-CA" w:bidi="ar-SA"/>
        </w:rPr>
        <w:t>7.5 War-risk premium unwinding</w:t>
      </w:r>
    </w:p>
    <w:p>
      <w:pPr>
        <w:pStyle w:val="Normal"/>
        <w:rPr/>
      </w:pPr>
      <w:r>
        <w:rPr>
          <w:rFonts w:eastAsia="Microsoft YaHei" w:cs="Calibri"/>
          <w:color w:val="263238"/>
          <w:sz w:val="18"/>
          <w:szCs w:val="24"/>
          <w:lang w:val="en-CA" w:eastAsia="en-CA" w:bidi="ar-SA"/>
        </w:rPr>
        <w:t>As the corridor system demonstrates stability, the Framework tracks the war-risk insurance premium for Gulf transits through the industry facility's published index. Each quarter of Level I or Level II standing triggers a public stability attestation from the Joint Coordination Council, which underwriters use to step the premium down. Annex C, Section C.7 fixes the target: restoration of pre-February-2026 premium levels within four quarters of sustained Level I or Level II standing. The premium decline returns value to shipowners and cargo owners far exceeding the industry facility contribution, which keeps the facility subscribed voluntarily.</w:t>
      </w:r>
    </w:p>
    <w:p>
      <w:pPr>
        <w:pStyle w:val="Heading3"/>
        <w:rPr/>
      </w:pPr>
      <w:r>
        <w:rPr>
          <w:rFonts w:eastAsia="Microsoft YaHei" w:cs="Calibri"/>
          <w:b/>
          <w:color w:val="546E7A"/>
          <w:sz w:val="22"/>
          <w:szCs w:val="24"/>
          <w:lang w:val="en-CA" w:eastAsia="en-CA" w:bidi="ar-SA"/>
        </w:rPr>
        <w:t>7.6 Anti-evasion rule</w:t>
      </w:r>
    </w:p>
    <w:p>
      <w:pPr>
        <w:pStyle w:val="Normal"/>
        <w:rPr/>
      </w:pPr>
      <w:r>
        <w:rPr>
          <w:rFonts w:eastAsia="Microsoft YaHei" w:cs="Calibri"/>
          <w:color w:val="263238"/>
          <w:sz w:val="18"/>
          <w:szCs w:val="24"/>
          <w:lang w:val="en-CA" w:eastAsia="en-CA" w:bidi="ar-SA"/>
        </w:rPr>
        <w:t>Any reappearance of a charge on passage, under any name and from any quarter, activates the anti-evasion rule: the Corridor Operations Cell logs the demand, the affected vessel receives an immediate verified-transit marker and proceeds without payment, the Fund reimburses any amount actually collected, and the demanding authority's compensation claims suspend until it restitutes the amount with a 25 percent surcharge credited to the Fund. The rule makes toll evasion of the Zero-Toll Rule financially self-defeating by design.</w:t>
      </w:r>
    </w:p>
    <w:p>
      <w:pPr>
        <w:pStyle w:val="Heading2"/>
        <w:rPr/>
      </w:pPr>
      <w:bookmarkStart w:id="13" w:name="__RefHeading___Toc7208_2800514504"/>
      <w:bookmarkEnd w:id="13"/>
      <w:r>
        <w:rPr>
          <w:rFonts w:eastAsia="Microsoft YaHei" w:cs="Calibri"/>
          <w:b/>
          <w:color w:val="455A64"/>
          <w:sz w:val="26"/>
          <w:szCs w:val="24"/>
          <w:lang w:val="en-CA" w:eastAsia="en-CA" w:bidi="ar-SA"/>
        </w:rPr>
        <w:t>Article 8: Safe Passage and the Non-Interdiction Protocol</w:t>
      </w:r>
    </w:p>
    <w:p>
      <w:pPr>
        <w:pStyle w:val="Heading3"/>
        <w:rPr/>
      </w:pPr>
      <w:r>
        <w:rPr>
          <w:rFonts w:eastAsia="Microsoft YaHei" w:cs="Calibri"/>
          <w:b/>
          <w:color w:val="263238"/>
          <w:sz w:val="18"/>
          <w:szCs w:val="24"/>
          <w:lang w:val="en-CA" w:eastAsia="en-CA" w:bidi="ar-SA"/>
        </w:rPr>
        <w:t>8.1 The non-interdiction protocol</w:t>
      </w:r>
    </w:p>
    <w:p>
      <w:pPr>
        <w:pStyle w:val="Normal"/>
        <w:rPr/>
      </w:pPr>
      <w:r>
        <w:rPr>
          <w:rFonts w:eastAsia="Microsoft YaHei" w:cs="Calibri"/>
          <w:color w:val="263238"/>
          <w:sz w:val="18"/>
          <w:szCs w:val="24"/>
          <w:lang w:val="en-CA" w:eastAsia="en-CA" w:bidi="ar-SA"/>
        </w:rPr>
        <w:t>Commercial transit operates under an absolute non-interdiction protocol within the Framework. The protocol binds every organ of both Parties and every force under their command or coordination: no vessel of Classes 1 through 6 faces attack, seizure, boarding for enforcement, harassment, diversion, or detention within the Governance Area, except the anchor-and-verify protocol of Article 6.4 executed exactly as written. The protocol excludes no flag and no cargo category, subject only to the Class 8 procedure. The protocol satisfies the United States registration of an end to attacks on shipping, and it satisfies the Iranian registration of an end to the boarding and seizure of Iran-linked vessels by external forces: the same rule binds both directions symmetrically.</w:t>
      </w:r>
    </w:p>
    <w:p>
      <w:pPr>
        <w:pStyle w:val="Heading3"/>
        <w:rPr/>
      </w:pPr>
      <w:r>
        <w:rPr>
          <w:rFonts w:eastAsia="Microsoft YaHei" w:cs="Calibri"/>
          <w:b/>
          <w:color w:val="263238"/>
          <w:sz w:val="18"/>
          <w:szCs w:val="24"/>
          <w:lang w:val="en-CA" w:eastAsia="en-CA" w:bidi="ar-SA"/>
        </w:rPr>
        <w:t>8.2 Safe passage services</w:t>
      </w:r>
    </w:p>
    <w:p>
      <w:pPr>
        <w:pStyle w:val="Normal"/>
        <w:rPr/>
      </w:pPr>
      <w:r>
        <w:rPr>
          <w:rFonts w:eastAsia="Microsoft YaHei" w:cs="Calibri"/>
          <w:color w:val="263238"/>
          <w:sz w:val="18"/>
          <w:szCs w:val="24"/>
          <w:lang w:val="en-CA" w:eastAsia="en-CA" w:bidi="ar-SA"/>
        </w:rPr>
        <w:t>The Corridor Operations Cell operates: (a) a 24-hour watch with direct lines to both coastal vessel traffic services; (b) a transit information broadcast every 6 hours covering traffic density, hazards, and Class 7 movements in general terms; (c) optional escorted transit windows for Class 2 vessels, organized with the coastal states' coast guards, twice daily in each direction; and (d) a vessel assistance desk for mechanical casualties, with contracted tug and salvage capacity on 2-hour notice at the eastern and western approaches. A vessel requests an escorted window through the daily schedule; the request carries no charge.</w:t>
      </w:r>
    </w:p>
    <w:p>
      <w:pPr>
        <w:pStyle w:val="Heading3"/>
        <w:rPr/>
      </w:pPr>
      <w:r>
        <w:rPr>
          <w:rFonts w:eastAsia="Microsoft YaHei" w:cs="Calibri"/>
          <w:b/>
          <w:color w:val="263238"/>
          <w:sz w:val="18"/>
          <w:szCs w:val="24"/>
          <w:lang w:val="en-CA" w:eastAsia="en-CA" w:bidi="ar-SA"/>
        </w:rPr>
        <w:t>8.3 Casualty and distress</w:t>
      </w:r>
    </w:p>
    <w:p>
      <w:pPr>
        <w:pStyle w:val="Normal"/>
        <w:rPr/>
      </w:pPr>
      <w:r>
        <w:rPr>
          <w:rFonts w:eastAsia="Microsoft YaHei" w:cs="Calibri"/>
          <w:color w:val="263238"/>
          <w:sz w:val="18"/>
          <w:szCs w:val="24"/>
          <w:lang w:val="en-CA" w:eastAsia="en-CA" w:bidi="ar-SA"/>
        </w:rPr>
        <w:t>A vessel in distress receives assistance from the nearest capable unit regardless of flag, under the International Convention on Maritime Search and Rescue and the safety-of-life principles of the International Convention for the Safety of Life at Sea. The Framework designates: the eastern approach search and rescue region to Oman's coordination, the western approach region to Iran's coordination, and mutual entry authority for rescue units of both coastal states across the whole Governance Area for the duration of any declared distress phase. Rescue activity never triggers a de-confliction flag; the Corridor Operations Cell broadcasts rescue-unit movements to all military channels simultaneously.</w:t>
      </w:r>
    </w:p>
    <w:p>
      <w:pPr>
        <w:pStyle w:val="Heading3"/>
        <w:rPr/>
      </w:pPr>
      <w:r>
        <w:rPr>
          <w:rFonts w:eastAsia="Microsoft YaHei" w:cs="Calibri"/>
          <w:b/>
          <w:color w:val="263238"/>
          <w:sz w:val="18"/>
          <w:szCs w:val="24"/>
          <w:lang w:val="en-CA" w:eastAsia="en-CA" w:bidi="ar-SA"/>
        </w:rPr>
        <w:t>8.4 Environmental protection</w:t>
      </w:r>
    </w:p>
    <w:p>
      <w:pPr>
        <w:pStyle w:val="Normal"/>
        <w:rPr/>
      </w:pPr>
      <w:r>
        <w:rPr>
          <w:rFonts w:eastAsia="Microsoft YaHei" w:cs="Calibri"/>
          <w:color w:val="263238"/>
          <w:sz w:val="18"/>
          <w:szCs w:val="24"/>
          <w:lang w:val="en-CA" w:eastAsia="en-CA" w:bidi="ar-SA"/>
        </w:rPr>
        <w:t>The Framework establishes a joint pollution response plan: tiered equipment stockpiles at Bandar Abbas and Khasab, a 6-hour response standard for Tier 2 spills, joint exercises twice yearly, and a shared incident command template. Compensation for pollution damage follows the international liability conventions; the Fund carries no liability role. Ballast and discharge rules follow the International Convention for the Prevention of Pollution from Ships as implemented by each coastal state, enforced at anchorage and in port, never through at-sea interdiction.</w:t>
      </w:r>
    </w:p>
    <w:p>
      <w:pPr>
        <w:pStyle w:val="Heading3"/>
        <w:rPr/>
      </w:pPr>
      <w:r>
        <w:rPr>
          <w:rFonts w:eastAsia="Microsoft YaHei" w:cs="Calibri"/>
          <w:b/>
          <w:color w:val="263238"/>
          <w:sz w:val="18"/>
          <w:szCs w:val="24"/>
          <w:lang w:val="en-CA" w:eastAsia="en-CA" w:bidi="ar-SA"/>
        </w:rPr>
        <w:t>8.5 Mines and ordnance</w:t>
      </w:r>
    </w:p>
    <w:p>
      <w:pPr>
        <w:pStyle w:val="Normal"/>
        <w:rPr/>
      </w:pPr>
      <w:r>
        <w:rPr>
          <w:rFonts w:eastAsia="Microsoft YaHei" w:cs="Calibri"/>
          <w:color w:val="263238"/>
          <w:sz w:val="18"/>
          <w:szCs w:val="24"/>
          <w:lang w:val="en-CA" w:eastAsia="en-CA" w:bidi="ar-SA"/>
        </w:rPr>
        <w:t>The Framework architecture excludes the laying, deployment, or tolerance of naval mines anywhere in the Governance Area, by any actor, at any time. Discovery of a mine or ordnance activates the clearance protocol: the Corridor Operations Cell declares a 72-hour routing adjustment, both coastal states' clearance units operate jointly under Neutral Administrator observation, and commercial traffic reroutes through the unaffected corridor. Mine clearance activity by one coastal state inside the other's notification regime proceeds under a standing pre-authorization in Annex H, so that clearance never waits on politics.</w:t>
      </w:r>
    </w:p>
    <w:p>
      <w:pPr>
        <w:pStyle w:val="Heading3"/>
        <w:rPr/>
      </w:pPr>
      <w:r>
        <w:rPr>
          <w:rFonts w:eastAsia="Microsoft YaHei" w:cs="Calibri"/>
          <w:b/>
          <w:color w:val="263238"/>
          <w:sz w:val="18"/>
          <w:szCs w:val="24"/>
          <w:lang w:val="en-CA" w:eastAsia="en-CA" w:bidi="ar-SA"/>
        </w:rPr>
        <w:t>8.6 The joint openness declaration</w:t>
      </w:r>
    </w:p>
    <w:p>
      <w:pPr>
        <w:pStyle w:val="Normal"/>
        <w:rPr/>
      </w:pPr>
      <w:r>
        <w:rPr>
          <w:rFonts w:eastAsia="Microsoft YaHei" w:cs="Calibri"/>
          <w:color w:val="263238"/>
          <w:sz w:val="18"/>
          <w:szCs w:val="24"/>
          <w:lang w:val="en-CA" w:eastAsia="en-CA" w:bidi="ar-SA"/>
        </w:rPr>
        <w:t>Within 7 days of signature, all Gulf littoral states and the United States issue a joint public declaration that the Mediator of Record and the Secretary-General of the Gulf Cooperation Council draft, stating that all channels of the Strait of Hormuz and the approaches through the Gulf of Oman operate open, that passage carries no toll, and that the non-interdiction protocol governs all traffic. The Parties issue the declaration collectively and deposit it with the United Nations Secretary-General. The declaration satisfies the public-commitment registration of the United States while attributing the commitment to the shared architecture rather than to any Party's unilateral concession. The Corridor Operations Cell thereafter publishes a weekly openness statement confirming corridor status, transit counts, and incident figures, so that the declaration renews itself through verifiable fact rather than repeated diplomacy.</w:t>
      </w:r>
    </w:p>
    <w:p>
      <w:pPr>
        <w:pStyle w:val="Heading2"/>
        <w:rPr/>
      </w:pPr>
      <w:bookmarkStart w:id="14" w:name="__RefHeading___Toc7210_2800514504"/>
      <w:bookmarkEnd w:id="14"/>
      <w:r>
        <w:rPr>
          <w:rFonts w:eastAsia="Microsoft YaHei" w:cs="Calibri"/>
          <w:b/>
          <w:color w:val="455A64"/>
          <w:sz w:val="26"/>
          <w:szCs w:val="24"/>
          <w:lang w:val="en-CA" w:eastAsia="en-CA" w:bidi="ar-SA"/>
        </w:rPr>
        <w:t>Article 9: Naval De-confliction and Standoff Geometry</w:t>
      </w:r>
    </w:p>
    <w:p>
      <w:pPr>
        <w:pStyle w:val="Heading3"/>
        <w:rPr/>
      </w:pPr>
      <w:r>
        <w:rPr>
          <w:rFonts w:eastAsia="Microsoft YaHei" w:cs="Calibri"/>
          <w:b/>
          <w:color w:val="263238"/>
          <w:sz w:val="18"/>
          <w:szCs w:val="24"/>
          <w:lang w:val="en-CA" w:eastAsia="en-CA" w:bidi="ar-SA"/>
        </w:rPr>
        <w:t>9.1 Purpose</w:t>
      </w:r>
    </w:p>
    <w:p>
      <w:pPr>
        <w:pStyle w:val="Normal"/>
        <w:rPr/>
      </w:pPr>
      <w:r>
        <w:rPr>
          <w:rFonts w:eastAsia="Microsoft YaHei" w:cs="Calibri"/>
          <w:color w:val="263238"/>
          <w:sz w:val="18"/>
          <w:szCs w:val="24"/>
          <w:lang w:val="en-CA" w:eastAsia="en-CA" w:bidi="ar-SA"/>
        </w:rPr>
        <w:t>This Article keeps the military forces of the Parties separated, informed, and predictable. It converts the geography of the Strait into a geometry of assurance: every naval movement generates notice, every notice generates acknowledgment, and every approach toward a red line meets a structural barrier before it meets a military response.</w:t>
      </w:r>
    </w:p>
    <w:p>
      <w:pPr>
        <w:pStyle w:val="Heading3"/>
        <w:rPr/>
      </w:pPr>
      <w:r>
        <w:rPr>
          <w:rFonts w:eastAsia="Microsoft YaHei" w:cs="Calibri"/>
          <w:b/>
          <w:color w:val="263238"/>
          <w:sz w:val="18"/>
          <w:szCs w:val="24"/>
          <w:lang w:val="en-CA" w:eastAsia="en-CA" w:bidi="ar-SA"/>
        </w:rPr>
        <w:t>9.2 The standoff geometry</w:t>
      </w:r>
    </w:p>
    <w:p>
      <w:pPr>
        <w:pStyle w:val="Normal"/>
        <w:rPr/>
      </w:pPr>
      <w:r>
        <w:rPr>
          <w:rFonts w:eastAsia="Microsoft YaHei" w:cs="Calibri"/>
          <w:color w:val="263238"/>
          <w:sz w:val="18"/>
          <w:szCs w:val="24"/>
          <w:lang w:val="en-CA" w:eastAsia="en-CA" w:bidi="ar-SA"/>
        </w:rPr>
        <w:t>The Framework designates standoff reference lines in Annex A, Table A.6. Naval and state vessels of the Parties observe the following separations inside the Governance Area:</w:t>
      </w:r>
    </w:p>
    <w:p>
      <w:pPr>
        <w:pStyle w:val="Normal"/>
        <w:numPr>
          <w:ilvl w:val="0"/>
          <w:numId w:val="2"/>
        </w:numPr>
        <w:spacing w:lineRule="auto" w:line="312" w:before="0" w:after="120"/>
        <w:rPr/>
      </w:pPr>
      <w:r>
        <w:rPr>
          <w:rFonts w:eastAsia="Microsoft YaHei" w:cs="Calibri"/>
          <w:color w:val="263238"/>
          <w:sz w:val="18"/>
          <w:szCs w:val="24"/>
          <w:lang w:val="en-CA" w:eastAsia="en-CA" w:bidi="ar-SA"/>
        </w:rPr>
        <w:t>United States naval units hold outside a 12 nautical mile standoff from the Iranian mainland and island coastlines, and outside a 5 nautical mile standoff from any corridor centerline, except during transit of Corridor One under Article 9.4 or rescue operations under Article 8.3.</w:t>
      </w:r>
    </w:p>
    <w:p>
      <w:pPr>
        <w:pStyle w:val="Normal"/>
        <w:numPr>
          <w:ilvl w:val="0"/>
          <w:numId w:val="2"/>
        </w:numPr>
        <w:spacing w:lineRule="auto" w:line="312" w:before="0" w:after="120"/>
        <w:rPr/>
      </w:pPr>
      <w:r>
        <w:rPr>
          <w:rFonts w:eastAsia="Microsoft YaHei" w:cs="Calibri"/>
          <w:color w:val="263238"/>
          <w:sz w:val="18"/>
          <w:szCs w:val="24"/>
          <w:lang w:val="en-CA" w:eastAsia="en-CA" w:bidi="ar-SA"/>
        </w:rPr>
        <w:t>Iranian naval and Revolutionary Guard naval units hold outside a 5 nautical mile standoff from any corridor centerline during Class 2 convoy windows, and conduct no approach within 1 nautical mile of any merchant vessel in transit, except pilot boats and assistance units responding to a request.</w:t>
      </w:r>
    </w:p>
    <w:p>
      <w:pPr>
        <w:pStyle w:val="Normal"/>
        <w:numPr>
          <w:ilvl w:val="0"/>
          <w:numId w:val="2"/>
        </w:numPr>
        <w:spacing w:lineRule="auto" w:line="312" w:before="0" w:after="120"/>
        <w:rPr/>
      </w:pPr>
      <w:r>
        <w:rPr>
          <w:rFonts w:eastAsia="Microsoft YaHei" w:cs="Calibri"/>
          <w:color w:val="263238"/>
          <w:sz w:val="18"/>
          <w:szCs w:val="24"/>
          <w:lang w:val="en-CA" w:eastAsia="en-CA" w:bidi="ar-SA"/>
        </w:rPr>
        <w:t>Unmanned aerial and surface systems of either Party operate no closer than 3 nautical miles to any merchant vessel and never overfly a merchant vessel below 3,000 feet within the Governance Area.</w:t>
      </w:r>
    </w:p>
    <w:p>
      <w:pPr>
        <w:pStyle w:val="Normal"/>
        <w:rPr/>
      </w:pPr>
      <w:r>
        <w:rPr>
          <w:rFonts w:eastAsia="Microsoft YaHei" w:cs="Calibri"/>
          <w:color w:val="263238"/>
          <w:sz w:val="18"/>
          <w:szCs w:val="24"/>
          <w:lang w:val="en-CA" w:eastAsia="en-CA" w:bidi="ar-SA"/>
        </w:rPr>
        <w:t>The standoff geometry binds symmetrically. The same distances apply to every Party's forces in every direction. The Corridor Operations Cell displays the geometry on the shared operational picture, and Annex H fixes the notification and acknowledgment protocol for every movement inside it.</w:t>
      </w:r>
    </w:p>
    <w:p>
      <w:pPr>
        <w:pStyle w:val="Normal"/>
        <w:rPr/>
      </w:pPr>
      <w:r>
        <w:rPr>
          <w:rFonts w:eastAsia="Microsoft YaHei" w:cs="Calibri"/>
          <w:color w:val="263238"/>
          <w:sz w:val="18"/>
          <w:szCs w:val="24"/>
          <w:lang w:val="en-CA" w:eastAsia="en-CA" w:bidi="ar-SA"/>
        </w:rPr>
        <w:t>Naval and state vessels of all Gulf littoral states observe the standoff geometry symmetrically. The naval forces of Saudi Arabia, Kuwait, Qatar, Bahrain, and the UAE coordinate their de-confliction geometry through the GCC military coordination mechanism, which maintains a liaison to the Corridor Operations Cell. The standoff lines apply to all Parties equally and appear on the shared operational picture.</w:t>
      </w:r>
    </w:p>
    <w:p>
      <w:pPr>
        <w:pStyle w:val="Heading3"/>
        <w:rPr/>
      </w:pPr>
      <w:r>
        <w:rPr>
          <w:rFonts w:eastAsia="Microsoft YaHei" w:cs="Calibri"/>
          <w:b/>
          <w:color w:val="263238"/>
          <w:sz w:val="18"/>
          <w:szCs w:val="24"/>
          <w:lang w:val="en-CA" w:eastAsia="en-CA" w:bidi="ar-SA"/>
        </w:rPr>
        <w:t>9.3 The naval blockade question</w:t>
      </w:r>
    </w:p>
    <w:p>
      <w:pPr>
        <w:pStyle w:val="Normal"/>
        <w:rPr/>
      </w:pPr>
      <w:r>
        <w:rPr>
          <w:rFonts w:eastAsia="Microsoft YaHei" w:cs="Calibri"/>
          <w:color w:val="263238"/>
          <w:sz w:val="18"/>
          <w:szCs w:val="24"/>
          <w:lang w:val="en-CA" w:eastAsia="en-CA" w:bidi="ar-SA"/>
        </w:rPr>
        <w:t>The naval blockade measures reimposed in July 2026 dissolve upon signature of this instrument, simultaneously with the corridors' activation. Thereafter, the Framework architecture excludes blockade, quarantine, or interdiction of commercial traffic as an instrument of policy between the Parties. A Party facing a verified Class Three event routes its response exclusively through the Graduated Response and Restoration System of Article 18, which pauses economic benefits in graduated measure and never touches the sea lanes. The structural decoupling principle of Article 1.3 makes the exclusion absolute and non-waivable: no compliance finding, at any level, re-opens the blockade option.</w:t>
      </w:r>
    </w:p>
    <w:p>
      <w:pPr>
        <w:pStyle w:val="Heading3"/>
        <w:rPr/>
      </w:pPr>
      <w:r>
        <w:rPr>
          <w:rFonts w:eastAsia="Microsoft YaHei" w:cs="Calibri"/>
          <w:b/>
          <w:color w:val="263238"/>
          <w:sz w:val="18"/>
          <w:szCs w:val="24"/>
          <w:lang w:val="en-CA" w:eastAsia="en-CA" w:bidi="ar-SA"/>
        </w:rPr>
        <w:t>9.4 Naval transit regime</w:t>
      </w:r>
    </w:p>
    <w:p>
      <w:pPr>
        <w:pStyle w:val="Normal"/>
        <w:rPr/>
      </w:pPr>
      <w:r>
        <w:rPr>
          <w:rFonts w:eastAsia="Microsoft YaHei" w:cs="Calibri"/>
          <w:color w:val="263238"/>
          <w:sz w:val="18"/>
          <w:szCs w:val="24"/>
          <w:lang w:val="en-CA" w:eastAsia="en-CA" w:bidi="ar-SA"/>
        </w:rPr>
        <w:t>Class 7 vessels transit Corridor One only, file a movement notice through the military channel 96 hours in advance stating window, direction, and unit type, and receive automatic acknowledgment. Submarines transit surfaced. Carrier aviation stands down during corridor transit windows. The corridor coastal state receives the same notice as the other Party, so that no naval movement surprises any actor. A naval transit never coincides with a Class 3 passenger transit window in the same lane.</w:t>
      </w:r>
    </w:p>
    <w:p>
      <w:pPr>
        <w:pStyle w:val="Heading3"/>
        <w:rPr/>
      </w:pPr>
      <w:r>
        <w:rPr>
          <w:rFonts w:eastAsia="Microsoft YaHei" w:cs="Calibri"/>
          <w:b/>
          <w:color w:val="263238"/>
          <w:sz w:val="18"/>
          <w:szCs w:val="24"/>
          <w:lang w:val="en-CA" w:eastAsia="en-CA" w:bidi="ar-SA"/>
        </w:rPr>
        <w:t>9.5 Incident ladder</w:t>
      </w:r>
    </w:p>
    <w:p>
      <w:pPr>
        <w:pStyle w:val="Normal"/>
        <w:rPr/>
      </w:pPr>
      <w:r>
        <w:rPr>
          <w:rFonts w:eastAsia="Microsoft YaHei" w:cs="Calibri"/>
          <w:color w:val="263238"/>
          <w:sz w:val="18"/>
          <w:szCs w:val="24"/>
          <w:lang w:val="en-CA" w:eastAsia="en-CA" w:bidi="ar-SA"/>
        </w:rPr>
        <w:t>Any military incident inside the Governance Area follows the incident ladder of Annex H, Section H.5: immediate stand-down of involved units; notification through the military channel within 15 minutes; a joint fact record within 24 hours; a 48-hour attribution deferral before any classification, consistent with the good-faith presumption; and classification only on verified evidence. The ladder converts every incident into a fact-finding exercise before it becomes a crisis.</w:t>
      </w:r>
    </w:p>
    <w:p>
      <w:pPr>
        <w:pStyle w:val="Heading3"/>
        <w:rPr/>
      </w:pPr>
      <w:r>
        <w:rPr>
          <w:rFonts w:eastAsia="Microsoft YaHei" w:cs="Calibri"/>
          <w:b/>
          <w:color w:val="263238"/>
          <w:sz w:val="18"/>
          <w:szCs w:val="24"/>
          <w:lang w:val="en-CA" w:eastAsia="en-CA" w:bidi="ar-SA"/>
        </w:rPr>
        <w:t>9.6 Regional front isolation</w:t>
      </w:r>
    </w:p>
    <w:p>
      <w:pPr>
        <w:pStyle w:val="Normal"/>
        <w:rPr/>
      </w:pPr>
      <w:r>
        <w:rPr>
          <w:rFonts w:eastAsia="Microsoft YaHei" w:cs="Calibri"/>
          <w:color w:val="263238"/>
          <w:sz w:val="18"/>
          <w:szCs w:val="24"/>
          <w:lang w:val="en-CA" w:eastAsia="en-CA" w:bidi="ar-SA"/>
        </w:rPr>
        <w:t>Events on other fronts, including Lebanon, operate in a separate dossier under the MOU and do not cascade into the maritime domain automatically. Spillover into this instrument requires certification by the Joint Coordination Council under the Consensus Minus One rule that a specific external event directly and materially undermines corridor operations. Absent such certification, the corridors, the Fund, and the de-confliction geometry continue undisturbed.</w:t>
      </w:r>
    </w:p>
    <w:p>
      <w:pPr>
        <w:pStyle w:val="Heading3"/>
        <w:rPr/>
      </w:pPr>
      <w:r>
        <w:rPr>
          <w:rFonts w:eastAsia="Microsoft YaHei" w:cs="Calibri"/>
          <w:b/>
          <w:color w:val="263238"/>
          <w:sz w:val="18"/>
          <w:szCs w:val="24"/>
          <w:lang w:val="en-CA" w:eastAsia="en-CA" w:bidi="ar-SA"/>
        </w:rPr>
        <w:t>9.7 Exclusion of force</w:t>
      </w:r>
    </w:p>
    <w:p>
      <w:pPr>
        <w:pStyle w:val="Normal"/>
        <w:rPr/>
      </w:pPr>
      <w:r>
        <w:rPr>
          <w:rFonts w:eastAsia="Microsoft YaHei" w:cs="Calibri"/>
          <w:color w:val="263238"/>
          <w:sz w:val="18"/>
          <w:szCs w:val="24"/>
          <w:lang w:val="en-CA" w:eastAsia="en-CA" w:bidi="ar-SA"/>
        </w:rPr>
        <w:t>The Framework architecture excludes kinetic enforcement mechanisms in their entirety. No organ of the Assembly directs, requests, or endorses military action. No provision of this instrument serves as a legal basis for the use of force. Military decisions rest with the respective head of government under constitutional procedures, outside the Framework, and the Framework's economic and diplomatic mechanics remain the sole response channel for every compliance event within it.</w:t>
      </w:r>
    </w:p>
    <w:p>
      <w:pPr>
        <w:pStyle w:val="Heading3"/>
        <w:rPr/>
      </w:pPr>
      <w:r>
        <w:rPr>
          <w:rFonts w:eastAsia="Microsoft YaHei" w:cs="Calibri"/>
          <w:b/>
          <w:color w:val="263238"/>
          <w:sz w:val="18"/>
          <w:szCs w:val="24"/>
          <w:lang w:val="en-CA" w:eastAsia="en-CA" w:bidi="ar-SA"/>
        </w:rPr>
        <w:t>9.8 The rogue-actor substantiation duty</w:t>
      </w:r>
    </w:p>
    <w:p>
      <w:pPr>
        <w:pStyle w:val="Normal"/>
        <w:rPr/>
      </w:pPr>
      <w:r>
        <w:rPr>
          <w:rFonts w:eastAsia="Microsoft YaHei" w:cs="Calibri"/>
          <w:color w:val="263238"/>
          <w:sz w:val="18"/>
          <w:szCs w:val="24"/>
          <w:lang w:val="en-CA" w:eastAsia="en-CA" w:bidi="ar-SA"/>
        </w:rPr>
        <w:t>The good-faith presumption protects genuine rogue-actor and false-flag situations from bilateral consequences. That protection carries a duty. A Party that claims a rogue actor, a false-flag operation, or a non-state perpetrator as the author of an event that would otherwise classify as Class Three delivers to the Technical Verification Group, within 12 hours of making the claim: (a) its full, unredacted chain-of-command records for the units capable of the conduct in question; (b) the complete communications logs of those units for the 72 hours preceding the event; and (c) direct TVG access to the relevant commanders for interview within 72 hours. The Independent Investigation Facility of Annex J, Section J.7 finances the TVG's forensic work, so that no investigation stalls for resources. A Party that fails to deliver the substantiation package within 12 hours, or that delivers it materially incomplete, accepts automatic classification of the event as a state-directed Class Three event under Annex D, category X-1.9, without further process. A Party that delivers the package receives the full benefit of the attribution deferral, and a TVG finding of genuine third-party responsibility closes the bilateral file entirely. The duty removes the incentive to hide behind plausible deniability while preserving the defense for those who genuinely possess it.</w:t>
      </w:r>
      <w:r>
        <w:br w:type="page"/>
      </w:r>
    </w:p>
    <w:p>
      <w:pPr>
        <w:pStyle w:val="Heading1"/>
        <w:rPr/>
      </w:pPr>
      <w:bookmarkStart w:id="15" w:name="__RefHeading___Toc7212_2800514504"/>
      <w:bookmarkStart w:id="16" w:name="_TocSg4"/>
      <w:bookmarkEnd w:id="15"/>
      <w:r>
        <w:rPr>
          <w:rFonts w:eastAsia="Microsoft YaHei" w:cs="Calibri"/>
          <w:b/>
          <w:color w:val="455A64"/>
          <w:sz w:val="20"/>
          <w:szCs w:val="24"/>
          <w:lang w:val="en-CA" w:eastAsia="en-CA" w:bidi="ar-SA"/>
        </w:rPr>
        <w:t>Part III: Nuclear Material Disposition</w:t>
      </w:r>
      <w:bookmarkEnd w:id="16"/>
    </w:p>
    <w:p>
      <w:pPr>
        <w:pStyle w:val="Heading2"/>
        <w:rPr/>
      </w:pPr>
      <w:bookmarkStart w:id="17" w:name="__RefHeading___Toc7214_2800514504"/>
      <w:bookmarkEnd w:id="17"/>
      <w:r>
        <w:rPr>
          <w:rFonts w:eastAsia="Microsoft YaHei" w:cs="Calibri"/>
          <w:b/>
          <w:color w:val="455A64"/>
          <w:sz w:val="26"/>
          <w:szCs w:val="24"/>
          <w:lang w:val="en-CA" w:eastAsia="en-CA" w:bidi="ar-SA"/>
        </w:rPr>
        <w:t>Article 10: Downblending of the 60 Percent Stockpile to 3.67 Percent</w:t>
      </w:r>
    </w:p>
    <w:p>
      <w:pPr>
        <w:pStyle w:val="Heading3"/>
        <w:rPr/>
      </w:pPr>
      <w:r>
        <w:rPr>
          <w:rFonts w:eastAsia="Microsoft YaHei" w:cs="Calibri"/>
          <w:b/>
          <w:color w:val="263238"/>
          <w:sz w:val="18"/>
          <w:szCs w:val="24"/>
          <w:lang w:val="en-CA" w:eastAsia="en-CA" w:bidi="ar-SA"/>
        </w:rPr>
        <w:t>10.1 The disposition decision</w:t>
      </w:r>
    </w:p>
    <w:p>
      <w:pPr>
        <w:pStyle w:val="Normal"/>
        <w:rPr/>
      </w:pPr>
      <w:r>
        <w:rPr>
          <w:rFonts w:eastAsia="Microsoft YaHei" w:cs="Calibri"/>
          <w:color w:val="263238"/>
          <w:sz w:val="18"/>
          <w:szCs w:val="24"/>
          <w:lang w:val="en-CA" w:eastAsia="en-CA" w:bidi="ar-SA"/>
        </w:rPr>
        <w:t>The Parties implement paragraph 8 of the MOU through its minimum methodology: downblending on site, inside the Islamic Republic of Iran, under the supervision of the International Atomic Energy Agency. The entire stockpile of uranium enriched to 60 percent U-235 converts to a product assay not exceeding 3.67 percent U-235, the civilian power-reactor grade. Iran retains ownership of the material throughout. The material remains on Iranian soil throughout. The Framework thereby honors the Iranian registration against export of the stockpile and the United States registration against weapons-usable material, in a single operation: after downblending, no weapons-usable material exists in Iran, and no Iranian material leaves Iran.</w:t>
      </w:r>
    </w:p>
    <w:p>
      <w:pPr>
        <w:pStyle w:val="Heading3"/>
        <w:rPr/>
      </w:pPr>
      <w:r>
        <w:rPr>
          <w:rFonts w:eastAsia="Microsoft YaHei" w:cs="Calibri"/>
          <w:b/>
          <w:color w:val="263238"/>
          <w:sz w:val="18"/>
          <w:szCs w:val="24"/>
          <w:lang w:val="en-CA" w:eastAsia="en-CA" w:bidi="ar-SA"/>
        </w:rPr>
        <w:t>10.2 Baseline declaration and retrieval</w:t>
      </w:r>
    </w:p>
    <w:p>
      <w:pPr>
        <w:pStyle w:val="Normal"/>
        <w:rPr/>
      </w:pPr>
      <w:r>
        <w:rPr>
          <w:rFonts w:eastAsia="Microsoft YaHei" w:cs="Calibri"/>
          <w:color w:val="263238"/>
          <w:sz w:val="18"/>
          <w:szCs w:val="24"/>
          <w:lang w:val="en-CA" w:eastAsia="en-CA" w:bidi="ar-SA"/>
        </w:rPr>
        <w:t>Within 7 days of signature, Iran delivers to the IAEA a complete baseline declaration of the 60 percent stockpile: quantity, chemical form, container inventory, and location, covering all material at the Fordow, Natanz, and Esfahan sites, including material within damaged or tunnel storage areas. The IAEA verifies the declaration against its continuity-of-knowledge records, including its September 2025 verification and monitoring report figure of 440.9 kilograms of uranium enriched up to 60 percent U-235. Retrieval from damaged areas proceeds under IAEA technical direction with safety-first sequencing: radiological survey, structural stabilization, container recovery, and transport to the designated downblending facility at Esfahan. Retrieval completes within 60 days of the baseline declaration. The United States and Israel receive the retrieval plan in advance through the Neutral Administrator, and the Framework architecture excludes any strike, interdiction, or interference with retrieval operations, which carry the status of internationally protected safeguards activity.</w:t>
      </w:r>
    </w:p>
    <w:p>
      <w:pPr>
        <w:pStyle w:val="Heading3"/>
        <w:rPr/>
      </w:pPr>
      <w:r>
        <w:rPr>
          <w:rFonts w:eastAsia="Microsoft YaHei" w:cs="Calibri"/>
          <w:b/>
          <w:color w:val="263238"/>
          <w:sz w:val="18"/>
          <w:szCs w:val="24"/>
          <w:lang w:val="en-CA" w:eastAsia="en-CA" w:bidi="ar-SA"/>
        </w:rPr>
        <w:t>10.3 The downblending operation</w:t>
      </w:r>
    </w:p>
    <w:p>
      <w:pPr>
        <w:pStyle w:val="Normal"/>
        <w:rPr/>
      </w:pPr>
      <w:r>
        <w:rPr>
          <w:rFonts w:eastAsia="Microsoft YaHei" w:cs="Calibri"/>
          <w:color w:val="263238"/>
          <w:sz w:val="18"/>
          <w:szCs w:val="24"/>
          <w:lang w:val="en-CA" w:eastAsia="en-CA" w:bidi="ar-SA"/>
        </w:rPr>
        <w:t>Downblending proceeds at the Esfahan downblending hall under Annex F, in six monthly batches of approximately 74 kilograms of 60 percent feed each, completing within 180 days of the first batch. Each batch blends 60 percent uranium hexafluoride with natural uranium hexafluoride feedstock at a ratio of approximately 19.0 kilograms of natural feed per kilogram of 60 percent feed, yielding approximately 1,480 kilograms of 3.67 percent product per batch and approximately 8,850 kilograms in total. The IAEA supervises every blending run, samples every product cylinder by mass spectrometry, and certifies each batch against the 3.67 percent ceiling before the cylinder enters sealed storage. Annex F states the full technical protocol: feedstock logistics, blending equipment, measurement standards, sampling frequency, cylinder accounting, and waste handling.</w:t>
      </w:r>
    </w:p>
    <w:p>
      <w:pPr>
        <w:pStyle w:val="Heading3"/>
        <w:rPr/>
      </w:pPr>
      <w:r>
        <w:rPr>
          <w:rFonts w:eastAsia="Microsoft YaHei" w:cs="Calibri"/>
          <w:b/>
          <w:color w:val="263238"/>
          <w:sz w:val="18"/>
          <w:szCs w:val="24"/>
          <w:lang w:val="en-CA" w:eastAsia="en-CA" w:bidi="ar-SA"/>
        </w:rPr>
        <w:t>10.4 Dual-lock custody</w:t>
      </w:r>
    </w:p>
    <w:p>
      <w:pPr>
        <w:pStyle w:val="Normal"/>
        <w:rPr/>
      </w:pPr>
      <w:r>
        <w:rPr>
          <w:rFonts w:eastAsia="Microsoft YaHei" w:cs="Calibri"/>
          <w:color w:val="263238"/>
          <w:sz w:val="18"/>
          <w:szCs w:val="24"/>
          <w:lang w:val="en-CA" w:eastAsia="en-CA" w:bidi="ar-SA"/>
        </w:rPr>
        <w:t>From retrieval through downblending and into storage, the material operates under dual-lock custody: every storage area carries two independent lock-and-seal systems, one under IAEA control and one under Assembly control through the Neutral Administrator. Opening a sealed area requires the physical or cryptographic presence of both custodians. The IAEA maintains continuity of knowledge through seals, cameras, and periodic inventory verification. The Framework uses telemetry sparingly by design: custody rests primarily on physical seals, human inspection, and cylinder accountancy, with automated surveillance limited to the storage module perimeter and the blending hall, consistent with the Framework's preference for verification methods that neither Party experiences as intrusion.</w:t>
      </w:r>
    </w:p>
    <w:p>
      <w:pPr>
        <w:pStyle w:val="Heading3"/>
        <w:rPr/>
      </w:pPr>
      <w:r>
        <w:rPr>
          <w:rFonts w:eastAsia="Microsoft YaHei" w:cs="Calibri"/>
          <w:b/>
          <w:color w:val="263238"/>
          <w:sz w:val="18"/>
          <w:szCs w:val="24"/>
          <w:lang w:val="en-CA" w:eastAsia="en-CA" w:bidi="ar-SA"/>
        </w:rPr>
        <w:t>10.5 The in-country storage and use regime</w:t>
      </w:r>
    </w:p>
    <w:p>
      <w:pPr>
        <w:pStyle w:val="Normal"/>
        <w:rPr/>
      </w:pPr>
      <w:r>
        <w:rPr>
          <w:rFonts w:eastAsia="Microsoft YaHei" w:cs="Calibri"/>
          <w:color w:val="263238"/>
          <w:sz w:val="18"/>
          <w:szCs w:val="24"/>
          <w:lang w:val="en-CA" w:eastAsia="en-CA" w:bidi="ar-SA"/>
        </w:rPr>
        <w:t>The downblended product remains in Iran at the Esfahan storage module under dual-lock custody, in Iran's ownership, with the following operating rules:</w:t>
      </w:r>
    </w:p>
    <w:p>
      <w:pPr>
        <w:pStyle w:val="Normal"/>
        <w:numPr>
          <w:ilvl w:val="0"/>
          <w:numId w:val="1"/>
        </w:numPr>
        <w:spacing w:lineRule="auto" w:line="312" w:before="0" w:after="120"/>
        <w:rPr/>
      </w:pPr>
      <w:r>
        <w:rPr>
          <w:rFonts w:eastAsia="Microsoft YaHei" w:cs="Calibri"/>
          <w:color w:val="263238"/>
          <w:sz w:val="18"/>
          <w:szCs w:val="24"/>
          <w:lang w:val="en-CA" w:eastAsia="en-CA" w:bidi="ar-SA"/>
        </w:rPr>
        <w:t>Stockpile account. The Neutral Administrator maintains a stockpile account recording every cylinder, its assay, and its custody history. The account is auditable by both Parties at any time and publishes a monthly summary figure to the Joint Coordination Council.</w:t>
      </w:r>
    </w:p>
    <w:p>
      <w:pPr>
        <w:pStyle w:val="Normal"/>
        <w:numPr>
          <w:ilvl w:val="0"/>
          <w:numId w:val="1"/>
        </w:numPr>
        <w:spacing w:lineRule="auto" w:line="312" w:before="0" w:after="120"/>
        <w:rPr/>
      </w:pPr>
      <w:r>
        <w:rPr>
          <w:rFonts w:eastAsia="Microsoft YaHei" w:cs="Calibri"/>
          <w:color w:val="263238"/>
          <w:sz w:val="18"/>
          <w:szCs w:val="24"/>
          <w:lang w:val="en-CA" w:eastAsia="en-CA" w:bidi="ar-SA"/>
        </w:rPr>
        <w:t>Withdrawal for fabrication. Iran withdraws material only for verified civilian fabrication: fuel for power or research reactors, or conversion to oxide or metal forms for civil programs. A withdrawal request states quantity, destination facility, and end use; the IAEA verifies the end use at the destination; the dual lock opens for the verified quantity only.</w:t>
      </w:r>
    </w:p>
    <w:p>
      <w:pPr>
        <w:pStyle w:val="Normal"/>
        <w:numPr>
          <w:ilvl w:val="0"/>
          <w:numId w:val="1"/>
        </w:numPr>
        <w:spacing w:lineRule="auto" w:line="312" w:before="0" w:after="120"/>
        <w:rPr/>
      </w:pPr>
      <w:r>
        <w:rPr>
          <w:rFonts w:eastAsia="Microsoft YaHei" w:cs="Calibri"/>
          <w:color w:val="263238"/>
          <w:sz w:val="18"/>
          <w:szCs w:val="24"/>
          <w:lang w:val="en-CA" w:eastAsia="en-CA" w:bidi="ar-SA"/>
        </w:rPr>
        <w:t>Re-enrichment barrier. The Framework architecture excludes any re-enrichment of the stored material above 3.67 percent. Any enrichment of any material above 3.67 percent constitutes a Class Three event under Annex D, category N-1, and activates the monitoring-failure protection of Article 18.8 without further process.</w:t>
      </w:r>
    </w:p>
    <w:p>
      <w:pPr>
        <w:pStyle w:val="Normal"/>
        <w:numPr>
          <w:ilvl w:val="0"/>
          <w:numId w:val="1"/>
        </w:numPr>
        <w:spacing w:lineRule="auto" w:line="312" w:before="0" w:after="120"/>
        <w:rPr/>
      </w:pPr>
      <w:r>
        <w:rPr>
          <w:rFonts w:eastAsia="Microsoft YaHei" w:cs="Calibri"/>
          <w:color w:val="263238"/>
          <w:sz w:val="18"/>
          <w:szCs w:val="24"/>
          <w:lang w:val="en-CA" w:eastAsia="en-CA" w:bidi="ar-SA"/>
        </w:rPr>
        <w:t>Long-term disposition. The stockpile account feeds Iran's civilian fuel cycle over time. The Joint Coordination Council reviews the account annually and confirms the drawdown trajectory against Iran's declared civilian program. No deadline forces export; no provision forces retention beyond need; the account simply keeps every kilogram visible, always.</w:t>
      </w:r>
    </w:p>
    <w:p>
      <w:pPr>
        <w:pStyle w:val="Heading3"/>
        <w:rPr/>
      </w:pPr>
      <w:r>
        <w:rPr>
          <w:rFonts w:eastAsia="Microsoft YaHei" w:cs="Calibri"/>
          <w:b/>
          <w:color w:val="263238"/>
          <w:sz w:val="18"/>
          <w:szCs w:val="24"/>
          <w:lang w:val="en-CA" w:eastAsia="en-CA" w:bidi="ar-SA"/>
        </w:rPr>
        <w:t>10.6 Symmetric assurances</w:t>
      </w:r>
    </w:p>
    <w:p>
      <w:pPr>
        <w:pStyle w:val="Normal"/>
        <w:rPr/>
      </w:pPr>
      <w:r>
        <w:rPr>
          <w:rFonts w:eastAsia="Microsoft YaHei" w:cs="Calibri"/>
          <w:color w:val="263238"/>
          <w:sz w:val="21"/>
          <w:szCs w:val="24"/>
          <w:lang w:val="en-CA" w:eastAsia="en-CA" w:bidi="ar-SA"/>
        </w:rPr>
        <w:t>In parallel with the downblending operation, the following assurances operate as structural features of the Framework, not as concessions by either Party: (a) the Framework architecture excludes attacks on nuclear facilities, safeguards equipment, or IAEA personnel, classifying any such attack as a Class Three event under Annex D, category X-1, regardless of the actor; (b) the reconstruction framework of Article 14 includes nuclear-safety infrastructure at Bushehr and Darkhovin among its eligible project categories; and (c) the fuel-supply assurances of Annex F, Section F.8 guarantee Iran access to fabricated fuel for its operating reactors through existing international suppliers, so that the civilian program never depends on domestic re-enrichment.</w:t>
      </w:r>
    </w:p>
    <w:p>
      <w:pPr>
        <w:pStyle w:val="Heading2"/>
        <w:rPr/>
      </w:pPr>
      <w:bookmarkStart w:id="18" w:name="__RefHeading___Toc7216_2800514504"/>
      <w:bookmarkEnd w:id="18"/>
      <w:r>
        <w:rPr>
          <w:rFonts w:eastAsia="Microsoft YaHei" w:cs="Calibri"/>
          <w:b/>
          <w:color w:val="455A64"/>
          <w:sz w:val="26"/>
          <w:szCs w:val="24"/>
          <w:lang w:val="en-CA" w:eastAsia="en-CA" w:bidi="ar-SA"/>
        </w:rPr>
        <w:t>Article 11: The Civilian Ceiling and Continuing Verification</w:t>
      </w:r>
    </w:p>
    <w:p>
      <w:pPr>
        <w:pStyle w:val="Heading3"/>
        <w:rPr/>
      </w:pPr>
      <w:r>
        <w:rPr>
          <w:rFonts w:eastAsia="Microsoft YaHei" w:cs="Calibri"/>
          <w:b/>
          <w:color w:val="263238"/>
          <w:sz w:val="18"/>
          <w:szCs w:val="24"/>
          <w:lang w:val="en-CA" w:eastAsia="en-CA" w:bidi="ar-SA"/>
        </w:rPr>
        <w:t>11.1 The civilian ceiling</w:t>
      </w:r>
    </w:p>
    <w:p>
      <w:pPr>
        <w:pStyle w:val="Normal"/>
        <w:rPr/>
      </w:pPr>
      <w:r>
        <w:rPr>
          <w:rFonts w:eastAsia="Microsoft YaHei" w:cs="Calibri"/>
          <w:color w:val="263238"/>
          <w:sz w:val="21"/>
          <w:szCs w:val="24"/>
          <w:lang w:val="en-CA" w:eastAsia="en-CA" w:bidi="ar-SA"/>
        </w:rPr>
        <w:t>The enrichment ceiling across all Iranian facilities stands at 3.67 percent U-235, the level suitable for power-reactor fuel. The ceiling operates with a measurement tolerance band of plus or minus 0.5 percent for analytical purposes, consistent with Annex D: readings up to 4.17 percent within a 72-hour window constitute a Class One event handled confidentially through engineering resolution; readings above that band activate the graduated response. The ceiling honors the Iranian registration of a retained civilian enrichment capability and the United States registration of no path to a weapon: at 3.67 percent with a capped stockpile and continuous verification, the architecture holds the breakout timeline beyond the response window of the compliance system at all times.</w:t>
      </w:r>
    </w:p>
    <w:p>
      <w:pPr>
        <w:pStyle w:val="Heading3"/>
        <w:rPr/>
      </w:pPr>
      <w:r>
        <w:rPr>
          <w:rFonts w:eastAsia="Microsoft YaHei" w:cs="Calibri"/>
          <w:b/>
          <w:color w:val="263238"/>
          <w:sz w:val="18"/>
          <w:szCs w:val="24"/>
          <w:lang w:val="en-CA" w:eastAsia="en-CA" w:bidi="ar-SA"/>
        </w:rPr>
        <w:t>11.2 Verification architecture</w:t>
      </w:r>
    </w:p>
    <w:p>
      <w:pPr>
        <w:pStyle w:val="Normal"/>
        <w:rPr/>
      </w:pPr>
      <w:r>
        <w:rPr>
          <w:rFonts w:eastAsia="Microsoft YaHei" w:cs="Calibri"/>
          <w:color w:val="263238"/>
          <w:sz w:val="21"/>
          <w:szCs w:val="24"/>
          <w:lang w:val="en-CA" w:eastAsia="en-CA" w:bidi="ar-SA"/>
        </w:rPr>
        <w:t>The IAEA verifies the ceiling through: (a) full implementation of the safeguards agreement and the Additional Protocol, with Iran's provisional application resuming on signature and ratification proceedings tracked in Annex K; (b) continuous inspector presence at Fordow, Natanz, and Esfahan during the disposition period, transitioning to a resident inspection rhythm thereafter; (c) environmental sampling at declared sites on a quarterly cycle and at any location under the Additional Protocol's access provisions; and (d) the Assembly's Technical Verification Group, which provides a second analytical channel through corroborating data, operator logs, and classification-society and commercial imagery sources, and which certifies data fidelity under Article 15.7. A third, independent laboratory layer operates under Annex F, Section F.5. The Framework deliberately weights physical inspection and accountancy over remote telemetry: inspectors, seals, samples, and records carry the verification load, and automated feeds play a supporting role at the storage module and blending hall only.</w:t>
      </w:r>
    </w:p>
    <w:p>
      <w:pPr>
        <w:pStyle w:val="Heading3"/>
        <w:rPr/>
      </w:pPr>
      <w:r>
        <w:rPr>
          <w:rFonts w:eastAsia="Microsoft YaHei" w:cs="Calibri"/>
          <w:b/>
          <w:color w:val="263238"/>
          <w:sz w:val="18"/>
          <w:szCs w:val="24"/>
          <w:lang w:val="en-CA" w:eastAsia="en-CA" w:bidi="ar-SA"/>
        </w:rPr>
        <w:t>11.3 Centrifuge and capability register</w:t>
      </w:r>
    </w:p>
    <w:p>
      <w:pPr>
        <w:pStyle w:val="Normal"/>
        <w:rPr/>
      </w:pPr>
      <w:r>
        <w:rPr>
          <w:rFonts w:eastAsia="Microsoft YaHei" w:cs="Calibri"/>
          <w:color w:val="263238"/>
          <w:sz w:val="21"/>
          <w:szCs w:val="24"/>
          <w:lang w:val="en-CA" w:eastAsia="en-CA" w:bidi="ar-SA"/>
        </w:rPr>
        <w:t>Iran maintains a capability register of installed centrifuges by type, location, and status (operating, standby, or stored), verified by the IAEA each quarter. Enrichment capacity operates at the level the civilian fuel program requires, as declared in the long-term enrichment plan that Annex F, Section F.9 attaches. Research and development on advanced machines proceeds at declared sites under IAEA observation, without accumulation of product above the ceiling. The register converts the capability question from a dispute about numbers into a shared fact base that both Parties consult instead of contesting.</w:t>
      </w:r>
    </w:p>
    <w:p>
      <w:pPr>
        <w:pStyle w:val="Heading3"/>
        <w:rPr/>
      </w:pPr>
      <w:r>
        <w:rPr>
          <w:rFonts w:eastAsia="Microsoft YaHei" w:cs="Calibri"/>
          <w:b/>
          <w:color w:val="263238"/>
          <w:sz w:val="18"/>
          <w:szCs w:val="24"/>
          <w:lang w:val="en-CA" w:eastAsia="en-CA" w:bidi="ar-SA"/>
        </w:rPr>
        <w:t>11.4 The non-weapon affirmation</w:t>
      </w:r>
    </w:p>
    <w:p>
      <w:pPr>
        <w:pStyle w:val="Normal"/>
        <w:rPr/>
      </w:pPr>
      <w:r>
        <w:rPr>
          <w:rFonts w:eastAsia="Microsoft YaHei" w:cs="Calibri"/>
          <w:color w:val="263238"/>
          <w:sz w:val="21"/>
          <w:szCs w:val="24"/>
          <w:lang w:val="en-CA" w:eastAsia="en-CA" w:bidi="ar-SA"/>
        </w:rPr>
        <w:t>Iran reaffirms, consistent with paragraph 8 of the MOU, that it does not procure or develop nuclear weapons. The Framework gives that affirmation operational content: the ceiling, the capped and sealed stockpile, the dual-lock custody, the Additional Protocol access, and the Class Three classification of any weapons-related activity together form a verification perimeter around the affirmation. The United States registers the affirmation, and the verification perimeter, as satisfying its demand that Iran possess no path to a nuclear weapon within the Framework's architecture.</w:t>
      </w:r>
      <w:r>
        <w:br w:type="page"/>
      </w:r>
    </w:p>
    <w:p>
      <w:pPr>
        <w:pStyle w:val="Heading1"/>
        <w:rPr/>
      </w:pPr>
      <w:bookmarkStart w:id="19" w:name="__RefHeading___Toc7218_2800514504"/>
      <w:bookmarkStart w:id="20" w:name="_TocSg5"/>
      <w:bookmarkEnd w:id="19"/>
      <w:r>
        <w:rPr>
          <w:rFonts w:eastAsia="Microsoft YaHei" w:cs="Calibri"/>
          <w:b/>
          <w:color w:val="455A64"/>
          <w:sz w:val="20"/>
          <w:szCs w:val="24"/>
          <w:lang w:val="en-CA" w:eastAsia="en-CA" w:bidi="ar-SA"/>
        </w:rPr>
        <w:t>Part IV: Economic Stabilization</w:t>
      </w:r>
      <w:bookmarkEnd w:id="20"/>
    </w:p>
    <w:p>
      <w:pPr>
        <w:pStyle w:val="Heading2"/>
        <w:rPr/>
      </w:pPr>
      <w:bookmarkStart w:id="21" w:name="__RefHeading___Toc7220_2800514504"/>
      <w:bookmarkEnd w:id="21"/>
      <w:r>
        <w:rPr>
          <w:rFonts w:eastAsia="Microsoft YaHei" w:cs="Calibri"/>
          <w:b/>
          <w:color w:val="455A64"/>
          <w:sz w:val="26"/>
          <w:szCs w:val="24"/>
          <w:lang w:val="en-CA" w:eastAsia="en-CA" w:bidi="ar-SA"/>
        </w:rPr>
        <w:t>Article 12: Oil Waiver Alignment and the Renewal Continuity Rule</w:t>
      </w:r>
    </w:p>
    <w:p>
      <w:pPr>
        <w:pStyle w:val="Heading3"/>
        <w:rPr/>
      </w:pPr>
      <w:r>
        <w:rPr>
          <w:rFonts w:eastAsia="Microsoft YaHei" w:cs="Calibri"/>
          <w:b/>
          <w:color w:val="263238"/>
          <w:sz w:val="18"/>
          <w:szCs w:val="24"/>
          <w:lang w:val="en-CA" w:eastAsia="en-CA" w:bidi="ar-SA"/>
        </w:rPr>
        <w:t>12.1 The waiver baseline</w:t>
      </w:r>
    </w:p>
    <w:p>
      <w:pPr>
        <w:pStyle w:val="Normal"/>
        <w:rPr/>
      </w:pPr>
      <w:r>
        <w:rPr>
          <w:rFonts w:eastAsia="Microsoft YaHei" w:cs="Calibri"/>
          <w:color w:val="263238"/>
          <w:sz w:val="21"/>
          <w:szCs w:val="24"/>
          <w:lang w:val="en-CA" w:eastAsia="en-CA" w:bidi="ar-SA"/>
        </w:rPr>
        <w:t>The general license issued by the United States Treasury on June 23, 2026 authorizes, for 60 days through August 21, 2026: the production, export, delivery, and sale of Iranian crude oil, petroleum products, and petrochemicals; associated banking, insurance, shipping, and freight services; dollar-denominated settlement; and transit of Iranian crude through United States ports. The license's exclusions for Cuba, North Korea, and Crimea persist unchanged. The Framework treats this license as the baseline of the economic track and aligns the Assembly's compliance mechanics to the license's calendar so that lawful trade never faces a gap.</w:t>
      </w:r>
    </w:p>
    <w:p>
      <w:pPr>
        <w:pStyle w:val="Heading3"/>
        <w:rPr/>
      </w:pPr>
      <w:r>
        <w:rPr>
          <w:rFonts w:eastAsia="Microsoft YaHei" w:cs="Calibri"/>
          <w:b/>
          <w:color w:val="263238"/>
          <w:sz w:val="18"/>
          <w:szCs w:val="24"/>
          <w:lang w:val="en-CA" w:eastAsia="en-CA" w:bidi="ar-SA"/>
        </w:rPr>
        <w:t>12.2 The Renewal Continuity Rule</w:t>
      </w:r>
    </w:p>
    <w:p>
      <w:pPr>
        <w:pStyle w:val="Normal"/>
        <w:rPr/>
      </w:pPr>
      <w:r>
        <w:rPr>
          <w:rFonts w:eastAsia="Microsoft YaHei" w:cs="Calibri"/>
          <w:color w:val="263238"/>
          <w:sz w:val="21"/>
          <w:szCs w:val="24"/>
          <w:lang w:val="en-CA" w:eastAsia="en-CA" w:bidi="ar-SA"/>
        </w:rPr>
        <w:t>The waiver renews in successive 60-day blocks according to the Standing Level of the maritime and nuclear tracks, as follows:</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600"/>
        <w:gridCol w:w="6425"/>
      </w:tblGrid>
      <w:tr>
        <w:trPr>
          <w:tblHeader w:val="true"/>
        </w:trPr>
        <w:tc>
          <w:tcPr>
            <w:tcW w:w="2600"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21"/>
                <w:szCs w:val="24"/>
                <w:lang w:val="en-CA" w:eastAsia="en-CA" w:bidi="ar-SA"/>
              </w:rPr>
              <w:t>Standing Level</w:t>
            </w:r>
          </w:p>
        </w:tc>
        <w:tc>
          <w:tcPr>
            <w:tcW w:w="6425"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21"/>
                <w:szCs w:val="24"/>
                <w:lang w:val="en-CA" w:eastAsia="en-CA" w:bidi="ar-SA"/>
              </w:rPr>
              <w:t>Waiver consequence</w:t>
            </w:r>
          </w:p>
        </w:tc>
      </w:tr>
      <w:tr>
        <w:trPr/>
        <w:tc>
          <w:tcPr>
            <w:tcW w:w="26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Level I (Full Standing)</w:t>
            </w:r>
          </w:p>
        </w:tc>
        <w:tc>
          <w:tcPr>
            <w:tcW w:w="64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general license renews automatically for the next 60-day block. Renewal requires no negotiation, no certification ceremony, and no new condition.</w:t>
            </w:r>
          </w:p>
        </w:tc>
      </w:tr>
      <w:tr>
        <w:trPr/>
        <w:tc>
          <w:tcPr>
            <w:tcW w:w="26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Level II (Advisory)</w:t>
            </w:r>
          </w:p>
        </w:tc>
        <w:tc>
          <w:tcPr>
            <w:tcW w:w="64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general license renews automatically for the next 60-day block. The advisory status triggers a technical review of the underlying deviation, not a trade interruption.</w:t>
            </w:r>
          </w:p>
        </w:tc>
      </w:tr>
      <w:tr>
        <w:trPr/>
        <w:tc>
          <w:tcPr>
            <w:tcW w:w="26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Level III (Elevated Response)</w:t>
            </w:r>
          </w:p>
        </w:tc>
        <w:tc>
          <w:tcPr>
            <w:tcW w:w="64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The license continues during a 30-day review window while the restoration pathway of Article 18 operates. The review narrows the license's scope only in proportion to the deviation, and never touches humanitarian or already-contracted cargoes at sea.</w:t>
            </w:r>
          </w:p>
        </w:tc>
      </w:tr>
      <w:tr>
        <w:trPr/>
        <w:tc>
          <w:tcPr>
            <w:tcW w:w="2600"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Level IV (Critical Response)</w:t>
            </w:r>
          </w:p>
        </w:tc>
        <w:tc>
          <w:tcPr>
            <w:tcW w:w="6425"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New-block renewal pauses for up to 30 days. The pause is a suspension, not a termination: cargoes loaded and at sea complete their voyages, insurance remains valid, and renewal resumes automatically upon restoration to Level III or better under the earn-back schedule.</w:t>
            </w:r>
          </w:p>
        </w:tc>
      </w:tr>
    </w:tbl>
    <w:p>
      <w:pPr>
        <w:pStyle w:val="Caption1"/>
        <w:rPr/>
      </w:pPr>
      <w:r>
        <w:rPr>
          <w:rFonts w:eastAsia="Microsoft YaHei" w:cs="Calibri"/>
          <w:b/>
          <w:color w:val="37474F"/>
          <w:sz w:val="18"/>
          <w:szCs w:val="24"/>
          <w:lang w:val="en-CA" w:eastAsia="en-CA" w:bidi="ar-SA"/>
        </w:rPr>
        <w:t>Table 12.1: Renewal Continuity Rule</w:t>
      </w:r>
    </w:p>
    <w:p>
      <w:pPr>
        <w:pStyle w:val="Normal"/>
        <w:rPr/>
      </w:pPr>
      <w:r>
        <w:rPr>
          <w:rFonts w:eastAsia="Microsoft YaHei" w:cs="Calibri"/>
          <w:color w:val="263238"/>
          <w:sz w:val="21"/>
          <w:szCs w:val="24"/>
          <w:lang w:val="en-CA" w:eastAsia="en-CA" w:bidi="ar-SA"/>
        </w:rPr>
        <w:t>The Rule replaces cliff-edge expiry with a gradient. Markets read the Standing Level instead of reading brinkmanship. The license never lapses by calendar accident: the Continuing Effect Rule makes renewal the default and interruption the exception that verification alone triggers.</w:t>
      </w:r>
    </w:p>
    <w:p>
      <w:pPr>
        <w:pStyle w:val="Heading3"/>
        <w:rPr/>
      </w:pPr>
      <w:r>
        <w:rPr>
          <w:rFonts w:eastAsia="Microsoft YaHei" w:cs="Calibri"/>
          <w:b/>
          <w:color w:val="263238"/>
          <w:sz w:val="18"/>
          <w:szCs w:val="24"/>
          <w:lang w:val="en-CA" w:eastAsia="en-CA" w:bidi="ar-SA"/>
        </w:rPr>
        <w:t>12.3 Revenue routing</w:t>
      </w:r>
    </w:p>
    <w:p>
      <w:pPr>
        <w:pStyle w:val="Normal"/>
        <w:rPr/>
      </w:pPr>
      <w:r>
        <w:rPr>
          <w:rFonts w:eastAsia="Microsoft YaHei" w:cs="Calibri"/>
          <w:color w:val="263238"/>
          <w:sz w:val="21"/>
          <w:szCs w:val="24"/>
          <w:lang w:val="en-CA" w:eastAsia="en-CA" w:bidi="ar-SA"/>
        </w:rPr>
        <w:t>Oil revenues route through the escrow architecture of Article 13: payments settle through licensed channels into the designated accounts, a defined humanitarian tranche operates outside all compliance mechanics, and the remainder disburses on the milestone schedule. The routing gives the United States continuing visibility of flows, gives Iran predictable access to its earnings, and gives importers a clean, documented channel that protects their own compliance posture. The Framework architecture excludes any use of the routing to interdict lawful cargoes, seize funds outside the graduated response schedule, or condition humanitarian purchases.</w:t>
      </w:r>
    </w:p>
    <w:p>
      <w:pPr>
        <w:pStyle w:val="Heading3"/>
        <w:rPr/>
      </w:pPr>
      <w:r>
        <w:rPr>
          <w:rFonts w:eastAsia="Microsoft YaHei" w:cs="Calibri"/>
          <w:b/>
          <w:color w:val="263238"/>
          <w:sz w:val="18"/>
          <w:szCs w:val="24"/>
          <w:lang w:val="en-CA" w:eastAsia="en-CA" w:bidi="ar-SA"/>
        </w:rPr>
        <w:t>12.4 Importer protections</w:t>
      </w:r>
    </w:p>
    <w:p>
      <w:pPr>
        <w:pStyle w:val="Normal"/>
        <w:rPr/>
      </w:pPr>
      <w:r>
        <w:rPr>
          <w:rFonts w:eastAsia="Microsoft YaHei" w:cs="Calibri"/>
          <w:color w:val="263238"/>
          <w:sz w:val="21"/>
          <w:szCs w:val="24"/>
          <w:lang w:val="en-CA" w:eastAsia="en-CA" w:bidi="ar-SA"/>
        </w:rPr>
        <w:t>States and firms purchasing Iranian crude under the license receive: (a) a standing comfort letter from the Neutral Administrator confirming the Framework status each month; (b) protection for cargoes in transit against any change in license status, through the at-sea completion rule of Table 12.1; and (c) priority access to the Class 8 document-resolution channel, so that a documentation question resolves in hours rather than detaining a tanker. These protections rebuild the buyer base that the conflict dispersed and restore the strait's throughput toward pre-conflict volumes.</w:t>
      </w:r>
    </w:p>
    <w:p>
      <w:pPr>
        <w:pStyle w:val="Heading2"/>
        <w:rPr/>
      </w:pPr>
      <w:bookmarkStart w:id="22" w:name="__RefHeading___Toc7222_2800514504"/>
      <w:bookmarkEnd w:id="22"/>
      <w:r>
        <w:rPr>
          <w:rFonts w:eastAsia="Microsoft YaHei" w:cs="Calibri"/>
          <w:b/>
          <w:color w:val="455A64"/>
          <w:sz w:val="26"/>
          <w:szCs w:val="24"/>
          <w:lang w:val="en-CA" w:eastAsia="en-CA" w:bidi="ar-SA"/>
        </w:rPr>
        <w:t>Article 13: Sanctions Relief Sequencing, Escrow, and Financial Reconnection</w:t>
      </w:r>
    </w:p>
    <w:p>
      <w:pPr>
        <w:pStyle w:val="Heading3"/>
        <w:rPr/>
      </w:pPr>
      <w:r>
        <w:rPr>
          <w:rFonts w:eastAsia="Microsoft YaHei" w:cs="Calibri"/>
          <w:b/>
          <w:color w:val="263238"/>
          <w:sz w:val="18"/>
          <w:szCs w:val="24"/>
          <w:lang w:val="en-CA" w:eastAsia="en-CA" w:bidi="ar-SA"/>
        </w:rPr>
        <w:t>13.1 The sequencing principle</w:t>
      </w:r>
    </w:p>
    <w:p>
      <w:pPr>
        <w:pStyle w:val="Normal"/>
        <w:rPr/>
      </w:pPr>
      <w:r>
        <w:rPr>
          <w:rFonts w:eastAsia="Microsoft YaHei" w:cs="Calibri"/>
          <w:color w:val="263238"/>
          <w:sz w:val="21"/>
          <w:szCs w:val="24"/>
          <w:lang w:val="en-CA" w:eastAsia="en-CA" w:bidi="ar-SA"/>
        </w:rPr>
        <w:t>Paragraph 7 of the MOU commits the United States to terminate sanctions on an agreed schedule as part of the final deal. The Framework operationalizes the schedule through verified sequencing: each relief tranche attaches to a defined, verifiable milestone, and each milestone's verification releases its tranche automatically through the Reciprocity Ledger. Sequencing replaces bargaining: neither Party renegotiates a tranche after the schedule is set, and the schedule binds both directions, so that relief delivery and compliance delivery advance together on the same clock.</w:t>
      </w:r>
    </w:p>
    <w:p>
      <w:pPr>
        <w:pStyle w:val="Heading3"/>
        <w:rPr/>
      </w:pPr>
      <w:r>
        <w:rPr>
          <w:rFonts w:eastAsia="Microsoft YaHei" w:cs="Calibri"/>
          <w:b/>
          <w:color w:val="263238"/>
          <w:sz w:val="18"/>
          <w:szCs w:val="24"/>
          <w:lang w:val="en-CA" w:eastAsia="en-CA" w:bidi="ar-SA"/>
        </w:rPr>
        <w:t>13.2 The tranche schedule</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500"/>
        <w:gridCol w:w="3000"/>
        <w:gridCol w:w="2400"/>
        <w:gridCol w:w="2125"/>
      </w:tblGrid>
      <w:tr>
        <w:trPr>
          <w:tblHeader w:val="true"/>
        </w:trPr>
        <w:tc>
          <w:tcPr>
            <w:tcW w:w="1500"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21"/>
                <w:szCs w:val="24"/>
                <w:lang w:val="en-CA" w:eastAsia="en-CA" w:bidi="ar-SA"/>
              </w:rPr>
              <w:t>Tranche</w:t>
            </w:r>
          </w:p>
        </w:tc>
        <w:tc>
          <w:tcPr>
            <w:tcW w:w="30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21"/>
                <w:szCs w:val="24"/>
                <w:lang w:val="en-CA" w:eastAsia="en-CA" w:bidi="ar-SA"/>
              </w:rPr>
              <w:t>Content</w:t>
            </w:r>
          </w:p>
        </w:tc>
        <w:tc>
          <w:tcPr>
            <w:tcW w:w="24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21"/>
                <w:szCs w:val="24"/>
                <w:lang w:val="en-CA" w:eastAsia="en-CA" w:bidi="ar-SA"/>
              </w:rPr>
              <w:t>Milestone trigger</w:t>
            </w:r>
          </w:p>
        </w:tc>
        <w:tc>
          <w:tcPr>
            <w:tcW w:w="2125"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21"/>
                <w:szCs w:val="24"/>
                <w:lang w:val="en-CA" w:eastAsia="en-CA" w:bidi="ar-SA"/>
              </w:rPr>
              <w:t>Verification</w:t>
            </w:r>
          </w:p>
        </w:tc>
      </w:tr>
      <w:tr>
        <w:trPr/>
        <w:tc>
          <w:tcPr>
            <w:tcW w:w="15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T-0: Regional stabilization</w:t>
            </w:r>
          </w:p>
        </w:tc>
        <w:tc>
          <w:tcPr>
            <w:tcW w:w="30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GCC trade facilitation package; regional reconstruction coordination framework</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Signature of this instrument by all Gulf littoral states; activation of the GCC coordination mechanism</w:t>
            </w:r>
          </w:p>
        </w:tc>
        <w:tc>
          <w:tcPr>
            <w:tcW w:w="21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GCC Secretary-General confirmation</w:t>
            </w:r>
          </w:p>
        </w:tc>
      </w:tr>
      <w:tr>
        <w:trPr/>
        <w:tc>
          <w:tcPr>
            <w:tcW w:w="15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T-1: Stabilization</w:t>
            </w:r>
          </w:p>
        </w:tc>
        <w:tc>
          <w:tcPr>
            <w:tcW w:w="30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Oil waiver renewal block; humanitarian and aviation channels; restricted financial messaging reconnection for designated banks</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Signature of this instrument; corridors activated</w:t>
            </w:r>
          </w:p>
        </w:tc>
        <w:tc>
          <w:tcPr>
            <w:tcW w:w="21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Corridor Operations Cell activation report</w:t>
            </w:r>
          </w:p>
        </w:tc>
      </w:tr>
      <w:tr>
        <w:trPr/>
        <w:tc>
          <w:tcPr>
            <w:tcW w:w="15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T-2: Trade normalization</w:t>
            </w:r>
          </w:p>
        </w:tc>
        <w:tc>
          <w:tcPr>
            <w:tcW w:w="30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Expanded general licenses for non-energy goods; full marine insurance market access; expanded messaging for the banking sector</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Baseline declaration delivered; retrieval commenced</w:t>
            </w:r>
          </w:p>
        </w:tc>
        <w:tc>
          <w:tcPr>
            <w:tcW w:w="21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IAEA confirmation of baseline verification</w:t>
            </w:r>
          </w:p>
        </w:tc>
      </w:tr>
      <w:tr>
        <w:trPr/>
        <w:tc>
          <w:tcPr>
            <w:tcW w:w="15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T-3: Asset releases</w:t>
            </w:r>
          </w:p>
        </w:tc>
        <w:tc>
          <w:tcPr>
            <w:tcW w:w="30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Scheduled release of frozen assets in defined blocks to the designated accounts</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Third downblending batch certified (approximately 50 percent of stockpile converted)</w:t>
            </w:r>
          </w:p>
        </w:tc>
        <w:tc>
          <w:tcPr>
            <w:tcW w:w="21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IAEA batch certifications</w:t>
            </w:r>
          </w:p>
        </w:tc>
      </w:tr>
      <w:tr>
        <w:trPr/>
        <w:tc>
          <w:tcPr>
            <w:tcW w:w="1500"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T-4: Full financial reconnection</w:t>
            </w:r>
          </w:p>
        </w:tc>
        <w:tc>
          <w:tcPr>
            <w:tcW w:w="3000"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Full financial messaging reconnection; termination of primary measures per the MOU schedule; secondary measures addressed per the final deal</w:t>
            </w:r>
          </w:p>
        </w:tc>
        <w:tc>
          <w:tcPr>
            <w:tcW w:w="2400"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Sixth batch certified; storage module sealed under dual lock; twelve consecutive weeks at Level I or Level II</w:t>
            </w:r>
          </w:p>
        </w:tc>
        <w:tc>
          <w:tcPr>
            <w:tcW w:w="2125"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IAEA certification; JCC standing confirmation</w:t>
            </w:r>
          </w:p>
        </w:tc>
      </w:tr>
    </w:tbl>
    <w:p>
      <w:pPr>
        <w:pStyle w:val="Caption1"/>
        <w:rPr/>
      </w:pPr>
      <w:r>
        <w:rPr>
          <w:rFonts w:eastAsia="Microsoft YaHei" w:cs="Calibri"/>
          <w:b/>
          <w:color w:val="37474F"/>
          <w:sz w:val="18"/>
          <w:szCs w:val="24"/>
          <w:lang w:val="en-CA" w:eastAsia="en-CA" w:bidi="ar-SA"/>
        </w:rPr>
        <w:t>Table 13.1: Relief tranche schedule</w:t>
      </w:r>
    </w:p>
    <w:p>
      <w:pPr>
        <w:pStyle w:val="Heading3"/>
        <w:rPr/>
      </w:pPr>
      <w:r>
        <w:rPr>
          <w:rFonts w:eastAsia="Microsoft YaHei" w:cs="Calibri"/>
          <w:b/>
          <w:color w:val="263238"/>
          <w:sz w:val="18"/>
          <w:szCs w:val="24"/>
          <w:lang w:val="en-CA" w:eastAsia="en-CA" w:bidi="ar-SA"/>
        </w:rPr>
        <w:t>13.3 The escrow architecture</w:t>
      </w:r>
    </w:p>
    <w:p>
      <w:pPr>
        <w:pStyle w:val="Normal"/>
        <w:rPr/>
      </w:pPr>
      <w:r>
        <w:rPr>
          <w:rFonts w:eastAsia="Microsoft YaHei" w:cs="Calibri"/>
          <w:color w:val="263238"/>
          <w:sz w:val="21"/>
          <w:szCs w:val="24"/>
          <w:lang w:val="en-CA" w:eastAsia="en-CA" w:bidi="ar-SA"/>
        </w:rPr>
        <w:t>The Neutral Administrator operates the escrow: designated accounts hold oil revenues, released assets, and Fund balances; disbursement follows the milestone schedule automatically upon verification; and every movement logs to the shared registry with cryptographic time-stamping. Escrowed funds already released never reverse. The humanitarian tranche, comprising food, medicine, medical equipment, and aviation safety payments, stands outside every compliance mechanism under the humanitarian absolute. A 10 percent contingency reserve covers operational overruns and releases only on joint written request or Technical Verification Group certification of excess cost.</w:t>
      </w:r>
    </w:p>
    <w:p>
      <w:pPr>
        <w:pStyle w:val="Heading3"/>
        <w:rPr/>
      </w:pPr>
      <w:r>
        <w:rPr>
          <w:rFonts w:eastAsia="Microsoft YaHei" w:cs="Calibri"/>
          <w:b/>
          <w:color w:val="263238"/>
          <w:sz w:val="18"/>
          <w:szCs w:val="24"/>
          <w:lang w:val="en-CA" w:eastAsia="en-CA" w:bidi="ar-SA"/>
        </w:rPr>
        <w:t>13.4 Targeted isolation instead of disconnection</w:t>
      </w:r>
    </w:p>
    <w:p>
      <w:pPr>
        <w:pStyle w:val="Normal"/>
        <w:rPr/>
      </w:pPr>
      <w:r>
        <w:rPr>
          <w:rFonts w:eastAsia="Microsoft YaHei" w:cs="Calibri"/>
          <w:color w:val="263238"/>
          <w:sz w:val="21"/>
          <w:szCs w:val="24"/>
          <w:lang w:val="en-CA" w:eastAsia="en-CA" w:bidi="ar-SA"/>
        </w:rPr>
        <w:t>Where a compliance event touches the financial domain, the Framework responds through targeted isolation of specifically designated entities, never through blanket disconnection of the banking sector. The financial system of Iran as a whole stays connected under every Standing Level. Isolation applies to named entities for named reasons, expires on remediation, and carries the same restoration guarantee as every other mechanism.</w:t>
      </w:r>
    </w:p>
    <w:p>
      <w:pPr>
        <w:pStyle w:val="Heading3"/>
        <w:rPr/>
      </w:pPr>
      <w:r>
        <w:rPr>
          <w:rFonts w:eastAsia="Microsoft YaHei" w:cs="Calibri"/>
          <w:b/>
          <w:color w:val="263238"/>
          <w:sz w:val="18"/>
          <w:szCs w:val="24"/>
          <w:lang w:val="en-CA" w:eastAsia="en-CA" w:bidi="ar-SA"/>
        </w:rPr>
        <w:t>13.5 Agricultural and humanitarian trade window</w:t>
      </w:r>
    </w:p>
    <w:p>
      <w:pPr>
        <w:pStyle w:val="Normal"/>
        <w:rPr/>
      </w:pPr>
      <w:r>
        <w:rPr>
          <w:rFonts w:eastAsia="Microsoft YaHei" w:cs="Calibri"/>
          <w:color w:val="263238"/>
          <w:sz w:val="21"/>
          <w:szCs w:val="24"/>
          <w:lang w:val="en-CA" w:eastAsia="en-CA" w:bidi="ar-SA"/>
        </w:rPr>
        <w:t>The Framework opens a dedicated window for the purchase of agricultural commodities, including soybeans, corn, and wheat, financed from the designated accounts and the released-asset schedule. The window operates through licensed channels with the facilitation of the State of Qatar as commodity intermediary, consistent with the negotiating track that developed the proposal. The window serves the dual purpose of food security for the Iranian public and visible benefit for agricultural exporters, and it operates outside every graduated response under the humanitarian absolute. The window creates no purchase obligation of any kind, consistent with Annex N, Section N.11: Iran's procurement sovereignty remains absolute, and the window functions as an open channel, not a directed trade commitment.</w:t>
      </w:r>
    </w:p>
    <w:p>
      <w:pPr>
        <w:pStyle w:val="Heading3"/>
        <w:rPr/>
      </w:pPr>
      <w:r>
        <w:rPr>
          <w:rFonts w:eastAsia="Microsoft YaHei" w:cs="Calibri"/>
          <w:b/>
          <w:color w:val="263238"/>
          <w:sz w:val="18"/>
          <w:szCs w:val="24"/>
          <w:lang w:val="en-CA" w:eastAsia="en-CA" w:bidi="ar-SA"/>
        </w:rPr>
        <w:t>13.6 The Joint Confidence Account</w:t>
      </w:r>
    </w:p>
    <w:p>
      <w:pPr>
        <w:pStyle w:val="Normal"/>
        <w:rPr/>
      </w:pPr>
      <w:r>
        <w:rPr>
          <w:rFonts w:eastAsia="Microsoft YaHei" w:cs="Calibri"/>
          <w:color w:val="263238"/>
          <w:sz w:val="21"/>
          <w:szCs w:val="24"/>
          <w:lang w:val="en-CA" w:eastAsia="en-CA" w:bidi="ar-SA"/>
        </w:rPr>
        <w:t>The Parties capitalize a Joint Confidence Account of USD 100 million equally, held as a sub-account of the escrow. The Account operates outside the graduated response system entirely: no event at any Standing Level reduces, freezes, or delays it. Disbursement requires agreement of both heads of government plus the Neutral Administrator. Permitted uses: confidence-building projects, partial-compliance recognition, and emergency humanitarian supplementation under Annex E, Section E.7. Prohibited uses: military purposes, intelligence activities, payment of penalties, and any purpose inconsistent with Article 3.6.</w:t>
      </w:r>
    </w:p>
    <w:p>
      <w:pPr>
        <w:pStyle w:val="Heading2"/>
        <w:rPr/>
      </w:pPr>
      <w:bookmarkStart w:id="23" w:name="__RefHeading___Toc7224_2800514504"/>
      <w:bookmarkEnd w:id="23"/>
      <w:r>
        <w:rPr>
          <w:rFonts w:eastAsia="Microsoft YaHei" w:cs="Calibri"/>
          <w:b/>
          <w:color w:val="455A64"/>
          <w:sz w:val="26"/>
          <w:szCs w:val="24"/>
          <w:lang w:val="en-CA" w:eastAsia="en-CA" w:bidi="ar-SA"/>
        </w:rPr>
        <w:t>Article 14: The Reconstruction Framework</w:t>
      </w:r>
    </w:p>
    <w:p>
      <w:pPr>
        <w:pStyle w:val="Heading3"/>
        <w:rPr/>
      </w:pPr>
      <w:r>
        <w:rPr>
          <w:rFonts w:eastAsia="Microsoft YaHei" w:cs="Calibri"/>
          <w:b/>
          <w:color w:val="263238"/>
          <w:sz w:val="18"/>
          <w:szCs w:val="24"/>
          <w:lang w:val="en-CA" w:eastAsia="en-CA" w:bidi="ar-SA"/>
        </w:rPr>
        <w:t>14.1 The MOU commitment</w:t>
      </w:r>
    </w:p>
    <w:p>
      <w:pPr>
        <w:pStyle w:val="Normal"/>
        <w:rPr/>
      </w:pPr>
      <w:r>
        <w:rPr>
          <w:rFonts w:eastAsia="Microsoft YaHei" w:cs="Calibri"/>
          <w:color w:val="263238"/>
          <w:sz w:val="21"/>
          <w:szCs w:val="24"/>
          <w:lang w:val="en-CA" w:eastAsia="en-CA" w:bidi="ar-SA"/>
        </w:rPr>
        <w:t>Paragraph 6 of the MOU commits the United States, with regional partners, to develop a definitive, mutually agreed plan of at least USD 300 billion for the reconstruction and economic development of Iran, with all required licenses, waivers, and permissions for the relevant financial transactions. This Article establishes the delivery machinery within the Framework, sized and phased to remain credible, auditable, and cost-effective.</w:t>
      </w:r>
    </w:p>
    <w:p>
      <w:pPr>
        <w:pStyle w:val="Heading3"/>
        <w:rPr/>
      </w:pPr>
      <w:r>
        <w:rPr>
          <w:rFonts w:eastAsia="Microsoft YaHei" w:cs="Calibri"/>
          <w:b/>
          <w:color w:val="263238"/>
          <w:sz w:val="18"/>
          <w:szCs w:val="24"/>
          <w:lang w:val="en-CA" w:eastAsia="en-CA" w:bidi="ar-SA"/>
        </w:rPr>
        <w:t>14.2 The two-layer delivery architecture</w:t>
      </w:r>
    </w:p>
    <w:p>
      <w:pPr>
        <w:pStyle w:val="Normal"/>
        <w:rPr/>
      </w:pPr>
      <w:r>
        <w:rPr>
          <w:rFonts w:eastAsia="Microsoft YaHei" w:cs="Calibri"/>
          <w:color w:val="263238"/>
          <w:sz w:val="21"/>
          <w:szCs w:val="24"/>
          <w:lang w:val="en-CA" w:eastAsia="en-CA" w:bidi="ar-SA"/>
        </w:rPr>
        <w:t>The reconstruction commitment delivers through two layers that operate as one system. Layer one: the Multilateral Reconstruction Fund (MRF) of Annex N, which aggregates third-party capital through the Qatar Central Bank escrow and the World Bank's fiduciary administration across seven sector sub-funds totaling USD 270 billion over a ten-year horizon, with Iranian sovereign project selection and performance-based disbursement. Layer two: the supplementary windows of Annex N, including the IMF Special Drawing Rights channel, the frozen asset conversion protocol, the carbon credit pre-financing facility, and the coordinated bilateral and regional programs, which carry the aggregate architecture to and beyond the MOU's floor of USD 300 billion. The United States participates without direct cash transfers, through technical assistance, regulatory facilitation, the private-sector safe harbor, and the in-kind contribution window, consistent with the domestic political constraints recorded in Annex N.</w:t>
      </w:r>
    </w:p>
    <w:p>
      <w:pPr>
        <w:pStyle w:val="Normal"/>
        <w:rPr/>
      </w:pPr>
      <w:r>
        <w:rPr>
          <w:rFonts w:eastAsia="Microsoft YaHei" w:cs="Calibri"/>
          <w:color w:val="263238"/>
          <w:sz w:val="21"/>
          <w:szCs w:val="24"/>
          <w:lang w:val="en-CA" w:eastAsia="en-CA" w:bidi="ar-SA"/>
        </w:rPr>
        <w:t>The Multilateral Reconstruction Fund includes a Gulf Reconstruction Coordination Facility, a USD 30 billion allocation that the Gulf Cooperation Council and the Multilateral Reconstruction Fund manage jointly and dedicate to cross-border infrastructure, Gulf-wide logistics corridors, and joint energy grid modernization projects. Saudi Arabia and the UAE serve as the co-leads of this facility, and Qatar provides the escrow services through the Qatar Central Bank.</w:t>
      </w:r>
    </w:p>
    <w:p>
      <w:pPr>
        <w:pStyle w:val="Heading3"/>
        <w:rPr/>
      </w:pPr>
      <w:r>
        <w:rPr>
          <w:rFonts w:eastAsia="Microsoft YaHei" w:cs="Calibri"/>
          <w:b/>
          <w:color w:val="263238"/>
          <w:sz w:val="18"/>
          <w:szCs w:val="24"/>
          <w:lang w:val="en-CA" w:eastAsia="en-CA" w:bidi="ar-SA"/>
        </w:rPr>
        <w:t>14.3 The Reconstruction Coordination Office and the RSC</w:t>
      </w:r>
    </w:p>
    <w:p>
      <w:pPr>
        <w:pStyle w:val="Normal"/>
        <w:rPr/>
      </w:pPr>
      <w:r>
        <w:rPr>
          <w:rFonts w:eastAsia="Microsoft YaHei" w:cs="Calibri"/>
          <w:color w:val="263238"/>
          <w:sz w:val="21"/>
          <w:szCs w:val="24"/>
          <w:lang w:val="en-CA" w:eastAsia="en-CA" w:bidi="ar-SA"/>
        </w:rPr>
        <w:t>A Reconstruction Coordination Office operates under the Joint Coordination Council as the Assembly's interface to the reconstruction architecture. The Reconstruction Steering Committee (RSC) of Annex N governs the MRF itself, seated in Doha, with Iran, Saudi Arabia, the UAE, Qatar, Kuwait, Bahrain, Oman, the World Bank, and the Gulf Cooperation Council Secretariat as voting members, and the United States and China as permanent observers. The European Union and Japan serve as rotating observers on a two-year cycle. The Office: maintains the consolidated project pipeline view for the JCC; applies the Assembly-side eligibility rules; aligns the disbursement gates with the Reciprocity Ledger; and publishes quarterly progress accounts. The Office holds no funds itself; the Qatar Central Bank escrow and the Neutral Administrator's escrow hold all funds, and the RSC's certification moves them.</w:t>
      </w:r>
    </w:p>
    <w:p>
      <w:pPr>
        <w:pStyle w:val="Heading3"/>
        <w:rPr/>
      </w:pPr>
      <w:r>
        <w:rPr>
          <w:rFonts w:eastAsia="Microsoft YaHei" w:cs="Calibri"/>
          <w:b/>
          <w:color w:val="263238"/>
          <w:sz w:val="18"/>
          <w:szCs w:val="24"/>
          <w:lang w:val="en-CA" w:eastAsia="en-CA" w:bidi="ar-SA"/>
        </w:rPr>
        <w:t>14.4 Eligibility and phasing</w:t>
      </w:r>
    </w:p>
    <w:p>
      <w:pPr>
        <w:pStyle w:val="Normal"/>
        <w:rPr/>
      </w:pPr>
      <w:r>
        <w:rPr>
          <w:rFonts w:eastAsia="Microsoft YaHei" w:cs="Calibri"/>
          <w:color w:val="263238"/>
          <w:sz w:val="21"/>
          <w:szCs w:val="24"/>
          <w:lang w:val="en-CA" w:eastAsia="en-CA" w:bidi="ar-SA"/>
        </w:rPr>
        <w:t>Eligible categories: energy infrastructure repair and modernization; grid and water systems, including desalination; ports and logistics; health and education infrastructure; housing; agriculture and food security; nuclear safety systems; and the Transit Services Fund seed under Article 7.3. The pipeline advances in phases tied to the tranche schedule of Article 13.2, so that reconstruction momentum and compliance momentum reinforce each other through the same ledger. Matching-guarantee mechanics mirror the disbursement: for each verified Iranian project disbursement from its own funds, the guarantee facility releases a matching share within 90 days, classified under Annex D, category E-3, if delayed. The National Development Fund co-financing match of Annex N, Section N.3 operates pari passu with international capital for milestone and disbursement purposes.</w:t>
      </w:r>
    </w:p>
    <w:p>
      <w:pPr>
        <w:pStyle w:val="Normal"/>
        <w:rPr/>
      </w:pPr>
      <w:r>
        <w:rPr>
          <w:rFonts w:eastAsia="Microsoft YaHei" w:cs="Calibri"/>
          <w:color w:val="263238"/>
          <w:sz w:val="21"/>
          <w:szCs w:val="24"/>
          <w:lang w:val="en-CA" w:eastAsia="en-CA" w:bidi="ar-SA"/>
        </w:rPr>
        <w:t>The Gulf Cooperation Council provides regional matching funds of up to USD 20 billion from member state contributions to co-finance projects of Gulf-wide significance. Regional matching follows the same performance-based disbursement rules as the Multilateral Reconstruction Fund.</w:t>
      </w:r>
    </w:p>
    <w:p>
      <w:pPr>
        <w:pStyle w:val="Heading3"/>
        <w:rPr/>
      </w:pPr>
      <w:r>
        <w:rPr>
          <w:rFonts w:eastAsia="Microsoft YaHei" w:cs="Calibri"/>
          <w:b/>
          <w:color w:val="263238"/>
          <w:sz w:val="18"/>
          <w:szCs w:val="24"/>
          <w:lang w:val="en-CA" w:eastAsia="en-CA" w:bidi="ar-SA"/>
        </w:rPr>
        <w:t>14.5 Anti-diversion controls</w:t>
      </w:r>
    </w:p>
    <w:p>
      <w:pPr>
        <w:pStyle w:val="Normal"/>
        <w:rPr/>
      </w:pPr>
      <w:r>
        <w:rPr>
          <w:rFonts w:eastAsia="Microsoft YaHei" w:cs="Calibri"/>
          <w:color w:val="263238"/>
          <w:sz w:val="21"/>
          <w:szCs w:val="24"/>
          <w:lang w:val="en-CA" w:eastAsia="en-CA" w:bidi="ar-SA"/>
        </w:rPr>
        <w:t>Every project carries: a published budget; procurement through open or documented competitive procedure with the local content preference of Annex N, Section N.6; milestone-based disbursement against engineer-certified completion; quarterly independent auditor site visits; whistleblower protection; and audit access for the Neutral Administrator and the contributing partners. Diversion of reconstruction funds to military or intelligence purposes constitutes a Class Three event under Annex D, category X-1, and the anti-diversion findings publish to both Parties simultaneously. These controls give contributors the confidence to sustain the program across political cycles, which the Continuing Effect Rule then carries forward without renegotiation.</w:t>
      </w:r>
    </w:p>
    <w:p>
      <w:pPr>
        <w:pStyle w:val="Heading3"/>
        <w:rPr/>
      </w:pPr>
      <w:r>
        <w:rPr>
          <w:rFonts w:eastAsia="Microsoft YaHei" w:cs="Calibri"/>
          <w:b/>
          <w:color w:val="263238"/>
          <w:sz w:val="18"/>
          <w:szCs w:val="24"/>
          <w:lang w:val="en-CA" w:eastAsia="en-CA" w:bidi="ar-SA"/>
        </w:rPr>
        <w:t>14.6 The no-clawback guarantee</w:t>
      </w:r>
    </w:p>
    <w:p>
      <w:pPr>
        <w:pStyle w:val="Normal"/>
        <w:rPr/>
      </w:pPr>
      <w:r>
        <w:rPr>
          <w:rFonts w:eastAsia="Microsoft YaHei" w:cs="Calibri"/>
          <w:color w:val="263238"/>
          <w:sz w:val="21"/>
          <w:szCs w:val="24"/>
          <w:lang w:val="en-CA" w:eastAsia="en-CA" w:bidi="ar-SA"/>
        </w:rPr>
        <w:t>Reconstruction funds already disbursed never reverse, freeze, or rescind under any circumstances, including project discontinuation, cost overruns, political disputes, or any change in the state of this instrument, consistent with Annex N, Section N.7. This guarantee is absolute: it stands outside the graduated response system, outside the asset hold, and outside every compliance mechanism. The guarantee gives Iran the confidence to commit to long-horizon projects and gives contractors the certainty to mobilize, and it trades that certainty for the verification density of Annex N, which watches every dollar before it moves rather than chasing it after.</w:t>
      </w:r>
      <w:r>
        <w:br w:type="page"/>
      </w:r>
    </w:p>
    <w:p>
      <w:pPr>
        <w:pStyle w:val="Heading1"/>
        <w:rPr/>
      </w:pPr>
      <w:bookmarkStart w:id="24" w:name="__RefHeading___Toc7226_2800514504"/>
      <w:bookmarkStart w:id="25" w:name="_TocSg6"/>
      <w:bookmarkEnd w:id="24"/>
      <w:r>
        <w:rPr>
          <w:rFonts w:eastAsia="Microsoft YaHei" w:cs="Calibri"/>
          <w:b/>
          <w:color w:val="263238"/>
          <w:sz w:val="18"/>
          <w:szCs w:val="24"/>
          <w:lang w:val="en-CA" w:eastAsia="en-CA" w:bidi="ar-SA"/>
        </w:rPr>
        <w:t>Part V: Governance and Compliance Architecture</w:t>
      </w:r>
      <w:bookmarkEnd w:id="25"/>
    </w:p>
    <w:p>
      <w:pPr>
        <w:pStyle w:val="Heading2"/>
        <w:rPr/>
      </w:pPr>
      <w:bookmarkStart w:id="26" w:name="__RefHeading___Toc7228_2800514504"/>
      <w:bookmarkEnd w:id="26"/>
      <w:r>
        <w:rPr>
          <w:rFonts w:eastAsia="Microsoft YaHei" w:cs="Calibri"/>
          <w:b/>
          <w:color w:val="263238"/>
          <w:sz w:val="21"/>
          <w:szCs w:val="24"/>
          <w:lang w:val="en-CA" w:eastAsia="en-CA" w:bidi="ar-SA"/>
        </w:rPr>
        <w:t>Article 15: The Assembly and Its Bodies</w:t>
      </w:r>
    </w:p>
    <w:p>
      <w:pPr>
        <w:pStyle w:val="Heading3"/>
        <w:rPr/>
      </w:pPr>
      <w:r>
        <w:rPr>
          <w:rFonts w:eastAsia="Microsoft YaHei" w:cs="Calibri"/>
          <w:b/>
          <w:color w:val="263238"/>
          <w:sz w:val="18"/>
          <w:szCs w:val="24"/>
          <w:lang w:val="en-CA" w:eastAsia="en-CA" w:bidi="ar-SA"/>
        </w:rPr>
        <w:t>15.1 Structure</w:t>
      </w:r>
    </w:p>
    <w:p>
      <w:pPr>
        <w:pStyle w:val="Normal"/>
        <w:rPr/>
      </w:pPr>
      <w:r>
        <w:rPr>
          <w:rFonts w:eastAsia="Microsoft YaHei" w:cs="Calibri"/>
          <w:color w:val="263238"/>
          <w:sz w:val="21"/>
          <w:szCs w:val="24"/>
          <w:lang w:val="en-CA" w:eastAsia="en-CA" w:bidi="ar-SA"/>
        </w:rPr>
        <w:t>The Assembly comprises seven organs: the Plenary, the Joint Coordination Council, the Corridor Operations Cell, the Neutral Administrator's office, the Guarantor Panel, the Technical Verification Group, and the Independent Assurance Council. The Reconstruction Steering Committee of Annex N operates in coordination with the Assembly under Article 14.3. The structure keeps the footprint lean: one political layer, one executive layer, one operational layer, one administrative layer, one assurance layer, one technical layer, and one independent public layer. Every organ publishes an annual activity and cost report through the Neutral Administrator.</w:t>
      </w:r>
    </w:p>
    <w:p>
      <w:pPr>
        <w:pStyle w:val="Heading3"/>
        <w:rPr/>
      </w:pPr>
      <w:r>
        <w:rPr>
          <w:rFonts w:eastAsia="Microsoft YaHei" w:cs="Calibri"/>
          <w:b/>
          <w:color w:val="263238"/>
          <w:sz w:val="18"/>
          <w:szCs w:val="24"/>
          <w:lang w:val="en-CA" w:eastAsia="en-CA" w:bidi="ar-SA"/>
        </w:rPr>
        <w:t>15.2 The Plenary</w:t>
      </w:r>
    </w:p>
    <w:p>
      <w:pPr>
        <w:pStyle w:val="Normal"/>
        <w:rPr/>
      </w:pPr>
      <w:r>
        <w:rPr>
          <w:rFonts w:eastAsia="Microsoft YaHei" w:cs="Calibri"/>
          <w:color w:val="263238"/>
          <w:sz w:val="21"/>
          <w:szCs w:val="24"/>
          <w:lang w:val="en-CA" w:eastAsia="en-CA" w:bidi="ar-SA"/>
        </w:rPr>
        <w:t>The Plenary comprises ministerial or deputy-ministerial representatives of the Parties, the Mediator of Record, the Neutral Administrator, the contributing states of the Transit Services Fund consortium, the coastal states, and the participating international organizations as observers. The Plenary convenes once each year and at the request of either Party. The Plenary reviews the annual report, adopts the budget on the Joint Coordination Council's recommendation, receives the reports of the Independent Assurance Council, and addresses any matter a Party elevates. Plenary decisions require consensus of the Parties; other members deliberate.</w:t>
      </w:r>
    </w:p>
    <w:p>
      <w:pPr>
        <w:pStyle w:val="Heading3"/>
        <w:rPr/>
      </w:pPr>
      <w:r>
        <w:rPr>
          <w:rFonts w:eastAsia="Microsoft YaHei" w:cs="Calibri"/>
          <w:b/>
          <w:color w:val="263238"/>
          <w:sz w:val="18"/>
          <w:szCs w:val="24"/>
          <w:lang w:val="en-CA" w:eastAsia="en-CA" w:bidi="ar-SA"/>
        </w:rPr>
        <w:t>15.2A The Littoral Council</w:t>
      </w:r>
    </w:p>
    <w:p>
      <w:pPr>
        <w:pStyle w:val="Normal"/>
        <w:rPr/>
      </w:pPr>
      <w:r>
        <w:rPr>
          <w:rFonts w:eastAsia="Microsoft YaHei" w:cs="Calibri"/>
          <w:color w:val="263238"/>
          <w:sz w:val="21"/>
          <w:szCs w:val="24"/>
          <w:lang w:val="en-CA" w:eastAsia="en-CA" w:bidi="ar-SA"/>
        </w:rPr>
        <w:t>The Littoral Council comprises the seven Gulf littoral states listed in Article 2.1. The Council meets quarterly in Muscat and at the request of any two littoral members. The Council:</w:t>
      </w:r>
    </w:p>
    <w:p>
      <w:pPr>
        <w:pStyle w:val="Normal"/>
        <w:numPr>
          <w:ilvl w:val="0"/>
          <w:numId w:val="2"/>
        </w:numPr>
        <w:spacing w:lineRule="auto" w:line="312" w:before="0" w:after="120"/>
        <w:rPr/>
      </w:pPr>
      <w:r>
        <w:rPr>
          <w:rFonts w:eastAsia="Microsoft YaHei" w:cs="Calibri"/>
          <w:color w:val="263238"/>
          <w:sz w:val="21"/>
          <w:szCs w:val="24"/>
          <w:lang w:val="en-CA" w:eastAsia="en-CA" w:bidi="ar-SA"/>
        </w:rPr>
        <w:t>(a) Reviews and recommends corridor routing adjustments under Article 5.5;</w:t>
      </w:r>
    </w:p>
    <w:p>
      <w:pPr>
        <w:pStyle w:val="Normal"/>
        <w:numPr>
          <w:ilvl w:val="0"/>
          <w:numId w:val="2"/>
        </w:numPr>
        <w:spacing w:lineRule="auto" w:line="312" w:before="0" w:after="120"/>
        <w:rPr/>
      </w:pPr>
      <w:r>
        <w:rPr>
          <w:rFonts w:eastAsia="Microsoft YaHei" w:cs="Calibri"/>
          <w:color w:val="263238"/>
          <w:sz w:val="21"/>
          <w:szCs w:val="24"/>
          <w:lang w:val="en-CA" w:eastAsia="en-CA" w:bidi="ar-SA"/>
        </w:rPr>
        <w:t>(b) Advises the Joint Coordination Council on matters affecting the maritime and territorial interests of littoral states;</w:t>
      </w:r>
    </w:p>
    <w:p>
      <w:pPr>
        <w:pStyle w:val="Normal"/>
        <w:numPr>
          <w:ilvl w:val="0"/>
          <w:numId w:val="2"/>
        </w:numPr>
        <w:spacing w:lineRule="auto" w:line="312" w:before="0" w:after="120"/>
        <w:rPr/>
      </w:pPr>
      <w:r>
        <w:rPr>
          <w:rFonts w:eastAsia="Microsoft YaHei" w:cs="Calibri"/>
          <w:color w:val="263238"/>
          <w:sz w:val="21"/>
          <w:szCs w:val="24"/>
          <w:lang w:val="en-CA" w:eastAsia="en-CA" w:bidi="ar-SA"/>
        </w:rPr>
        <w:t>(c) Coordinates the coastal service delivery and compensation claims of Oman and the UAE;</w:t>
      </w:r>
    </w:p>
    <w:p>
      <w:pPr>
        <w:pStyle w:val="Normal"/>
        <w:numPr>
          <w:ilvl w:val="0"/>
          <w:numId w:val="2"/>
        </w:numPr>
        <w:spacing w:lineRule="auto" w:line="312" w:before="0" w:after="120"/>
        <w:rPr/>
      </w:pPr>
      <w:r>
        <w:rPr>
          <w:rFonts w:eastAsia="Microsoft YaHei" w:cs="Calibri"/>
          <w:color w:val="263238"/>
          <w:sz w:val="21"/>
          <w:szCs w:val="24"/>
          <w:lang w:val="en-CA" w:eastAsia="en-CA" w:bidi="ar-SA"/>
        </w:rPr>
        <w:t>(d) Serves as the primary consultative body for amendments affecting maritime governance under Article 24.3.</w:t>
      </w:r>
    </w:p>
    <w:p>
      <w:pPr>
        <w:pStyle w:val="Normal"/>
        <w:rPr/>
      </w:pPr>
      <w:r>
        <w:rPr>
          <w:rFonts w:eastAsia="Microsoft YaHei" w:cs="Calibri"/>
          <w:color w:val="263238"/>
          <w:sz w:val="21"/>
          <w:szCs w:val="24"/>
          <w:lang w:val="en-CA" w:eastAsia="en-CA" w:bidi="ar-SA"/>
        </w:rPr>
        <w:t>Littoral Council decisions pass by consensus of its members. The Council holds no independent veto over JCC decisions, and its advice on maritime matters carries substantial weight in JCC deliberations.</w:t>
      </w:r>
    </w:p>
    <w:p>
      <w:pPr>
        <w:pStyle w:val="Heading3"/>
        <w:rPr/>
      </w:pPr>
      <w:r>
        <w:rPr>
          <w:rFonts w:eastAsia="Microsoft YaHei" w:cs="Calibri"/>
          <w:b/>
          <w:color w:val="263238"/>
          <w:sz w:val="18"/>
          <w:szCs w:val="24"/>
          <w:lang w:val="en-CA" w:eastAsia="en-CA" w:bidi="ar-SA"/>
        </w:rPr>
        <w:t>15.3 The Joint Coordination Council</w:t>
      </w:r>
    </w:p>
    <w:p>
      <w:pPr>
        <w:pStyle w:val="Normal"/>
        <w:rPr/>
      </w:pPr>
      <w:r>
        <w:rPr>
          <w:rFonts w:eastAsia="Microsoft YaHei" w:cs="Calibri"/>
          <w:color w:val="263238"/>
          <w:sz w:val="21"/>
          <w:szCs w:val="24"/>
          <w:lang w:val="en-CA" w:eastAsia="en-CA" w:bidi="ar-SA"/>
        </w:rPr>
        <w:t>The Joint Coordination Council (JCC) is the executive body. It comprises nine voting members: the United States, the Islamic Republic of Iran, the Kingdom of Saudi Arabia, the State of Kuwait, the State of Qatar, the Kingdom of Bahrain, the United Arab Emirates, the Sultanate of Oman, and the Swiss Confederation as Neutral Administrator, whose vote covers procedural matters only. The IAEA, the International Maritime Organization, and the International Hydrographic Organization hold non-voting technical seats. The JCC meets monthly in Muscat and within 24 hours upon request of any voting member.</w:t>
      </w:r>
    </w:p>
    <w:p>
      <w:pPr>
        <w:pStyle w:val="Normal"/>
        <w:rPr/>
      </w:pPr>
      <w:r>
        <w:rPr>
          <w:rFonts w:eastAsia="Microsoft YaHei" w:cs="Calibri"/>
          <w:color w:val="263238"/>
          <w:sz w:val="21"/>
          <w:szCs w:val="24"/>
          <w:lang w:val="en-CA" w:eastAsia="en-CA" w:bidi="ar-SA"/>
        </w:rPr>
        <w:t>Decisions follow two tracks. For political questions, including amendments, scope changes, budgets, and spillover certification, the JCC adopts the Consensus Minus One rule: where a decision concerns the conduct of one Party, that Party's vote stands aside and the remaining voting members decide by consensus; where consensus minus one fails, the matter moves automatically to the Guarantor Panel for final political judgment within 7 days. For technical determinations, including confirmation of a Technical Verification Group finding, data fidelity, measurement questions, and claim confirmation levels, the JCC decides by a two-thirds super-majority of voting members with the affected Party's vote excluded. The dual-track rule prevents a Party from blocking a clear-cut technical finding through procedural obstruction, while preserving full political consensus for political questions. A classification question under Article 18 never counts as technical for the purpose of this rule.</w:t>
      </w:r>
    </w:p>
    <w:p>
      <w:pPr>
        <w:pStyle w:val="Normal"/>
        <w:rPr/>
      </w:pPr>
      <w:r>
        <w:rPr>
          <w:rFonts w:eastAsia="Microsoft YaHei" w:cs="Calibri"/>
          <w:color w:val="263238"/>
          <w:sz w:val="21"/>
          <w:szCs w:val="24"/>
          <w:lang w:val="en-CA" w:eastAsia="en-CA" w:bidi="ar-SA"/>
        </w:rPr>
        <w:t>For political questions where the conduct of a single Party is at issue, that Party's vote stands aside and the remaining voting members decide by consensus of the other eight voting members. For questions affecting the collective maritime interest of all Gulf littoral states, all nine voting members decide by consensus, and the Neutral Administrator's procedural vote does not count toward the consensus. A failure to achieve consensus on a collective maritime interest question escalates to the Guarantor Panel for determination within 14 days.</w:t>
      </w:r>
    </w:p>
    <w:p>
      <w:pPr>
        <w:pStyle w:val="Normal"/>
        <w:rPr/>
      </w:pPr>
      <w:r>
        <w:rPr>
          <w:rFonts w:eastAsia="Microsoft YaHei" w:cs="Calibri"/>
          <w:color w:val="263238"/>
          <w:sz w:val="21"/>
          <w:szCs w:val="24"/>
          <w:lang w:val="en-CA" w:eastAsia="en-CA" w:bidi="ar-SA"/>
        </w:rPr>
        <w:t>The JCC directs the Corridor Operations Cell, adopts the annual budget, certifies spillover under Article 18.6, and approves amendments to technical annexes under Article 24.</w:t>
      </w:r>
    </w:p>
    <w:p>
      <w:pPr>
        <w:pStyle w:val="Heading3"/>
        <w:rPr/>
      </w:pPr>
      <w:r>
        <w:rPr>
          <w:rFonts w:eastAsia="Microsoft YaHei" w:cs="Calibri"/>
          <w:b/>
          <w:color w:val="263238"/>
          <w:sz w:val="18"/>
          <w:szCs w:val="24"/>
          <w:lang w:val="en-CA" w:eastAsia="en-CA" w:bidi="ar-SA"/>
        </w:rPr>
        <w:t>15.4 The Corridor Operations Cell</w:t>
      </w:r>
    </w:p>
    <w:p>
      <w:pPr>
        <w:pStyle w:val="Normal"/>
        <w:rPr/>
      </w:pPr>
      <w:r>
        <w:rPr>
          <w:rFonts w:eastAsia="Microsoft YaHei" w:cs="Calibri"/>
          <w:color w:val="263238"/>
          <w:sz w:val="21"/>
          <w:szCs w:val="24"/>
          <w:lang w:val="en-CA" w:eastAsia="en-CA" w:bidi="ar-SA"/>
        </w:rPr>
        <w:t>The Corridor Operations Cell (COC) is the operational heart of the maritime track. It seats in Muscat, with a liaison detachment in Bandar Abbas of equal rank and mirrored access. The COC staffs watch teams in mixed composition: Omani, Iranian, and international secondees on every watch, so that no watch consists of one nationality alone. The COC operates the shared operational picture, the notice and acknowledgment systems, the daily corridor schedule, the ground-truth patrol program of Article 6.5, the weekly openness statement, the incident desk, and the claim intake for coastal service compensation. The COC's data flows simultaneously to both Parties with identical latency; the Framework architecture excludes preferential access, earlier notification, or exclusive feeds for either Party.</w:t>
      </w:r>
    </w:p>
    <w:p>
      <w:pPr>
        <w:pStyle w:val="Heading3"/>
        <w:rPr/>
      </w:pPr>
      <w:r>
        <w:rPr>
          <w:rFonts w:eastAsia="Microsoft YaHei" w:cs="Calibri"/>
          <w:b/>
          <w:color w:val="263238"/>
          <w:sz w:val="18"/>
          <w:szCs w:val="24"/>
          <w:lang w:val="en-CA" w:eastAsia="en-CA" w:bidi="ar-SA"/>
        </w:rPr>
        <w:t>15.5 The Neutral Administrator</w:t>
      </w:r>
    </w:p>
    <w:p>
      <w:pPr>
        <w:pStyle w:val="Normal"/>
        <w:rPr/>
      </w:pPr>
      <w:r>
        <w:rPr>
          <w:rFonts w:eastAsia="Microsoft YaHei" w:cs="Calibri"/>
          <w:color w:val="263238"/>
          <w:sz w:val="21"/>
          <w:szCs w:val="24"/>
          <w:lang w:val="en-CA" w:eastAsia="en-CA" w:bidi="ar-SA"/>
        </w:rPr>
        <w:t>The Swiss Confederation serves as Neutral Administrator. The office: operates the escrow and the Fund; maintains the shared digital registry and the master coordinate register; administers the Reciprocity Ledger; convenes panels from the expert roster; holds the Performance Bonds; administers the Independent Investigation Facility; and serves as depositary of this instrument. The Neutral Administrator decides nothing about compliance; it administers, accounts, and certifies mechanics. Its costs form part of the administrative budget in Annex C.</w:t>
      </w:r>
    </w:p>
    <w:p>
      <w:pPr>
        <w:pStyle w:val="Heading3"/>
        <w:rPr/>
      </w:pPr>
      <w:r>
        <w:rPr>
          <w:rFonts w:eastAsia="Microsoft YaHei" w:cs="Calibri"/>
          <w:b/>
          <w:color w:val="263238"/>
          <w:sz w:val="18"/>
          <w:szCs w:val="24"/>
          <w:lang w:val="en-CA" w:eastAsia="en-CA" w:bidi="ar-SA"/>
        </w:rPr>
        <w:t>15.6 The Guarantor Panel</w:t>
      </w:r>
    </w:p>
    <w:p>
      <w:pPr>
        <w:pStyle w:val="Normal"/>
        <w:rPr/>
      </w:pPr>
      <w:r>
        <w:rPr>
          <w:rFonts w:eastAsia="Microsoft YaHei" w:cs="Calibri"/>
          <w:color w:val="263238"/>
          <w:sz w:val="21"/>
          <w:szCs w:val="24"/>
          <w:lang w:val="en-CA" w:eastAsia="en-CA" w:bidi="ar-SA"/>
        </w:rPr>
        <w:t>The Guarantor Panel provides the final political judgment layer. It comprises the Sultanate of Oman, the Swiss Confederation, the State of Qatar, the Kingdom of Saudi Arabia, the United Arab Emirates, the State of Kuwait, and the Kingdom of Bahrain, with two rotating members that the Plenary draws from a list it maintains, initially Japan and Singapore, chosen for their maritime-technical standing. A representative of the Gulf Cooperation Council attends as an observer with the right to address the Panel but without a vote. The Panel convenes within 48 hours of a Class Three classification, a failed Consensus Minus One referral, or a Red Line Consultation escalation. The Panel operates on a published rapid-response clock: a preliminary determination issues within 72 hours of convening, and a final determination issues within 120 hours of convening. A missed clock classifies under Annex D, category G-1, and the matter in question resolves by operation of the registry data and the verification certifications until the Panel acts, so that no actor profits from dragging out the review. The Panel's determinations on classification and restoration bind the operation of the mechanisms. The Panel possesses no military, police, or sanctioning power; its authority flows from the automaticity of the mechanisms it certifies.</w:t>
      </w:r>
    </w:p>
    <w:p>
      <w:pPr>
        <w:pStyle w:val="Heading3"/>
        <w:rPr/>
      </w:pPr>
      <w:r>
        <w:rPr>
          <w:rFonts w:eastAsia="Microsoft YaHei" w:cs="Calibri"/>
          <w:b/>
          <w:color w:val="263238"/>
          <w:sz w:val="18"/>
          <w:szCs w:val="24"/>
          <w:lang w:val="en-CA" w:eastAsia="en-CA" w:bidi="ar-SA"/>
        </w:rPr>
        <w:t>15.7 The Technical Verification Group</w:t>
      </w:r>
    </w:p>
    <w:p>
      <w:pPr>
        <w:pStyle w:val="Normal"/>
        <w:rPr/>
      </w:pPr>
      <w:r>
        <w:rPr>
          <w:rFonts w:eastAsia="Microsoft YaHei" w:cs="Calibri"/>
          <w:color w:val="263238"/>
          <w:sz w:val="21"/>
          <w:szCs w:val="24"/>
          <w:lang w:val="en-CA" w:eastAsia="en-CA" w:bidi="ar-SA"/>
        </w:rPr>
        <w:t>The Technical Verification Group (TVG) certifies data fidelity and claim confirmations across all domains. It comprises a standing core of twelve technical officers seconded by the Parties, Oman, Switzerland, the IAEA, and the classification societies, plus a roster of five neutral experts: a coordinator from Switzerland, a sensor and measurement expert from Japan, a regional operations expert from the United Arab Emirates, a maritime traffic systems expert from Singapore, and one rotating expert from a state not party to this instrument, selected by mutual agreement. The TVG compares every claim against the registry's sealed record, assigns confirmation levels, and issues binding technical determinations on data fidelity. The Independent Investigation Facility of Annex J, Section J.7 finances the TVG's forensic investigations, including rogue-actor and false-flag inquiries under Article 9.8. A Party challenges a TVG determination only through the second-opinion procedure of Annex J, Section J.6.</w:t>
      </w:r>
    </w:p>
    <w:p>
      <w:pPr>
        <w:pStyle w:val="Heading3"/>
        <w:rPr/>
      </w:pPr>
      <w:r>
        <w:rPr>
          <w:rFonts w:eastAsia="Microsoft YaHei" w:cs="Calibri"/>
          <w:b/>
          <w:color w:val="263238"/>
          <w:sz w:val="18"/>
          <w:szCs w:val="24"/>
          <w:lang w:val="en-CA" w:eastAsia="en-CA" w:bidi="ar-SA"/>
        </w:rPr>
        <w:t>15.8 The two-key rule, data access control, and leadership continuity</w:t>
      </w:r>
    </w:p>
    <w:p>
      <w:pPr>
        <w:pStyle w:val="Normal"/>
        <w:rPr/>
      </w:pPr>
      <w:r>
        <w:rPr>
          <w:rFonts w:eastAsia="Microsoft YaHei" w:cs="Calibri"/>
          <w:color w:val="263238"/>
          <w:sz w:val="21"/>
          <w:szCs w:val="24"/>
          <w:lang w:val="en-CA" w:eastAsia="en-CA" w:bidi="ar-SA"/>
        </w:rPr>
        <w:t>No single officer of any organ acts alone on any matter touching classification, custody, funds, or data access: every such act requires two authorized officers of different national affiliation. The data access limb applies to the entire shared registry: no officer views or downloads sensitive data, including raw vessel track records, military channel notices, custody records, or sealed evidence packages, without a second authorized officer of a different nationality present and the access logged with both identities. The log itself holds two-key protection: no officer edits or deletes an access record. A breach of the data access rule classifies under Annex D, category I-1.5, and triggers an immediate credential review. Every organ maintains a published succession roster of three named deputies for every key role, tested quarterly, so that the incapacity, departure, or political recall of any individual never interrupts operations. Crisis contacts are named persons, not offices, and the Primary Crisis Contact of each Party holds the rank of serving Deputy Minister or equivalent and stands publicly named in the signature block of this instrument, per Article 24.6 and Annex H, Section H.2.</w:t>
      </w:r>
    </w:p>
    <w:p>
      <w:pPr>
        <w:pStyle w:val="Heading3"/>
        <w:rPr/>
      </w:pPr>
      <w:r>
        <w:rPr>
          <w:rFonts w:eastAsia="Microsoft YaHei" w:cs="Calibri"/>
          <w:b/>
          <w:color w:val="263238"/>
          <w:sz w:val="18"/>
          <w:szCs w:val="24"/>
          <w:lang w:val="en-CA" w:eastAsia="en-CA" w:bidi="ar-SA"/>
        </w:rPr>
        <w:t>15.9 The Independent Assurance Council</w:t>
      </w:r>
    </w:p>
    <w:p>
      <w:pPr>
        <w:pStyle w:val="Normal"/>
        <w:rPr/>
      </w:pPr>
      <w:r>
        <w:rPr>
          <w:rFonts w:eastAsia="Microsoft YaHei" w:cs="Calibri"/>
          <w:color w:val="263238"/>
          <w:sz w:val="21"/>
          <w:szCs w:val="24"/>
          <w:lang w:val="en-CA" w:eastAsia="en-CA" w:bidi="ar-SA"/>
        </w:rPr>
        <w:t>The Independent Assurance Council provides the Framework's public verification layer. It comprises five independent experts drawn from academia, civil society organizations, and retired diplomatic service, none holding any current government affiliation, appointment, or contract with any state. The Plenary appoints Council members for three-year non-renewable terms from a nomination pool prepared by the Mediator of Record, and a member's removal before term end requires a four-fifths Plenary vote for stated cause. The Council holds three rights:</w:t>
      </w:r>
    </w:p>
    <w:p>
      <w:pPr>
        <w:pStyle w:val="Normal"/>
        <w:numPr>
          <w:ilvl w:val="0"/>
          <w:numId w:val="1"/>
        </w:numPr>
        <w:spacing w:lineRule="auto" w:line="312" w:before="0" w:after="120"/>
        <w:rPr/>
      </w:pPr>
      <w:r>
        <w:rPr>
          <w:rFonts w:eastAsia="Microsoft YaHei" w:cs="Calibri"/>
          <w:color w:val="263238"/>
          <w:sz w:val="21"/>
          <w:szCs w:val="24"/>
          <w:lang w:val="en-CA" w:eastAsia="en-CA" w:bidi="ar-SA"/>
        </w:rPr>
        <w:t>Data access. The Council accesses all non-classified data in the shared registry under the two-key rule of Article 15.8, including Standing Ratios, claim statistics, openness statements, and the pattern repository's public layers.</w:t>
      </w:r>
    </w:p>
    <w:p>
      <w:pPr>
        <w:pStyle w:val="Normal"/>
        <w:numPr>
          <w:ilvl w:val="0"/>
          <w:numId w:val="1"/>
        </w:numPr>
        <w:spacing w:lineRule="auto" w:line="312" w:before="0" w:after="120"/>
        <w:rPr/>
      </w:pPr>
      <w:r>
        <w:rPr>
          <w:rFonts w:eastAsia="Microsoft YaHei" w:cs="Calibri"/>
          <w:color w:val="263238"/>
          <w:sz w:val="21"/>
          <w:szCs w:val="24"/>
          <w:lang w:val="en-CA" w:eastAsia="en-CA" w:bidi="ar-SA"/>
        </w:rPr>
        <w:t>Reporting. The Council submits reports to the Plenary at each annual session, assessing the operation of the Framework, the state of the Standing Ratios, and any pattern of obstruction its analysis reveals.</w:t>
      </w:r>
    </w:p>
    <w:p>
      <w:pPr>
        <w:pStyle w:val="Normal"/>
        <w:numPr>
          <w:ilvl w:val="0"/>
          <w:numId w:val="1"/>
        </w:numPr>
        <w:spacing w:lineRule="auto" w:line="312" w:before="0" w:after="120"/>
        <w:rPr/>
      </w:pPr>
      <w:r>
        <w:rPr>
          <w:rFonts w:eastAsia="Microsoft YaHei" w:cs="Calibri"/>
          <w:color w:val="263238"/>
          <w:sz w:val="21"/>
          <w:szCs w:val="24"/>
          <w:lang w:val="en-CA" w:eastAsia="en-CA" w:bidi="ar-SA"/>
        </w:rPr>
        <w:t>Public comment. The Council publishes its assessments of Standing Ratios and Class Three events on the public dashboard, in its own voice, without prior approval by any organ. A Council publication states facts and analysis, never classification, and carries no legal effect within the mechanisms.</w:t>
      </w:r>
    </w:p>
    <w:p>
      <w:pPr>
        <w:pStyle w:val="Normal"/>
        <w:rPr/>
      </w:pPr>
      <w:r>
        <w:rPr>
          <w:rFonts w:eastAsia="Microsoft YaHei" w:cs="Calibri"/>
          <w:color w:val="263238"/>
          <w:sz w:val="21"/>
          <w:szCs w:val="24"/>
          <w:lang w:val="en-CA" w:eastAsia="en-CA" w:bidi="ar-SA"/>
        </w:rPr>
        <w:t>The Council operates on a budget line of the Transit Services Fund sufficient for a secretariat of four officers. Its independence is structural: no Party nominates its members directly, no organ reviews its publications in advance, and its reports enter the Plenary record unedited. The Council exposes obstruction to informed public scrutiny, which operates as a deterrent that no procedural rule alone supplies.</w:t>
      </w:r>
    </w:p>
    <w:p>
      <w:pPr>
        <w:pStyle w:val="Heading2"/>
        <w:rPr/>
      </w:pPr>
      <w:bookmarkStart w:id="27" w:name="__RefHeading___Toc7230_2800514504"/>
      <w:bookmarkEnd w:id="27"/>
      <w:r>
        <w:rPr>
          <w:rFonts w:eastAsia="Microsoft YaHei" w:cs="Calibri"/>
          <w:b/>
          <w:color w:val="263238"/>
          <w:sz w:val="21"/>
          <w:szCs w:val="24"/>
          <w:lang w:val="en-CA" w:eastAsia="en-CA" w:bidi="ar-SA"/>
        </w:rPr>
        <w:t>Article 16: The Standing Protocol System</w:t>
      </w:r>
    </w:p>
    <w:p>
      <w:pPr>
        <w:pStyle w:val="Heading3"/>
        <w:rPr/>
      </w:pPr>
      <w:r>
        <w:rPr>
          <w:rFonts w:eastAsia="Microsoft YaHei" w:cs="Calibri"/>
          <w:b/>
          <w:color w:val="263238"/>
          <w:sz w:val="18"/>
          <w:szCs w:val="24"/>
          <w:lang w:val="en-CA" w:eastAsia="en-CA" w:bidi="ar-SA"/>
        </w:rPr>
        <w:t>16.1 Modularity</w:t>
      </w:r>
    </w:p>
    <w:p>
      <w:pPr>
        <w:pStyle w:val="Normal"/>
        <w:rPr/>
      </w:pPr>
      <w:r>
        <w:rPr>
          <w:rFonts w:eastAsia="Microsoft YaHei" w:cs="Calibri"/>
          <w:color w:val="263238"/>
          <w:sz w:val="21"/>
          <w:szCs w:val="24"/>
          <w:lang w:val="en-CA" w:eastAsia="en-CA" w:bidi="ar-SA"/>
        </w:rPr>
        <w:t>The Framework operates as a set of Standing Protocols: modular, self-contained, reciprocal commitments, each instantiated as an operative annex with its own scope, verification method, review cycle, and restoration path. The maritime corridor rules, the de-confliction geometry, the downblending protocol, the waiver alignment, the fund charter, and the registry rules each constitute a Standing Protocol. The modular design follows a simple structural insight: many small bonds hold where one grand bargain snaps. A failure inside one Protocol stays inside that Protocol unless spillover certifies under Article 18.6.</w:t>
      </w:r>
    </w:p>
    <w:p>
      <w:pPr>
        <w:pStyle w:val="Heading3"/>
        <w:rPr/>
      </w:pPr>
      <w:r>
        <w:rPr>
          <w:rFonts w:eastAsia="Microsoft YaHei" w:cs="Calibri"/>
          <w:b/>
          <w:color w:val="263238"/>
          <w:sz w:val="18"/>
          <w:szCs w:val="24"/>
          <w:lang w:val="en-CA" w:eastAsia="en-CA" w:bidi="ar-SA"/>
        </w:rPr>
        <w:t>16.2 Tiers</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899"/>
        <w:gridCol w:w="3601"/>
        <w:gridCol w:w="3526"/>
      </w:tblGrid>
      <w:tr>
        <w:trPr>
          <w:tblHeader w:val="true"/>
        </w:trPr>
        <w:tc>
          <w:tcPr>
            <w:tcW w:w="1899"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455A64"/>
                <w:kern w:val="2"/>
                <w:sz w:val="26"/>
                <w:szCs w:val="24"/>
                <w:lang w:val="en-CA" w:eastAsia="en-CA" w:bidi="ar-SA"/>
              </w:rPr>
              <w:t>Tier</w:t>
            </w:r>
          </w:p>
        </w:tc>
        <w:tc>
          <w:tcPr>
            <w:tcW w:w="360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455A64"/>
                <w:kern w:val="2"/>
                <w:sz w:val="26"/>
                <w:szCs w:val="24"/>
                <w:lang w:val="en-CA" w:eastAsia="en-CA" w:bidi="ar-SA"/>
              </w:rPr>
              <w:t>Content</w:t>
            </w:r>
          </w:p>
        </w:tc>
        <w:tc>
          <w:tcPr>
            <w:tcW w:w="3526"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455A64"/>
                <w:kern w:val="2"/>
                <w:sz w:val="26"/>
                <w:szCs w:val="24"/>
                <w:lang w:val="en-CA" w:eastAsia="en-CA" w:bidi="ar-SA"/>
              </w:rPr>
              <w:t>Protection</w:t>
            </w:r>
          </w:p>
        </w:tc>
      </w:tr>
      <w:tr>
        <w:trPr/>
        <w:tc>
          <w:tcPr>
            <w:tcW w:w="18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Tier A: Locked</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Zero-Toll Rule; non-interdiction protocol; humanitarian absolute; civilian ceiling; dual-lock custody; exclusion of force</w:t>
            </w:r>
          </w:p>
        </w:tc>
        <w:tc>
          <w:tcPr>
            <w:tcW w:w="3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No suspension under any mechanism; zero adaptive window per Article 16.5; modification only by Article 24 amendment with both Parties' heads of government</w:t>
            </w:r>
          </w:p>
        </w:tc>
      </w:tr>
      <w:tr>
        <w:trPr/>
        <w:tc>
          <w:tcPr>
            <w:tcW w:w="18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Tier B: Stabilizing</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Corridor regimes; de-confliction geometry; waiver alignment; tranche schedule; fund operations</w:t>
            </w:r>
          </w:p>
        </w:tc>
        <w:tc>
          <w:tcPr>
            <w:tcW w:w="3526"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Graduated response applies within the Protocol; restoration follows the Annex E schedule; suspension never cascades without certified spillover</w:t>
            </w:r>
          </w:p>
        </w:tc>
      </w:tr>
      <w:tr>
        <w:trPr/>
        <w:tc>
          <w:tcPr>
            <w:tcW w:w="1899"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Tier C: Cooperative</w:t>
            </w:r>
          </w:p>
        </w:tc>
        <w:tc>
          <w:tcPr>
            <w:tcW w:w="3601"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Joint exercises; data exchange expansion; research cooperation; pattern repository development</w:t>
            </w:r>
          </w:p>
        </w:tc>
        <w:tc>
          <w:tcPr>
            <w:tcW w:w="3526"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Review-cycle adjustment by the JCC; suspension for one review cycle without spillover effects</w:t>
            </w:r>
          </w:p>
        </w:tc>
      </w:tr>
    </w:tbl>
    <w:p>
      <w:pPr>
        <w:pStyle w:val="Caption1"/>
        <w:rPr/>
      </w:pPr>
      <w:r>
        <w:rPr>
          <w:rFonts w:eastAsia="Microsoft YaHei" w:cs="Calibri"/>
          <w:b/>
          <w:color w:val="37474F"/>
          <w:sz w:val="18"/>
          <w:szCs w:val="24"/>
          <w:lang w:val="en-CA" w:eastAsia="en-CA" w:bidi="ar-SA"/>
        </w:rPr>
        <w:t>Table 16.1: Standing Protocol tiers</w:t>
      </w:r>
    </w:p>
    <w:p>
      <w:pPr>
        <w:pStyle w:val="Heading3"/>
        <w:rPr/>
      </w:pPr>
      <w:r>
        <w:rPr>
          <w:rFonts w:eastAsia="Microsoft YaHei" w:cs="Calibri"/>
          <w:b/>
          <w:color w:val="263238"/>
          <w:sz w:val="18"/>
          <w:szCs w:val="24"/>
          <w:lang w:val="en-CA" w:eastAsia="en-CA" w:bidi="ar-SA"/>
        </w:rPr>
        <w:t>16.3 Rotation and review</w:t>
      </w:r>
    </w:p>
    <w:p>
      <w:pPr>
        <w:pStyle w:val="Normal"/>
        <w:rPr/>
      </w:pPr>
      <w:r>
        <w:rPr>
          <w:rFonts w:eastAsia="Microsoft YaHei" w:cs="Calibri"/>
          <w:color w:val="263238"/>
          <w:sz w:val="21"/>
          <w:szCs w:val="24"/>
          <w:lang w:val="en-CA" w:eastAsia="en-CA" w:bidi="ar-SA"/>
        </w:rPr>
        <w:t>Every Standing Protocol reviews on a fixed rotation: Tier B annually, Tier C each six months, Tier A only through the Article 24 amendment track. A review examines performance data, proposes adjustments, and either renews, adjusts, or consolidates the Protocol. Continuation is the default at every review: a Protocol lapses only through an affirmative joint decision recorded in writing, consistent with the Continuing Effect Rule. A Protocol that outlives its purpose receives a dignified closure: the review records the closure rationale, archives the Protocol's data into the pattern repository, and redistributes its resources, so that no Protocol either zombies on without purpose or dies silently with its lessons lost.</w:t>
      </w:r>
    </w:p>
    <w:p>
      <w:pPr>
        <w:pStyle w:val="Heading3"/>
        <w:rPr/>
      </w:pPr>
      <w:r>
        <w:rPr>
          <w:rFonts w:eastAsia="Microsoft YaHei" w:cs="Calibri"/>
          <w:b/>
          <w:color w:val="263238"/>
          <w:sz w:val="18"/>
          <w:szCs w:val="24"/>
          <w:lang w:val="en-CA" w:eastAsia="en-CA" w:bidi="ar-SA"/>
        </w:rPr>
        <w:t>16.4 Alternate channels</w:t>
      </w:r>
    </w:p>
    <w:p>
      <w:pPr>
        <w:pStyle w:val="Normal"/>
        <w:rPr/>
      </w:pPr>
      <w:r>
        <w:rPr>
          <w:rFonts w:eastAsia="Microsoft YaHei" w:cs="Calibri"/>
          <w:color w:val="263238"/>
          <w:sz w:val="21"/>
          <w:szCs w:val="24"/>
          <w:lang w:val="en-CA" w:eastAsia="en-CA" w:bidi="ar-SA"/>
        </w:rPr>
        <w:t>Each Standing Protocol pre-authorizes an alternate channel: a detour route for cooperation that activates automatically when the primary channel obstructs. If the JCC deadlocks on a technical matter, the matter routes to the TVG's expert roster for a binding technical determination. If the military channel degrades, incident traffic routes through the Neutral Administrator's relay with identical latency. If a corridor routing adjustment occurs, the surge pattern of Article 5.6 activates without negotiation. Pre-authorization means the detour needs no fresh consent in the moment of stress; the Framework routes around failure instead of surrendering to it.</w:t>
      </w:r>
    </w:p>
    <w:p>
      <w:pPr>
        <w:pStyle w:val="Heading3"/>
        <w:rPr/>
      </w:pPr>
      <w:r>
        <w:rPr>
          <w:rFonts w:eastAsia="Microsoft YaHei" w:cs="Calibri"/>
          <w:b/>
          <w:color w:val="263238"/>
          <w:sz w:val="18"/>
          <w:szCs w:val="24"/>
          <w:lang w:val="en-CA" w:eastAsia="en-CA" w:bidi="ar-SA"/>
        </w:rPr>
        <w:t>16.5 Adaptive windows</w:t>
      </w:r>
    </w:p>
    <w:p>
      <w:pPr>
        <w:pStyle w:val="Normal"/>
        <w:rPr/>
      </w:pPr>
      <w:r>
        <w:rPr>
          <w:rFonts w:eastAsia="Microsoft YaHei" w:cs="Calibri"/>
          <w:color w:val="263238"/>
          <w:sz w:val="21"/>
          <w:szCs w:val="24"/>
          <w:lang w:val="en-CA" w:eastAsia="en-CA" w:bidi="ar-SA"/>
        </w:rPr>
        <w:t>Timelines in Tier B and Tier C Protocols carry an adaptive window of plus or minus 20 percent, usable by the responsible organ through a logged adjustment notice stating cause. An adjustment inside the window is a routine variation, not a deviation: it enters the Anticipation Registry for pattern review and triggers no classification. An adjustment beyond the window routes through the JCC. Tier A Protocols carry an adaptive window of zero. No delay, no deviation, and no routine variation logs for the Zero-Toll Rule, the non-interdiction protocol, the humanitarian absolute, the civilian ceiling, the dual-lock custody, or the exclusion of force. Every breach of a Tier A element classifies under Annex D immediately, without grace, and the classification proceeds on the facts alone. The zero window removes any ambiguity about the inviolability of the core commitments: the center of the Framework does not bend, because everything else is designed so that it never needs to.</w:t>
      </w:r>
    </w:p>
    <w:p>
      <w:pPr>
        <w:pStyle w:val="Heading3"/>
        <w:rPr/>
      </w:pPr>
      <w:r>
        <w:rPr>
          <w:rFonts w:eastAsia="Microsoft YaHei" w:cs="Calibri"/>
          <w:b/>
          <w:color w:val="263238"/>
          <w:sz w:val="18"/>
          <w:szCs w:val="24"/>
          <w:lang w:val="en-CA" w:eastAsia="en-CA" w:bidi="ar-SA"/>
        </w:rPr>
        <w:t>16.6 Consolidation mode</w:t>
      </w:r>
    </w:p>
    <w:p>
      <w:pPr>
        <w:pStyle w:val="Normal"/>
        <w:rPr/>
      </w:pPr>
      <w:r>
        <w:rPr>
          <w:rFonts w:eastAsia="Microsoft YaHei" w:cs="Calibri"/>
          <w:color w:val="263238"/>
          <w:sz w:val="21"/>
          <w:szCs w:val="24"/>
          <w:lang w:val="en-CA" w:eastAsia="en-CA" w:bidi="ar-SA"/>
        </w:rPr>
        <w:t>When the political environment degrades, measured objectively through the Registry's trend indicators, the Framework shifts affected Tier C Protocols into consolidation mode: high-visibility activities pause by design, core technical cooperation continues quietly, and the Protocol conserves its substance until conditions improve. Consolidation mode is an operating state, not a breach, not a suspension, and not a failure: it treats political weather as weather. Exit from consolidation mode occurs automatically when the trend indicators recover for two consecutive review cycles, or earlier by joint notice.</w:t>
      </w:r>
    </w:p>
    <w:p>
      <w:pPr>
        <w:pStyle w:val="Heading2"/>
        <w:rPr/>
      </w:pPr>
      <w:bookmarkStart w:id="28" w:name="__RefHeading___Toc7232_2800514504"/>
      <w:bookmarkEnd w:id="28"/>
      <w:r>
        <w:rPr>
          <w:rFonts w:eastAsia="Microsoft YaHei" w:cs="Calibri"/>
          <w:b/>
          <w:color w:val="263238"/>
          <w:sz w:val="21"/>
          <w:szCs w:val="24"/>
          <w:lang w:val="en-CA" w:eastAsia="en-CA" w:bidi="ar-SA"/>
        </w:rPr>
        <w:t>Article 17: The Reciprocity Ledger</w:t>
      </w:r>
    </w:p>
    <w:p>
      <w:pPr>
        <w:pStyle w:val="Heading3"/>
        <w:rPr/>
      </w:pPr>
      <w:r>
        <w:rPr>
          <w:rFonts w:eastAsia="Microsoft YaHei" w:cs="Calibri"/>
          <w:b/>
          <w:color w:val="263238"/>
          <w:sz w:val="18"/>
          <w:szCs w:val="24"/>
          <w:lang w:val="en-CA" w:eastAsia="en-CA" w:bidi="ar-SA"/>
        </w:rPr>
        <w:t>17.1 The ledger concept</w:t>
      </w:r>
    </w:p>
    <w:p>
      <w:pPr>
        <w:pStyle w:val="Normal"/>
        <w:rPr/>
      </w:pPr>
      <w:r>
        <w:rPr>
          <w:rFonts w:eastAsia="Microsoft YaHei" w:cs="Calibri"/>
          <w:color w:val="263238"/>
          <w:sz w:val="21"/>
          <w:szCs w:val="24"/>
          <w:lang w:val="en-CA" w:eastAsia="en-CA" w:bidi="ar-SA"/>
        </w:rPr>
        <w:t>The Reciprocity Ledger converts compliance into accounting for all Parties. Each Gulf littoral state maintains an individual account within the Ledger. Verified completion of an obligation records Compliance Units; a verified deviation records Adjustment Units; benefits flow from the balance automatically. The multilateral Ledger allows each Party to assess both its own standing and the collective standing of the Gulf littoral states. The Neutral Administrator publishes a collective Standing Ratio each day as a regional stability indicator; the ratio averages the Standing Ratios of all Gulf littoral states. The Ledger replaces the punitive logic of verify-then-punish with an equilibrating logic: compliance is the contribution, benefit is the return, and the system itself, not any Party, enforces the equivalence. No Party punishes another. The Ledger restores balance, and it does so in the open: all Parties see the same numbers at the same time.</w:t>
      </w:r>
    </w:p>
    <w:p>
      <w:pPr>
        <w:pStyle w:val="Heading3"/>
        <w:rPr/>
      </w:pPr>
      <w:r>
        <w:rPr>
          <w:rFonts w:eastAsia="Microsoft YaHei" w:cs="Calibri"/>
          <w:b/>
          <w:color w:val="263238"/>
          <w:sz w:val="18"/>
          <w:szCs w:val="24"/>
          <w:lang w:val="en-CA" w:eastAsia="en-CA" w:bidi="ar-SA"/>
        </w:rPr>
        <w:t>17.2 Unit schedule</w:t>
      </w:r>
    </w:p>
    <w:p>
      <w:pPr>
        <w:pStyle w:val="Normal"/>
        <w:rPr/>
      </w:pPr>
      <w:r>
        <w:rPr>
          <w:rFonts w:eastAsia="Microsoft YaHei" w:cs="Calibri"/>
          <w:color w:val="263238"/>
          <w:sz w:val="21"/>
          <w:szCs w:val="24"/>
          <w:lang w:val="en-CA" w:eastAsia="en-CA" w:bidi="ar-SA"/>
        </w:rPr>
        <w:t>The JCC adopts the unit schedule in Annex D: every obligation carries a Compliance Unit value and every deviation carries an Adjustment Unit value proportional to its severity. The schedule publishes in full. A unit value changes only through the annual review with JCC consensus, and changes apply prospectively only. The registry logs every unit entry with cryptographic chain of custody; no Party modifies, deletes, or redacts a logged entry; the registry retains all entries for a minimum of five years and supports forensic audit on request.</w:t>
      </w:r>
    </w:p>
    <w:p>
      <w:pPr>
        <w:pStyle w:val="Heading3"/>
        <w:rPr/>
      </w:pPr>
      <w:r>
        <w:rPr>
          <w:rFonts w:eastAsia="Microsoft YaHei" w:cs="Calibri"/>
          <w:b/>
          <w:color w:val="263238"/>
          <w:sz w:val="18"/>
          <w:szCs w:val="24"/>
          <w:lang w:val="en-CA" w:eastAsia="en-CA" w:bidi="ar-SA"/>
        </w:rPr>
        <w:t>17.3 The dual Standing Ratio</w:t>
      </w:r>
    </w:p>
    <w:p>
      <w:pPr>
        <w:pStyle w:val="Normal"/>
        <w:rPr/>
      </w:pPr>
      <w:r>
        <w:rPr>
          <w:rFonts w:eastAsia="Microsoft YaHei" w:cs="Calibri"/>
          <w:color w:val="263238"/>
          <w:sz w:val="21"/>
          <w:szCs w:val="24"/>
          <w:lang w:val="en-CA" w:eastAsia="en-CA" w:bidi="ar-SA"/>
        </w:rPr>
        <w:t>Each Party maintains two published ratios, calculated daily on a rolling 365-day basis:</w:t>
      </w:r>
    </w:p>
    <w:p>
      <w:pPr>
        <w:pStyle w:val="Normal"/>
        <w:numPr>
          <w:ilvl w:val="0"/>
          <w:numId w:val="2"/>
        </w:numPr>
        <w:spacing w:lineRule="auto" w:line="312" w:before="0" w:after="120"/>
        <w:rPr/>
      </w:pPr>
      <w:r>
        <w:rPr>
          <w:rFonts w:eastAsia="Microsoft YaHei" w:cs="Calibri"/>
          <w:color w:val="263238"/>
          <w:sz w:val="21"/>
          <w:szCs w:val="24"/>
          <w:lang w:val="en-CA" w:eastAsia="en-CA" w:bidi="ar-SA"/>
        </w:rPr>
        <w:t>Contribution Ratio: Compliance Units earned divided by Adjustment Units incurred, measuring what the Party has given.</w:t>
      </w:r>
    </w:p>
    <w:p>
      <w:pPr>
        <w:pStyle w:val="Normal"/>
        <w:numPr>
          <w:ilvl w:val="0"/>
          <w:numId w:val="2"/>
        </w:numPr>
        <w:spacing w:lineRule="auto" w:line="312" w:before="0" w:after="120"/>
        <w:rPr/>
      </w:pPr>
      <w:r>
        <w:rPr>
          <w:rFonts w:eastAsia="Microsoft YaHei" w:cs="Calibri"/>
          <w:color w:val="263238"/>
          <w:sz w:val="21"/>
          <w:szCs w:val="24"/>
          <w:lang w:val="en-CA" w:eastAsia="en-CA" w:bidi="ar-SA"/>
        </w:rPr>
        <w:t>Delivery Ratio: benefits received divided by benefits withheld, measuring what the Party has received.</w:t>
      </w:r>
    </w:p>
    <w:p>
      <w:pPr>
        <w:pStyle w:val="Normal"/>
        <w:rPr/>
      </w:pPr>
      <w:r>
        <w:rPr>
          <w:rFonts w:eastAsia="Microsoft YaHei" w:cs="Calibri"/>
          <w:color w:val="263238"/>
          <w:sz w:val="21"/>
          <w:szCs w:val="24"/>
          <w:lang w:val="en-CA" w:eastAsia="en-CA" w:bidi="ar-SA"/>
        </w:rPr>
        <w:t>The Standing Ratio equals the average of the two. A Standing Ratio of 1.0 or greater indicates Full Standing. A ratio between 0.75 and 0.99 indicates Balancing Status, in which discretionary benefits reduce in proportion to the deficit until the ratio restores. A ratio below 0.75 indicates Deficit Status, in which discretionary benefits pause while core humanitarian and security elements continue untouched. The dual ratio prevents the asymmetry in which one Party's compliance is visible and the other Party's delivery is opaque: the Ledger measures both directions with the same ruler, and neither Party disputes the publication of the other Party's ratios.</w:t>
      </w:r>
    </w:p>
    <w:p>
      <w:pPr>
        <w:pStyle w:val="Heading3"/>
        <w:rPr/>
      </w:pPr>
      <w:r>
        <w:rPr>
          <w:rFonts w:eastAsia="Microsoft YaHei" w:cs="Calibri"/>
          <w:b/>
          <w:color w:val="263238"/>
          <w:sz w:val="18"/>
          <w:szCs w:val="24"/>
          <w:lang w:val="en-CA" w:eastAsia="en-CA" w:bidi="ar-SA"/>
        </w:rPr>
        <w:t>17.4 Automatic response</w:t>
      </w:r>
    </w:p>
    <w:p>
      <w:pPr>
        <w:pStyle w:val="Normal"/>
        <w:rPr/>
      </w:pPr>
      <w:r>
        <w:rPr>
          <w:rFonts w:eastAsia="Microsoft YaHei" w:cs="Calibri"/>
          <w:color w:val="263238"/>
          <w:sz w:val="21"/>
          <w:szCs w:val="24"/>
          <w:lang w:val="en-CA" w:eastAsia="en-CA" w:bidi="ar-SA"/>
        </w:rPr>
        <w:t>Upon a verified entry, the corresponding benefit adjustment executes within 48 hours through the registry: a compliance entry releases its benefit; an adjustment entry withholds its equivalent value; a rectification entry reverses the withholding and releases the held benefit. The response is structural, not discretionary: human oversight confirms technical accuracy and never votes on whether the response occurs. Rectification always remains available: a Party cures the deviation, verification records the cure, and the balance restores, with no permanent record and no residual stigma.</w:t>
      </w:r>
    </w:p>
    <w:p>
      <w:pPr>
        <w:pStyle w:val="Heading3"/>
        <w:rPr/>
      </w:pPr>
      <w:r>
        <w:rPr>
          <w:rFonts w:eastAsia="Microsoft YaHei" w:cs="Calibri"/>
          <w:b/>
          <w:color w:val="263238"/>
          <w:sz w:val="18"/>
          <w:szCs w:val="24"/>
          <w:lang w:val="en-CA" w:eastAsia="en-CA" w:bidi="ar-SA"/>
        </w:rPr>
        <w:t>17.5 Visibility and reputation</w:t>
      </w:r>
    </w:p>
    <w:p>
      <w:pPr>
        <w:pStyle w:val="Normal"/>
        <w:rPr/>
      </w:pPr>
      <w:r>
        <w:rPr>
          <w:rFonts w:eastAsia="Microsoft YaHei" w:cs="Calibri"/>
          <w:color w:val="263238"/>
          <w:sz w:val="21"/>
          <w:szCs w:val="24"/>
          <w:lang w:val="en-CA" w:eastAsia="en-CA" w:bidi="ar-SA"/>
        </w:rPr>
        <w:t>The Standing Ratios publish daily to both Parties, the Guarantor Panel, and the contributing states. The weekly openness statement includes the maritime compliance summary. The Independent Assurance Council publishes its own periodic assessment of the ratios under Article 15.9. The visibility operates as a quiet incentive architecture: a strong ratio builds a Party's standing across every adjacent negotiation, and a weak ratio speaks for itself without accusation. The Framework thereby harvests reputational dynamics through formal transparency rather than through public confrontation.</w:t>
      </w:r>
    </w:p>
    <w:p>
      <w:pPr>
        <w:pStyle w:val="Heading3"/>
        <w:rPr/>
      </w:pPr>
      <w:r>
        <w:rPr>
          <w:rFonts w:eastAsia="Microsoft YaHei" w:cs="Calibri"/>
          <w:b/>
          <w:color w:val="263238"/>
          <w:sz w:val="18"/>
          <w:szCs w:val="24"/>
          <w:lang w:val="en-CA" w:eastAsia="en-CA" w:bidi="ar-SA"/>
        </w:rPr>
        <w:t>17.6 The Emergency Relief Reserve</w:t>
      </w:r>
    </w:p>
    <w:p>
      <w:pPr>
        <w:pStyle w:val="Normal"/>
        <w:rPr/>
      </w:pPr>
      <w:r>
        <w:rPr>
          <w:rFonts w:eastAsia="Microsoft YaHei" w:cs="Calibri"/>
          <w:color w:val="263238"/>
          <w:sz w:val="21"/>
          <w:szCs w:val="24"/>
          <w:lang w:val="en-CA" w:eastAsia="en-CA" w:bidi="ar-SA"/>
        </w:rPr>
        <w:t>The Ledger holds an Emergency Relief Reserve, capitalized by a 5 percent surcharge on core contributions until the Reserve reaches a balance equal to the two largest annual tranche values. A Party or the GCC collectively, facing a genuine humanitarian emergency, an existential threat, a regional catastrophe, or a situation where compliance is technically impossible, draws on the Reserve through a defined gate: written invocation by the affected Party or by the GCC Secretary-General on behalf of the affected member; technical opinion from the TVG within 14 days; JCC approval by two-thirds; one-time unit injection that restores the affected Party's Standing Ratio to 1.0. Any Party or the GCC collectively invokes the Reserve no more than once per five-year period per beneficiary, and the Reserve never covers deviations that threaten regional security or repeat patterns. The Reserve is a narrow bridge over genuine catastrophe, not a loophole.</w:t>
      </w:r>
    </w:p>
    <w:p>
      <w:pPr>
        <w:pStyle w:val="Heading2"/>
        <w:rPr/>
      </w:pPr>
      <w:bookmarkStart w:id="29" w:name="__RefHeading___Toc7234_2800514504"/>
      <w:bookmarkEnd w:id="29"/>
      <w:r>
        <w:rPr>
          <w:rFonts w:eastAsia="Microsoft YaHei" w:cs="Calibri"/>
          <w:b/>
          <w:color w:val="263238"/>
          <w:sz w:val="21"/>
          <w:szCs w:val="24"/>
          <w:lang w:val="en-CA" w:eastAsia="en-CA" w:bidi="ar-SA"/>
        </w:rPr>
        <w:t>Article 18: The Graduated Response and Restoration System</w:t>
      </w:r>
    </w:p>
    <w:p>
      <w:pPr>
        <w:pStyle w:val="Heading3"/>
        <w:rPr/>
      </w:pPr>
      <w:r>
        <w:rPr>
          <w:rFonts w:eastAsia="Microsoft YaHei" w:cs="Calibri"/>
          <w:b/>
          <w:color w:val="263238"/>
          <w:sz w:val="18"/>
          <w:szCs w:val="24"/>
          <w:lang w:val="en-CA" w:eastAsia="en-CA" w:bidi="ar-SA"/>
        </w:rPr>
        <w:t>18.1 The operating principle</w:t>
      </w:r>
    </w:p>
    <w:p>
      <w:pPr>
        <w:pStyle w:val="Normal"/>
        <w:rPr/>
      </w:pPr>
      <w:r>
        <w:rPr>
          <w:rFonts w:eastAsia="Microsoft YaHei" w:cs="Calibri"/>
          <w:color w:val="263238"/>
          <w:sz w:val="21"/>
          <w:szCs w:val="24"/>
          <w:lang w:val="en-CA" w:eastAsia="en-CA" w:bidi="ar-SA"/>
        </w:rPr>
        <w:t>The Framework does not collapse upon breach. It breathes. Discretionary benefits pause first. Core constraints survive longest. Humanitarian protections remain absolute. Minor deviations produce minor consequences. Sustained compliance restores full benefits. No deviation creates permanent exclusion. This Article establishes the graduated response that replaces snapback, and Annex E states its operating rules in full.</w:t>
      </w:r>
    </w:p>
    <w:p>
      <w:pPr>
        <w:pStyle w:val="Heading3"/>
        <w:rPr/>
      </w:pPr>
      <w:r>
        <w:rPr>
          <w:rFonts w:eastAsia="Microsoft YaHei" w:cs="Calibri"/>
          <w:b/>
          <w:color w:val="263238"/>
          <w:sz w:val="18"/>
          <w:szCs w:val="24"/>
          <w:lang w:val="en-CA" w:eastAsia="en-CA" w:bidi="ar-SA"/>
        </w:rPr>
        <w:t>18.2 Class One: technical deviation</w:t>
      </w:r>
    </w:p>
    <w:p>
      <w:pPr>
        <w:pStyle w:val="Normal"/>
        <w:rPr/>
      </w:pPr>
      <w:r>
        <w:rPr>
          <w:rFonts w:eastAsia="Microsoft YaHei" w:cs="Calibri"/>
          <w:color w:val="263238"/>
          <w:sz w:val="21"/>
          <w:szCs w:val="24"/>
          <w:lang w:val="en-CA" w:eastAsia="en-CA" w:bidi="ar-SA"/>
        </w:rPr>
        <w:t>A Class One event covers minor, non-material deviations: readings within the tolerance band, reporting delays up to 48 hours with documented cause, procedural lapses, and scheduled-maintenance notifications inside their windows. Consequences: no benefit reduction; technical assistance within 72 hours; an engineering resolution window of 14 days; confidential handling with no public disclosure. Class One events resolve independently and never accumulate into higher classes.</w:t>
      </w:r>
    </w:p>
    <w:p>
      <w:pPr>
        <w:pStyle w:val="Heading3"/>
        <w:rPr/>
      </w:pPr>
      <w:r>
        <w:rPr>
          <w:rFonts w:eastAsia="Microsoft YaHei" w:cs="Calibri"/>
          <w:b/>
          <w:color w:val="263238"/>
          <w:sz w:val="18"/>
          <w:szCs w:val="24"/>
          <w:lang w:val="en-CA" w:eastAsia="en-CA" w:bidi="ar-SA"/>
        </w:rPr>
        <w:t>18.3 Class Two: material disruption</w:t>
      </w:r>
    </w:p>
    <w:p>
      <w:pPr>
        <w:pStyle w:val="Normal"/>
        <w:rPr/>
      </w:pPr>
      <w:r>
        <w:rPr>
          <w:rFonts w:eastAsia="Microsoft YaHei" w:cs="Calibri"/>
          <w:color w:val="263238"/>
          <w:sz w:val="21"/>
          <w:szCs w:val="24"/>
          <w:lang w:val="en-CA" w:eastAsia="en-CA" w:bidi="ar-SA"/>
        </w:rPr>
        <w:t>A Class Two event covers material disruptions: readings beyond the tolerance band, access denials beyond 72 hours, unauthorized activity, data manipulation patterns, or corridor rule violations of Annex D severity 3 or 6. The response graduates by duration of the disruption:</w:t>
      </w:r>
    </w:p>
    <w:p>
      <w:pPr>
        <w:pStyle w:val="Normal"/>
        <w:numPr>
          <w:ilvl w:val="0"/>
          <w:numId w:val="2"/>
        </w:numPr>
        <w:spacing w:lineRule="auto" w:line="312" w:before="0" w:after="120"/>
        <w:rPr/>
      </w:pPr>
      <w:r>
        <w:rPr>
          <w:rFonts w:eastAsia="Microsoft YaHei" w:cs="Calibri"/>
          <w:color w:val="263238"/>
          <w:sz w:val="21"/>
          <w:szCs w:val="24"/>
          <w:lang w:val="en-CA" w:eastAsia="en-CA" w:bidi="ar-SA"/>
        </w:rPr>
        <w:t>Days 1 to 7: 10 percent reduction of non-humanitarian benefits within the affected Protocol.</w:t>
      </w:r>
    </w:p>
    <w:p>
      <w:pPr>
        <w:pStyle w:val="Normal"/>
        <w:numPr>
          <w:ilvl w:val="0"/>
          <w:numId w:val="2"/>
        </w:numPr>
        <w:spacing w:lineRule="auto" w:line="312" w:before="0" w:after="120"/>
        <w:rPr/>
      </w:pPr>
      <w:r>
        <w:rPr>
          <w:rFonts w:eastAsia="Microsoft YaHei" w:cs="Calibri"/>
          <w:color w:val="263238"/>
          <w:sz w:val="21"/>
          <w:szCs w:val="24"/>
          <w:lang w:val="en-CA" w:eastAsia="en-CA" w:bidi="ar-SA"/>
        </w:rPr>
        <w:t>Days 8 to 14: 15 percent reduction.</w:t>
      </w:r>
    </w:p>
    <w:p>
      <w:pPr>
        <w:pStyle w:val="Normal"/>
        <w:numPr>
          <w:ilvl w:val="0"/>
          <w:numId w:val="2"/>
        </w:numPr>
        <w:spacing w:lineRule="auto" w:line="312" w:before="0" w:after="120"/>
        <w:rPr/>
      </w:pPr>
      <w:r>
        <w:rPr>
          <w:rFonts w:eastAsia="Microsoft YaHei" w:cs="Calibri"/>
          <w:color w:val="263238"/>
          <w:sz w:val="21"/>
          <w:szCs w:val="24"/>
          <w:lang w:val="en-CA" w:eastAsia="en-CA" w:bidi="ar-SA"/>
        </w:rPr>
        <w:t>Days 15 to 30: 25 percent reduction.</w:t>
      </w:r>
    </w:p>
    <w:p>
      <w:pPr>
        <w:pStyle w:val="Normal"/>
        <w:numPr>
          <w:ilvl w:val="0"/>
          <w:numId w:val="2"/>
        </w:numPr>
        <w:spacing w:lineRule="auto" w:line="312" w:before="0" w:after="120"/>
        <w:rPr/>
      </w:pPr>
      <w:r>
        <w:rPr>
          <w:rFonts w:eastAsia="Microsoft YaHei" w:cs="Calibri"/>
          <w:color w:val="263238"/>
          <w:sz w:val="21"/>
          <w:szCs w:val="24"/>
          <w:lang w:val="en-CA" w:eastAsia="en-CA" w:bidi="ar-SA"/>
        </w:rPr>
        <w:t>Beyond 30 days: 25 percent reduction plus automatic referral to the Guarantor Panel.</w:t>
      </w:r>
    </w:p>
    <w:p>
      <w:pPr>
        <w:pStyle w:val="Normal"/>
        <w:rPr/>
      </w:pPr>
      <w:r>
        <w:rPr>
          <w:rFonts w:eastAsia="Microsoft YaHei" w:cs="Calibri"/>
          <w:color w:val="263238"/>
          <w:sz w:val="21"/>
          <w:szCs w:val="24"/>
          <w:lang w:val="en-CA" w:eastAsia="en-CA" w:bidi="ar-SA"/>
        </w:rPr>
        <w:t>Protections during Class Two: the humanitarian tranche remains at 100 percent; the Joint Confidence Account remains exempt; the financial system stays connected under Article 13.4; senior officials confer within a mandatory 48-hour consultation window before any reduction activates; and a 30-day remediation window opens automatically.</w:t>
      </w:r>
    </w:p>
    <w:p>
      <w:pPr>
        <w:pStyle w:val="Heading3"/>
        <w:rPr/>
      </w:pPr>
      <w:r>
        <w:rPr>
          <w:rFonts w:eastAsia="Microsoft YaHei" w:cs="Calibri"/>
          <w:b/>
          <w:color w:val="263238"/>
          <w:sz w:val="18"/>
          <w:szCs w:val="24"/>
          <w:lang w:val="en-CA" w:eastAsia="en-CA" w:bidi="ar-SA"/>
        </w:rPr>
        <w:t>18.4 Class Three: deliberate hostile deviation</w:t>
      </w:r>
    </w:p>
    <w:p>
      <w:pPr>
        <w:pStyle w:val="Normal"/>
        <w:rPr/>
      </w:pPr>
      <w:r>
        <w:rPr>
          <w:rFonts w:eastAsia="Microsoft YaHei" w:cs="Calibri"/>
          <w:color w:val="263238"/>
          <w:sz w:val="21"/>
          <w:szCs w:val="24"/>
          <w:lang w:val="en-CA" w:eastAsia="en-CA" w:bidi="ar-SA"/>
        </w:rPr>
        <w:t>A Class Three event covers deliberate hostile deviations: weapons-related nuclear activity, diversion of safeguarded material, attacks on inspectors or verification systems, deliberate falsification designed to trigger a response, mine deployment, or a systematic pattern of Class Two events demonstrating institutional bad faith (three or more Class Two findings in 180 days). The response graduates by remediation speed: 25 percent reduction if remediation begins within 72 hours; 35 percent after 72 hours without remediation; 50 percent after 30 days without remediation. The Guarantor Panel convenes within 48 hours and determines on the rapid-response clock of Article 15.6.</w:t>
      </w:r>
    </w:p>
    <w:p>
      <w:pPr>
        <w:pStyle w:val="Normal"/>
        <w:rPr/>
      </w:pPr>
      <w:r>
        <w:rPr>
          <w:rFonts w:eastAsia="Microsoft YaHei" w:cs="Calibri"/>
          <w:color w:val="263238"/>
          <w:sz w:val="21"/>
          <w:szCs w:val="24"/>
          <w:lang w:val="en-CA" w:eastAsia="en-CA" w:bidi="ar-SA"/>
        </w:rPr>
        <w:t>Every Class Three classification publishes on the public-facing dashboard within 24 hours, with the underlying evidence package released simultaneously to both Parties and a redacted public summary following within 72 hours. Public notification is automatic: no organ votes on it, no Party delays it, and no classification stays private. The transparency deters the event itself, because a Class Three classification carries an international reputational cost that begins at publication rather than at the conclusion of any process.</w:t>
      </w:r>
    </w:p>
    <w:p>
      <w:pPr>
        <w:pStyle w:val="Heading3"/>
        <w:rPr/>
      </w:pPr>
      <w:r>
        <w:rPr>
          <w:rFonts w:eastAsia="Microsoft YaHei" w:cs="Calibri"/>
          <w:b/>
          <w:color w:val="263238"/>
          <w:sz w:val="18"/>
          <w:szCs w:val="24"/>
          <w:lang w:val="en-CA" w:eastAsia="en-CA" w:bidi="ar-SA"/>
        </w:rPr>
        <w:t>18.5 The four Standing Levels</w:t>
      </w:r>
    </w:p>
    <w:p>
      <w:pPr>
        <w:pStyle w:val="Normal"/>
        <w:rPr/>
      </w:pPr>
      <w:r>
        <w:rPr>
          <w:rFonts w:eastAsia="Microsoft YaHei" w:cs="Calibri"/>
          <w:color w:val="263238"/>
          <w:sz w:val="21"/>
          <w:szCs w:val="24"/>
          <w:lang w:val="en-CA" w:eastAsia="en-CA" w:bidi="ar-SA"/>
        </w:rPr>
        <w:t>The Standing Level synthesizes the Standing Ratio and active events into one public status per Party:</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000"/>
        <w:gridCol w:w="2100"/>
        <w:gridCol w:w="3200"/>
        <w:gridCol w:w="2725"/>
      </w:tblGrid>
      <w:tr>
        <w:trPr>
          <w:tblHeader w:val="true"/>
        </w:trPr>
        <w:tc>
          <w:tcPr>
            <w:tcW w:w="1000"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455A64"/>
                <w:kern w:val="2"/>
                <w:sz w:val="26"/>
                <w:szCs w:val="24"/>
                <w:lang w:val="en-CA" w:eastAsia="en-CA" w:bidi="ar-SA"/>
              </w:rPr>
              <w:t>Level</w:t>
            </w:r>
          </w:p>
        </w:tc>
        <w:tc>
          <w:tcPr>
            <w:tcW w:w="21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455A64"/>
                <w:kern w:val="2"/>
                <w:sz w:val="26"/>
                <w:szCs w:val="24"/>
                <w:lang w:val="en-CA" w:eastAsia="en-CA" w:bidi="ar-SA"/>
              </w:rPr>
              <w:t>Name</w:t>
            </w:r>
          </w:p>
        </w:tc>
        <w:tc>
          <w:tcPr>
            <w:tcW w:w="32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455A64"/>
                <w:kern w:val="2"/>
                <w:sz w:val="26"/>
                <w:szCs w:val="24"/>
                <w:lang w:val="en-CA" w:eastAsia="en-CA" w:bidi="ar-SA"/>
              </w:rPr>
              <w:t>Entry condition</w:t>
            </w:r>
          </w:p>
        </w:tc>
        <w:tc>
          <w:tcPr>
            <w:tcW w:w="2725"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455A64"/>
                <w:kern w:val="2"/>
                <w:sz w:val="26"/>
                <w:szCs w:val="24"/>
                <w:lang w:val="en-CA" w:eastAsia="en-CA" w:bidi="ar-SA"/>
              </w:rPr>
              <w:t>Operating state</w:t>
            </w:r>
          </w:p>
        </w:tc>
      </w:tr>
      <w:tr>
        <w:trPr/>
        <w:tc>
          <w:tcPr>
            <w:tcW w:w="10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Level I</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Full Standing</w:t>
            </w:r>
          </w:p>
        </w:tc>
        <w:tc>
          <w:tcPr>
            <w:tcW w:w="32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Standing Ratio at or above 1.0; no active Class Two or Class Three event</w:t>
            </w:r>
          </w:p>
        </w:tc>
        <w:tc>
          <w:tcPr>
            <w:tcW w:w="27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Full benefits flow; waiver renews automatically</w:t>
            </w:r>
          </w:p>
        </w:tc>
      </w:tr>
      <w:tr>
        <w:trPr/>
        <w:tc>
          <w:tcPr>
            <w:tcW w:w="10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Level II</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Advisory</w:t>
            </w:r>
          </w:p>
        </w:tc>
        <w:tc>
          <w:tcPr>
            <w:tcW w:w="32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Ratio 0.90 to 0.99, or one active Class One pattern under review</w:t>
            </w:r>
          </w:p>
        </w:tc>
        <w:tc>
          <w:tcPr>
            <w:tcW w:w="27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Benefits flow; technical review active; published advisory on the dashboard</w:t>
            </w:r>
          </w:p>
        </w:tc>
      </w:tr>
      <w:tr>
        <w:trPr/>
        <w:tc>
          <w:tcPr>
            <w:tcW w:w="10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Level III</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Elevated Response</w:t>
            </w:r>
          </w:p>
        </w:tc>
        <w:tc>
          <w:tcPr>
            <w:tcW w:w="32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Ratio 0.75 to 0.89, or active Class Two event</w:t>
            </w:r>
          </w:p>
        </w:tc>
        <w:tc>
          <w:tcPr>
            <w:tcW w:w="27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Graduated reductions active; restoration ladder of Annex E running; waiver review window per Article 12.2</w:t>
            </w:r>
          </w:p>
        </w:tc>
      </w:tr>
      <w:tr>
        <w:trPr/>
        <w:tc>
          <w:tcPr>
            <w:tcW w:w="1000"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Level IV</w:t>
            </w:r>
          </w:p>
        </w:tc>
        <w:tc>
          <w:tcPr>
            <w:tcW w:w="2100"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Critical Response</w:t>
            </w:r>
          </w:p>
        </w:tc>
        <w:tc>
          <w:tcPr>
            <w:tcW w:w="3200"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Ratio below 0.75, or active Class Three event</w:t>
            </w:r>
          </w:p>
        </w:tc>
        <w:tc>
          <w:tcPr>
            <w:tcW w:w="2725"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Discretionary benefits paused; core and humanitarian elements continue; Guarantor Panel engaged; waiver pause per Article 12.2</w:t>
            </w:r>
          </w:p>
        </w:tc>
      </w:tr>
    </w:tbl>
    <w:p>
      <w:pPr>
        <w:pStyle w:val="Caption1"/>
        <w:rPr/>
      </w:pPr>
      <w:r>
        <w:rPr>
          <w:rFonts w:eastAsia="Microsoft YaHei" w:cs="Calibri"/>
          <w:b/>
          <w:color w:val="37474F"/>
          <w:sz w:val="18"/>
          <w:szCs w:val="24"/>
          <w:lang w:val="en-CA" w:eastAsia="en-CA" w:bidi="ar-SA"/>
        </w:rPr>
        <w:t>Table 18.1: Standing Levels</w:t>
      </w:r>
    </w:p>
    <w:p>
      <w:pPr>
        <w:pStyle w:val="Normal"/>
        <w:rPr/>
      </w:pPr>
      <w:r>
        <w:rPr>
          <w:rFonts w:eastAsia="Microsoft YaHei" w:cs="Calibri"/>
          <w:color w:val="263238"/>
          <w:sz w:val="21"/>
          <w:szCs w:val="24"/>
          <w:lang w:val="en-CA" w:eastAsia="en-CA" w:bidi="ar-SA"/>
        </w:rPr>
        <w:t>Level transitions are automatic upon the stated conditions, publish within 24 hours, and never rest on a unilateral declaration: the registry data and the verification certifications move the Level, and no Party moves it alone. De-escalation follows the restoration ladder of Annex E: verified remediation steps restore the Level incrementally, so that the path down carries the same predictability as the path up.</w:t>
      </w:r>
    </w:p>
    <w:p>
      <w:pPr>
        <w:pStyle w:val="Heading3"/>
        <w:rPr/>
      </w:pPr>
      <w:r>
        <w:rPr>
          <w:rFonts w:eastAsia="Microsoft YaHei" w:cs="Calibri"/>
          <w:b/>
          <w:color w:val="263238"/>
          <w:sz w:val="18"/>
          <w:szCs w:val="24"/>
          <w:lang w:val="en-CA" w:eastAsia="en-CA" w:bidi="ar-SA"/>
        </w:rPr>
        <w:t>18.6 Spillover protection</w:t>
      </w:r>
    </w:p>
    <w:p>
      <w:pPr>
        <w:pStyle w:val="Normal"/>
        <w:rPr/>
      </w:pPr>
      <w:r>
        <w:rPr>
          <w:rFonts w:eastAsia="Microsoft YaHei" w:cs="Calibri"/>
          <w:color w:val="263238"/>
          <w:sz w:val="21"/>
          <w:szCs w:val="24"/>
          <w:lang w:val="en-CA" w:eastAsia="en-CA" w:bidi="ar-SA"/>
        </w:rPr>
        <w:t>A consequence applies only within the Standing Protocol where the deviation occurred. Spillover into another Protocol requires JCC certification by two-thirds, with the affected Party's vote standing aside, that the deviation directly and materially undermines the other Protocol. Absent certification, a maritime deviation never touches the nuclear track, a financial deviation never touches the corridors, and a regional-front event never touches this instrument, per Article 9.6. Each Protocol is an independent track; partial success survives partial failure.</w:t>
      </w:r>
    </w:p>
    <w:p>
      <w:pPr>
        <w:pStyle w:val="Heading3"/>
        <w:rPr/>
      </w:pPr>
      <w:r>
        <w:rPr>
          <w:rFonts w:eastAsia="Microsoft YaHei" w:cs="Calibri"/>
          <w:b/>
          <w:color w:val="263238"/>
          <w:sz w:val="18"/>
          <w:szCs w:val="24"/>
          <w:lang w:val="en-CA" w:eastAsia="en-CA" w:bidi="ar-SA"/>
        </w:rPr>
        <w:t>18.7 Human review requirement</w:t>
      </w:r>
    </w:p>
    <w:p>
      <w:pPr>
        <w:pStyle w:val="Normal"/>
        <w:rPr/>
      </w:pPr>
      <w:r>
        <w:rPr>
          <w:rFonts w:eastAsia="Microsoft YaHei" w:cs="Calibri"/>
          <w:color w:val="263238"/>
          <w:sz w:val="21"/>
          <w:szCs w:val="24"/>
          <w:lang w:val="en-CA" w:eastAsia="en-CA" w:bidi="ar-SA"/>
        </w:rPr>
        <w:t>Before any Class Two or Class Three consequence activates: automated systems flag anomalies and assemble the evidence package within 6 hours; the duty officer of the relevant organ reviews it within 12 hours; senior officials of both Parties confer within the 48-hour consultation window, extendable to 72 hours by mutual agreement; and the classification confirms before the consequence applies. An annual human-review audit verifies that automated systems make no autonomous classification, that human review occurs within 24 hours of every automated flag, and that the false-positive rate of automated flagging remains below 15 percent; a failed audit triggers recalibration within 30 days.</w:t>
      </w:r>
    </w:p>
    <w:p>
      <w:pPr>
        <w:pStyle w:val="Heading3"/>
        <w:rPr/>
      </w:pPr>
      <w:r>
        <w:rPr>
          <w:rFonts w:eastAsia="Microsoft YaHei" w:cs="Calibri"/>
          <w:b/>
          <w:color w:val="263238"/>
          <w:sz w:val="18"/>
          <w:szCs w:val="24"/>
          <w:lang w:val="en-CA" w:eastAsia="en-CA" w:bidi="ar-SA"/>
        </w:rPr>
        <w:t>18.8 The monitoring-failure protection</w:t>
      </w:r>
    </w:p>
    <w:p>
      <w:pPr>
        <w:pStyle w:val="Normal"/>
        <w:rPr/>
      </w:pPr>
      <w:r>
        <w:rPr>
          <w:rFonts w:eastAsia="Microsoft YaHei" w:cs="Calibri"/>
          <w:color w:val="263238"/>
          <w:sz w:val="21"/>
          <w:szCs w:val="24"/>
          <w:lang w:val="en-CA" w:eastAsia="en-CA" w:bidi="ar-SA"/>
        </w:rPr>
        <w:t>One purely technical trigger operates without human review: where custody surveillance or safeguards data flow from a disposition-relevant facility becomes unavailable for 48 consecutive hours, and the IAEA certifies that the unavailability stems from neither equipment failure nor notified maintenance, all benefits linked to that facility suspend automatically. No veto overrides this suspension. The suspension lifts immediately upon IAEA certification that the data flow is restored and authentic. This protection ensures that a monitoring gap never becomes a concealment opportunity, and it is the sole automatic consequence in the entire Framework.</w:t>
      </w:r>
    </w:p>
    <w:p>
      <w:pPr>
        <w:pStyle w:val="Heading3"/>
        <w:rPr/>
      </w:pPr>
      <w:r>
        <w:rPr>
          <w:rFonts w:eastAsia="Microsoft YaHei" w:cs="Calibri"/>
          <w:b/>
          <w:color w:val="263238"/>
          <w:sz w:val="18"/>
          <w:szCs w:val="24"/>
          <w:lang w:val="en-CA" w:eastAsia="en-CA" w:bidi="ar-SA"/>
        </w:rPr>
        <w:t>18.9 Restoration guarantee</w:t>
      </w:r>
    </w:p>
    <w:p>
      <w:pPr>
        <w:pStyle w:val="Normal"/>
        <w:rPr/>
      </w:pPr>
      <w:r>
        <w:rPr>
          <w:rFonts w:eastAsia="Microsoft YaHei" w:cs="Calibri"/>
          <w:color w:val="263238"/>
          <w:sz w:val="21"/>
          <w:szCs w:val="24"/>
          <w:lang w:val="en-CA" w:eastAsia="en-CA" w:bidi="ar-SA"/>
        </w:rPr>
        <w:t>Every consequence carries an automatic restoration pathway. Restoration never requires: admission of guilt; payment of damages; political concessions beyond return to compliance; or renegotiation of the underlying commitment. Restoration always requires: verified compliance with the affected obligation; sustained compliance for the monitoring period of Annex E; and technical confirmation for Class Two or Guarantor Panel confirmation for Class Three. Upon restoration, the Party returns to full pre-event status with all benefits and no permanent record. Over-performance credits, earned by completing milestones ahead of schedule, shorten monitoring periods by up to 25 percent and bank against future events, rewarding the Parties for running ahead of the schedule rather than merely keeping it.</w:t>
      </w:r>
    </w:p>
    <w:p>
      <w:pPr>
        <w:pStyle w:val="Heading2"/>
        <w:rPr/>
      </w:pPr>
      <w:bookmarkStart w:id="30" w:name="__RefHeading___Toc7236_2800514504"/>
      <w:bookmarkEnd w:id="30"/>
      <w:r>
        <w:rPr>
          <w:rFonts w:eastAsia="Microsoft YaHei" w:cs="Calibri"/>
          <w:b/>
          <w:color w:val="263238"/>
          <w:sz w:val="21"/>
          <w:szCs w:val="24"/>
          <w:lang w:val="en-CA" w:eastAsia="en-CA" w:bidi="ar-SA"/>
        </w:rPr>
        <w:t>Article 19: The Anticipation Registry</w:t>
      </w:r>
    </w:p>
    <w:p>
      <w:pPr>
        <w:pStyle w:val="Heading3"/>
        <w:rPr/>
      </w:pPr>
      <w:r>
        <w:rPr>
          <w:rFonts w:eastAsia="Microsoft YaHei" w:cs="Calibri"/>
          <w:b/>
          <w:color w:val="263238"/>
          <w:sz w:val="18"/>
          <w:szCs w:val="24"/>
          <w:lang w:val="en-CA" w:eastAsia="en-CA" w:bidi="ar-SA"/>
        </w:rPr>
        <w:t>19.1 Predictive alignment instead of retrospective blame</w:t>
      </w:r>
    </w:p>
    <w:p>
      <w:pPr>
        <w:pStyle w:val="Normal"/>
        <w:rPr/>
      </w:pPr>
      <w:r>
        <w:rPr>
          <w:rFonts w:eastAsia="Microsoft YaHei" w:cs="Calibri"/>
          <w:color w:val="263238"/>
          <w:sz w:val="21"/>
          <w:szCs w:val="24"/>
          <w:lang w:val="en-CA" w:eastAsia="en-CA" w:bidi="ar-SA"/>
        </w:rPr>
        <w:t>The Anticipation Registry gives the Framework a nervous system that senses friction before friction hardens into dispute. The Registry records expected operational patterns, the agreed tolerance bands around them, and the deviations that live operations produce. Its philosophy is distinct from verification: verification asks whether a Party complied; the Registry asks whether the shared picture of normal operations still matches reality. Deviation in the Registry is a signal, not a sin. No Registry flag, by itself, triggers any consequence under Article 18.</w:t>
      </w:r>
    </w:p>
    <w:p>
      <w:pPr>
        <w:pStyle w:val="Heading3"/>
        <w:rPr/>
      </w:pPr>
      <w:r>
        <w:rPr>
          <w:rFonts w:eastAsia="Microsoft YaHei" w:cs="Calibri"/>
          <w:b/>
          <w:color w:val="263238"/>
          <w:sz w:val="18"/>
          <w:szCs w:val="24"/>
          <w:lang w:val="en-CA" w:eastAsia="en-CA" w:bidi="ar-SA"/>
        </w:rPr>
        <w:t>19.2 Expected patterns</w:t>
      </w:r>
    </w:p>
    <w:p>
      <w:pPr>
        <w:pStyle w:val="Normal"/>
        <w:rPr/>
      </w:pPr>
      <w:r>
        <w:rPr>
          <w:rFonts w:eastAsia="Microsoft YaHei" w:cs="Calibri"/>
          <w:color w:val="263238"/>
          <w:sz w:val="21"/>
          <w:szCs w:val="24"/>
          <w:lang w:val="en-CA" w:eastAsia="en-CA" w:bidi="ar-SA"/>
        </w:rPr>
        <w:t>The Parties jointly record expected patterns for: daily and weekly transit counts by corridor and class; convoy window utilization; notice filing rhythms; claim volumes and confirmation rates; waiver-period trade volumes; disbursement pacing; inspection and sampling frequencies; and seasonal variations. Each pattern carries a tolerance band set collaboratively and reviewed quarterly. The Registry compares live operations against the patterns continuously and flags divergence beyond the band. Annex I states the full operating rules, including the initial pattern set agreed at signature.</w:t>
      </w:r>
    </w:p>
    <w:p>
      <w:pPr>
        <w:pStyle w:val="Heading3"/>
        <w:rPr/>
      </w:pPr>
      <w:r>
        <w:rPr>
          <w:rFonts w:eastAsia="Microsoft YaHei" w:cs="Calibri"/>
          <w:b/>
          <w:color w:val="263238"/>
          <w:sz w:val="18"/>
          <w:szCs w:val="24"/>
          <w:lang w:val="en-CA" w:eastAsia="en-CA" w:bidi="ar-SA"/>
        </w:rPr>
        <w:t>19.3 Deviation classification</w:t>
      </w:r>
    </w:p>
    <w:p>
      <w:pPr>
        <w:pStyle w:val="Normal"/>
        <w:rPr/>
      </w:pPr>
      <w:r>
        <w:rPr>
          <w:rFonts w:eastAsia="Microsoft YaHei" w:cs="Calibri"/>
          <w:color w:val="263238"/>
          <w:sz w:val="21"/>
          <w:szCs w:val="24"/>
          <w:lang w:val="en-CA" w:eastAsia="en-CA" w:bidi="ar-SA"/>
        </w:rPr>
        <w:t>The coordination officers of both Parties classify every flag within 72 hours into one of four classes:</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200"/>
        <w:gridCol w:w="3599"/>
        <w:gridCol w:w="3227"/>
      </w:tblGrid>
      <w:tr>
        <w:trPr>
          <w:tblHeader w:val="true"/>
        </w:trPr>
        <w:tc>
          <w:tcPr>
            <w:tcW w:w="2200"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455A64"/>
                <w:kern w:val="2"/>
                <w:sz w:val="26"/>
                <w:szCs w:val="24"/>
                <w:lang w:val="en-CA" w:eastAsia="en-CA" w:bidi="ar-SA"/>
              </w:rPr>
              <w:t>Class</w:t>
            </w:r>
          </w:p>
        </w:tc>
        <w:tc>
          <w:tcPr>
            <w:tcW w:w="3599"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455A64"/>
                <w:kern w:val="2"/>
                <w:sz w:val="26"/>
                <w:szCs w:val="24"/>
                <w:lang w:val="en-CA" w:eastAsia="en-CA" w:bidi="ar-SA"/>
              </w:rPr>
              <w:t>Meaning</w:t>
            </w:r>
          </w:p>
        </w:tc>
        <w:tc>
          <w:tcPr>
            <w:tcW w:w="3227"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455A64"/>
                <w:kern w:val="2"/>
                <w:sz w:val="26"/>
                <w:szCs w:val="24"/>
                <w:lang w:val="en-CA" w:eastAsia="en-CA" w:bidi="ar-SA"/>
              </w:rPr>
              <w:t>Pathway</w:t>
            </w:r>
          </w:p>
        </w:tc>
      </w:tr>
      <w:tr>
        <w:trPr/>
        <w:tc>
          <w:tcPr>
            <w:tcW w:w="22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Routine Variation</w:t>
            </w:r>
          </w:p>
        </w:tc>
        <w:tc>
          <w:tcPr>
            <w:tcW w:w="3599"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Divergence within normal operational variance</w:t>
            </w:r>
          </w:p>
        </w:tc>
        <w:tc>
          <w:tcPr>
            <w:tcW w:w="32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Log for pattern review; no further action</w:t>
            </w:r>
          </w:p>
        </w:tc>
      </w:tr>
      <w:tr>
        <w:trPr/>
        <w:tc>
          <w:tcPr>
            <w:tcW w:w="22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Operational Friction</w:t>
            </w:r>
          </w:p>
        </w:tc>
        <w:tc>
          <w:tcPr>
            <w:tcW w:w="3599"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Recurring divergence indicating process strain</w:t>
            </w:r>
          </w:p>
        </w:tc>
        <w:tc>
          <w:tcPr>
            <w:tcW w:w="32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Recalibration Session convenes within 7 days</w:t>
            </w:r>
          </w:p>
        </w:tc>
      </w:tr>
      <w:tr>
        <w:trPr/>
        <w:tc>
          <w:tcPr>
            <w:tcW w:w="2200"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Structural Drift</w:t>
            </w:r>
          </w:p>
        </w:tc>
        <w:tc>
          <w:tcPr>
            <w:tcW w:w="3599"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Sustained divergence indicating the pattern no longer reflects reality</w:t>
            </w:r>
          </w:p>
        </w:tc>
        <w:tc>
          <w:tcPr>
            <w:tcW w:w="3227"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Pattern revision through the JCC at the next rotation</w:t>
            </w:r>
          </w:p>
        </w:tc>
      </w:tr>
      <w:tr>
        <w:trPr/>
        <w:tc>
          <w:tcPr>
            <w:tcW w:w="2200"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Shared Uncertainty</w:t>
            </w:r>
          </w:p>
        </w:tc>
        <w:tc>
          <w:tcPr>
            <w:tcW w:w="3599"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Divergence whose cause both officers jointly record as unclear</w:t>
            </w:r>
          </w:p>
        </w:tc>
        <w:tc>
          <w:tcPr>
            <w:tcW w:w="3227"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Joint fact-finding with TVG support within 14 days</w:t>
            </w:r>
          </w:p>
        </w:tc>
      </w:tr>
    </w:tbl>
    <w:p>
      <w:pPr>
        <w:pStyle w:val="Caption1"/>
        <w:rPr/>
      </w:pPr>
      <w:r>
        <w:rPr>
          <w:rFonts w:eastAsia="Microsoft YaHei" w:cs="Calibri"/>
          <w:b/>
          <w:color w:val="37474F"/>
          <w:sz w:val="18"/>
          <w:szCs w:val="24"/>
          <w:lang w:val="en-CA" w:eastAsia="en-CA" w:bidi="ar-SA"/>
        </w:rPr>
        <w:t>Table 19.1: Registry deviation classes</w:t>
      </w:r>
    </w:p>
    <w:p>
      <w:pPr>
        <w:pStyle w:val="Normal"/>
        <w:rPr/>
      </w:pPr>
      <w:r>
        <w:rPr>
          <w:rFonts w:eastAsia="Microsoft YaHei" w:cs="Calibri"/>
          <w:color w:val="263238"/>
          <w:sz w:val="21"/>
          <w:szCs w:val="24"/>
          <w:lang w:val="en-CA" w:eastAsia="en-CA" w:bidi="ar-SA"/>
        </w:rPr>
        <w:t>Classification activates a dialogue pathway and nothing else. The Framework architecture excludes suspension, benefit reduction, or any punitive response as a consequence of Registry classification. Where a flag suggests a genuine compliance question rather than an operational pattern question, the coordination officers refer the matter to the verification channel of Article 20 with the evidence attached; the Registry itself never adjudicates compliance.</w:t>
      </w:r>
    </w:p>
    <w:p>
      <w:pPr>
        <w:pStyle w:val="Normal"/>
        <w:rPr/>
      </w:pPr>
      <w:r>
        <w:rPr>
          <w:rFonts w:eastAsia="Microsoft YaHei" w:cs="Calibri"/>
          <w:color w:val="263238"/>
          <w:sz w:val="21"/>
          <w:szCs w:val="24"/>
          <w:lang w:val="en-CA" w:eastAsia="en-CA" w:bidi="ar-SA"/>
        </w:rPr>
        <w:t>The disagreement rule: where the two coordination officers fail to agree on a classification within the 72-hour window, the flag escalates automatically to Operational Friction, and the Recalibration Session convenes within 7 days on the strength of the escalation alone. The Shared Uncertainty class applies only where both officers jointly record that the cause is unclear; disagreement between the officers never produces Shared Uncertainty by default. The rule removes the tactic of manufacturing disagreement to run out the clock on a sensitive flag: a Party that declines to classify buys itself a mandatory session, not a delay.</w:t>
      </w:r>
    </w:p>
    <w:p>
      <w:pPr>
        <w:pStyle w:val="Heading3"/>
        <w:rPr/>
      </w:pPr>
      <w:r>
        <w:rPr>
          <w:rFonts w:eastAsia="Microsoft YaHei" w:cs="Calibri"/>
          <w:b/>
          <w:color w:val="263238"/>
          <w:sz w:val="18"/>
          <w:szCs w:val="24"/>
          <w:lang w:val="en-CA" w:eastAsia="en-CA" w:bidi="ar-SA"/>
        </w:rPr>
        <w:t>19.4 Recalibration Sessions</w:t>
      </w:r>
    </w:p>
    <w:p>
      <w:pPr>
        <w:pStyle w:val="Normal"/>
        <w:rPr/>
      </w:pPr>
      <w:r>
        <w:rPr>
          <w:rFonts w:eastAsia="Microsoft YaHei" w:cs="Calibri"/>
          <w:color w:val="263238"/>
          <w:sz w:val="21"/>
          <w:szCs w:val="24"/>
          <w:lang w:val="en-CA" w:eastAsia="en-CA" w:bidi="ar-SA"/>
        </w:rPr>
        <w:t>A Recalibration Session is a structured, technical, time-boxed dialogue: the coordination officers and the relevant operators meet for up to three days, review the flagged pattern and its causes, and agree one of three outcomes: adjust operations to restore the pattern; adjust the pattern to reflect new reality; or adopt a bounded experiment with a review date. A Neutral Administrator facilitator joins on request. Recalibration is not dispute resolution and produces no findings of fault; it is mutual adjustment, documented in the pattern repository.</w:t>
      </w:r>
    </w:p>
    <w:p>
      <w:pPr>
        <w:pStyle w:val="Heading3"/>
        <w:rPr/>
      </w:pPr>
      <w:r>
        <w:rPr>
          <w:rFonts w:eastAsia="Microsoft YaHei" w:cs="Calibri"/>
          <w:b/>
          <w:color w:val="263238"/>
          <w:sz w:val="18"/>
          <w:szCs w:val="24"/>
          <w:lang w:val="en-CA" w:eastAsia="en-CA" w:bidi="ar-SA"/>
        </w:rPr>
        <w:t>19.5 The pattern repository</w:t>
      </w:r>
    </w:p>
    <w:p>
      <w:pPr>
        <w:pStyle w:val="Normal"/>
        <w:rPr/>
      </w:pPr>
      <w:r>
        <w:rPr>
          <w:rFonts w:eastAsia="Microsoft YaHei" w:cs="Calibri"/>
          <w:color w:val="263238"/>
          <w:sz w:val="21"/>
          <w:szCs w:val="24"/>
          <w:lang w:val="en-CA" w:eastAsia="en-CA" w:bidi="ar-SA"/>
        </w:rPr>
        <w:t>Every flag, classification, session, adjustment, and outcome enters the anonymized pattern repository. Both Parties contribute; neither redacts unilaterally. The Neutral Administrator derives quarterly trend indicators from the repository: early-warning signals about where operations drift, where friction accumulates, and where the Framework's assumptions need refresh. The indicators inform the rotation reviews of Article 16.3 and the consolidation-mode assessment of Article 16.6. The repository converts every stumble into institutional knowledge: the Framework learns, and its patterns grow more accurate with every cycle.</w:t>
      </w:r>
    </w:p>
    <w:p>
      <w:pPr>
        <w:pStyle w:val="Heading3"/>
        <w:rPr/>
      </w:pPr>
      <w:r>
        <w:rPr>
          <w:rFonts w:eastAsia="Microsoft YaHei" w:cs="Calibri"/>
          <w:b/>
          <w:color w:val="263238"/>
          <w:sz w:val="18"/>
          <w:szCs w:val="24"/>
          <w:lang w:val="en-CA" w:eastAsia="en-CA" w:bidi="ar-SA"/>
        </w:rPr>
        <w:t>19.6 Humanitarian default</w:t>
      </w:r>
    </w:p>
    <w:p>
      <w:pPr>
        <w:pStyle w:val="Normal"/>
        <w:rPr/>
      </w:pPr>
      <w:r>
        <w:rPr>
          <w:rFonts w:eastAsia="Microsoft YaHei" w:cs="Calibri"/>
          <w:color w:val="263238"/>
          <w:sz w:val="21"/>
          <w:szCs w:val="24"/>
          <w:lang w:val="en-CA" w:eastAsia="en-CA" w:bidi="ar-SA"/>
        </w:rPr>
        <w:t>Essential flows continue under expected patterns at all times. The Framework architecture excludes unilateral suspension of food, medicine, medical equipment, or emergency service flows based on any Registry flag, any classification, or any session outcome. A pause of an essential flow occurs only by joint written agreement of both Parties, and either Party blocks a proposed pause by written objection within 48 hours.</w:t>
      </w:r>
    </w:p>
    <w:p>
      <w:pPr>
        <w:pStyle w:val="Heading2"/>
        <w:rPr/>
      </w:pPr>
      <w:bookmarkStart w:id="31" w:name="__RefHeading___Toc7238_2800514504"/>
      <w:bookmarkEnd w:id="31"/>
      <w:r>
        <w:rPr>
          <w:rFonts w:eastAsia="Microsoft YaHei" w:cs="Calibri"/>
          <w:b/>
          <w:color w:val="263238"/>
          <w:sz w:val="21"/>
          <w:szCs w:val="24"/>
          <w:lang w:val="en-CA" w:eastAsia="en-CA" w:bidi="ar-SA"/>
        </w:rPr>
        <w:t>Article 20: The Substantiated Claim Procedure and the Performance Bond</w:t>
      </w:r>
    </w:p>
    <w:p>
      <w:pPr>
        <w:pStyle w:val="Heading3"/>
        <w:rPr/>
      </w:pPr>
      <w:r>
        <w:rPr>
          <w:rFonts w:eastAsia="Microsoft YaHei" w:cs="Calibri"/>
          <w:b/>
          <w:color w:val="263238"/>
          <w:sz w:val="18"/>
          <w:szCs w:val="24"/>
          <w:lang w:val="en-CA" w:eastAsia="en-CA" w:bidi="ar-SA"/>
        </w:rPr>
        <w:t>20.1 Purpose</w:t>
      </w:r>
    </w:p>
    <w:p>
      <w:pPr>
        <w:pStyle w:val="Normal"/>
        <w:rPr/>
      </w:pPr>
      <w:r>
        <w:rPr>
          <w:rFonts w:eastAsia="Microsoft YaHei" w:cs="Calibri"/>
          <w:color w:val="263238"/>
          <w:sz w:val="21"/>
          <w:szCs w:val="24"/>
          <w:lang w:val="en-CA" w:eastAsia="en-CA" w:bidi="ar-SA"/>
        </w:rPr>
        <w:t>The Substantiated Claim Procedure resolves two recurring problems at once: it compensates real service delivery, chiefly the coastal states' corridor services under Article 7.4, and it disciplines both the making of inflated claims and the raising of frivolous objections. The procedure is adversarial by design and fair by construction: claims carry evidence, objections carry a price, errors carry consequences, and accuracy carries reward.</w:t>
      </w:r>
    </w:p>
    <w:p>
      <w:pPr>
        <w:pStyle w:val="Heading3"/>
        <w:rPr/>
      </w:pPr>
      <w:r>
        <w:rPr>
          <w:rFonts w:eastAsia="Microsoft YaHei" w:cs="Calibri"/>
          <w:b/>
          <w:color w:val="263238"/>
          <w:sz w:val="18"/>
          <w:szCs w:val="24"/>
          <w:lang w:val="en-CA" w:eastAsia="en-CA" w:bidi="ar-SA"/>
        </w:rPr>
        <w:t>20.2 The Performance Bond</w:t>
      </w:r>
    </w:p>
    <w:p>
      <w:pPr>
        <w:pStyle w:val="Normal"/>
        <w:rPr/>
      </w:pPr>
      <w:r>
        <w:rPr>
          <w:rFonts w:eastAsia="Microsoft YaHei" w:cs="Calibri"/>
          <w:color w:val="263238"/>
          <w:sz w:val="21"/>
          <w:szCs w:val="24"/>
          <w:lang w:val="en-CA" w:eastAsia="en-CA" w:bidi="ar-SA"/>
        </w:rPr>
        <w:t>Each Party deposits a Performance Bond of USD 250 million with the Neutral Administrator before activation, and each coastal state delivering corridor services deposits USD 50 million. The bond is a performance stake, not a fee. It underwrites the claim and challenge mechanics of this Article and Annex J: challenge costs, failed-challenge penalties, and confirmed false-claim penalties draw against the bond, and the bond replenishes to its floor within 15 days of any draw for the Parties and within 30 days of any draw for coastal states. A Party whose bond stands below its floor loses its challenge rights and its JCC vote on claim matters until replenishment completes. The floor stands at a level that makes a failed-challenge strategy expensive for any actor, including a state economy: the bond prices obstruction in units that finance ministries notice. Bond status publishes on the dashboard at all times.</w:t>
      </w:r>
    </w:p>
    <w:p>
      <w:pPr>
        <w:pStyle w:val="Heading3"/>
        <w:rPr/>
      </w:pPr>
      <w:r>
        <w:rPr>
          <w:rFonts w:eastAsia="Microsoft YaHei" w:cs="Calibri"/>
          <w:b/>
          <w:color w:val="263238"/>
          <w:sz w:val="18"/>
          <w:szCs w:val="24"/>
          <w:lang w:val="en-CA" w:eastAsia="en-CA" w:bidi="ar-SA"/>
        </w:rPr>
        <w:t>20.3 Claim submission</w:t>
      </w:r>
    </w:p>
    <w:p>
      <w:pPr>
        <w:pStyle w:val="Normal"/>
        <w:rPr/>
      </w:pPr>
      <w:r>
        <w:rPr>
          <w:rFonts w:eastAsia="Microsoft YaHei" w:cs="Calibri"/>
          <w:color w:val="263238"/>
          <w:sz w:val="21"/>
          <w:szCs w:val="24"/>
          <w:lang w:val="en-CA" w:eastAsia="en-CA" w:bidi="ar-SA"/>
        </w:rPr>
        <w:t>A claim states the service, the period, the quantity, and the cost basis, with three components: primary operational records; time-stamped supporting logs with chain of custody; and certification by the claiming authority's accredited liaison. Claims file within 72 hours of the service period through the registry, which timestamps each claim and queues it for the Technical Verification Group. Repetitive services bundle into periodic consolidated claims to reduce administrative load. A claim missing a component returns automatically for completion within the filing window.</w:t>
      </w:r>
    </w:p>
    <w:p>
      <w:pPr>
        <w:pStyle w:val="Heading3"/>
        <w:rPr/>
      </w:pPr>
      <w:r>
        <w:rPr>
          <w:rFonts w:eastAsia="Microsoft YaHei" w:cs="Calibri"/>
          <w:b/>
          <w:color w:val="263238"/>
          <w:sz w:val="18"/>
          <w:szCs w:val="24"/>
          <w:lang w:val="en-CA" w:eastAsia="en-CA" w:bidi="ar-SA"/>
        </w:rPr>
        <w:t>20.4 Confirmation levels and partial credit</w:t>
      </w:r>
    </w:p>
    <w:p>
      <w:pPr>
        <w:pStyle w:val="Normal"/>
        <w:rPr/>
      </w:pPr>
      <w:r>
        <w:rPr>
          <w:rFonts w:eastAsia="Microsoft YaHei" w:cs="Calibri"/>
          <w:color w:val="263238"/>
          <w:sz w:val="21"/>
          <w:szCs w:val="24"/>
          <w:lang w:val="en-CA" w:eastAsia="en-CA" w:bidi="ar-SA"/>
        </w:rPr>
        <w:t>The TVG compares each claim against the sealed operational record and assigns a confirmation level:</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700"/>
        <w:gridCol w:w="2300"/>
        <w:gridCol w:w="3200"/>
        <w:gridCol w:w="1825"/>
      </w:tblGrid>
      <w:tr>
        <w:trPr>
          <w:tblHeader w:val="true"/>
        </w:trPr>
        <w:tc>
          <w:tcPr>
            <w:tcW w:w="1700"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455A64"/>
                <w:sz w:val="26"/>
                <w:szCs w:val="24"/>
                <w:lang w:val="en-CA" w:eastAsia="en-CA" w:bidi="ar-SA"/>
              </w:rPr>
              <w:t>Confirmation</w:t>
            </w:r>
          </w:p>
        </w:tc>
        <w:tc>
          <w:tcPr>
            <w:tcW w:w="23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455A64"/>
                <w:sz w:val="26"/>
                <w:szCs w:val="24"/>
                <w:lang w:val="en-CA" w:eastAsia="en-CA" w:bidi="ar-SA"/>
              </w:rPr>
              <w:t>Data alignment</w:t>
            </w:r>
          </w:p>
        </w:tc>
        <w:tc>
          <w:tcPr>
            <w:tcW w:w="32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455A64"/>
                <w:sz w:val="26"/>
                <w:szCs w:val="24"/>
                <w:lang w:val="en-CA" w:eastAsia="en-CA" w:bidi="ar-SA"/>
              </w:rPr>
              <w:t>Payment effect</w:t>
            </w:r>
          </w:p>
        </w:tc>
        <w:tc>
          <w:tcPr>
            <w:tcW w:w="1825"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rFonts w:eastAsia="Microsoft YaHei" w:cs="Calibri"/>
                <w:b/>
                <w:color w:val="455A64"/>
                <w:sz w:val="26"/>
                <w:szCs w:val="24"/>
                <w:lang w:val="en-CA" w:eastAsia="en-CA" w:bidi="ar-SA"/>
              </w:rPr>
              <w:t>Challenge cost effect</w:t>
            </w:r>
          </w:p>
        </w:tc>
      </w:tr>
      <w:tr>
        <w:trPr/>
        <w:tc>
          <w:tcPr>
            <w:tcW w:w="17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Full</w:t>
            </w:r>
          </w:p>
        </w:tc>
        <w:tc>
          <w:tcPr>
            <w:tcW w:w="23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95 to 100 percent alignment</w:t>
            </w:r>
          </w:p>
        </w:tc>
        <w:tc>
          <w:tcPr>
            <w:tcW w:w="3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100 percent of the claim pays; rapid-confirmation increment of 5 percent where confirmation completes within 5 working days</w:t>
            </w:r>
          </w:p>
        </w:tc>
        <w:tc>
          <w:tcPr>
            <w:tcW w:w="18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Challenge cost multiplies by 1.5</w:t>
            </w:r>
          </w:p>
        </w:tc>
      </w:tr>
      <w:tr>
        <w:trPr/>
        <w:tc>
          <w:tcPr>
            <w:tcW w:w="17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Substantial</w:t>
            </w:r>
          </w:p>
        </w:tc>
        <w:tc>
          <w:tcPr>
            <w:tcW w:w="23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70 to 94 percent alignment</w:t>
            </w:r>
          </w:p>
        </w:tc>
        <w:tc>
          <w:tcPr>
            <w:tcW w:w="3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75 percent pays</w:t>
            </w:r>
          </w:p>
        </w:tc>
        <w:tc>
          <w:tcPr>
            <w:tcW w:w="18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Standard challenge cost</w:t>
            </w:r>
          </w:p>
        </w:tc>
      </w:tr>
      <w:tr>
        <w:trPr/>
        <w:tc>
          <w:tcPr>
            <w:tcW w:w="17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Partial</w:t>
            </w:r>
          </w:p>
        </w:tc>
        <w:tc>
          <w:tcPr>
            <w:tcW w:w="23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50 to 69 percent alignment</w:t>
            </w:r>
          </w:p>
        </w:tc>
        <w:tc>
          <w:tcPr>
            <w:tcW w:w="3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50 percent pays</w:t>
            </w:r>
          </w:p>
        </w:tc>
        <w:tc>
          <w:tcPr>
            <w:tcW w:w="18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Standard challenge cost</w:t>
            </w:r>
          </w:p>
        </w:tc>
      </w:tr>
      <w:tr>
        <w:trPr/>
        <w:tc>
          <w:tcPr>
            <w:tcW w:w="1700"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Not confirmed</w:t>
            </w:r>
          </w:p>
        </w:tc>
        <w:tc>
          <w:tcPr>
            <w:tcW w:w="23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Below 50 percent alignment</w:t>
            </w:r>
          </w:p>
        </w:tc>
        <w:tc>
          <w:tcPr>
            <w:tcW w:w="32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No payment; the claim enters the pattern repository as a learning record</w:t>
            </w:r>
          </w:p>
        </w:tc>
        <w:tc>
          <w:tcPr>
            <w:tcW w:w="1825"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rFonts w:eastAsia="Microsoft YaHei" w:cs="Calibri"/>
                <w:color w:val="263238"/>
                <w:sz w:val="18"/>
                <w:szCs w:val="24"/>
                <w:lang w:val="en-CA" w:eastAsia="en-CA" w:bidi="ar-SA"/>
              </w:rPr>
              <w:t>Challenge cost halves</w:t>
            </w:r>
          </w:p>
        </w:tc>
      </w:tr>
    </w:tbl>
    <w:p>
      <w:pPr>
        <w:pStyle w:val="Caption1"/>
        <w:rPr/>
      </w:pPr>
      <w:r>
        <w:rPr>
          <w:rFonts w:eastAsia="Microsoft YaHei" w:cs="Calibri"/>
          <w:b/>
          <w:color w:val="37474F"/>
          <w:sz w:val="18"/>
          <w:szCs w:val="24"/>
          <w:lang w:val="en-CA" w:eastAsia="en-CA" w:bidi="ar-SA"/>
        </w:rPr>
        <w:t>Table 20.1: Confirmation levels</w:t>
      </w:r>
    </w:p>
    <w:p>
      <w:pPr>
        <w:pStyle w:val="Normal"/>
        <w:rPr/>
      </w:pPr>
      <w:r>
        <w:rPr>
          <w:rFonts w:eastAsia="Microsoft YaHei" w:cs="Calibri"/>
          <w:color w:val="263238"/>
          <w:sz w:val="21"/>
          <w:szCs w:val="24"/>
          <w:lang w:val="en-CA" w:eastAsia="en-CA" w:bidi="ar-SA"/>
        </w:rPr>
        <w:t>Partial credit replaces the all-or-nothing trap: it rewards precision, penalizes exaggeration proportionately, and keeps the pipeline honest without making every shortfall a confrontation.</w:t>
      </w:r>
    </w:p>
    <w:p>
      <w:pPr>
        <w:pStyle w:val="Heading3"/>
        <w:rPr/>
      </w:pPr>
      <w:r>
        <w:rPr>
          <w:rFonts w:eastAsia="Microsoft YaHei" w:cs="Calibri"/>
          <w:b/>
          <w:color w:val="263238"/>
          <w:sz w:val="18"/>
          <w:szCs w:val="24"/>
          <w:lang w:val="en-CA" w:eastAsia="en-CA" w:bidi="ar-SA"/>
        </w:rPr>
        <w:t>20.5 Challenges and the escalation ladder</w:t>
      </w:r>
    </w:p>
    <w:p>
      <w:pPr>
        <w:pStyle w:val="Normal"/>
        <w:rPr/>
      </w:pPr>
      <w:r>
        <w:rPr>
          <w:rFonts w:eastAsia="Microsoft YaHei" w:cs="Calibri"/>
          <w:color w:val="263238"/>
          <w:sz w:val="21"/>
          <w:szCs w:val="24"/>
          <w:lang w:val="en-CA" w:eastAsia="en-CA" w:bidi="ar-SA"/>
        </w:rPr>
        <w:t>The other Party or the Neutral Administrator challenges a confirmed claim within 10 working days by filing an objection that names the specific disputed evidence and pays the challenge cost from its bond. A review panel of three TVG members not affiliated with either side convenes within 5 working days and decides on the sealed record alone. A failed challenge costs the challenger double the challenge cost; a successful challenge reverses the overpayment with a 10 percent surcharge to the challenger. Repeated failed challenges climb the escalation ladder of Annex J, Section J.5: second failure doubles the penalty and imposes a 14-day challenge moratorium; third failure quadruples it and imposes a 30-day moratorium plus a JCC review; a fourth designates a pattern of obstruction, during which the protected Party's claims confirm provisionally upon filing for 14 days. The ladder makes obstruction progressively irrational while keeping the door to legitimate challenge always open. Humanitarian claims follow the expedited track of Annex J, Section J.4 instead of the standard window.</w:t>
      </w:r>
    </w:p>
    <w:p>
      <w:pPr>
        <w:pStyle w:val="Heading3"/>
        <w:rPr/>
      </w:pPr>
      <w:r>
        <w:rPr>
          <w:rFonts w:eastAsia="Microsoft YaHei" w:cs="Calibri"/>
          <w:b/>
          <w:color w:val="263238"/>
          <w:sz w:val="18"/>
          <w:szCs w:val="24"/>
          <w:lang w:val="en-CA" w:eastAsia="en-CA" w:bidi="ar-SA"/>
        </w:rPr>
        <w:t>20.6 Sealed review</w:t>
      </w:r>
    </w:p>
    <w:p>
      <w:pPr>
        <w:pStyle w:val="Normal"/>
        <w:rPr/>
      </w:pPr>
      <w:r>
        <w:rPr>
          <w:rFonts w:eastAsia="Microsoft YaHei" w:cs="Calibri"/>
          <w:color w:val="263238"/>
          <w:sz w:val="21"/>
          <w:szCs w:val="24"/>
          <w:lang w:val="en-CA" w:eastAsia="en-CA" w:bidi="ar-SA"/>
        </w:rPr>
        <w:t>Challenges file through a sealed channel: the challenged Party receives notice of the challenge and the disputed evidence, and the challenger's identity remains masked during review. The review panel sees both sides' evidence; the Parties do not see each other's submissions until the determination. Where a challenge succeeds, the panel reveals the challenger to the challenged Party through the diplomatic channel only. Sealed review depersonalizes contestation: the process reads data, not intentions, and a challenge never becomes a diplomatic incident by itself.</w:t>
      </w:r>
    </w:p>
    <w:p>
      <w:pPr>
        <w:pStyle w:val="Heading2"/>
        <w:rPr/>
      </w:pPr>
      <w:bookmarkStart w:id="32" w:name="__RefHeading___Toc7240_2800514504"/>
      <w:bookmarkEnd w:id="32"/>
      <w:r>
        <w:rPr>
          <w:rFonts w:eastAsia="Microsoft YaHei" w:cs="Calibri"/>
          <w:b/>
          <w:color w:val="263238"/>
          <w:sz w:val="21"/>
          <w:szCs w:val="24"/>
          <w:lang w:val="en-CA" w:eastAsia="en-CA" w:bidi="ar-SA"/>
        </w:rPr>
        <w:t>Article 21: Repeat-Deviation Conditions and Anti-Gaming Provisions</w:t>
      </w:r>
    </w:p>
    <w:p>
      <w:pPr>
        <w:pStyle w:val="Heading3"/>
        <w:rPr/>
      </w:pPr>
      <w:r>
        <w:rPr>
          <w:rFonts w:eastAsia="Microsoft YaHei" w:cs="Calibri"/>
          <w:b/>
          <w:color w:val="263238"/>
          <w:sz w:val="18"/>
          <w:szCs w:val="24"/>
          <w:lang w:val="en-CA" w:eastAsia="en-CA" w:bidi="ar-SA"/>
        </w:rPr>
        <w:t>21.1 The patient-gaming problem</w:t>
      </w:r>
    </w:p>
    <w:p>
      <w:pPr>
        <w:pStyle w:val="Normal"/>
        <w:rPr/>
      </w:pPr>
      <w:r>
        <w:rPr>
          <w:rFonts w:eastAsia="Microsoft YaHei" w:cs="Calibri"/>
          <w:color w:val="263238"/>
          <w:sz w:val="21"/>
          <w:szCs w:val="24"/>
          <w:lang w:val="en-CA" w:eastAsia="en-CA" w:bidi="ar-SA"/>
        </w:rPr>
        <w:t>Frameworks that presume good faith reward the patient gamer: delay the data, dispute the obvious, outlast the process, and treat the eventual modest penalty as a cost of business. This Article removes that reward through conditions that activate automatically with repetition, while preserving full procedural fairness: every condition attaches only to verified findings, every finding remains challengeable, and every condition lifts on remediation.</w:t>
      </w:r>
    </w:p>
    <w:p>
      <w:pPr>
        <w:pStyle w:val="Heading3"/>
        <w:rPr/>
      </w:pPr>
      <w:r>
        <w:rPr>
          <w:rFonts w:eastAsia="Microsoft YaHei" w:cs="Calibri"/>
          <w:b/>
          <w:color w:val="263238"/>
          <w:sz w:val="18"/>
          <w:szCs w:val="24"/>
          <w:lang w:val="en-CA" w:eastAsia="en-CA" w:bidi="ar-SA"/>
        </w:rPr>
        <w:t>21.2 Compressed response windows</w:t>
      </w:r>
    </w:p>
    <w:p>
      <w:pPr>
        <w:pStyle w:val="Normal"/>
        <w:rPr/>
      </w:pPr>
      <w:r>
        <w:rPr>
          <w:rFonts w:eastAsia="Microsoft YaHei" w:cs="Calibri"/>
          <w:color w:val="263238"/>
          <w:sz w:val="21"/>
          <w:szCs w:val="24"/>
          <w:lang w:val="en-CA" w:eastAsia="en-CA" w:bidi="ar-SA"/>
        </w:rPr>
        <w:t>Where a Party accumulates verified Class Two findings on the same Standing Protocol within a rolling 12 months, its response windows for verification requests on that Protocol compress: first finding, 72 hours; second, 48 hours; third, 24 hours; fourth and subsequent, 12 hours. The Party without findings on that Protocol keeps the standard windows. Missed compressed windows pause the Party's benefits on that Protocol and accrue a daily charge of 0.1 percent of the Protocol's escrowed tranche value, capped at 5 percent, credited to the Humanitarian Reallocation account of Annex E, Section E.6. Compression applies within one Protocol only and never propagates across the Framework.</w:t>
      </w:r>
    </w:p>
    <w:p>
      <w:pPr>
        <w:pStyle w:val="Heading3"/>
        <w:rPr/>
      </w:pPr>
      <w:r>
        <w:rPr>
          <w:rFonts w:eastAsia="Microsoft YaHei" w:cs="Calibri"/>
          <w:b/>
          <w:color w:val="263238"/>
          <w:sz w:val="18"/>
          <w:szCs w:val="24"/>
          <w:lang w:val="en-CA" w:eastAsia="en-CA" w:bidi="ar-SA"/>
        </w:rPr>
        <w:t>21.3 Enhanced verification status</w:t>
      </w:r>
    </w:p>
    <w:p>
      <w:pPr>
        <w:pStyle w:val="Normal"/>
        <w:rPr/>
      </w:pPr>
      <w:r>
        <w:rPr>
          <w:rFonts w:eastAsia="Microsoft YaHei" w:cs="Calibri"/>
          <w:color w:val="263238"/>
          <w:sz w:val="21"/>
          <w:szCs w:val="24"/>
          <w:lang w:val="en-CA" w:eastAsia="en-CA" w:bidi="ar-SA"/>
        </w:rPr>
        <w:t>Two verified findings on any Protocol within 12 months place the Party on enhanced verification status for that Protocol: verification evidence due weekly instead of per cycle; bond floor for that Protocol triples; and all findings publish on the dashboard. Ninety consecutive days of clean verified compliance on that Protocol exit the status automatically. The status modifies process, not rights: every substantive protection of this instrument continues unchanged.</w:t>
      </w:r>
    </w:p>
    <w:p>
      <w:pPr>
        <w:pStyle w:val="Heading3"/>
        <w:rPr/>
      </w:pPr>
      <w:r>
        <w:rPr>
          <w:rFonts w:eastAsia="Microsoft YaHei" w:cs="Calibri"/>
          <w:b/>
          <w:color w:val="263238"/>
          <w:sz w:val="18"/>
          <w:szCs w:val="24"/>
          <w:lang w:val="en-CA" w:eastAsia="en-CA" w:bidi="ar-SA"/>
        </w:rPr>
        <w:t>21.4 False-claim discipline</w:t>
      </w:r>
    </w:p>
    <w:p>
      <w:pPr>
        <w:pStyle w:val="Normal"/>
        <w:rPr/>
      </w:pPr>
      <w:r>
        <w:rPr>
          <w:rFonts w:eastAsia="Microsoft YaHei" w:cs="Calibri"/>
          <w:color w:val="263238"/>
          <w:sz w:val="21"/>
          <w:szCs w:val="24"/>
          <w:lang w:val="en-CA" w:eastAsia="en-CA" w:bidi="ar-SA"/>
        </w:rPr>
        <w:t>A claim or report verified as materially false, where the submitting Party knew or possessed reason to know of the falsity, carries: a double Adjustment Unit entry; a 30-day suspension of that Party's claim submissions on the affected Protocol, during which verification runs through independent channels at that Party's cost; and a published correction. An honest error corrected within 5 working days of discovery carries no discipline. The distinction between error and falsity rests on the sealed record, and the TVG determination on the point binds, subject to the second-opinion procedure.</w:t>
      </w:r>
    </w:p>
    <w:p>
      <w:pPr>
        <w:pStyle w:val="Heading3"/>
        <w:rPr/>
      </w:pPr>
      <w:r>
        <w:rPr>
          <w:rFonts w:eastAsia="Microsoft YaHei" w:cs="Calibri"/>
          <w:b/>
          <w:color w:val="263238"/>
          <w:sz w:val="18"/>
          <w:szCs w:val="24"/>
          <w:lang w:val="en-CA" w:eastAsia="en-CA" w:bidi="ar-SA"/>
        </w:rPr>
        <w:t>21.5 Anti-circumvention and contractual subversion</w:t>
      </w:r>
    </w:p>
    <w:p>
      <w:pPr>
        <w:pStyle w:val="Normal"/>
        <w:rPr/>
      </w:pPr>
      <w:r>
        <w:rPr>
          <w:rFonts w:eastAsia="Microsoft YaHei" w:cs="Calibri"/>
          <w:color w:val="263238"/>
          <w:sz w:val="21"/>
          <w:szCs w:val="24"/>
          <w:lang w:val="en-CA" w:eastAsia="en-CA" w:bidi="ar-SA"/>
        </w:rPr>
        <w:t>The Framework architecture excludes: use of intermediaries, affiliates, or flag structures to defeat the Zero-Toll Rule, the tranche schedule, or any compressed condition; re-characterization of a charge to evade Annex D; and the filing of duplicate disputes across organs to manufacture delay. The rule extends to contractual subversion: a state-owned enterprise, a private contractor, a port agent, or any other instrumentality acting for or on behalf of a Party or coastal authority stands in the same legal position as its principal for the purposes of this instrument. The substance of a transaction governs its character, never its legal form: a service fee, a security surcharge, an environmental levy, or a coordination charge whose economic substance prices the act of passage counts as a toll under Article 7.1 regardless of its label, its payee, or its contractual packaging. The TVG determines substance from the transaction's economics: what the payer pays, what the payee receives, and what the payer receives in return beyond the universal corridor services that the Transit Services Fund already finances. A determination of contractual subversion counts as the underlying conduct plus a pattern finding under Article 18.4, and the surcharge rules of Article 7.6 apply to every amount collected. The anti-circumvention rule keeps the architecture's edges as firm as its center.</w:t>
      </w:r>
    </w:p>
    <w:p>
      <w:pPr>
        <w:pStyle w:val="Heading2"/>
        <w:rPr/>
      </w:pPr>
      <w:bookmarkStart w:id="33" w:name="__RefHeading___Toc7242_2800514504"/>
      <w:bookmarkEnd w:id="33"/>
      <w:r>
        <w:rPr>
          <w:rFonts w:eastAsia="Microsoft YaHei" w:cs="Calibri"/>
          <w:b/>
          <w:color w:val="263238"/>
          <w:sz w:val="21"/>
          <w:szCs w:val="24"/>
          <w:lang w:val="en-CA" w:eastAsia="en-CA" w:bidi="ar-SA"/>
        </w:rPr>
        <w:t>Article 22: Continuity, the Continuing Effect Rule, Suspension, and Withdrawal</w:t>
      </w:r>
    </w:p>
    <w:p>
      <w:pPr>
        <w:pStyle w:val="Heading3"/>
        <w:rPr/>
      </w:pPr>
      <w:r>
        <w:rPr>
          <w:rFonts w:eastAsia="Microsoft YaHei" w:cs="Calibri"/>
          <w:b/>
          <w:color w:val="263238"/>
          <w:sz w:val="18"/>
          <w:szCs w:val="24"/>
          <w:lang w:val="en-CA" w:eastAsia="en-CA" w:bidi="ar-SA"/>
        </w:rPr>
        <w:t>22.1 The Continuing Effect Rule</w:t>
      </w:r>
    </w:p>
    <w:p>
      <w:pPr>
        <w:pStyle w:val="Normal"/>
        <w:rPr/>
      </w:pPr>
      <w:r>
        <w:rPr>
          <w:rFonts w:eastAsia="Microsoft YaHei" w:cs="Calibri"/>
          <w:color w:val="263238"/>
          <w:sz w:val="21"/>
          <w:szCs w:val="24"/>
          <w:lang w:val="en-CA" w:eastAsia="en-CA" w:bidi="ar-SA"/>
        </w:rPr>
        <w:t>No provision of this instrument expires, lapses, sunsets, or dissolves by the passage of time alone. Every obligation, mechanism, fund, and protocol continues until the Parties modify or terminate it through the affirmative procedures of this Article or Article 24. Where an external instrument carries its own calendar, such as the 60-day waiver blocks, this Framework supplies the continuity: renewal is the default, interruption the verified exception. Nothing fades.</w:t>
      </w:r>
    </w:p>
    <w:p>
      <w:pPr>
        <w:pStyle w:val="Heading3"/>
        <w:rPr/>
      </w:pPr>
      <w:r>
        <w:rPr>
          <w:rFonts w:eastAsia="Microsoft YaHei" w:cs="Calibri"/>
          <w:b/>
          <w:color w:val="263238"/>
          <w:sz w:val="18"/>
          <w:szCs w:val="24"/>
          <w:lang w:val="en-CA" w:eastAsia="en-CA" w:bidi="ar-SA"/>
        </w:rPr>
        <w:t>22.2 Rolling continuation</w:t>
      </w:r>
    </w:p>
    <w:p>
      <w:pPr>
        <w:pStyle w:val="Normal"/>
        <w:rPr/>
      </w:pPr>
      <w:r>
        <w:rPr>
          <w:rFonts w:eastAsia="Microsoft YaHei" w:cs="Calibri"/>
          <w:color w:val="263238"/>
          <w:sz w:val="21"/>
          <w:szCs w:val="24"/>
          <w:lang w:val="en-CA" w:eastAsia="en-CA" w:bidi="ar-SA"/>
        </w:rPr>
        <w:t>Continuation operates through rolling horizons: each year on the anniversary of activation, the instrument extends for a further year automatically, and a Party's decision not to continue takes effect only through the tiered notice of Article 22.5. At every rotation review under Article 16.3, continuation is the default outcome. The architecture thereby makes persistence passive and departure deliberate, reversing the fragility of instruments that die by calendar.</w:t>
      </w:r>
    </w:p>
    <w:p>
      <w:pPr>
        <w:pStyle w:val="Heading3"/>
        <w:rPr/>
      </w:pPr>
      <w:r>
        <w:rPr>
          <w:rFonts w:eastAsia="Microsoft YaHei" w:cs="Calibri"/>
          <w:b/>
          <w:color w:val="263238"/>
          <w:sz w:val="18"/>
          <w:szCs w:val="24"/>
          <w:lang w:val="en-CA" w:eastAsia="en-CA" w:bidi="ar-SA"/>
        </w:rPr>
        <w:t>22.3 Temporary operational pause</w:t>
      </w:r>
    </w:p>
    <w:p>
      <w:pPr>
        <w:pStyle w:val="Normal"/>
        <w:rPr/>
      </w:pPr>
      <w:r>
        <w:rPr>
          <w:rFonts w:eastAsia="Microsoft YaHei" w:cs="Calibri"/>
          <w:color w:val="263238"/>
          <w:sz w:val="21"/>
          <w:szCs w:val="24"/>
          <w:lang w:val="en-CA" w:eastAsia="en-CA" w:bidi="ar-SA"/>
        </w:rPr>
        <w:t>Either Party invokes a temporary operational pause for up to 14 days per invocation, at most three invocations per calendar year, by written notice to the JCC stating the circumstance. The pause freezes new obligations under Tier B and Tier C Protocols while Tier A elements, custody, the hotline, humanitarian flows, and escrowed funds continue untouched. The pause is a safety valve for domestic political crisis, leadership transition, or regional shock; it is not a breach, and it freezes response clocks in both directions: no consequence accrues, no restoration advances, for the pause's duration.</w:t>
      </w:r>
    </w:p>
    <w:p>
      <w:pPr>
        <w:pStyle w:val="Heading3"/>
        <w:rPr/>
      </w:pPr>
      <w:r>
        <w:rPr>
          <w:rFonts w:eastAsia="Microsoft YaHei" w:cs="Calibri"/>
          <w:b/>
          <w:color w:val="263238"/>
          <w:sz w:val="18"/>
          <w:szCs w:val="24"/>
          <w:lang w:val="en-CA" w:eastAsia="en-CA" w:bidi="ar-SA"/>
        </w:rPr>
        <w:t>22.4 Force majeure</w:t>
      </w:r>
    </w:p>
    <w:p>
      <w:pPr>
        <w:pStyle w:val="Normal"/>
        <w:rPr/>
      </w:pPr>
      <w:r>
        <w:rPr>
          <w:rFonts w:eastAsia="Microsoft YaHei" w:cs="Calibri"/>
          <w:color w:val="263238"/>
          <w:sz w:val="21"/>
          <w:szCs w:val="24"/>
          <w:lang w:val="en-CA" w:eastAsia="en-CA" w:bidi="ar-SA"/>
        </w:rPr>
        <w:t>A Party or the GCC collectively, on behalf of a member state or the Gulf region, invokes force majeure where regional conflict, natural catastrophe, or comparable events materially prevent compliance by one or more Parties, by notification from the affected Party or the GCC Secretary-General within 48 hours with TVG verification of the impediment. Force majeure suspends the affected obligations for up to 60 days, and the JCC extends the suspension once by consensus. Tier A elements, custody, the hotline, and humanitarian flows continue. Consequences never activate for obligations under a verified force majeure suspension. The reconstruction domain applies the dedicated fallback protocol of Annex N, Section N.12, which protects disbursed and undisbursed reconstruction funds with the same absolute logic.</w:t>
      </w:r>
    </w:p>
    <w:p>
      <w:pPr>
        <w:pStyle w:val="Heading3"/>
        <w:rPr/>
      </w:pPr>
      <w:r>
        <w:rPr>
          <w:rFonts w:eastAsia="Microsoft YaHei" w:cs="Calibri"/>
          <w:b/>
          <w:color w:val="263238"/>
          <w:sz w:val="18"/>
          <w:szCs w:val="24"/>
          <w:lang w:val="en-CA" w:eastAsia="en-CA" w:bidi="ar-SA"/>
        </w:rPr>
        <w:t>22.5 Withdrawal</w:t>
      </w:r>
    </w:p>
    <w:p>
      <w:pPr>
        <w:pStyle w:val="Normal"/>
        <w:rPr/>
      </w:pPr>
      <w:r>
        <w:rPr>
          <w:rFonts w:eastAsia="Microsoft YaHei" w:cs="Calibri"/>
          <w:color w:val="263238"/>
          <w:sz w:val="21"/>
          <w:szCs w:val="24"/>
          <w:lang w:val="en-CA" w:eastAsia="en-CA" w:bidi="ar-SA"/>
        </w:rPr>
        <w:t>Withdrawal from this instrument requires: written notice 180 days in advance; a leader-level consultation within 30 days of notice; a wind-down plan protecting third parties, cargoes at sea, funded projects underway, and custody arrangements; and settlement of the withdrawing Party's verified obligations as of the effective date. During the notice period, every mechanism continues to operate. The tiered notice makes departure orderly, protects bystanders, and preserves the possibility of return: a withdrawing Party re-enters later through accession on the terms then in force, with its archived registry record available to inform the return.</w:t>
      </w:r>
    </w:p>
    <w:p>
      <w:pPr>
        <w:pStyle w:val="Heading3"/>
        <w:rPr/>
      </w:pPr>
      <w:r>
        <w:rPr>
          <w:rFonts w:eastAsia="Microsoft YaHei" w:cs="Calibri"/>
          <w:b/>
          <w:color w:val="263238"/>
          <w:sz w:val="18"/>
          <w:szCs w:val="24"/>
          <w:lang w:val="en-CA" w:eastAsia="en-CA" w:bidi="ar-SA"/>
        </w:rPr>
        <w:t>22.6 The Recognition-Implementation-Parity Cycle</w:t>
      </w:r>
    </w:p>
    <w:p>
      <w:pPr>
        <w:pStyle w:val="Normal"/>
        <w:rPr/>
      </w:pPr>
      <w:r>
        <w:rPr>
          <w:rFonts w:eastAsia="Microsoft YaHei" w:cs="Calibri"/>
          <w:color w:val="263238"/>
          <w:sz w:val="21"/>
          <w:szCs w:val="24"/>
          <w:lang w:val="en-CA" w:eastAsia="en-CA" w:bidi="ar-SA"/>
        </w:rPr>
        <w:t>The Framework carries the Parties from the MOU's interim phase to the final deal through a three-stage cycle that runs inside this instrument: Stage One, mutual recognition, in which both Parties operate the corridors, the waiver block, and the baseline declaration as acknowledged equals at the table; Stage Two, differentiated implementation, in which the tranche schedule assigns each Party its specific, measurable work on the same clock; Stage Three, restored parity, in which completion of the schedule returns both Parties to identical standing under the final deal, with the interim asymmetries of effort closed out and recorded. Stage Two's differentiated obligations endure precisely because they are temporary, calibrated, and bracketed by equality on both sides. The cycle completes with the final deal's entry into force, at which point this instrument continues as the final deal's permanent machinery under the Continuing Effect Rule.</w:t>
      </w:r>
    </w:p>
    <w:p>
      <w:pPr>
        <w:pStyle w:val="Heading2"/>
        <w:rPr/>
      </w:pPr>
      <w:bookmarkStart w:id="34" w:name="__RefHeading___Toc7244_2800514504"/>
      <w:bookmarkEnd w:id="34"/>
      <w:r>
        <w:rPr>
          <w:rFonts w:eastAsia="Microsoft YaHei" w:cs="Calibri"/>
          <w:b/>
          <w:color w:val="263238"/>
          <w:sz w:val="21"/>
          <w:szCs w:val="24"/>
          <w:lang w:val="en-CA" w:eastAsia="en-CA" w:bidi="ar-SA"/>
        </w:rPr>
        <w:t>Article 23: Dispute Resolution and Leadership Channels</w:t>
      </w:r>
    </w:p>
    <w:p>
      <w:pPr>
        <w:pStyle w:val="Heading3"/>
        <w:rPr/>
      </w:pPr>
      <w:r>
        <w:rPr>
          <w:rFonts w:eastAsia="Microsoft YaHei" w:cs="Calibri"/>
          <w:b/>
          <w:color w:val="263238"/>
          <w:sz w:val="18"/>
          <w:szCs w:val="24"/>
          <w:lang w:val="en-CA" w:eastAsia="en-CA" w:bidi="ar-SA"/>
        </w:rPr>
        <w:t>23.1 The layered ladder</w:t>
      </w:r>
    </w:p>
    <w:p>
      <w:pPr>
        <w:pStyle w:val="Normal"/>
        <w:rPr/>
      </w:pPr>
      <w:r>
        <w:rPr>
          <w:rFonts w:eastAsia="Microsoft YaHei" w:cs="Calibri"/>
          <w:color w:val="263238"/>
          <w:sz w:val="21"/>
          <w:szCs w:val="24"/>
          <w:lang w:val="en-CA" w:eastAsia="en-CA" w:bidi="ar-SA"/>
        </w:rPr>
        <w:t>Disputes resolve through a layered ladder, each layer with a fixed clock:</w:t>
      </w:r>
    </w:p>
    <w:p>
      <w:pPr>
        <w:pStyle w:val="Normal"/>
        <w:numPr>
          <w:ilvl w:val="0"/>
          <w:numId w:val="1"/>
        </w:numPr>
        <w:spacing w:lineRule="auto" w:line="312" w:before="0" w:after="120"/>
        <w:rPr/>
      </w:pPr>
      <w:r>
        <w:rPr>
          <w:rFonts w:eastAsia="Microsoft YaHei" w:cs="Calibri"/>
          <w:color w:val="263238"/>
          <w:sz w:val="21"/>
          <w:szCs w:val="24"/>
          <w:lang w:val="en-CA" w:eastAsia="en-CA" w:bidi="ar-SA"/>
        </w:rPr>
        <w:t>Technical layer: the TVG decides data fidelity and claim questions within 5 working days. Its determination binds technically.</w:t>
      </w:r>
    </w:p>
    <w:p>
      <w:pPr>
        <w:pStyle w:val="Normal"/>
        <w:numPr>
          <w:ilvl w:val="0"/>
          <w:numId w:val="1"/>
        </w:numPr>
        <w:spacing w:lineRule="auto" w:line="312" w:before="0" w:after="120"/>
        <w:rPr/>
      </w:pPr>
      <w:r>
        <w:rPr>
          <w:rFonts w:eastAsia="Microsoft YaHei" w:cs="Calibri"/>
          <w:color w:val="263238"/>
          <w:sz w:val="21"/>
          <w:szCs w:val="24"/>
          <w:lang w:val="en-CA" w:eastAsia="en-CA" w:bidi="ar-SA"/>
        </w:rPr>
        <w:t>Executive layer: the JCC decides operational and scheduling questions within 7 days under the dual-track rule of Article 15.3.</w:t>
      </w:r>
    </w:p>
    <w:p>
      <w:pPr>
        <w:pStyle w:val="Normal"/>
        <w:numPr>
          <w:ilvl w:val="0"/>
          <w:numId w:val="1"/>
        </w:numPr>
        <w:spacing w:lineRule="auto" w:line="312" w:before="0" w:after="120"/>
        <w:rPr/>
      </w:pPr>
      <w:r>
        <w:rPr>
          <w:rFonts w:eastAsia="Microsoft YaHei" w:cs="Calibri"/>
          <w:color w:val="263238"/>
          <w:sz w:val="21"/>
          <w:szCs w:val="24"/>
          <w:lang w:val="en-CA" w:eastAsia="en-CA" w:bidi="ar-SA"/>
        </w:rPr>
        <w:t>Assurance layer: the Guarantor Panel decides classifications, failed referrals, and spillover on the rapid-response clock of Article 15.6.</w:t>
      </w:r>
    </w:p>
    <w:p>
      <w:pPr>
        <w:pStyle w:val="Normal"/>
        <w:numPr>
          <w:ilvl w:val="0"/>
          <w:numId w:val="1"/>
        </w:numPr>
        <w:spacing w:lineRule="auto" w:line="312" w:before="0" w:after="120"/>
        <w:rPr/>
      </w:pPr>
      <w:r>
        <w:rPr>
          <w:rFonts w:eastAsia="Microsoft YaHei" w:cs="Calibri"/>
          <w:color w:val="263238"/>
          <w:sz w:val="21"/>
          <w:szCs w:val="24"/>
          <w:lang w:val="en-CA" w:eastAsia="en-CA" w:bidi="ar-SA"/>
        </w:rPr>
        <w:t>Leadership layer: the leadership channel of Article 23.3 addresses any matter a Party elevates, within 14 days.</w:t>
      </w:r>
    </w:p>
    <w:p>
      <w:pPr>
        <w:pStyle w:val="Normal"/>
        <w:rPr/>
      </w:pPr>
      <w:r>
        <w:rPr>
          <w:rFonts w:eastAsia="Microsoft YaHei" w:cs="Calibri"/>
          <w:color w:val="263238"/>
          <w:sz w:val="21"/>
          <w:szCs w:val="24"/>
          <w:lang w:val="en-CA" w:eastAsia="en-CA" w:bidi="ar-SA"/>
        </w:rPr>
        <w:t>A dispute never jumps layers except on safety grounds, and a dispute pending in one layer freezes no Tier A element. The ladder's clocks are obligations: a missed clock itself classifies under Annex D, category G-1.</w:t>
      </w:r>
    </w:p>
    <w:p>
      <w:pPr>
        <w:pStyle w:val="Heading3"/>
        <w:rPr/>
      </w:pPr>
      <w:r>
        <w:rPr>
          <w:rFonts w:eastAsia="Microsoft YaHei" w:cs="Calibri"/>
          <w:b/>
          <w:color w:val="263238"/>
          <w:sz w:val="18"/>
          <w:szCs w:val="24"/>
          <w:lang w:val="en-CA" w:eastAsia="en-CA" w:bidi="ar-SA"/>
        </w:rPr>
        <w:t>23.2 Narrative dispute handling</w:t>
      </w:r>
    </w:p>
    <w:p>
      <w:pPr>
        <w:pStyle w:val="Normal"/>
        <w:rPr/>
      </w:pPr>
      <w:r>
        <w:rPr>
          <w:rFonts w:eastAsia="Microsoft YaHei" w:cs="Calibri"/>
          <w:color w:val="263238"/>
          <w:sz w:val="18"/>
          <w:szCs w:val="24"/>
          <w:lang w:val="en-CA" w:eastAsia="en-CA" w:bidi="ar-SA"/>
        </w:rPr>
        <w:t>The Parties present this instrument differently to their domestic audiences, and the Framework protects that space: each Party describes the architecture in its own vocabulary at home, and neither Party polices the other's domestic framing. Where one Party's public characterization of a specific mechanism diverges materially from the text, either Party requests a clarification note from the Mediator of Record, which publishes an authoritative reading of the mechanism without attributing fault. Three or more findings in 180 days of material misrepresentation exceeding protected domestic framing classify under Annex D, category G-1. The rule protects both dignity and text at once.</w:t>
      </w:r>
    </w:p>
    <w:p>
      <w:pPr>
        <w:pStyle w:val="Heading3"/>
        <w:rPr/>
      </w:pPr>
      <w:r>
        <w:rPr>
          <w:rFonts w:eastAsia="Microsoft YaHei" w:cs="Calibri"/>
          <w:b/>
          <w:color w:val="263238"/>
          <w:sz w:val="21"/>
          <w:szCs w:val="24"/>
          <w:lang w:val="en-CA" w:eastAsia="en-CA" w:bidi="ar-SA"/>
        </w:rPr>
        <w:t>23.2A Regional dispute handling</w:t>
      </w:r>
    </w:p>
    <w:p>
      <w:pPr>
        <w:pStyle w:val="Normal"/>
        <w:rPr/>
      </w:pPr>
      <w:r>
        <w:rPr>
          <w:rFonts w:eastAsia="Microsoft YaHei" w:cs="Calibri"/>
          <w:color w:val="263238"/>
          <w:sz w:val="18"/>
          <w:szCs w:val="24"/>
          <w:lang w:val="en-CA" w:eastAsia="en-CA" w:bidi="ar-SA"/>
        </w:rPr>
        <w:t>Where a dispute arises between two or more Gulf littoral states, the Parties first attempt resolution through the GCC Dispute Settlement Mechanism before escalating to the Article 23.1 ladder. The GCC mechanism has 30 days to resolve the dispute. If the GCC mechanism does not resolve the dispute within that period, the matter escalates to the Guarantor Panel. The timelines of the Article 23.1 ladder begin to run upon the GCC mechanism's determination of non-resolution or the expiration of the 30-day period.</w:t>
      </w:r>
    </w:p>
    <w:p>
      <w:pPr>
        <w:pStyle w:val="Heading3"/>
        <w:rPr/>
      </w:pPr>
      <w:r>
        <w:rPr>
          <w:rFonts w:eastAsia="Microsoft YaHei" w:cs="Calibri"/>
          <w:b/>
          <w:color w:val="263238"/>
          <w:sz w:val="21"/>
          <w:szCs w:val="24"/>
          <w:lang w:val="en-CA" w:eastAsia="en-CA" w:bidi="ar-SA"/>
        </w:rPr>
        <w:t>23.3 The leadership channel</w:t>
      </w:r>
    </w:p>
    <w:p>
      <w:pPr>
        <w:pStyle w:val="Normal"/>
        <w:rPr/>
      </w:pPr>
      <w:r>
        <w:rPr>
          <w:rFonts w:eastAsia="Microsoft YaHei" w:cs="Calibri"/>
          <w:color w:val="263238"/>
          <w:sz w:val="18"/>
          <w:szCs w:val="24"/>
          <w:lang w:val="en-CA" w:eastAsia="en-CA" w:bidi="ar-SA"/>
        </w:rPr>
        <w:t>A standing leader-to-leader channel operates through the Mediator of Record, with tested contact paths available within 1 hour at all times. Either head of government requests consultation at any time, and the request receives a response within 24 hours. The channel handles: Red Line Consultations, withdrawal consultations, Class Three events with strategic character, and any matter a head of government designates. The channel's existence and readiness publish quarterly; its content remains confidential.</w:t>
      </w:r>
    </w:p>
    <w:p>
      <w:pPr>
        <w:pStyle w:val="Heading3"/>
        <w:rPr/>
      </w:pPr>
      <w:r>
        <w:rPr>
          <w:rFonts w:eastAsia="Microsoft YaHei" w:cs="Calibri"/>
          <w:b/>
          <w:color w:val="263238"/>
          <w:sz w:val="21"/>
          <w:szCs w:val="24"/>
          <w:lang w:val="en-CA" w:eastAsia="en-CA" w:bidi="ar-SA"/>
        </w:rPr>
        <w:t>23.4 The Red Line Consultation</w:t>
      </w:r>
    </w:p>
    <w:p>
      <w:pPr>
        <w:pStyle w:val="Normal"/>
        <w:rPr/>
      </w:pPr>
      <w:r>
        <w:rPr>
          <w:rFonts w:eastAsia="Microsoft YaHei" w:cs="Calibri"/>
          <w:color w:val="263238"/>
          <w:sz w:val="18"/>
          <w:szCs w:val="24"/>
          <w:lang w:val="en-CA" w:eastAsia="en-CA" w:bidi="ar-SA"/>
        </w:rPr>
        <w:t>Where a Party perceives a registered Red Line under pressure, it activates a Red Line Consultation before any other response: written activation naming the registered line and the perceived pressure; convening within 24 hours at the leadership layer; a 72-hour mechanism freeze limited to the implicated mechanism while consultation proceeds; and a recorded outcome within 7 days: confirmation that the architecture holds, adjustment of the implicated mechanism, or escalation to the Guarantor Panel. The Red Line Consultation converts the most dangerous moments of the relationship into a scheduled procedure with a clock, a room, and an exit.</w:t>
      </w:r>
    </w:p>
    <w:p>
      <w:pPr>
        <w:pStyle w:val="Heading2"/>
        <w:rPr/>
      </w:pPr>
      <w:bookmarkStart w:id="35" w:name="__RefHeading___Toc7246_2800514504"/>
      <w:bookmarkEnd w:id="35"/>
      <w:r>
        <w:rPr>
          <w:rFonts w:eastAsia="Microsoft YaHei" w:cs="Calibri"/>
          <w:b/>
          <w:color w:val="263238"/>
          <w:sz w:val="21"/>
          <w:szCs w:val="24"/>
          <w:lang w:val="en-CA" w:eastAsia="en-CA" w:bidi="ar-SA"/>
        </w:rPr>
        <w:t>Article 24: Final Provisions and Signature</w:t>
      </w:r>
    </w:p>
    <w:p>
      <w:pPr>
        <w:pStyle w:val="Heading3"/>
        <w:rPr/>
      </w:pPr>
      <w:r>
        <w:rPr>
          <w:rFonts w:eastAsia="Microsoft YaHei" w:cs="Calibri"/>
          <w:b/>
          <w:color w:val="263238"/>
          <w:sz w:val="21"/>
          <w:szCs w:val="24"/>
          <w:lang w:val="en-CA" w:eastAsia="en-CA" w:bidi="ar-SA"/>
        </w:rPr>
        <w:t>24.1 Entry into force and activation</w:t>
      </w:r>
    </w:p>
    <w:p>
      <w:pPr>
        <w:pStyle w:val="Normal"/>
        <w:rPr/>
      </w:pPr>
      <w:r>
        <w:rPr>
          <w:rFonts w:eastAsia="Microsoft YaHei" w:cs="Calibri"/>
          <w:color w:val="263238"/>
          <w:sz w:val="18"/>
          <w:szCs w:val="24"/>
          <w:lang w:val="en-CA" w:eastAsia="en-CA" w:bidi="ar-SA"/>
        </w:rPr>
        <w:t>This instrument enters into force upon signature by both Parties. Activation proceeds in stages under Annex K: the corridors and the COC activate on Day 1; the claim procedure and the Registry activate by Day 14; the baseline declaration delivers by Day 7 and downblending commences by Day 30; the escrow and Fund operate from Day 1; the Reconstruction Steering Committee convenes by Day 14 under Annex N; and full steady-state operations complete by Day 60, aligned with the MOU window.</w:t>
      </w:r>
    </w:p>
    <w:p>
      <w:pPr>
        <w:pStyle w:val="Heading3"/>
        <w:rPr/>
      </w:pPr>
      <w:r>
        <w:rPr>
          <w:rFonts w:eastAsia="Microsoft YaHei" w:cs="Calibri"/>
          <w:b/>
          <w:color w:val="263238"/>
          <w:sz w:val="21"/>
          <w:szCs w:val="24"/>
          <w:lang w:val="en-CA" w:eastAsia="en-CA" w:bidi="ar-SA"/>
        </w:rPr>
        <w:t>24.2 Depositary and registration</w:t>
      </w:r>
    </w:p>
    <w:p>
      <w:pPr>
        <w:pStyle w:val="Normal"/>
        <w:rPr/>
      </w:pPr>
      <w:r>
        <w:rPr>
          <w:rFonts w:eastAsia="Microsoft YaHei" w:cs="Calibri"/>
          <w:color w:val="263238"/>
          <w:sz w:val="18"/>
          <w:szCs w:val="24"/>
          <w:lang w:val="en-CA" w:eastAsia="en-CA" w:bidi="ar-SA"/>
        </w:rPr>
        <w:t>The Swiss Confederation serves as depositary. The instrument registers with the United Nations under Article 102 of the Charter upon entry into force. Authentic texts: English. Courtesy translations into Persian and Arabic prepare under the Mediator of Record's supervision, and the Parties treat them as interpretive aids; the English text governs.</w:t>
      </w:r>
    </w:p>
    <w:p>
      <w:pPr>
        <w:pStyle w:val="Heading3"/>
        <w:rPr/>
      </w:pPr>
      <w:r>
        <w:rPr>
          <w:rFonts w:eastAsia="Microsoft YaHei" w:cs="Calibri"/>
          <w:b/>
          <w:color w:val="263238"/>
          <w:sz w:val="21"/>
          <w:szCs w:val="24"/>
          <w:lang w:val="en-CA" w:eastAsia="en-CA" w:bidi="ar-SA"/>
        </w:rPr>
        <w:t>24.3 Amendment</w:t>
      </w:r>
    </w:p>
    <w:p>
      <w:pPr>
        <w:pStyle w:val="Normal"/>
        <w:rPr/>
      </w:pPr>
      <w:r>
        <w:rPr>
          <w:rFonts w:eastAsia="Microsoft YaHei" w:cs="Calibri"/>
          <w:color w:val="263238"/>
          <w:sz w:val="18"/>
          <w:szCs w:val="24"/>
          <w:lang w:val="en-CA" w:eastAsia="en-CA" w:bidi="ar-SA"/>
        </w:rPr>
        <w:t>An amendment to the main body requires: written proposal; JCC recommendation under Consensus Minus One; approval by both Parties' heads of government; and depositary notification. An amendment to a technical annex follows the lighter track of Article 4.4 or Article 16.3 as applicable. Every amendment proposal passes the political acceptability rule of Article 1.5 and the humanitarian absolute of Article 1.3 before adoption; an amendment touching a Tier A Protocol additionally requires the leadership layer's recorded consent. Amendments apply prospectively only.</w:t>
      </w:r>
    </w:p>
    <w:p>
      <w:pPr>
        <w:pStyle w:val="Heading3"/>
        <w:rPr/>
      </w:pPr>
      <w:r>
        <w:rPr>
          <w:rFonts w:eastAsia="Microsoft YaHei" w:cs="Calibri"/>
          <w:b/>
          <w:color w:val="263238"/>
          <w:sz w:val="21"/>
          <w:szCs w:val="24"/>
          <w:lang w:val="en-CA" w:eastAsia="en-CA" w:bidi="ar-SA"/>
        </w:rPr>
        <w:t>24.4 Relationship to other instruments</w:t>
      </w:r>
    </w:p>
    <w:p>
      <w:pPr>
        <w:pStyle w:val="Normal"/>
        <w:rPr/>
      </w:pPr>
      <w:r>
        <w:rPr>
          <w:rFonts w:eastAsia="Microsoft YaHei" w:cs="Calibri"/>
          <w:color w:val="263238"/>
          <w:sz w:val="18"/>
          <w:szCs w:val="24"/>
          <w:lang w:val="en-CA" w:eastAsia="en-CA" w:bidi="ar-SA"/>
        </w:rPr>
        <w:t>This instrument supplements the MOU and yields to it per Article 2.2. This instrument respects the conventions and routing measures of the International Maritime Organization, the International Convention for the Safety of Life at Sea, the International Convention on Maritime Search and Rescue, the Convention on the International Regulations for Preventing Collisions at Sea, and the Parties' obligations under the Treaty on the Non-Proliferation of Nuclear Weapons and the IAEA safeguards system. Nothing in this instrument derogates from the United Nations Convention on the Law of the Sea; the Parties apply this instrument consistently with its provisions while registering their respective interpretive positions, which remain unaffected under Article 3.4.</w:t>
      </w:r>
    </w:p>
    <w:p>
      <w:pPr>
        <w:pStyle w:val="Heading3"/>
        <w:rPr/>
      </w:pPr>
      <w:r>
        <w:rPr>
          <w:rFonts w:eastAsia="Microsoft YaHei" w:cs="Calibri"/>
          <w:b/>
          <w:color w:val="263238"/>
          <w:sz w:val="21"/>
          <w:szCs w:val="24"/>
          <w:lang w:val="en-CA" w:eastAsia="en-CA" w:bidi="ar-SA"/>
        </w:rPr>
        <w:t>24.5 Review</w:t>
      </w:r>
    </w:p>
    <w:p>
      <w:pPr>
        <w:pStyle w:val="Normal"/>
        <w:rPr/>
      </w:pPr>
      <w:r>
        <w:rPr>
          <w:rFonts w:eastAsia="Microsoft YaHei" w:cs="Calibri"/>
          <w:color w:val="263238"/>
          <w:sz w:val="18"/>
          <w:szCs w:val="24"/>
          <w:lang w:val="en-CA" w:eastAsia="en-CA" w:bidi="ar-SA"/>
        </w:rPr>
        <w:t>The Plenary conducts a comprehensive review each year: performance of every Standing Protocol; proportionality of the Annex D schedule; adequacy of the Fund; state of the Standing Ratios; lessons from the pattern repository; and the Independent Assurance Council's annual assessment. The review publishes a summary to both Parties' legislatures and publics. The review recommends; amendment adopts. The instrument itself continues without interruption across every review, per the Continuing Effect Rule.</w:t>
      </w:r>
    </w:p>
    <w:p>
      <w:pPr>
        <w:pStyle w:val="Heading3"/>
        <w:rPr/>
      </w:pPr>
      <w:r>
        <w:rPr>
          <w:rFonts w:eastAsia="Microsoft YaHei" w:cs="Calibri"/>
          <w:b/>
          <w:color w:val="263238"/>
          <w:sz w:val="21"/>
          <w:szCs w:val="24"/>
          <w:lang w:val="en-CA" w:eastAsia="en-CA" w:bidi="ar-SA"/>
        </w:rPr>
        <w:t>24.6 Signature and designation of Primary Crisis Contacts</w:t>
      </w:r>
    </w:p>
    <w:p>
      <w:pPr>
        <w:pStyle w:val="Normal"/>
        <w:rPr/>
      </w:pPr>
      <w:r>
        <w:rPr>
          <w:rFonts w:eastAsia="Microsoft YaHei" w:cs="Calibri"/>
          <w:color w:val="263238"/>
          <w:sz w:val="18"/>
          <w:szCs w:val="24"/>
          <w:lang w:val="en-CA" w:eastAsia="en-CA" w:bidi="ar-SA"/>
        </w:rPr>
        <w:t>Signed at Islamabad, on the date written below, in eight originals in the English language. Upon signature, each Party designates in this signature block its Primary Crisis Contact, a serving Deputy Minister or equivalent senior official, publicly named, personally accountable for channel readiness under Annex H, Section H.2, and individually reachable within 1 hour at all times through the tested contact paths.</w:t>
      </w:r>
    </w:p>
    <w:p>
      <w:pPr>
        <w:pStyle w:val="Normal"/>
        <w:spacing w:before="0" w:after="60"/>
        <w:rPr/>
      </w:pPr>
      <w:r>
        <w:rPr/>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4512"/>
        <w:gridCol w:w="4513"/>
      </w:tblGrid>
      <w:tr>
        <w:trPr>
          <w:tblHeader w:val="true"/>
        </w:trPr>
        <w:tc>
          <w:tcPr>
            <w:tcW w:w="4512"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For the United States of America</w:t>
            </w:r>
          </w:p>
        </w:tc>
        <w:tc>
          <w:tcPr>
            <w:tcW w:w="4513"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For the Islamic Republic of Iran</w:t>
            </w:r>
          </w:p>
        </w:tc>
      </w:tr>
      <w:tr>
        <w:trPr/>
        <w:tc>
          <w:tcPr>
            <w:tcW w:w="4512" w:type="dxa"/>
            <w:tcBorders>
              <w:top w:val="single" w:sz="4" w:space="0" w:color="B0BEC5"/>
              <w:bottom w:val="single" w:sz="12" w:space="0" w:color="37474F"/>
              <w:right w:val="single" w:sz="4" w:space="0" w:color="B0BEC5"/>
            </w:tcBorders>
          </w:tcPr>
          <w:p>
            <w:pPr>
              <w:pStyle w:val="Normal"/>
              <w:widowControl/>
              <w:spacing w:lineRule="auto" w:line="264" w:before="30" w:after="30"/>
              <w:jc w:val="left"/>
              <w:rPr>
                <w:kern w:val="2"/>
                <w:szCs w:val="24"/>
                <w:lang w:val="en-CA" w:eastAsia="en-CA" w:bidi="ar-SA"/>
              </w:rPr>
            </w:pPr>
            <w:r>
              <w:rPr>
                <w:rFonts w:eastAsia="Microsoft YaHei" w:cs="Calibri"/>
                <w:color w:val="263238"/>
                <w:kern w:val="2"/>
                <w:sz w:val="18"/>
                <w:szCs w:val="24"/>
                <w:lang w:val="en-CA" w:eastAsia="en-CA" w:bidi="ar-SA"/>
              </w:rPr>
              <w:t>Signature: _____________________________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Name and title: 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Date: _____________________________</w:t>
            </w:r>
          </w:p>
        </w:tc>
        <w:tc>
          <w:tcPr>
            <w:tcW w:w="4513" w:type="dxa"/>
            <w:tcBorders>
              <w:top w:val="single" w:sz="4" w:space="0" w:color="B0BEC5"/>
              <w:left w:val="single" w:sz="4" w:space="0" w:color="B0BEC5"/>
              <w:bottom w:val="single" w:sz="12" w:space="0" w:color="37474F"/>
            </w:tcBorders>
          </w:tcPr>
          <w:p>
            <w:pPr>
              <w:pStyle w:val="Normal"/>
              <w:widowControl/>
              <w:spacing w:lineRule="auto" w:line="264" w:before="30" w:after="30"/>
              <w:jc w:val="left"/>
              <w:rPr>
                <w:kern w:val="2"/>
                <w:szCs w:val="24"/>
                <w:lang w:val="en-CA" w:eastAsia="en-CA" w:bidi="ar-SA"/>
              </w:rPr>
            </w:pPr>
            <w:r>
              <w:rPr>
                <w:rFonts w:eastAsia="Microsoft YaHei" w:cs="Calibri"/>
                <w:color w:val="263238"/>
                <w:kern w:val="2"/>
                <w:sz w:val="18"/>
                <w:szCs w:val="24"/>
                <w:lang w:val="en-CA" w:eastAsia="en-CA" w:bidi="ar-SA"/>
              </w:rPr>
              <w:t>Signature: _____________________________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Name and title: 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Date: _____________________________</w:t>
            </w:r>
          </w:p>
        </w:tc>
      </w:tr>
    </w:tbl>
    <w:p>
      <w:pPr>
        <w:pStyle w:val="Normal"/>
        <w:spacing w:before="0" w:after="60"/>
        <w:rPr/>
      </w:pPr>
      <w:r>
        <w:rPr/>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4512"/>
        <w:gridCol w:w="4513"/>
      </w:tblGrid>
      <w:tr>
        <w:trPr>
          <w:tblHeader w:val="true"/>
        </w:trPr>
        <w:tc>
          <w:tcPr>
            <w:tcW w:w="4512"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For the Kingdom of Saudi Arabia</w:t>
            </w:r>
          </w:p>
        </w:tc>
        <w:tc>
          <w:tcPr>
            <w:tcW w:w="4513"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For the State of Kuwait</w:t>
            </w:r>
          </w:p>
        </w:tc>
      </w:tr>
      <w:tr>
        <w:trPr/>
        <w:tc>
          <w:tcPr>
            <w:tcW w:w="4512" w:type="dxa"/>
            <w:tcBorders>
              <w:top w:val="single" w:sz="4" w:space="0" w:color="B0BEC5"/>
              <w:bottom w:val="single" w:sz="12" w:space="0" w:color="37474F"/>
              <w:right w:val="single" w:sz="4" w:space="0" w:color="B0BEC5"/>
            </w:tcBorders>
          </w:tcPr>
          <w:p>
            <w:pPr>
              <w:pStyle w:val="Normal"/>
              <w:widowControl/>
              <w:spacing w:lineRule="auto" w:line="264" w:before="30" w:after="30"/>
              <w:jc w:val="left"/>
              <w:rPr>
                <w:kern w:val="2"/>
                <w:szCs w:val="24"/>
                <w:lang w:val="en-CA" w:eastAsia="en-CA" w:bidi="ar-SA"/>
              </w:rPr>
            </w:pPr>
            <w:r>
              <w:rPr>
                <w:rFonts w:eastAsia="Microsoft YaHei" w:cs="Calibri"/>
                <w:color w:val="263238"/>
                <w:kern w:val="2"/>
                <w:sz w:val="18"/>
                <w:szCs w:val="24"/>
                <w:lang w:val="en-CA" w:eastAsia="en-CA" w:bidi="ar-SA"/>
              </w:rPr>
              <w:t>Signature: _____________________________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Name and title: 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Date: _____________________________</w:t>
            </w:r>
          </w:p>
        </w:tc>
        <w:tc>
          <w:tcPr>
            <w:tcW w:w="4513" w:type="dxa"/>
            <w:tcBorders>
              <w:top w:val="single" w:sz="4" w:space="0" w:color="B0BEC5"/>
              <w:left w:val="single" w:sz="4" w:space="0" w:color="B0BEC5"/>
              <w:bottom w:val="single" w:sz="12" w:space="0" w:color="37474F"/>
            </w:tcBorders>
          </w:tcPr>
          <w:p>
            <w:pPr>
              <w:pStyle w:val="Normal"/>
              <w:widowControl/>
              <w:spacing w:lineRule="auto" w:line="264" w:before="30" w:after="30"/>
              <w:jc w:val="left"/>
              <w:rPr>
                <w:kern w:val="2"/>
                <w:szCs w:val="24"/>
                <w:lang w:val="en-CA" w:eastAsia="en-CA" w:bidi="ar-SA"/>
              </w:rPr>
            </w:pPr>
            <w:r>
              <w:rPr>
                <w:rFonts w:eastAsia="Microsoft YaHei" w:cs="Calibri"/>
                <w:color w:val="263238"/>
                <w:kern w:val="2"/>
                <w:sz w:val="18"/>
                <w:szCs w:val="24"/>
                <w:lang w:val="en-CA" w:eastAsia="en-CA" w:bidi="ar-SA"/>
              </w:rPr>
              <w:t>Signature: _____________________________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Name and title: 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Date: _____________________________</w:t>
            </w:r>
          </w:p>
        </w:tc>
      </w:tr>
    </w:tbl>
    <w:p>
      <w:pPr>
        <w:pStyle w:val="Normal"/>
        <w:spacing w:before="0" w:after="60"/>
        <w:rPr/>
      </w:pPr>
      <w:r>
        <w:rPr/>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4512"/>
        <w:gridCol w:w="4513"/>
      </w:tblGrid>
      <w:tr>
        <w:trPr>
          <w:tblHeader w:val="true"/>
        </w:trPr>
        <w:tc>
          <w:tcPr>
            <w:tcW w:w="4512"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For the State of Qatar</w:t>
            </w:r>
          </w:p>
        </w:tc>
        <w:tc>
          <w:tcPr>
            <w:tcW w:w="4513"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For the Kingdom of Bahrain</w:t>
            </w:r>
          </w:p>
        </w:tc>
      </w:tr>
      <w:tr>
        <w:trPr/>
        <w:tc>
          <w:tcPr>
            <w:tcW w:w="4512" w:type="dxa"/>
            <w:tcBorders>
              <w:top w:val="single" w:sz="4" w:space="0" w:color="B0BEC5"/>
              <w:bottom w:val="single" w:sz="12" w:space="0" w:color="37474F"/>
              <w:right w:val="single" w:sz="4" w:space="0" w:color="B0BEC5"/>
            </w:tcBorders>
          </w:tcPr>
          <w:p>
            <w:pPr>
              <w:pStyle w:val="Normal"/>
              <w:widowControl/>
              <w:spacing w:lineRule="auto" w:line="264" w:before="30" w:after="30"/>
              <w:jc w:val="left"/>
              <w:rPr>
                <w:kern w:val="2"/>
                <w:szCs w:val="24"/>
                <w:lang w:val="en-CA" w:eastAsia="en-CA" w:bidi="ar-SA"/>
              </w:rPr>
            </w:pPr>
            <w:r>
              <w:rPr>
                <w:rFonts w:eastAsia="Microsoft YaHei" w:cs="Calibri"/>
                <w:color w:val="263238"/>
                <w:kern w:val="2"/>
                <w:sz w:val="18"/>
                <w:szCs w:val="24"/>
                <w:lang w:val="en-CA" w:eastAsia="en-CA" w:bidi="ar-SA"/>
              </w:rPr>
              <w:t>Signature: _____________________________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Name and title: 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Date: _____________________________</w:t>
            </w:r>
          </w:p>
        </w:tc>
        <w:tc>
          <w:tcPr>
            <w:tcW w:w="4513" w:type="dxa"/>
            <w:tcBorders>
              <w:top w:val="single" w:sz="4" w:space="0" w:color="B0BEC5"/>
              <w:left w:val="single" w:sz="4" w:space="0" w:color="B0BEC5"/>
              <w:bottom w:val="single" w:sz="12" w:space="0" w:color="37474F"/>
            </w:tcBorders>
          </w:tcPr>
          <w:p>
            <w:pPr>
              <w:pStyle w:val="Normal"/>
              <w:widowControl/>
              <w:spacing w:lineRule="auto" w:line="264" w:before="30" w:after="30"/>
              <w:jc w:val="left"/>
              <w:rPr>
                <w:kern w:val="2"/>
                <w:szCs w:val="24"/>
                <w:lang w:val="en-CA" w:eastAsia="en-CA" w:bidi="ar-SA"/>
              </w:rPr>
            </w:pPr>
            <w:r>
              <w:rPr>
                <w:rFonts w:eastAsia="Microsoft YaHei" w:cs="Calibri"/>
                <w:color w:val="263238"/>
                <w:kern w:val="2"/>
                <w:sz w:val="18"/>
                <w:szCs w:val="24"/>
                <w:lang w:val="en-CA" w:eastAsia="en-CA" w:bidi="ar-SA"/>
              </w:rPr>
              <w:t>Signature: _____________________________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Name and title: 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Date: _____________________________</w:t>
            </w:r>
          </w:p>
        </w:tc>
      </w:tr>
    </w:tbl>
    <w:p>
      <w:pPr>
        <w:pStyle w:val="Normal"/>
        <w:spacing w:before="0" w:after="60"/>
        <w:rPr/>
      </w:pPr>
      <w:r>
        <w:rPr/>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4512"/>
        <w:gridCol w:w="4513"/>
      </w:tblGrid>
      <w:tr>
        <w:trPr>
          <w:tblHeader w:val="true"/>
        </w:trPr>
        <w:tc>
          <w:tcPr>
            <w:tcW w:w="4512"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For the United Arab Emirates</w:t>
            </w:r>
          </w:p>
        </w:tc>
        <w:tc>
          <w:tcPr>
            <w:tcW w:w="4513"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For the Sultanate of Oman</w:t>
            </w:r>
          </w:p>
        </w:tc>
      </w:tr>
      <w:tr>
        <w:trPr/>
        <w:tc>
          <w:tcPr>
            <w:tcW w:w="4512" w:type="dxa"/>
            <w:tcBorders>
              <w:top w:val="single" w:sz="4" w:space="0" w:color="B0BEC5"/>
              <w:bottom w:val="single" w:sz="12" w:space="0" w:color="37474F"/>
              <w:right w:val="single" w:sz="4" w:space="0" w:color="B0BEC5"/>
            </w:tcBorders>
          </w:tcPr>
          <w:p>
            <w:pPr>
              <w:pStyle w:val="Normal"/>
              <w:widowControl/>
              <w:spacing w:lineRule="auto" w:line="264" w:before="30" w:after="30"/>
              <w:jc w:val="left"/>
              <w:rPr>
                <w:kern w:val="2"/>
                <w:szCs w:val="24"/>
                <w:lang w:val="en-CA" w:eastAsia="en-CA" w:bidi="ar-SA"/>
              </w:rPr>
            </w:pPr>
            <w:r>
              <w:rPr>
                <w:rFonts w:eastAsia="Microsoft YaHei" w:cs="Calibri"/>
                <w:color w:val="263238"/>
                <w:kern w:val="2"/>
                <w:sz w:val="18"/>
                <w:szCs w:val="24"/>
                <w:lang w:val="en-CA" w:eastAsia="en-CA" w:bidi="ar-SA"/>
              </w:rPr>
              <w:t>Signature: _____________________________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Name and title: 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Date: _____________________________</w:t>
            </w:r>
          </w:p>
        </w:tc>
        <w:tc>
          <w:tcPr>
            <w:tcW w:w="4513" w:type="dxa"/>
            <w:tcBorders>
              <w:top w:val="single" w:sz="4" w:space="0" w:color="B0BEC5"/>
              <w:left w:val="single" w:sz="4" w:space="0" w:color="B0BEC5"/>
              <w:bottom w:val="single" w:sz="12" w:space="0" w:color="37474F"/>
            </w:tcBorders>
          </w:tcPr>
          <w:p>
            <w:pPr>
              <w:pStyle w:val="Normal"/>
              <w:widowControl/>
              <w:spacing w:lineRule="auto" w:line="264" w:before="30" w:after="30"/>
              <w:jc w:val="left"/>
              <w:rPr>
                <w:kern w:val="2"/>
                <w:szCs w:val="24"/>
                <w:lang w:val="en-CA" w:eastAsia="en-CA" w:bidi="ar-SA"/>
              </w:rPr>
            </w:pPr>
            <w:r>
              <w:rPr>
                <w:rFonts w:eastAsia="Microsoft YaHei" w:cs="Calibri"/>
                <w:color w:val="263238"/>
                <w:kern w:val="2"/>
                <w:sz w:val="18"/>
                <w:szCs w:val="24"/>
                <w:lang w:val="en-CA" w:eastAsia="en-CA" w:bidi="ar-SA"/>
              </w:rPr>
              <w:t>Signature: _____________________________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Name and title: ______________________</w:t>
            </w:r>
            <w:r>
              <w:rPr>
                <w:rFonts w:eastAsia="Microsoft YaHei" w:cs=""/>
                <w:color w:val="37474F"/>
                <w:kern w:val="2"/>
                <w:sz w:val="18"/>
                <w:szCs w:val="24"/>
                <w:lang w:val="en-CA" w:eastAsia="en-CA" w:bidi="ar-SA"/>
              </w:rPr>
              <w:br/>
            </w:r>
            <w:r>
              <w:rPr>
                <w:rFonts w:eastAsia="Microsoft YaHei" w:cs="Calibri"/>
                <w:color w:val="263238"/>
                <w:kern w:val="2"/>
                <w:sz w:val="18"/>
                <w:szCs w:val="24"/>
                <w:lang w:val="en-CA" w:eastAsia="en-CA" w:bidi="ar-SA"/>
              </w:rPr>
              <w:t>Date: _____________________________</w:t>
            </w:r>
          </w:p>
        </w:tc>
      </w:tr>
    </w:tbl>
    <w:p>
      <w:pPr>
        <w:pStyle w:val="Normal"/>
        <w:spacing w:before="0" w:after="60"/>
        <w:rPr/>
      </w:pPr>
      <w:r>
        <w:rPr/>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4512"/>
        <w:gridCol w:w="4513"/>
      </w:tblGrid>
      <w:tr>
        <w:trPr>
          <w:tblHeader w:val="true"/>
        </w:trPr>
        <w:tc>
          <w:tcPr>
            <w:tcW w:w="4512"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Primary Crisis Contact, United States (serving Deputy Minister or equivalent)</w:t>
            </w:r>
          </w:p>
        </w:tc>
        <w:tc>
          <w:tcPr>
            <w:tcW w:w="4513"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Primary Crisis Contact, Iran (serving Deputy Minister or equivalent)</w:t>
            </w:r>
          </w:p>
        </w:tc>
      </w:tr>
      <w:tr>
        <w:trPr/>
        <w:tc>
          <w:tcPr>
            <w:tcW w:w="4512"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 xml:space="preserve">  </w:t>
            </w:r>
            <w:r>
              <w:rPr>
                <w:rFonts w:eastAsia="Microsoft YaHei" w:cs="Calibri"/>
                <w:color w:val="263238"/>
                <w:kern w:val="2"/>
                <w:sz w:val="18"/>
                <w:szCs w:val="24"/>
                <w:lang w:val="en-CA" w:eastAsia="en-CA" w:bidi="ar-SA"/>
              </w:rPr>
              <w:t>Name: ______________________________  Office and title:  Designation date:</w:t>
            </w:r>
          </w:p>
        </w:tc>
        <w:tc>
          <w:tcPr>
            <w:tcW w:w="4513"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 xml:space="preserve">  </w:t>
            </w:r>
            <w:r>
              <w:rPr>
                <w:rFonts w:eastAsia="Microsoft YaHei" w:cs="Calibri"/>
                <w:color w:val="263238"/>
                <w:kern w:val="2"/>
                <w:sz w:val="18"/>
                <w:szCs w:val="24"/>
                <w:lang w:val="en-CA" w:eastAsia="en-CA" w:bidi="ar-SA"/>
              </w:rPr>
              <w:t>Name: ______________________________  Office and title:  Designation date:</w:t>
            </w:r>
          </w:p>
        </w:tc>
      </w:tr>
    </w:tbl>
    <w:p>
      <w:pPr>
        <w:pStyle w:val="Normal"/>
        <w:spacing w:before="0" w:after="60"/>
        <w:rPr/>
      </w:pPr>
      <w:r>
        <w:rPr/>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4512"/>
        <w:gridCol w:w="4513"/>
      </w:tblGrid>
      <w:tr>
        <w:trPr>
          <w:tblHeader w:val="true"/>
        </w:trPr>
        <w:tc>
          <w:tcPr>
            <w:tcW w:w="4512"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Witnessed by the Mediator of Record</w:t>
            </w:r>
          </w:p>
        </w:tc>
        <w:tc>
          <w:tcPr>
            <w:tcW w:w="4513"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Witnessed by the Neutral Administrator</w:t>
            </w:r>
          </w:p>
        </w:tc>
      </w:tr>
      <w:tr>
        <w:trPr/>
        <w:tc>
          <w:tcPr>
            <w:tcW w:w="4512"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For the Sultanate of Oman  Signature: ______________________________  Name and title:  Date:</w:t>
            </w:r>
          </w:p>
        </w:tc>
        <w:tc>
          <w:tcPr>
            <w:tcW w:w="4513"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For the Swiss Confederation  Signature: ______________________________  Name and title:  Date:</w:t>
            </w:r>
          </w:p>
        </w:tc>
      </w:tr>
    </w:tbl>
    <w:p>
      <w:pPr>
        <w:pStyle w:val="Normal"/>
        <w:spacing w:before="0" w:after="60"/>
        <w:rPr/>
      </w:pPr>
      <w:r>
        <w:rPr/>
      </w:r>
    </w:p>
    <w:tbl>
      <w:tblPr>
        <w:tblW w:w="5000" w:type="pct"/>
        <w:jc w:val="left"/>
        <w:tblInd w:w="100" w:type="dxa"/>
        <w:tblLayout w:type="fixed"/>
        <w:tblCellMar>
          <w:top w:w="0" w:type="dxa"/>
          <w:left w:w="108" w:type="dxa"/>
          <w:bottom w:w="0" w:type="dxa"/>
          <w:right w:w="108" w:type="dxa"/>
        </w:tblCellMar>
      </w:tblPr>
      <w:tblGrid>
        <w:gridCol w:w="9026"/>
      </w:tblGrid>
      <w:tr>
        <w:trPr>
          <w:tblHeader w:val="true"/>
        </w:trPr>
        <w:tc>
          <w:tcPr>
            <w:tcW w:w="9026" w:type="dxa"/>
            <w:tcBorders>
              <w:top w:val="single" w:sz="6" w:space="0" w:color="000000"/>
              <w:bottom w:val="single" w:sz="6" w:space="0" w:color="000000"/>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Witnessed by the Gulf Cooperation Council (as witness and coordinating body)</w:t>
            </w:r>
          </w:p>
        </w:tc>
      </w:tr>
      <w:tr>
        <w:trPr/>
        <w:tc>
          <w:tcPr>
            <w:tcW w:w="9026" w:type="dxa"/>
            <w:tcBorders>
              <w:top w:val="single" w:sz="6" w:space="0" w:color="000000"/>
              <w:bottom w:val="single" w:sz="6" w:space="0" w:color="000000"/>
            </w:tcBorders>
          </w:tcPr>
          <w:p>
            <w:pPr>
              <w:pStyle w:val="Normal"/>
              <w:widowControl w:val="false"/>
              <w:spacing w:lineRule="auto" w:line="264" w:before="30" w:after="30"/>
              <w:jc w:val="left"/>
              <w:rPr/>
            </w:pPr>
            <w:r>
              <w:rPr>
                <w:rFonts w:eastAsia="Microsoft YaHei" w:cs="Calibri"/>
                <w:color w:val="263238"/>
                <w:sz w:val="18"/>
                <w:szCs w:val="24"/>
                <w:lang w:val="en-CA" w:eastAsia="en-CA" w:bidi="ar-SA"/>
              </w:rPr>
              <w:t>For the Gulf Cooperation Council Secretariat</w:t>
            </w:r>
            <w:r>
              <w:rPr>
                <w:rFonts w:eastAsia="Microsoft YaHei"/>
                <w:color w:val="37474F"/>
                <w:sz w:val="18"/>
                <w:szCs w:val="24"/>
                <w:lang w:val="en-CA" w:eastAsia="en-CA" w:bidi="ar-SA"/>
              </w:rPr>
              <w:br/>
            </w:r>
            <w:r>
              <w:rPr>
                <w:rFonts w:eastAsia="Microsoft YaHei" w:cs="Calibri"/>
                <w:color w:val="263238"/>
                <w:sz w:val="18"/>
                <w:szCs w:val="24"/>
                <w:lang w:val="en-CA" w:eastAsia="en-CA" w:bidi="ar-SA"/>
              </w:rPr>
              <w:t>Signature: _____________________________</w:t>
            </w:r>
            <w:r>
              <w:rPr>
                <w:rFonts w:eastAsia="Microsoft YaHei"/>
                <w:color w:val="37474F"/>
                <w:sz w:val="18"/>
                <w:szCs w:val="24"/>
                <w:lang w:val="en-CA" w:eastAsia="en-CA" w:bidi="ar-SA"/>
              </w:rPr>
              <w:br/>
            </w:r>
            <w:r>
              <w:rPr>
                <w:rFonts w:eastAsia="Microsoft YaHei" w:cs="Calibri"/>
                <w:color w:val="263238"/>
                <w:sz w:val="18"/>
                <w:szCs w:val="24"/>
                <w:lang w:val="en-CA" w:eastAsia="en-CA" w:bidi="ar-SA"/>
              </w:rPr>
              <w:t>Name and title: ______________________</w:t>
            </w:r>
            <w:r>
              <w:rPr>
                <w:rFonts w:eastAsia="Microsoft YaHei"/>
                <w:color w:val="37474F"/>
                <w:sz w:val="18"/>
                <w:szCs w:val="24"/>
                <w:lang w:val="en-CA" w:eastAsia="en-CA" w:bidi="ar-SA"/>
              </w:rPr>
              <w:br/>
            </w:r>
            <w:r>
              <w:rPr>
                <w:rFonts w:eastAsia="Microsoft YaHei" w:cs="Calibri"/>
                <w:color w:val="263238"/>
                <w:sz w:val="18"/>
                <w:szCs w:val="24"/>
                <w:lang w:val="en-CA" w:eastAsia="en-CA" w:bidi="ar-SA"/>
              </w:rPr>
              <w:t>Date: _____________________________</w:t>
            </w:r>
          </w:p>
        </w:tc>
      </w:tr>
    </w:tbl>
    <w:p>
      <w:pPr>
        <w:pStyle w:val="Caption1"/>
        <w:rPr/>
      </w:pPr>
      <w:r>
        <w:rPr>
          <w:rFonts w:eastAsia="Microsoft YaHei" w:cs="Calibri"/>
          <w:b/>
          <w:color w:val="37474F"/>
          <w:sz w:val="18"/>
          <w:szCs w:val="24"/>
          <w:lang w:val="en-CA" w:eastAsia="en-CA" w:bidi="ar-SA"/>
        </w:rPr>
        <w:t>Signature block</w:t>
      </w:r>
      <w:r>
        <w:br w:type="page"/>
      </w:r>
    </w:p>
    <w:p>
      <w:pPr>
        <w:pStyle w:val="Heading1"/>
        <w:rPr/>
      </w:pPr>
      <w:bookmarkStart w:id="36" w:name="__RefHeading___Toc7248_2800514504"/>
      <w:bookmarkStart w:id="37" w:name="_TocSg7"/>
      <w:bookmarkEnd w:id="36"/>
      <w:r>
        <w:rPr>
          <w:rFonts w:eastAsia="Microsoft YaHei" w:cs="Calibri"/>
          <w:b/>
          <w:color w:val="455A64"/>
          <w:sz w:val="20"/>
          <w:szCs w:val="24"/>
          <w:lang w:val="en-CA" w:eastAsia="en-CA" w:bidi="ar-SA"/>
        </w:rPr>
        <w:t>Annex A: Corridor Coordinates and Waypoint Schedule</w:t>
      </w:r>
      <w:bookmarkEnd w:id="37"/>
    </w:p>
    <w:p>
      <w:pPr>
        <w:pStyle w:val="Normal"/>
        <w:rPr/>
      </w:pPr>
      <w:r>
        <w:rPr>
          <w:rFonts w:eastAsia="Microsoft YaHei" w:cs="Calibri"/>
          <w:b/>
          <w:i/>
          <w:color w:val="263238"/>
          <w:sz w:val="21"/>
          <w:szCs w:val="24"/>
          <w:lang w:val="en-CA" w:eastAsia="en-CA" w:bidi="ar-SA"/>
        </w:rPr>
        <w:t>Operative Annex for Articles 4, 5, and 9. All positions WGS-84, degrees and decimal minutes North and East. Precision: plus or minus 0.05 nautical miles. The Neutral Administrator holds the master register; amendments follow Article 4.4.</w:t>
      </w:r>
    </w:p>
    <w:p>
      <w:pPr>
        <w:pStyle w:val="Heading2"/>
        <w:rPr/>
      </w:pPr>
      <w:bookmarkStart w:id="38" w:name="__RefHeading___Toc7250_2800514504"/>
      <w:bookmarkEnd w:id="38"/>
      <w:r>
        <w:rPr>
          <w:rFonts w:eastAsia="Microsoft YaHei" w:cs="Calibri"/>
          <w:b/>
          <w:color w:val="263238"/>
          <w:sz w:val="21"/>
          <w:szCs w:val="24"/>
          <w:lang w:val="en-CA" w:eastAsia="en-CA" w:bidi="ar-SA"/>
        </w:rPr>
        <w:t>A.1 Governance Area boundary polygon</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098"/>
        <w:gridCol w:w="2100"/>
        <w:gridCol w:w="2101"/>
        <w:gridCol w:w="3726"/>
      </w:tblGrid>
      <w:tr>
        <w:trPr>
          <w:tblHeader w:val="true"/>
        </w:trPr>
        <w:tc>
          <w:tcPr>
            <w:tcW w:w="1098"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Vertex</w:t>
            </w:r>
          </w:p>
        </w:tc>
        <w:tc>
          <w:tcPr>
            <w:tcW w:w="21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Latitude (N)</w:t>
            </w:r>
          </w:p>
        </w:tc>
        <w:tc>
          <w:tcPr>
            <w:tcW w:w="210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Longitude (E)</w:t>
            </w:r>
          </w:p>
        </w:tc>
        <w:tc>
          <w:tcPr>
            <w:tcW w:w="37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Note</w:t>
            </w:r>
          </w:p>
        </w:tc>
      </w:tr>
      <w:tr>
        <w:trPr/>
        <w:tc>
          <w:tcPr>
            <w:tcW w:w="10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V-01</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30.0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057 degrees 00.0</w:t>
            </w:r>
          </w:p>
        </w:tc>
        <w:tc>
          <w:tcPr>
            <w:tcW w:w="37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Eastern boundary, mid-strait reference point</w:t>
            </w:r>
          </w:p>
        </w:tc>
      </w:tr>
      <w:tr>
        <w:trPr/>
        <w:tc>
          <w:tcPr>
            <w:tcW w:w="10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V-02</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55.0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057 degrees 00.0</w:t>
            </w:r>
          </w:p>
        </w:tc>
        <w:tc>
          <w:tcPr>
            <w:tcW w:w="37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Northeast corner, off the Iranian coast</w:t>
            </w:r>
          </w:p>
        </w:tc>
      </w:tr>
      <w:tr>
        <w:trPr/>
        <w:tc>
          <w:tcPr>
            <w:tcW w:w="10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V-03</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58.0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056 degrees 40.0</w:t>
            </w:r>
          </w:p>
        </w:tc>
        <w:tc>
          <w:tcPr>
            <w:tcW w:w="37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North of Qeshm Island east cape</w:t>
            </w:r>
          </w:p>
        </w:tc>
      </w:tr>
      <w:tr>
        <w:trPr/>
        <w:tc>
          <w:tcPr>
            <w:tcW w:w="10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V-04</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56.0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056 degrees 10.0</w:t>
            </w:r>
          </w:p>
        </w:tc>
        <w:tc>
          <w:tcPr>
            <w:tcW w:w="37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North of Bandar Abbas approaches</w:t>
            </w:r>
          </w:p>
        </w:tc>
      </w:tr>
      <w:tr>
        <w:trPr/>
        <w:tc>
          <w:tcPr>
            <w:tcW w:w="10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V-05</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50.0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055 degrees 45.0</w:t>
            </w:r>
          </w:p>
        </w:tc>
        <w:tc>
          <w:tcPr>
            <w:tcW w:w="37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Northwest sector, off Hengam Island</w:t>
            </w:r>
          </w:p>
        </w:tc>
      </w:tr>
      <w:tr>
        <w:trPr/>
        <w:tc>
          <w:tcPr>
            <w:tcW w:w="10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V-06</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42.0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055 degrees 30.0</w:t>
            </w:r>
          </w:p>
        </w:tc>
        <w:tc>
          <w:tcPr>
            <w:tcW w:w="37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Western boundary, north reference</w:t>
            </w:r>
          </w:p>
        </w:tc>
      </w:tr>
      <w:tr>
        <w:trPr/>
        <w:tc>
          <w:tcPr>
            <w:tcW w:w="10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V-07</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10.0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055 degrees 30.0</w:t>
            </w:r>
          </w:p>
        </w:tc>
        <w:tc>
          <w:tcPr>
            <w:tcW w:w="37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Western boundary, south reference</w:t>
            </w:r>
          </w:p>
        </w:tc>
      </w:tr>
      <w:tr>
        <w:trPr/>
        <w:tc>
          <w:tcPr>
            <w:tcW w:w="10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V-08</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06.0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055 degrees 50.0</w:t>
            </w:r>
          </w:p>
        </w:tc>
        <w:tc>
          <w:tcPr>
            <w:tcW w:w="37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Southwest sector, off Sir Abu Nuayr approach</w:t>
            </w:r>
          </w:p>
        </w:tc>
      </w:tr>
      <w:tr>
        <w:trPr/>
        <w:tc>
          <w:tcPr>
            <w:tcW w:w="10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V-09</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10.0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056 degrees 20.0</w:t>
            </w:r>
          </w:p>
        </w:tc>
        <w:tc>
          <w:tcPr>
            <w:tcW w:w="37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South of Abu Musa</w:t>
            </w:r>
          </w:p>
        </w:tc>
      </w:tr>
      <w:tr>
        <w:trPr/>
        <w:tc>
          <w:tcPr>
            <w:tcW w:w="10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V-10</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14.0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056 degrees 45.0</w:t>
            </w:r>
          </w:p>
        </w:tc>
        <w:tc>
          <w:tcPr>
            <w:tcW w:w="37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Southeast sector, off Greater Tunb approach</w:t>
            </w:r>
          </w:p>
        </w:tc>
      </w:tr>
      <w:tr>
        <w:trPr/>
        <w:tc>
          <w:tcPr>
            <w:tcW w:w="10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V-11</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16.0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057 degrees 00.0</w:t>
            </w:r>
          </w:p>
        </w:tc>
        <w:tc>
          <w:tcPr>
            <w:tcW w:w="37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Eastern boundary, south reference</w:t>
            </w:r>
          </w:p>
        </w:tc>
      </w:tr>
      <w:tr>
        <w:trPr/>
        <w:tc>
          <w:tcPr>
            <w:tcW w:w="1098"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V-12</w:t>
            </w:r>
          </w:p>
        </w:tc>
        <w:tc>
          <w:tcPr>
            <w:tcW w:w="21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30.0</w:t>
            </w:r>
          </w:p>
        </w:tc>
        <w:tc>
          <w:tcPr>
            <w:tcW w:w="2101"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057 degrees 00.0</w:t>
            </w:r>
          </w:p>
        </w:tc>
        <w:tc>
          <w:tcPr>
            <w:tcW w:w="37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rFonts w:eastAsia="Microsoft YaHei" w:cs="Calibri"/>
                <w:color w:val="263238"/>
                <w:sz w:val="18"/>
                <w:szCs w:val="24"/>
                <w:lang w:val="en-CA" w:eastAsia="en-CA" w:bidi="ar-SA"/>
              </w:rPr>
              <w:t>Closing vertex (equals V-01)</w:t>
            </w:r>
          </w:p>
        </w:tc>
      </w:tr>
    </w:tbl>
    <w:p>
      <w:pPr>
        <w:pStyle w:val="Caption1"/>
        <w:rPr/>
      </w:pPr>
      <w:r>
        <w:rPr>
          <w:rFonts w:eastAsia="Microsoft YaHei" w:cs="Calibri"/>
          <w:b/>
          <w:color w:val="37474F"/>
          <w:sz w:val="18"/>
          <w:szCs w:val="24"/>
          <w:lang w:val="en-CA" w:eastAsia="en-CA" w:bidi="ar-SA"/>
        </w:rPr>
        <w:t>Table A.1: Governance Area boundary vertices</w:t>
      </w:r>
    </w:p>
    <w:p>
      <w:pPr>
        <w:pStyle w:val="Normal"/>
        <w:rPr/>
      </w:pPr>
      <w:r>
        <w:rPr>
          <w:rFonts w:eastAsia="Microsoft YaHei" w:cs="Calibri"/>
          <w:color w:val="263238"/>
          <w:sz w:val="18"/>
          <w:szCs w:val="24"/>
          <w:lang w:val="en-CA" w:eastAsia="en-CA" w:bidi="ar-SA"/>
        </w:rPr>
        <w:t>The polygon defines the operational frame only. It asserts no delimitation between the coastal states and prejudices no maritime entitlement, consistent with Article 3.4. The COC publishes the derived chartlet as Reference Chart SGDA-01.</w:t>
      </w:r>
    </w:p>
    <w:p>
      <w:pPr>
        <w:pStyle w:val="Heading2"/>
        <w:rPr/>
      </w:pPr>
      <w:bookmarkStart w:id="39" w:name="__RefHeading___Toc7252_2800514504"/>
      <w:bookmarkEnd w:id="39"/>
      <w:r>
        <w:rPr>
          <w:rFonts w:eastAsia="Microsoft YaHei" w:cs="Calibri"/>
          <w:b/>
          <w:color w:val="263238"/>
          <w:sz w:val="21"/>
          <w:szCs w:val="24"/>
          <w:lang w:val="en-CA" w:eastAsia="en-CA" w:bidi="ar-SA"/>
        </w:rPr>
        <w:t>A.2 Corridor One (Southern Corridor) waypoints</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199"/>
        <w:gridCol w:w="2100"/>
        <w:gridCol w:w="2101"/>
        <w:gridCol w:w="3625"/>
      </w:tblGrid>
      <w:tr>
        <w:trPr>
          <w:tblHeader w:val="true"/>
        </w:trPr>
        <w:tc>
          <w:tcPr>
            <w:tcW w:w="1199"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Waypoint</w:t>
            </w:r>
          </w:p>
        </w:tc>
        <w:tc>
          <w:tcPr>
            <w:tcW w:w="21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Latitude (N)</w:t>
            </w:r>
          </w:p>
        </w:tc>
        <w:tc>
          <w:tcPr>
            <w:tcW w:w="210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Longitude (E)</w:t>
            </w:r>
          </w:p>
        </w:tc>
        <w:tc>
          <w:tcPr>
            <w:tcW w:w="3625"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Function</w:t>
            </w:r>
          </w:p>
        </w:tc>
      </w:tr>
      <w:tr>
        <w:trPr/>
        <w:tc>
          <w:tcPr>
            <w:tcW w:w="1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S-1</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26 degrees 38.0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056 degrees 52.0</w:t>
            </w:r>
          </w:p>
        </w:tc>
        <w:tc>
          <w:tcPr>
            <w:tcW w:w="36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Eastern entry, precautionary area EAST</w:t>
            </w:r>
          </w:p>
        </w:tc>
      </w:tr>
      <w:tr>
        <w:trPr/>
        <w:tc>
          <w:tcPr>
            <w:tcW w:w="1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S-2</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26 degrees 35.0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056 degrees 38.0</w:t>
            </w:r>
          </w:p>
        </w:tc>
        <w:tc>
          <w:tcPr>
            <w:tcW w:w="36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Approach, traffic merge point</w:t>
            </w:r>
          </w:p>
        </w:tc>
      </w:tr>
      <w:tr>
        <w:trPr/>
        <w:tc>
          <w:tcPr>
            <w:tcW w:w="1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S-3</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26 degrees 31.5</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056 degrees 22.0</w:t>
            </w:r>
          </w:p>
        </w:tc>
        <w:tc>
          <w:tcPr>
            <w:tcW w:w="36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Mid-strait, TSS alignment point</w:t>
            </w:r>
          </w:p>
        </w:tc>
      </w:tr>
      <w:tr>
        <w:trPr/>
        <w:tc>
          <w:tcPr>
            <w:tcW w:w="1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S-4</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26 degrees 28.0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056 degrees 05.0</w:t>
            </w:r>
          </w:p>
        </w:tc>
        <w:tc>
          <w:tcPr>
            <w:tcW w:w="36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Mid-strait, separation zone midpoint</w:t>
            </w:r>
          </w:p>
        </w:tc>
      </w:tr>
      <w:tr>
        <w:trPr/>
        <w:tc>
          <w:tcPr>
            <w:tcW w:w="1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S-5</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26 degrees 26.0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055 degrees 50.0</w:t>
            </w:r>
          </w:p>
        </w:tc>
        <w:tc>
          <w:tcPr>
            <w:tcW w:w="36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Western approach, rounding point</w:t>
            </w:r>
          </w:p>
        </w:tc>
      </w:tr>
      <w:tr>
        <w:trPr/>
        <w:tc>
          <w:tcPr>
            <w:tcW w:w="1199"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S-6</w:t>
            </w:r>
          </w:p>
        </w:tc>
        <w:tc>
          <w:tcPr>
            <w:tcW w:w="2100"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26 degrees 24.0</w:t>
            </w:r>
          </w:p>
        </w:tc>
        <w:tc>
          <w:tcPr>
            <w:tcW w:w="2101"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055 degrees 38.0</w:t>
            </w:r>
          </w:p>
        </w:tc>
        <w:tc>
          <w:tcPr>
            <w:tcW w:w="3625"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Western exit, precautionary area WEST</w:t>
            </w:r>
          </w:p>
        </w:tc>
      </w:tr>
    </w:tbl>
    <w:p>
      <w:pPr>
        <w:pStyle w:val="Caption1"/>
        <w:rPr/>
      </w:pPr>
      <w:r>
        <w:rPr>
          <w:rFonts w:eastAsia="Microsoft YaHei" w:cs="Calibri"/>
          <w:b/>
          <w:color w:val="37474F"/>
          <w:sz w:val="18"/>
          <w:szCs w:val="24"/>
          <w:lang w:val="en-CA" w:eastAsia="en-CA" w:bidi="ar-SA"/>
        </w:rPr>
        <w:t>Table A.2: Corridor One centerline waypoints</w:t>
      </w:r>
    </w:p>
    <w:p>
      <w:pPr>
        <w:pStyle w:val="Normal"/>
        <w:rPr/>
      </w:pPr>
      <w:r>
        <w:rPr>
          <w:rFonts w:eastAsia="Microsoft YaHei" w:cs="Calibri"/>
          <w:color w:val="263238"/>
          <w:sz w:val="18"/>
          <w:szCs w:val="24"/>
          <w:lang w:val="en-CA" w:eastAsia="en-CA" w:bidi="ar-SA"/>
        </w:rPr>
        <w:t>Lane geometry: inbound lane centerline 1.5 nautical miles south of the Table A.2 line; outbound lane centerline 1.5 nautical miles north of that line; each lane 2.0 nautical miles wide; separation zone 1.0 nautical mile centered on the Table A.2 line. Corridor limit lines run 0.5 nautical miles outside each lane edge. The entire corridor lies within the territorial sea of Oman off the Musandam Peninsula. Free navigation applies per Article 5.2.</w:t>
      </w:r>
    </w:p>
    <w:p>
      <w:pPr>
        <w:pStyle w:val="Heading2"/>
        <w:rPr/>
      </w:pPr>
      <w:bookmarkStart w:id="40" w:name="__RefHeading___Toc7254_2800514504"/>
      <w:bookmarkEnd w:id="40"/>
      <w:r>
        <w:rPr>
          <w:rFonts w:eastAsia="Microsoft YaHei" w:cs="Calibri"/>
          <w:b/>
          <w:color w:val="263238"/>
          <w:sz w:val="21"/>
          <w:szCs w:val="24"/>
          <w:lang w:val="en-CA" w:eastAsia="en-CA" w:bidi="ar-SA"/>
        </w:rPr>
        <w:t>A.3 Corridor Two (Northern Corridor) waypoints</w:t>
      </w:r>
    </w:p>
    <w:tbl>
      <w:tblPr>
        <w:tblStyle w:val="TableNormal"/>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199"/>
        <w:gridCol w:w="2100"/>
        <w:gridCol w:w="2101"/>
        <w:gridCol w:w="3625"/>
      </w:tblGrid>
      <w:tr>
        <w:trPr>
          <w:tblHeader w:val="true"/>
        </w:trPr>
        <w:tc>
          <w:tcPr>
            <w:tcW w:w="1199" w:type="dxa"/>
            <w:tcBorders>
              <w:top w:val="single" w:sz="12" w:space="0" w:color="37474F"/>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Waypoint</w:t>
            </w:r>
          </w:p>
        </w:tc>
        <w:tc>
          <w:tcPr>
            <w:tcW w:w="21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Latitude (N)</w:t>
            </w:r>
          </w:p>
        </w:tc>
        <w:tc>
          <w:tcPr>
            <w:tcW w:w="210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Longitude (E)</w:t>
            </w:r>
          </w:p>
        </w:tc>
        <w:tc>
          <w:tcPr>
            <w:tcW w:w="3625" w:type="dxa"/>
            <w:tcBorders>
              <w:top w:val="single" w:sz="12" w:space="0" w:color="37474F"/>
              <w:left w:val="single" w:sz="4" w:space="0" w:color="B0BEC5"/>
              <w:bottom w:val="single" w:sz="4" w:space="0" w:color="B0BEC5"/>
            </w:tcBorders>
            <w:shd w:color="auto" w:fill="ECEFF1" w:val="clear"/>
          </w:tcPr>
          <w:p>
            <w:pPr>
              <w:pStyle w:val="Normal"/>
              <w:widowControl/>
              <w:spacing w:lineRule="auto" w:line="264" w:before="30" w:after="30"/>
              <w:rPr>
                <w:kern w:val="2"/>
              </w:rPr>
            </w:pPr>
            <w:r>
              <w:rPr>
                <w:rFonts w:eastAsia="Microsoft YaHei" w:cs="Calibri"/>
                <w:b/>
                <w:color w:val="263238"/>
                <w:kern w:val="2"/>
                <w:sz w:val="18"/>
                <w:szCs w:val="24"/>
                <w:lang w:val="en-CA" w:eastAsia="en-CA" w:bidi="ar-SA"/>
              </w:rPr>
              <w:t>Function</w:t>
            </w:r>
          </w:p>
        </w:tc>
      </w:tr>
      <w:tr>
        <w:trPr/>
        <w:tc>
          <w:tcPr>
            <w:tcW w:w="1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N-1</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26 degrees 50.0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056 degrees 44.0</w:t>
            </w:r>
          </w:p>
        </w:tc>
        <w:tc>
          <w:tcPr>
            <w:tcW w:w="36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Eastern entry, junction with precautionary area EAST</w:t>
            </w:r>
          </w:p>
        </w:tc>
      </w:tr>
      <w:tr>
        <w:trPr/>
        <w:tc>
          <w:tcPr>
            <w:tcW w:w="1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N-2</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26 degrees 48.0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056 degrees 26.0</w:t>
            </w:r>
          </w:p>
        </w:tc>
        <w:tc>
          <w:tcPr>
            <w:tcW w:w="36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North of Larak Island</w:t>
            </w:r>
          </w:p>
        </w:tc>
      </w:tr>
      <w:tr>
        <w:trPr/>
        <w:tc>
          <w:tcPr>
            <w:tcW w:w="1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N-3</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26 degrees 46.0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056 degrees 08.0</w:t>
            </w:r>
          </w:p>
        </w:tc>
        <w:tc>
          <w:tcPr>
            <w:tcW w:w="36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North of Hormuz Island</w:t>
            </w:r>
          </w:p>
        </w:tc>
      </w:tr>
      <w:tr>
        <w:trPr/>
        <w:tc>
          <w:tcPr>
            <w:tcW w:w="1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N-4</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26 degrees 44.0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055 degrees 52.0</w:t>
            </w:r>
          </w:p>
        </w:tc>
        <w:tc>
          <w:tcPr>
            <w:tcW w:w="36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Approach to Hengam sector</w:t>
            </w:r>
          </w:p>
        </w:tc>
      </w:tr>
      <w:tr>
        <w:trPr/>
        <w:tc>
          <w:tcPr>
            <w:tcW w:w="1199" w:type="dxa"/>
            <w:tcBorders>
              <w:top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N-5</w:t>
            </w:r>
          </w:p>
        </w:tc>
        <w:tc>
          <w:tcPr>
            <w:tcW w:w="2100"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26 degrees 42.0</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055 degrees 42.0</w:t>
            </w:r>
          </w:p>
        </w:tc>
        <w:tc>
          <w:tcPr>
            <w:tcW w:w="3625" w:type="dxa"/>
            <w:tcBorders>
              <w:top w:val="single" w:sz="4" w:space="0" w:color="B0BEC5"/>
              <w:left w:val="single" w:sz="4" w:space="0" w:color="B0BEC5"/>
              <w:bottom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South of Hengam Island</w:t>
            </w:r>
          </w:p>
        </w:tc>
      </w:tr>
      <w:tr>
        <w:trPr/>
        <w:tc>
          <w:tcPr>
            <w:tcW w:w="1199" w:type="dxa"/>
            <w:tcBorders>
              <w:top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N-6</w:t>
            </w:r>
          </w:p>
        </w:tc>
        <w:tc>
          <w:tcPr>
            <w:tcW w:w="2100"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26 degrees 40.0</w:t>
            </w:r>
          </w:p>
        </w:tc>
        <w:tc>
          <w:tcPr>
            <w:tcW w:w="2101" w:type="dxa"/>
            <w:tcBorders>
              <w:top w:val="single" w:sz="4" w:space="0" w:color="B0BEC5"/>
              <w:left w:val="single" w:sz="4" w:space="0" w:color="B0BEC5"/>
              <w:bottom w:val="single" w:sz="12" w:space="0" w:color="37474F"/>
              <w:right w:val="single" w:sz="4" w:space="0" w:color="B0BEC5"/>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055 degrees 32.0</w:t>
            </w:r>
          </w:p>
        </w:tc>
        <w:tc>
          <w:tcPr>
            <w:tcW w:w="3625" w:type="dxa"/>
            <w:tcBorders>
              <w:top w:val="single" w:sz="4" w:space="0" w:color="B0BEC5"/>
              <w:left w:val="single" w:sz="4" w:space="0" w:color="B0BEC5"/>
              <w:bottom w:val="single" w:sz="12" w:space="0" w:color="37474F"/>
            </w:tcBorders>
          </w:tcPr>
          <w:p>
            <w:pPr>
              <w:pStyle w:val="Normal"/>
              <w:widowControl/>
              <w:spacing w:lineRule="auto" w:line="264" w:before="30" w:after="30"/>
              <w:rPr>
                <w:kern w:val="2"/>
              </w:rPr>
            </w:pPr>
            <w:r>
              <w:rPr>
                <w:rFonts w:eastAsia="Microsoft YaHei" w:cs="Calibri"/>
                <w:color w:val="263238"/>
                <w:kern w:val="2"/>
                <w:sz w:val="18"/>
                <w:szCs w:val="24"/>
                <w:lang w:val="en-CA" w:eastAsia="en-CA" w:bidi="ar-SA"/>
              </w:rPr>
              <w:t>Western exit, junction with precautionary area WEST</w:t>
            </w:r>
          </w:p>
        </w:tc>
      </w:tr>
    </w:tbl>
    <w:p>
      <w:pPr>
        <w:pStyle w:val="Caption1"/>
        <w:rPr/>
      </w:pPr>
      <w:r>
        <w:rPr>
          <w:rFonts w:eastAsia="Microsoft YaHei" w:cs="Calibri"/>
          <w:b/>
          <w:color w:val="37474F"/>
          <w:sz w:val="18"/>
          <w:szCs w:val="24"/>
          <w:lang w:val="en-CA" w:eastAsia="en-CA" w:bidi="ar-SA"/>
        </w:rPr>
        <w:t>Table A.3: Corridor Two centerline waypoints</w:t>
      </w:r>
    </w:p>
    <w:p>
      <w:pPr>
        <w:pStyle w:val="Normal"/>
        <w:rPr/>
      </w:pPr>
      <w:r>
        <w:rPr>
          <w:rFonts w:eastAsia="Microsoft YaHei" w:cs="Calibri"/>
          <w:color w:val="263238"/>
          <w:sz w:val="18"/>
          <w:szCs w:val="24"/>
          <w:lang w:val="en-CA" w:eastAsia="en-CA" w:bidi="ar-SA"/>
        </w:rPr>
        <w:t>Lane geometry mirrors Corridor One: two 2.0 nautical mile lanes with a 1.0 nautical mile separation zone centered on the Table A.3 line. The corridor lies within the territorial sea of Iran. The notification regime of Article 5.3 applies. Junction gates connect the two corridors at the precautionary areas for vessels shifting corridors, under COC coordination.</w:t>
      </w:r>
    </w:p>
    <w:p>
      <w:pPr>
        <w:pStyle w:val="Heading2"/>
        <w:rPr/>
      </w:pPr>
      <w:bookmarkStart w:id="41" w:name="__RefHeading___Toc7256_2800514504"/>
      <w:bookmarkEnd w:id="41"/>
      <w:r>
        <w:rPr>
          <w:rFonts w:eastAsia="Microsoft YaHei" w:cs="Calibri"/>
          <w:b/>
          <w:color w:val="263238"/>
          <w:sz w:val="21"/>
          <w:szCs w:val="24"/>
          <w:lang w:val="en-CA" w:eastAsia="en-CA" w:bidi="ar-SA"/>
        </w:rPr>
        <w:t>A.4 Precautionary areas and junction gates</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298"/>
        <w:gridCol w:w="2601"/>
        <w:gridCol w:w="1700"/>
        <w:gridCol w:w="2426"/>
      </w:tblGrid>
      <w:tr>
        <w:trPr>
          <w:tblHeader w:val="true"/>
        </w:trPr>
        <w:tc>
          <w:tcPr>
            <w:tcW w:w="2298"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Area</w:t>
            </w:r>
          </w:p>
        </w:tc>
        <w:tc>
          <w:tcPr>
            <w:tcW w:w="260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Center</w:t>
            </w:r>
          </w:p>
        </w:tc>
        <w:tc>
          <w:tcPr>
            <w:tcW w:w="17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Radius</w:t>
            </w:r>
          </w:p>
        </w:tc>
        <w:tc>
          <w:tcPr>
            <w:tcW w:w="24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Rule</w:t>
            </w:r>
          </w:p>
        </w:tc>
      </w:tr>
      <w:tr>
        <w:trPr/>
        <w:tc>
          <w:tcPr>
            <w:tcW w:w="22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Precautionary area EAST</w:t>
            </w:r>
          </w:p>
        </w:tc>
        <w:tc>
          <w:tcPr>
            <w:tcW w:w="2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34.0 N, 056 degrees 52.0 E</w:t>
            </w:r>
          </w:p>
        </w:tc>
        <w:tc>
          <w:tcPr>
            <w:tcW w:w="17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4.0 nautical miles</w:t>
            </w:r>
          </w:p>
        </w:tc>
        <w:tc>
          <w:tcPr>
            <w:tcW w:w="2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All corridors merge; speed 8 to 10 knots; enhanced watch; no overtaking in the central 2 nautical miles</w:t>
            </w:r>
          </w:p>
        </w:tc>
      </w:tr>
      <w:tr>
        <w:trPr/>
        <w:tc>
          <w:tcPr>
            <w:tcW w:w="22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Precautionary area WEST</w:t>
            </w:r>
          </w:p>
        </w:tc>
        <w:tc>
          <w:tcPr>
            <w:tcW w:w="2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32.0 N, 055 degrees 36.0 E</w:t>
            </w:r>
          </w:p>
        </w:tc>
        <w:tc>
          <w:tcPr>
            <w:tcW w:w="17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4.0 nautical miles</w:t>
            </w:r>
          </w:p>
        </w:tc>
        <w:tc>
          <w:tcPr>
            <w:tcW w:w="2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Same rules as EAST; junction to Gulf routing measures</w:t>
            </w:r>
          </w:p>
        </w:tc>
      </w:tr>
      <w:tr>
        <w:trPr/>
        <w:tc>
          <w:tcPr>
            <w:tcW w:w="22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Junction gate EAST-N</w:t>
            </w:r>
          </w:p>
        </w:tc>
        <w:tc>
          <w:tcPr>
            <w:tcW w:w="2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44.0 N, 056 degrees 48.0 E</w:t>
            </w:r>
          </w:p>
        </w:tc>
        <w:tc>
          <w:tcPr>
            <w:tcW w:w="17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2.0 nautical miles</w:t>
            </w:r>
          </w:p>
        </w:tc>
        <w:tc>
          <w:tcPr>
            <w:tcW w:w="2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Corridor transfer gate, COC coordination, 6-hour advance schedule entry</w:t>
            </w:r>
          </w:p>
        </w:tc>
      </w:tr>
      <w:tr>
        <w:trPr/>
        <w:tc>
          <w:tcPr>
            <w:tcW w:w="2298"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Junction gate WEST-N</w:t>
            </w:r>
          </w:p>
        </w:tc>
        <w:tc>
          <w:tcPr>
            <w:tcW w:w="2601"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36.0 N, 055 degrees 34.0 E</w:t>
            </w:r>
          </w:p>
        </w:tc>
        <w:tc>
          <w:tcPr>
            <w:tcW w:w="17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2.0 nautical miles</w:t>
            </w:r>
          </w:p>
        </w:tc>
        <w:tc>
          <w:tcPr>
            <w:tcW w:w="24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rFonts w:eastAsia="Microsoft YaHei" w:cs="Calibri"/>
                <w:color w:val="263238"/>
                <w:sz w:val="18"/>
                <w:szCs w:val="24"/>
                <w:lang w:val="en-CA" w:eastAsia="en-CA" w:bidi="ar-SA"/>
              </w:rPr>
              <w:t>Corridor transfer gate, COC coordination, 6-hour advance schedule entry</w:t>
            </w:r>
          </w:p>
        </w:tc>
      </w:tr>
    </w:tbl>
    <w:p>
      <w:pPr>
        <w:pStyle w:val="Caption1"/>
        <w:rPr/>
      </w:pPr>
      <w:r>
        <w:rPr>
          <w:rFonts w:eastAsia="Microsoft YaHei" w:cs="Calibri"/>
          <w:b/>
          <w:color w:val="37474F"/>
          <w:sz w:val="18"/>
          <w:szCs w:val="24"/>
          <w:lang w:val="en-CA" w:eastAsia="en-CA" w:bidi="ar-SA"/>
        </w:rPr>
        <w:t>Table A.4: Precautionary areas and junction gates</w:t>
      </w:r>
    </w:p>
    <w:p>
      <w:pPr>
        <w:pStyle w:val="Heading2"/>
        <w:rPr/>
      </w:pPr>
      <w:bookmarkStart w:id="42" w:name="__RefHeading___Toc7258_2800514504"/>
      <w:bookmarkEnd w:id="42"/>
      <w:r>
        <w:rPr>
          <w:rFonts w:eastAsia="Microsoft YaHei" w:cs="Calibri"/>
          <w:b/>
          <w:color w:val="263238"/>
          <w:sz w:val="21"/>
          <w:szCs w:val="24"/>
          <w:lang w:val="en-CA" w:eastAsia="en-CA" w:bidi="ar-SA"/>
        </w:rPr>
        <w:t>A.5 Anchorage areas</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399"/>
        <w:gridCol w:w="2601"/>
        <w:gridCol w:w="1800"/>
        <w:gridCol w:w="2225"/>
      </w:tblGrid>
      <w:tr>
        <w:trPr>
          <w:tblHeader w:val="true"/>
        </w:trPr>
        <w:tc>
          <w:tcPr>
            <w:tcW w:w="23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Anchorage</w:t>
            </w:r>
          </w:p>
        </w:tc>
        <w:tc>
          <w:tcPr>
            <w:tcW w:w="260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Center</w:t>
            </w:r>
          </w:p>
        </w:tc>
        <w:tc>
          <w:tcPr>
            <w:tcW w:w="18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Depth</w:t>
            </w:r>
          </w:p>
        </w:tc>
        <w:tc>
          <w:tcPr>
            <w:tcW w:w="2225"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Assignment</w:t>
            </w:r>
          </w:p>
        </w:tc>
      </w:tr>
      <w:tr>
        <w:trPr/>
        <w:tc>
          <w:tcPr>
            <w:tcW w:w="23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AN-K (Khasab)</w:t>
            </w:r>
          </w:p>
        </w:tc>
        <w:tc>
          <w:tcPr>
            <w:tcW w:w="2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12.0 N, 056 degrees 15.0 E</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25 to 40 meters</w:t>
            </w:r>
          </w:p>
        </w:tc>
        <w:tc>
          <w:tcPr>
            <w:tcW w:w="22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Class 8 verification anchorage, Oman sector; standby anchorage</w:t>
            </w:r>
          </w:p>
        </w:tc>
      </w:tr>
      <w:tr>
        <w:trPr/>
        <w:tc>
          <w:tcPr>
            <w:tcW w:w="23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AN-B (Bandar Abbas outer)</w:t>
            </w:r>
          </w:p>
        </w:tc>
        <w:tc>
          <w:tcPr>
            <w:tcW w:w="2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27 degrees 04.0 N, 056 degrees 12.0 E</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20 to 35 meters</w:t>
            </w:r>
          </w:p>
        </w:tc>
        <w:tc>
          <w:tcPr>
            <w:tcW w:w="22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Class 8 verification anchorage, Iran sector; port waiting</w:t>
            </w:r>
          </w:p>
        </w:tc>
      </w:tr>
      <w:tr>
        <w:trPr/>
        <w:tc>
          <w:tcPr>
            <w:tcW w:w="23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AN-E (Eastern holding)</w:t>
            </w:r>
          </w:p>
        </w:tc>
        <w:tc>
          <w:tcPr>
            <w:tcW w:w="2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40.0 N, 057 degrees 10.0 E</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35 to 50 meters</w:t>
            </w:r>
          </w:p>
        </w:tc>
        <w:tc>
          <w:tcPr>
            <w:tcW w:w="22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Convoy assembly and schedule holding, Gulf of Oman</w:t>
            </w:r>
          </w:p>
        </w:tc>
      </w:tr>
      <w:tr>
        <w:trPr/>
        <w:tc>
          <w:tcPr>
            <w:tcW w:w="23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AN-W (Western holding)</w:t>
            </w:r>
          </w:p>
        </w:tc>
        <w:tc>
          <w:tcPr>
            <w:tcW w:w="2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15.0 N, 055 degrees 20.0 E</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30 to 45 meters</w:t>
            </w:r>
          </w:p>
        </w:tc>
        <w:tc>
          <w:tcPr>
            <w:tcW w:w="22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Schedule holding, Gulf side</w:t>
            </w:r>
          </w:p>
        </w:tc>
      </w:tr>
      <w:tr>
        <w:trPr/>
        <w:tc>
          <w:tcPr>
            <w:tcW w:w="23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AN-H (Humanitarian standby)</w:t>
            </w:r>
          </w:p>
        </w:tc>
        <w:tc>
          <w:tcPr>
            <w:tcW w:w="2601"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26 degrees 30.0 N, 056 degrees 30.0 E</w:t>
            </w:r>
          </w:p>
        </w:tc>
        <w:tc>
          <w:tcPr>
            <w:tcW w:w="18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20 to 30 meters</w:t>
            </w:r>
          </w:p>
        </w:tc>
        <w:tc>
          <w:tcPr>
            <w:tcW w:w="2225"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rFonts w:eastAsia="Microsoft YaHei" w:cs="Calibri"/>
                <w:color w:val="263238"/>
                <w:sz w:val="18"/>
                <w:szCs w:val="24"/>
                <w:lang w:val="en-CA" w:eastAsia="en-CA" w:bidi="ar-SA"/>
              </w:rPr>
              <w:t>Class 5 staging, medical evacuation standby</w:t>
            </w:r>
          </w:p>
        </w:tc>
      </w:tr>
    </w:tbl>
    <w:p>
      <w:pPr>
        <w:pStyle w:val="Caption1"/>
        <w:rPr/>
      </w:pPr>
      <w:r>
        <w:rPr>
          <w:rFonts w:eastAsia="Microsoft YaHei" w:cs="Calibri"/>
          <w:b/>
          <w:color w:val="37474F"/>
          <w:sz w:val="18"/>
          <w:szCs w:val="24"/>
          <w:lang w:val="en-CA" w:eastAsia="en-CA" w:bidi="ar-SA"/>
        </w:rPr>
        <w:t>Table A.5: Designated anchorage areas</w:t>
      </w:r>
    </w:p>
    <w:p>
      <w:pPr>
        <w:pStyle w:val="Heading2"/>
        <w:rPr/>
      </w:pPr>
      <w:bookmarkStart w:id="43" w:name="__RefHeading___Toc7260_2800514504"/>
      <w:bookmarkEnd w:id="43"/>
      <w:r>
        <w:rPr>
          <w:rFonts w:eastAsia="Microsoft YaHei" w:cs="Calibri"/>
          <w:b/>
          <w:color w:val="263238"/>
          <w:sz w:val="21"/>
          <w:szCs w:val="24"/>
          <w:lang w:val="en-CA" w:eastAsia="en-CA" w:bidi="ar-SA"/>
        </w:rPr>
        <w:t>A.6 Standoff reference lines</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100"/>
        <w:gridCol w:w="4300"/>
        <w:gridCol w:w="3626"/>
      </w:tblGrid>
      <w:tr>
        <w:trPr>
          <w:tblHeader w:val="true"/>
        </w:trPr>
        <w:tc>
          <w:tcPr>
            <w:tcW w:w="1100"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Line</w:t>
            </w:r>
          </w:p>
        </w:tc>
        <w:tc>
          <w:tcPr>
            <w:tcW w:w="43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Definition</w:t>
            </w:r>
          </w:p>
        </w:tc>
        <w:tc>
          <w:tcPr>
            <w:tcW w:w="36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Application</w:t>
            </w:r>
          </w:p>
        </w:tc>
      </w:tr>
      <w:tr>
        <w:trPr/>
        <w:tc>
          <w:tcPr>
            <w:tcW w:w="11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SOL-A</w:t>
            </w:r>
          </w:p>
        </w:tc>
        <w:tc>
          <w:tcPr>
            <w:tcW w:w="43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Line 12 nautical miles seaward of the Iranian mainland and island baselines, from V-02 through V-05 to V-06</w:t>
            </w:r>
          </w:p>
        </w:tc>
        <w:tc>
          <w:tcPr>
            <w:tcW w:w="36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United States naval units hold seaward of SOL-A per Article 9.2</w:t>
            </w:r>
          </w:p>
        </w:tc>
      </w:tr>
      <w:tr>
        <w:trPr/>
        <w:tc>
          <w:tcPr>
            <w:tcW w:w="11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SOL-B</w:t>
            </w:r>
          </w:p>
        </w:tc>
        <w:tc>
          <w:tcPr>
            <w:tcW w:w="43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Lines 5 nautical miles either side of each corridor centerline, continuous from S-1 to S-6 and N-1 to N-6</w:t>
            </w:r>
          </w:p>
        </w:tc>
        <w:tc>
          <w:tcPr>
            <w:tcW w:w="36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Naval standoff from corridor centerlines per Article 9.2</w:t>
            </w:r>
          </w:p>
        </w:tc>
      </w:tr>
      <w:tr>
        <w:trPr/>
        <w:tc>
          <w:tcPr>
            <w:tcW w:w="11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SOL-C</w:t>
            </w:r>
          </w:p>
        </w:tc>
        <w:tc>
          <w:tcPr>
            <w:tcW w:w="43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Lines 3 nautical miles either side of each corridor centerline</w:t>
            </w:r>
          </w:p>
        </w:tc>
        <w:tc>
          <w:tcPr>
            <w:tcW w:w="36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Unmanned systems standoff per Article 9.2</w:t>
            </w:r>
          </w:p>
        </w:tc>
      </w:tr>
      <w:tr>
        <w:trPr/>
        <w:tc>
          <w:tcPr>
            <w:tcW w:w="1100"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SOL-D</w:t>
            </w:r>
          </w:p>
        </w:tc>
        <w:tc>
          <w:tcPr>
            <w:tcW w:w="43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Musandam sector coordination line, meridian 056 degrees 15.0 E between V-09 and the coast</w:t>
            </w:r>
          </w:p>
        </w:tc>
        <w:tc>
          <w:tcPr>
            <w:tcW w:w="36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rFonts w:eastAsia="Microsoft YaHei" w:cs="Calibri"/>
                <w:color w:val="263238"/>
                <w:sz w:val="18"/>
                <w:szCs w:val="24"/>
                <w:lang w:val="en-CA" w:eastAsia="en-CA" w:bidi="ar-SA"/>
              </w:rPr>
              <w:t>Coast guard coordination boundary for joint escort windows</w:t>
            </w:r>
          </w:p>
        </w:tc>
      </w:tr>
    </w:tbl>
    <w:p>
      <w:pPr>
        <w:pStyle w:val="Caption1"/>
        <w:rPr/>
      </w:pPr>
      <w:r>
        <w:rPr>
          <w:rFonts w:eastAsia="Microsoft YaHei" w:cs="Calibri"/>
          <w:b/>
          <w:color w:val="37474F"/>
          <w:sz w:val="18"/>
          <w:szCs w:val="24"/>
          <w:lang w:val="en-CA" w:eastAsia="en-CA" w:bidi="ar-SA"/>
        </w:rPr>
        <w:t>Table A.6: Standoff reference lines</w:t>
      </w:r>
    </w:p>
    <w:p>
      <w:pPr>
        <w:pStyle w:val="Normal"/>
        <w:rPr/>
      </w:pPr>
      <w:r>
        <w:rPr>
          <w:rFonts w:eastAsia="Microsoft YaHei" w:cs="Calibri"/>
          <w:color w:val="263238"/>
          <w:sz w:val="18"/>
          <w:szCs w:val="24"/>
          <w:lang w:val="en-CA" w:eastAsia="en-CA" w:bidi="ar-SA"/>
        </w:rPr>
        <w:t>The standoff lines bind symmetrically per Article 9.2. Their function is de-confliction. They assert no territorial claim and recognize none.</w:t>
      </w:r>
      <w:r>
        <w:br w:type="page"/>
      </w:r>
    </w:p>
    <w:p>
      <w:pPr>
        <w:pStyle w:val="Heading1"/>
        <w:rPr/>
      </w:pPr>
      <w:bookmarkStart w:id="44" w:name="__RefHeading___Toc7262_2800514504"/>
      <w:bookmarkStart w:id="45" w:name="_TocSg8"/>
      <w:bookmarkEnd w:id="44"/>
      <w:r>
        <w:rPr>
          <w:rFonts w:eastAsia="Microsoft YaHei" w:cs="Calibri"/>
          <w:b/>
          <w:color w:val="455A64"/>
          <w:sz w:val="20"/>
          <w:szCs w:val="24"/>
          <w:lang w:val="en-CA" w:eastAsia="en-CA" w:bidi="ar-SA"/>
        </w:rPr>
        <w:t>Annex B: Vessel Classification and Treatment Matrix</w:t>
      </w:r>
      <w:bookmarkEnd w:id="45"/>
    </w:p>
    <w:p>
      <w:pPr>
        <w:pStyle w:val="Normal"/>
        <w:rPr/>
      </w:pPr>
      <w:r>
        <w:rPr>
          <w:i/>
        </w:rPr>
        <w:t>Operative Annex for Article 6. The matrix states the complete treatment schedule by class. The Corridor Operations Cell resolves classification questions within 4 hours; its resolution binds operations for the transit in question.</w:t>
      </w:r>
    </w:p>
    <w:p>
      <w:pPr>
        <w:pStyle w:val="Heading2"/>
        <w:rPr/>
      </w:pPr>
      <w:bookmarkStart w:id="46" w:name="__RefHeading___Toc7264_2800514504"/>
      <w:bookmarkEnd w:id="46"/>
      <w:r>
        <w:rPr/>
        <w:t>B.1 Master treatment matrix</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999"/>
        <w:gridCol w:w="1751"/>
        <w:gridCol w:w="1899"/>
        <w:gridCol w:w="1751"/>
        <w:gridCol w:w="1626"/>
      </w:tblGrid>
      <w:tr>
        <w:trPr>
          <w:tblHeader w:val="true"/>
        </w:trPr>
        <w:tc>
          <w:tcPr>
            <w:tcW w:w="19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Parameter</w:t>
            </w:r>
          </w:p>
        </w:tc>
        <w:tc>
          <w:tcPr>
            <w:tcW w:w="175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Class 1 Cargo</w:t>
            </w:r>
          </w:p>
        </w:tc>
        <w:tc>
          <w:tcPr>
            <w:tcW w:w="1899"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Class 2 Energy</w:t>
            </w:r>
          </w:p>
        </w:tc>
        <w:tc>
          <w:tcPr>
            <w:tcW w:w="175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Class 3 Passenger</w:t>
            </w:r>
          </w:p>
        </w:tc>
        <w:tc>
          <w:tcPr>
            <w:tcW w:w="16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Class 4 Small craft</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Corridor access</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Both; Corridor One default</w:t>
            </w:r>
          </w:p>
        </w:tc>
        <w:tc>
          <w:tcPr>
            <w:tcW w:w="18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Both; terminal integration in Corridor Two</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Both; daylight recommended</w:t>
            </w:r>
          </w:p>
        </w:tc>
        <w:tc>
          <w:tcPr>
            <w:tcW w:w="16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Inshore zones; corridor transit outside convoy windows</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Notice regime (Corridor Two)</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72 to 12 hours before entry</w:t>
            </w:r>
          </w:p>
        </w:tc>
        <w:tc>
          <w:tcPr>
            <w:tcW w:w="18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72 to 12 hours; expedited acknowledgment in 30 minutes</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72 to 12 hours; manifest attached</w:t>
            </w:r>
          </w:p>
        </w:tc>
        <w:tc>
          <w:tcPr>
            <w:tcW w:w="16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Coastal registration as today; no corridor notice</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Notice regime (Corridor One)</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None beyond AIS carriage</w:t>
            </w:r>
          </w:p>
        </w:tc>
        <w:tc>
          <w:tcPr>
            <w:tcW w:w="18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None beyond AIS carriage</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None beyond AIS carriage</w:t>
            </w:r>
          </w:p>
        </w:tc>
        <w:tc>
          <w:tcPr>
            <w:tcW w:w="16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None</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Speed band</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8 to 14 knots</w:t>
            </w:r>
          </w:p>
        </w:tc>
        <w:tc>
          <w:tcPr>
            <w:tcW w:w="18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8 to 12 knots</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10 to 14 knots</w:t>
            </w:r>
          </w:p>
        </w:tc>
        <w:tc>
          <w:tcPr>
            <w:tcW w:w="16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Per coastal rules</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Spacing</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 nautical mile</w:t>
            </w:r>
          </w:p>
        </w:tc>
        <w:tc>
          <w:tcPr>
            <w:tcW w:w="18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 nautical miles laden</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2 nautical miles</w:t>
            </w:r>
          </w:p>
        </w:tc>
        <w:tc>
          <w:tcPr>
            <w:tcW w:w="16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Outside lanes</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Escort windows</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On request</w:t>
            </w:r>
          </w:p>
        </w:tc>
        <w:tc>
          <w:tcPr>
            <w:tcW w:w="18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Twice daily optional convoys</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Priority in every window</w:t>
            </w:r>
          </w:p>
        </w:tc>
        <w:tc>
          <w:tcPr>
            <w:tcW w:w="16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Not applicable</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Inspection</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None at sea; Class 8 anchor protocol only</w:t>
            </w:r>
          </w:p>
        </w:tc>
        <w:tc>
          <w:tcPr>
            <w:tcW w:w="18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None at sea; Class 8 anchor protocol only</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None at sea</w:t>
            </w:r>
          </w:p>
        </w:tc>
        <w:tc>
          <w:tcPr>
            <w:tcW w:w="16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Coastal enforcement inshore per coastal law</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Ground-truth patrols</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Subject to Article 6.5 lot selection</w:t>
            </w:r>
          </w:p>
        </w:tc>
        <w:tc>
          <w:tcPr>
            <w:tcW w:w="18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Subject to Article 6.5 lot selection</w:t>
            </w:r>
          </w:p>
        </w:tc>
        <w:tc>
          <w:tcPr>
            <w:tcW w:w="175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Subject to Article 6.5 lot selection</w:t>
            </w:r>
          </w:p>
        </w:tc>
        <w:tc>
          <w:tcPr>
            <w:tcW w:w="16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Outside patrol scope</w:t>
            </w:r>
          </w:p>
        </w:tc>
      </w:tr>
      <w:tr>
        <w:trPr/>
        <w:tc>
          <w:tcPr>
            <w:tcW w:w="19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Charges</w:t>
            </w:r>
          </w:p>
        </w:tc>
        <w:tc>
          <w:tcPr>
            <w:tcW w:w="1751"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Zero-Toll Rule</w:t>
            </w:r>
          </w:p>
        </w:tc>
        <w:tc>
          <w:tcPr>
            <w:tcW w:w="1899"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Zero-Toll Rule</w:t>
            </w:r>
          </w:p>
        </w:tc>
        <w:tc>
          <w:tcPr>
            <w:tcW w:w="1751"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Zero-Toll Rule</w:t>
            </w:r>
          </w:p>
        </w:tc>
        <w:tc>
          <w:tcPr>
            <w:tcW w:w="16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Zero-Toll Rule</w:t>
            </w:r>
          </w:p>
        </w:tc>
      </w:tr>
    </w:tbl>
    <w:p>
      <w:pPr>
        <w:pStyle w:val="Caption1"/>
        <w:rPr/>
      </w:pPr>
      <w:r>
        <w:rPr/>
        <w:t>Table B.1: Treatment matrix, Classes 1 to 4</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999"/>
        <w:gridCol w:w="1900"/>
        <w:gridCol w:w="1900"/>
        <w:gridCol w:w="1800"/>
        <w:gridCol w:w="1427"/>
      </w:tblGrid>
      <w:tr>
        <w:trPr>
          <w:tblHeader w:val="true"/>
        </w:trPr>
        <w:tc>
          <w:tcPr>
            <w:tcW w:w="19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Parameter</w:t>
            </w:r>
          </w:p>
        </w:tc>
        <w:tc>
          <w:tcPr>
            <w:tcW w:w="19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Class 5 Humanitarian</w:t>
            </w:r>
          </w:p>
        </w:tc>
        <w:tc>
          <w:tcPr>
            <w:tcW w:w="19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Class 6 Government non-naval</w:t>
            </w:r>
          </w:p>
        </w:tc>
        <w:tc>
          <w:tcPr>
            <w:tcW w:w="18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Class 7 Naval and state</w:t>
            </w:r>
          </w:p>
        </w:tc>
        <w:tc>
          <w:tcPr>
            <w:tcW w:w="1427"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Class 8 Vessels of concern</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Corridor access</w:t>
            </w:r>
          </w:p>
        </w:tc>
        <w:tc>
          <w:tcPr>
            <w:tcW w:w="1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Both; fastest available route</w:t>
            </w:r>
          </w:p>
        </w:tc>
        <w:tc>
          <w:tcPr>
            <w:tcW w:w="1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Both</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Corridor One only</w:t>
            </w:r>
          </w:p>
        </w:tc>
        <w:tc>
          <w:tcPr>
            <w:tcW w:w="14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To designated anchorage or continue pending documents</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Notice regime</w:t>
            </w:r>
          </w:p>
        </w:tc>
        <w:tc>
          <w:tcPr>
            <w:tcW w:w="1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Immediate acknowledgment; no waiting period</w:t>
            </w:r>
          </w:p>
        </w:tc>
        <w:tc>
          <w:tcPr>
            <w:tcW w:w="1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72 to 12 hours; mission description</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96-hour movement notice, military channel</w:t>
            </w:r>
          </w:p>
        </w:tc>
        <w:tc>
          <w:tcPr>
            <w:tcW w:w="14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Referral notice per Article 6.4</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Speed and spacing</w:t>
            </w:r>
          </w:p>
        </w:tc>
        <w:tc>
          <w:tcPr>
            <w:tcW w:w="1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Priority slotting at the precautionary areas</w:t>
            </w:r>
          </w:p>
        </w:tc>
        <w:tc>
          <w:tcPr>
            <w:tcW w:w="1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Standard bands</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Per naval transit regime, Article 9.4</w:t>
            </w:r>
          </w:p>
        </w:tc>
        <w:tc>
          <w:tcPr>
            <w:tcW w:w="14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Per COC instruction to anchorage</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Escort and protection</w:t>
            </w:r>
          </w:p>
        </w:tc>
        <w:tc>
          <w:tcPr>
            <w:tcW w:w="1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Highest priority; dedicated protection review for every transit</w:t>
            </w:r>
          </w:p>
        </w:tc>
        <w:tc>
          <w:tcPr>
            <w:tcW w:w="1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Standard</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Self-escorted; no coalition escort of merchant vessels inside corridors</w:t>
            </w:r>
          </w:p>
        </w:tc>
        <w:tc>
          <w:tcPr>
            <w:tcW w:w="14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Verification team at anchorage</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Inspection</w:t>
            </w:r>
          </w:p>
        </w:tc>
        <w:tc>
          <w:tcPr>
            <w:tcW w:w="1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None; documentation pre-cleared through the humanitarian window</w:t>
            </w:r>
          </w:p>
        </w:tc>
        <w:tc>
          <w:tcPr>
            <w:tcW w:w="1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None at sea</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 embarkation of inspection teams against merchant vessels in the Governance Area</w:t>
            </w:r>
          </w:p>
        </w:tc>
        <w:tc>
          <w:tcPr>
            <w:tcW w:w="14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48-hour joint verification; 96-hour outer limit per Article 6.4</w:t>
            </w:r>
          </w:p>
        </w:tc>
      </w:tr>
      <w:tr>
        <w:trPr/>
        <w:tc>
          <w:tcPr>
            <w:tcW w:w="19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Delays permitted</w:t>
            </w:r>
          </w:p>
        </w:tc>
        <w:tc>
          <w:tcPr>
            <w:tcW w:w="1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None</w:t>
            </w:r>
          </w:p>
        </w:tc>
        <w:tc>
          <w:tcPr>
            <w:tcW w:w="1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Operational only</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None for merchant traffic</w:t>
            </w:r>
          </w:p>
        </w:tc>
        <w:tc>
          <w:tcPr>
            <w:tcW w:w="14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72 hours at anchor maximum before JCC routing</w:t>
            </w:r>
          </w:p>
        </w:tc>
      </w:tr>
      <w:tr>
        <w:trPr/>
        <w:tc>
          <w:tcPr>
            <w:tcW w:w="19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Charges</w:t>
            </w:r>
          </w:p>
        </w:tc>
        <w:tc>
          <w:tcPr>
            <w:tcW w:w="19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Zero-Toll Rule</w:t>
            </w:r>
          </w:p>
        </w:tc>
        <w:tc>
          <w:tcPr>
            <w:tcW w:w="19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Zero-Toll Rule</w:t>
            </w:r>
          </w:p>
        </w:tc>
        <w:tc>
          <w:tcPr>
            <w:tcW w:w="18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Zero-Toll Rule</w:t>
            </w:r>
          </w:p>
        </w:tc>
        <w:tc>
          <w:tcPr>
            <w:tcW w:w="1427"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Zero-Toll Rule; verification costs to the Fund</w:t>
            </w:r>
          </w:p>
        </w:tc>
      </w:tr>
    </w:tbl>
    <w:p>
      <w:pPr>
        <w:pStyle w:val="Caption1"/>
        <w:rPr/>
      </w:pPr>
      <w:r>
        <w:rPr/>
        <w:t>Table B.2: Treatment matrix, Classes 5 to 8</w:t>
      </w:r>
    </w:p>
    <w:p>
      <w:pPr>
        <w:pStyle w:val="Heading2"/>
        <w:rPr/>
      </w:pPr>
      <w:bookmarkStart w:id="47" w:name="__RefHeading___Toc7266_2800514504"/>
      <w:bookmarkEnd w:id="47"/>
      <w:r>
        <w:rPr/>
        <w:t>B.2 Classification determination</w:t>
      </w:r>
    </w:p>
    <w:p>
      <w:pPr>
        <w:pStyle w:val="Normal"/>
        <w:rPr/>
      </w:pPr>
      <w:r>
        <w:rPr/>
        <w:t>The automatic identification system message, the classification society data feed, and the vessel's filed notice jointly establish the class. Where sources conflict, the COC applies the purpose test: the vessel's actual mission on the voyage in question determines the class. A vessel changes class between voyages freely; a vessel changes class mid-voyage only through a COC determination with the master informed. A misclassified vessel suffers no penalty; the COC corrects the record and applies the correct treatment prospectively, and repeated deliberate misdeclaration routes to Article 21.4.</w:t>
      </w:r>
    </w:p>
    <w:p>
      <w:pPr>
        <w:pStyle w:val="Heading2"/>
        <w:rPr/>
      </w:pPr>
      <w:bookmarkStart w:id="48" w:name="__RefHeading___Toc7268_2800514504"/>
      <w:bookmarkEnd w:id="48"/>
      <w:r>
        <w:rPr/>
        <w:t>B.3 Purpose-based differentials, stated plainly</w:t>
      </w:r>
    </w:p>
    <w:p>
      <w:pPr>
        <w:pStyle w:val="Normal"/>
        <w:rPr/>
      </w:pPr>
      <w:r>
        <w:rPr/>
        <w:t>The matrix embodies one principle: purpose determines treatment. A laden crude carrier receives spacing, scheduling priority, and terminal integration because its cargo and draft demand them. A passenger ferry receives protection priority because human life concentrates aboard it. A humanitarian vessel receives zero administrative friction because delay costs lives. A fishing dhow receives protected inshore space because its livelihood predates every corridor. A warship receives a separate, slower, fully notified channel because its presence near merchant traffic is the accident the Framework exists to prevent. The differentials are operational judgments, published in full, identical for every flag, and reviewable each year in the rotation cycle.</w:t>
      </w:r>
      <w:r>
        <w:br w:type="page"/>
      </w:r>
    </w:p>
    <w:p>
      <w:pPr>
        <w:pStyle w:val="Heading1"/>
        <w:rPr/>
      </w:pPr>
      <w:bookmarkStart w:id="49" w:name="__RefHeading___Toc7270_2800514504"/>
      <w:bookmarkEnd w:id="49"/>
      <w:r>
        <w:rPr/>
        <w:t>Annex C: Transit Services Fund Charter</w:t>
      </w:r>
      <w:bookmarkStart w:id="50" w:name="_TocSg9"/>
      <w:bookmarkEnd w:id="50"/>
    </w:p>
    <w:p>
      <w:pPr>
        <w:pStyle w:val="Normal"/>
        <w:rPr/>
      </w:pPr>
      <w:r>
        <w:rPr>
          <w:i/>
        </w:rPr>
        <w:t>Operative Annex for Article 7. This Charter constitutes the Transit Services Fund (the Fund), the mechanism that solves the toll question: passage stays free forever, and the services that protect passage stay funded forever, through collective finance rather than charges on transit.</w:t>
      </w:r>
    </w:p>
    <w:p>
      <w:pPr>
        <w:pStyle w:val="Heading2"/>
        <w:rPr/>
      </w:pPr>
      <w:bookmarkStart w:id="51" w:name="__RefHeading___Toc7272_2800514504"/>
      <w:bookmarkEnd w:id="51"/>
      <w:r>
        <w:rPr/>
        <w:t>C.1 Status, purpose, and audit</w:t>
      </w:r>
    </w:p>
    <w:p>
      <w:pPr>
        <w:pStyle w:val="Normal"/>
        <w:rPr/>
      </w:pPr>
      <w:r>
        <w:rPr/>
        <w:t>The Fund is a dedicated multilateral account administered by the Neutral Administrator as trustee, under the direction of the Joint Coordination Council, for the exclusive purpose of financing corridor services and corridor governance. The Fund is not a revenue instrument of any state. No Fund resource reaches any military or intelligence purpose.</w:t>
      </w:r>
    </w:p>
    <w:p>
      <w:pPr>
        <w:pStyle w:val="Normal"/>
        <w:rPr/>
      </w:pPr>
      <w:r>
        <w:rPr/>
        <w:t>The Fund's accounts audit annually through an independent firm drawn from a pre-approved roster of internationally recognized audit firms of the first rank (the Big Four or equivalent), and the Guarantor Panel confirms the selection, on the JCC's nomination, by a simple majority with any conflicted member's vote excluded. The dual-gate selection removes the possibility of a Party stacking the audit process. The roster refreshes every three years through the same dual gate. The audit publishes in full on the public dashboard within 30 days of completion.</w:t>
      </w:r>
    </w:p>
    <w:p>
      <w:pPr>
        <w:pStyle w:val="Heading2"/>
        <w:rPr/>
      </w:pPr>
      <w:bookmarkStart w:id="52" w:name="__RefHeading___Toc7274_2800514504"/>
      <w:bookmarkEnd w:id="52"/>
      <w:r>
        <w:rPr/>
        <w:t>C.2 Eligible services</w:t>
      </w:r>
    </w:p>
    <w:p>
      <w:pPr>
        <w:pStyle w:val="Normal"/>
        <w:numPr>
          <w:ilvl w:val="0"/>
          <w:numId w:val="1"/>
        </w:numPr>
        <w:spacing w:lineRule="auto" w:line="312" w:before="0" w:after="120"/>
        <w:rPr/>
      </w:pPr>
      <w:r>
        <w:rPr/>
        <w:t>Vessel traffic service watch-keeping for both corridors, 24 hours, including radar, radio, and information broadcasts.</w:t>
      </w:r>
    </w:p>
    <w:p>
      <w:pPr>
        <w:pStyle w:val="Normal"/>
        <w:numPr>
          <w:ilvl w:val="0"/>
          <w:numId w:val="1"/>
        </w:numPr>
        <w:spacing w:lineRule="auto" w:line="312" w:before="0" w:after="120"/>
        <w:rPr/>
      </w:pPr>
      <w:r>
        <w:rPr/>
        <w:t>Aids to navigation: installation, maintenance, and renewal of lights, buoys, racons, and virtual aids within the corridors and precautionary areas.</w:t>
      </w:r>
    </w:p>
    <w:p>
      <w:pPr>
        <w:pStyle w:val="Normal"/>
        <w:numPr>
          <w:ilvl w:val="0"/>
          <w:numId w:val="1"/>
        </w:numPr>
        <w:spacing w:lineRule="auto" w:line="312" w:before="0" w:after="120"/>
        <w:rPr/>
      </w:pPr>
      <w:r>
        <w:rPr/>
        <w:t>Hydrographic survey and chart maintenance of the corridors, anchorages, and junction gates, in harmony with International Hydrographic Organization standards.</w:t>
      </w:r>
    </w:p>
    <w:p>
      <w:pPr>
        <w:pStyle w:val="Normal"/>
        <w:numPr>
          <w:ilvl w:val="0"/>
          <w:numId w:val="1"/>
        </w:numPr>
        <w:spacing w:lineRule="auto" w:line="312" w:before="0" w:after="120"/>
        <w:rPr/>
      </w:pPr>
      <w:r>
        <w:rPr/>
        <w:t>Search and rescue readiness: coordination capacity, standby vessels, and medical evacuation support at the eastern and western approaches.</w:t>
      </w:r>
    </w:p>
    <w:p>
      <w:pPr>
        <w:pStyle w:val="Normal"/>
        <w:numPr>
          <w:ilvl w:val="0"/>
          <w:numId w:val="1"/>
        </w:numPr>
        <w:spacing w:lineRule="auto" w:line="312" w:before="0" w:after="120"/>
        <w:rPr/>
      </w:pPr>
      <w:r>
        <w:rPr/>
        <w:t>Pollution response: tiered equipment stockpiles, response vessels, and joint exercise costs under Article 8.4.</w:t>
      </w:r>
    </w:p>
    <w:p>
      <w:pPr>
        <w:pStyle w:val="Normal"/>
        <w:numPr>
          <w:ilvl w:val="0"/>
          <w:numId w:val="1"/>
        </w:numPr>
        <w:spacing w:lineRule="auto" w:line="312" w:before="0" w:after="120"/>
        <w:rPr/>
      </w:pPr>
      <w:r>
        <w:rPr/>
        <w:t>The Corridor Operations Cell: premises, systems, watch staffing, liaison detachment, and the shared operational picture.</w:t>
      </w:r>
    </w:p>
    <w:p>
      <w:pPr>
        <w:pStyle w:val="Normal"/>
        <w:numPr>
          <w:ilvl w:val="0"/>
          <w:numId w:val="1"/>
        </w:numPr>
        <w:spacing w:lineRule="auto" w:line="312" w:before="0" w:after="120"/>
        <w:rPr/>
      </w:pPr>
      <w:r>
        <w:rPr/>
        <w:t>The ground-truth patrol program of Article 6.5: patrol craft operation, mixed-crew staffing, and observer embarkation.</w:t>
      </w:r>
    </w:p>
    <w:p>
      <w:pPr>
        <w:pStyle w:val="Normal"/>
        <w:numPr>
          <w:ilvl w:val="0"/>
          <w:numId w:val="1"/>
        </w:numPr>
        <w:spacing w:lineRule="auto" w:line="312" w:before="0" w:after="120"/>
        <w:rPr/>
      </w:pPr>
      <w:r>
        <w:rPr/>
        <w:t>The de-confliction infrastructure: the military channel, the notice and acknowledgment systems, and the incident desk.</w:t>
      </w:r>
    </w:p>
    <w:p>
      <w:pPr>
        <w:pStyle w:val="Normal"/>
        <w:numPr>
          <w:ilvl w:val="0"/>
          <w:numId w:val="1"/>
        </w:numPr>
        <w:spacing w:lineRule="auto" w:line="312" w:before="0" w:after="120"/>
        <w:rPr/>
      </w:pPr>
      <w:r>
        <w:rPr/>
        <w:t>Pilotage availability: standby pilotage for vessels requesting it, provided free at the point of use under the Zero-Toll Rule.</w:t>
      </w:r>
    </w:p>
    <w:p>
      <w:pPr>
        <w:pStyle w:val="Normal"/>
        <w:numPr>
          <w:ilvl w:val="0"/>
          <w:numId w:val="1"/>
        </w:numPr>
        <w:spacing w:lineRule="auto" w:line="312" w:before="0" w:after="120"/>
        <w:rPr/>
      </w:pPr>
      <w:r>
        <w:rPr/>
        <w:t>Class 8 verification logistics: anchorage services, inspection transport, and secure storage of verification records.</w:t>
      </w:r>
    </w:p>
    <w:p>
      <w:pPr>
        <w:pStyle w:val="Normal"/>
        <w:numPr>
          <w:ilvl w:val="0"/>
          <w:numId w:val="1"/>
        </w:numPr>
        <w:spacing w:lineRule="auto" w:line="312" w:before="0" w:after="120"/>
        <w:rPr/>
      </w:pPr>
      <w:r>
        <w:rPr/>
        <w:t>The Independent Assurance Council secretariat under Article 15.9.</w:t>
      </w:r>
    </w:p>
    <w:p>
      <w:pPr>
        <w:pStyle w:val="Heading2"/>
        <w:rPr/>
      </w:pPr>
      <w:bookmarkStart w:id="53" w:name="__RefHeading___Toc7276_2800514504"/>
      <w:bookmarkEnd w:id="53"/>
      <w:r>
        <w:rPr/>
        <w:t>C.3 Contributions</w:t>
      </w:r>
    </w:p>
    <w:p>
      <w:pPr>
        <w:pStyle w:val="Normal"/>
        <w:rPr/>
      </w:pPr>
      <w:r>
        <w:rPr/>
        <w:t>First-year capitalization stands at USD 240 million per Table 7.1. Thereafter, the JCC adopts the annual contribution schedule each October for the following year, against the audited cost of services, within these permanent guardrails: the energy-importing states consortium carries between 40 and 50 percent; the reconstruction framework seed carries up to 25 percent in the first three years, stepping down to 10 percent thereafter as services mature; the shipping and insurance industry facility carries between 15 and 25 percent, indexed to the war-risk premium differential of Section C.7; and the escrow yield allocation carries the balance up to 15 percent. No contribution conditions transit, confers routing preference, or purchases influence over Fund governance. A contributor in arrears loses its consortium seat vote until current, and the JCC redistributes the shortfall pro rata.</w:t>
      </w:r>
    </w:p>
    <w:p>
      <w:pPr>
        <w:pStyle w:val="Heading2"/>
        <w:rPr/>
      </w:pPr>
      <w:bookmarkStart w:id="54" w:name="__RefHeading___Toc7278_2800514504"/>
      <w:bookmarkEnd w:id="54"/>
      <w:r>
        <w:rPr/>
        <w:t>C.4 Governance of the Fund</w:t>
      </w:r>
    </w:p>
    <w:p>
      <w:pPr>
        <w:pStyle w:val="Normal"/>
        <w:rPr/>
      </w:pPr>
      <w:r>
        <w:rPr/>
        <w:t>The JCC directs the Fund through the annual budget and quarterly reviews. The Neutral Administrator executes payments, maintains the accounts, and certifies every disbursement against a confirmed claim or an adopted budget line. Two-key rule: every disbursement requires the Neutral Administrator's certification plus a JCC countersignature from a member not affiliated with the payee. The Fund's balances hold in the escrow architecture of Article 13.3, and their yield allocates per Table 7.1 and per Annex J, Section J.7.</w:t>
      </w:r>
    </w:p>
    <w:p>
      <w:pPr>
        <w:pStyle w:val="Heading2"/>
        <w:rPr/>
      </w:pPr>
      <w:bookmarkStart w:id="55" w:name="__RefHeading___Toc7280_2800514504"/>
      <w:bookmarkEnd w:id="55"/>
      <w:r>
        <w:rPr/>
        <w:t>C.5 The budget process</w:t>
      </w:r>
    </w:p>
    <w:p>
      <w:pPr>
        <w:pStyle w:val="Normal"/>
        <w:rPr/>
      </w:pPr>
      <w:r>
        <w:rPr/>
        <w:t>Each September, the coastal states and the COC submit costed service plans. The Neutral Administrator consolidates them into a draft budget with three scenarios: base, surge, and reduced. The JCC adopts the base budget in October; the surge budget pre-authorizes automatically where the Registry's surge pattern activates under Article 5.6, so that crisis operations never wait for a budget meeting; the reduced scenario applies automatically where audited costs fall 15 percent below plan for two consecutive quarters, returning the difference to contributors pro rata or crediting it forward.</w:t>
      </w:r>
    </w:p>
    <w:p>
      <w:pPr>
        <w:pStyle w:val="Heading2"/>
        <w:rPr/>
      </w:pPr>
      <w:bookmarkStart w:id="56" w:name="__RefHeading___Toc7282_2800514504"/>
      <w:bookmarkEnd w:id="56"/>
      <w:r>
        <w:rPr/>
        <w:t>C.6 The compensation rate card</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3400"/>
        <w:gridCol w:w="3400"/>
        <w:gridCol w:w="2226"/>
      </w:tblGrid>
      <w:tr>
        <w:trPr>
          <w:tblHeader w:val="true"/>
        </w:trPr>
        <w:tc>
          <w:tcPr>
            <w:tcW w:w="3400"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8"/>
              </w:rPr>
              <w:t>Service line</w:t>
            </w:r>
          </w:p>
        </w:tc>
        <w:tc>
          <w:tcPr>
            <w:tcW w:w="34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8"/>
              </w:rPr>
              <w:t>Compensation basis</w:t>
            </w:r>
          </w:p>
        </w:tc>
        <w:tc>
          <w:tcPr>
            <w:tcW w:w="22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8"/>
              </w:rPr>
              <w:t>Indicative annual value (USD million)</w:t>
            </w:r>
          </w:p>
        </w:tc>
      </w:tr>
      <w:tr>
        <w:trPr/>
        <w:tc>
          <w:tcPr>
            <w:tcW w:w="34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Vessel traffic services, both corridors</w:t>
            </w:r>
          </w:p>
        </w:tc>
        <w:tc>
          <w:tcPr>
            <w:tcW w:w="3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Documented staffing and systems cost plus 10 percent availability margin</w:t>
            </w:r>
          </w:p>
        </w:tc>
        <w:tc>
          <w:tcPr>
            <w:tcW w:w="22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38</w:t>
            </w:r>
          </w:p>
        </w:tc>
      </w:tr>
      <w:tr>
        <w:trPr/>
        <w:tc>
          <w:tcPr>
            <w:tcW w:w="34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Aids to navigation and hydrography</w:t>
            </w:r>
          </w:p>
        </w:tc>
        <w:tc>
          <w:tcPr>
            <w:tcW w:w="3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Asset renewal schedule plus survey days at documented cost</w:t>
            </w:r>
          </w:p>
        </w:tc>
        <w:tc>
          <w:tcPr>
            <w:tcW w:w="22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22</w:t>
            </w:r>
          </w:p>
        </w:tc>
      </w:tr>
      <w:tr>
        <w:trPr/>
        <w:tc>
          <w:tcPr>
            <w:tcW w:w="34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Search and rescue readiness</w:t>
            </w:r>
          </w:p>
        </w:tc>
        <w:tc>
          <w:tcPr>
            <w:tcW w:w="3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Standby capacity day-rates at documented cost</w:t>
            </w:r>
          </w:p>
        </w:tc>
        <w:tc>
          <w:tcPr>
            <w:tcW w:w="22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30</w:t>
            </w:r>
          </w:p>
        </w:tc>
      </w:tr>
      <w:tr>
        <w:trPr/>
        <w:tc>
          <w:tcPr>
            <w:tcW w:w="34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Pollution response tier</w:t>
            </w:r>
          </w:p>
        </w:tc>
        <w:tc>
          <w:tcPr>
            <w:tcW w:w="3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Stockpile renewal plus exercise costs</w:t>
            </w:r>
          </w:p>
        </w:tc>
        <w:tc>
          <w:tcPr>
            <w:tcW w:w="22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18</w:t>
            </w:r>
          </w:p>
        </w:tc>
      </w:tr>
      <w:tr>
        <w:trPr/>
        <w:tc>
          <w:tcPr>
            <w:tcW w:w="34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Corridor Operations Cell</w:t>
            </w:r>
          </w:p>
        </w:tc>
        <w:tc>
          <w:tcPr>
            <w:tcW w:w="3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Consolidated operating budget</w:t>
            </w:r>
          </w:p>
        </w:tc>
        <w:tc>
          <w:tcPr>
            <w:tcW w:w="22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42</w:t>
            </w:r>
          </w:p>
        </w:tc>
      </w:tr>
      <w:tr>
        <w:trPr/>
        <w:tc>
          <w:tcPr>
            <w:tcW w:w="34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Ground-truth patrol program</w:t>
            </w:r>
          </w:p>
        </w:tc>
        <w:tc>
          <w:tcPr>
            <w:tcW w:w="3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Patrol craft operation and observer costs</w:t>
            </w:r>
          </w:p>
        </w:tc>
        <w:tc>
          <w:tcPr>
            <w:tcW w:w="22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8</w:t>
            </w:r>
          </w:p>
        </w:tc>
      </w:tr>
      <w:tr>
        <w:trPr/>
        <w:tc>
          <w:tcPr>
            <w:tcW w:w="34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De-confliction infrastructure</w:t>
            </w:r>
          </w:p>
        </w:tc>
        <w:tc>
          <w:tcPr>
            <w:tcW w:w="3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Systems and channel operating cost</w:t>
            </w:r>
          </w:p>
        </w:tc>
        <w:tc>
          <w:tcPr>
            <w:tcW w:w="22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24</w:t>
            </w:r>
          </w:p>
        </w:tc>
      </w:tr>
      <w:tr>
        <w:trPr/>
        <w:tc>
          <w:tcPr>
            <w:tcW w:w="34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Pilotage availability</w:t>
            </w:r>
          </w:p>
        </w:tc>
        <w:tc>
          <w:tcPr>
            <w:tcW w:w="3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Standby pilot roster at documented cost</w:t>
            </w:r>
          </w:p>
        </w:tc>
        <w:tc>
          <w:tcPr>
            <w:tcW w:w="22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14</w:t>
            </w:r>
          </w:p>
        </w:tc>
      </w:tr>
      <w:tr>
        <w:trPr/>
        <w:tc>
          <w:tcPr>
            <w:tcW w:w="34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Verification logistics and administration</w:t>
            </w:r>
          </w:p>
        </w:tc>
        <w:tc>
          <w:tcPr>
            <w:tcW w:w="3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Activity-based costing</w:t>
            </w:r>
          </w:p>
        </w:tc>
        <w:tc>
          <w:tcPr>
            <w:tcW w:w="22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14</w:t>
            </w:r>
          </w:p>
        </w:tc>
      </w:tr>
      <w:tr>
        <w:trPr/>
        <w:tc>
          <w:tcPr>
            <w:tcW w:w="3400"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8"/>
              </w:rPr>
              <w:t>Contingency and audit</w:t>
            </w:r>
          </w:p>
        </w:tc>
        <w:tc>
          <w:tcPr>
            <w:tcW w:w="34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8"/>
              </w:rPr>
              <w:t>10 percent reserve plus audit fees</w:t>
            </w:r>
          </w:p>
        </w:tc>
        <w:tc>
          <w:tcPr>
            <w:tcW w:w="22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8"/>
              </w:rPr>
              <w:t>30</w:t>
            </w:r>
          </w:p>
        </w:tc>
      </w:tr>
    </w:tbl>
    <w:p>
      <w:pPr>
        <w:pStyle w:val="Caption1"/>
        <w:rPr/>
      </w:pPr>
      <w:r>
        <w:rPr/>
        <w:t>Table C.1: First-year service compensation envelope (USD 240 million)</w:t>
      </w:r>
    </w:p>
    <w:p>
      <w:pPr>
        <w:pStyle w:val="Normal"/>
        <w:rPr/>
      </w:pPr>
      <w:r>
        <w:rPr/>
        <w:t>The rate card pays for availability and delivery, never for passage. A coastal state bills the Fund monthly through the claim procedure of Article 20; the TVG confirms delivery against operational logs; the Neutral Administrator pays confirmed claims within 15 working days. Where a service line underdelivers, the confirmation level reduces payment proportionally, per Table 20.1.</w:t>
      </w:r>
    </w:p>
    <w:p>
      <w:pPr>
        <w:pStyle w:val="Heading2"/>
        <w:rPr/>
      </w:pPr>
      <w:bookmarkStart w:id="57" w:name="__RefHeading___Toc7284_2800514504"/>
      <w:bookmarkEnd w:id="57"/>
      <w:r>
        <w:rPr/>
        <w:t>C.7 The premium differential index</w:t>
      </w:r>
    </w:p>
    <w:p>
      <w:pPr>
        <w:pStyle w:val="Normal"/>
        <w:rPr/>
      </w:pPr>
      <w:r>
        <w:rPr/>
        <w:t>The industry facility publishes a monthly war-risk premium differential: the difference between the prevailing additional war-risk premium for Gulf transits and the pre-February-2026 baseline. The differential drives two effects: (a) each quarter of sustained Level I or Level II standing triggers the JCC stability attestation that underwriters apply to step premiums down; and (b) the industry facility's contribution share adjusts annually in proportion to the premium savings its members realize, keeping the facility's contribution smaller than its members' savings by design. Restoration of baseline premiums within four quarters of sustained Level I or Level II standing is the Framework's published target, and the differential index measures progress toward it in the open.</w:t>
      </w:r>
    </w:p>
    <w:p>
      <w:pPr>
        <w:pStyle w:val="Heading2"/>
        <w:rPr/>
      </w:pPr>
      <w:bookmarkStart w:id="58" w:name="__RefHeading___Toc7286_2800514504"/>
      <w:bookmarkEnd w:id="58"/>
      <w:r>
        <w:rPr/>
        <w:t>C.8 Review and continuation</w:t>
      </w:r>
    </w:p>
    <w:p>
      <w:pPr>
        <w:pStyle w:val="Normal"/>
        <w:rPr/>
      </w:pPr>
      <w:r>
        <w:rPr/>
        <w:t>The Fund reviews annually within the Article 24.5 review: cost discipline, service quality, contribution balance, and the premium differential trajectory. The Fund continues indefinitely under the Continuing Effect Rule; its dissolution requires a Plenary consensus of the Parties plus a two-thirds vote of the consortium, with a 24-month wind-down protecting all services without interruption. The corridor system never depends on a single contributor, a single year, or a single political season.</w:t>
      </w:r>
      <w:r>
        <w:br w:type="page"/>
      </w:r>
    </w:p>
    <w:p>
      <w:pPr>
        <w:pStyle w:val="Heading1"/>
        <w:rPr/>
      </w:pPr>
      <w:bookmarkStart w:id="59" w:name="__RefHeading___Toc7288_2800514504"/>
      <w:bookmarkEnd w:id="59"/>
      <w:r>
        <w:rPr/>
        <w:t>Annex D: Point Schedule for Verified Deviations</w:t>
      </w:r>
      <w:bookmarkStart w:id="60" w:name="_TocSg10"/>
      <w:bookmarkEnd w:id="60"/>
    </w:p>
    <w:p>
      <w:pPr>
        <w:pStyle w:val="Normal"/>
        <w:rPr/>
      </w:pPr>
      <w:r>
        <w:rPr>
          <w:i/>
        </w:rPr>
        <w:t>Operative Annex for Articles 17 and 18. This Schedule provides the exhaustive register of deviations, their technical thresholds, their point values, and their event classes. The JCC assesses points only for entries enumerated here. Points feed the Standing Ratio and the Standing Level; they are accounting entries, not punishments.</w:t>
      </w:r>
    </w:p>
    <w:p>
      <w:pPr>
        <w:pStyle w:val="Heading2"/>
        <w:rPr/>
      </w:pPr>
      <w:bookmarkStart w:id="61" w:name="__RefHeading___Toc7290_2800514504"/>
      <w:bookmarkEnd w:id="61"/>
      <w:r>
        <w:rPr/>
        <w:t>D.1 Accumulation and expiration rules</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899"/>
        <w:gridCol w:w="7126"/>
      </w:tblGrid>
      <w:tr>
        <w:trPr>
          <w:tblHeader w:val="true"/>
        </w:trPr>
        <w:tc>
          <w:tcPr>
            <w:tcW w:w="18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8"/>
              </w:rPr>
              <w:t>Rule</w:t>
            </w:r>
          </w:p>
        </w:tc>
        <w:tc>
          <w:tcPr>
            <w:tcW w:w="71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8"/>
              </w:rPr>
              <w:t>Content</w:t>
            </w:r>
          </w:p>
        </w:tc>
      </w:tr>
      <w:tr>
        <w:trPr/>
        <w:tc>
          <w:tcPr>
            <w:tcW w:w="1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Expiration</w:t>
            </w:r>
          </w:p>
        </w:tc>
        <w:tc>
          <w:tcPr>
            <w:tcW w:w="71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All points expire automatically 180 days after assessment, provided the Party maintains verified compliance in the affected Protocol during that period.</w:t>
            </w:r>
          </w:p>
        </w:tc>
      </w:tr>
      <w:tr>
        <w:trPr/>
        <w:tc>
          <w:tcPr>
            <w:tcW w:w="1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Active points</w:t>
            </w:r>
          </w:p>
        </w:tc>
        <w:tc>
          <w:tcPr>
            <w:tcW w:w="71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Only points assessed within the preceding 180 days count toward escalation thresholds.</w:t>
            </w:r>
          </w:p>
        </w:tc>
      </w:tr>
      <w:tr>
        <w:trPr/>
        <w:tc>
          <w:tcPr>
            <w:tcW w:w="1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No double counting</w:t>
            </w:r>
          </w:p>
        </w:tc>
        <w:tc>
          <w:tcPr>
            <w:tcW w:w="71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A single deviation assesses under one category only: the most severe applicable.</w:t>
            </w:r>
          </w:p>
        </w:tc>
      </w:tr>
      <w:tr>
        <w:trPr/>
        <w:tc>
          <w:tcPr>
            <w:tcW w:w="1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Continuing deviations</w:t>
            </w:r>
          </w:p>
        </w:tc>
        <w:tc>
          <w:tcPr>
            <w:tcW w:w="71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A deviation persisting over multiple days assesses once, on the first day; duration affects the Class Two or Class Three graduated response, not the point count.</w:t>
            </w:r>
          </w:p>
        </w:tc>
      </w:tr>
      <w:tr>
        <w:trPr/>
        <w:tc>
          <w:tcPr>
            <w:tcW w:w="1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Challenge</w:t>
            </w:r>
          </w:p>
        </w:tc>
        <w:tc>
          <w:tcPr>
            <w:tcW w:w="71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Either Party challenges any assessment within 14 days through the Article 23 ladder. Points remain active during challenge and void retroactively if the challenge succeeds.</w:t>
            </w:r>
          </w:p>
        </w:tc>
      </w:tr>
      <w:tr>
        <w:trPr/>
        <w:tc>
          <w:tcPr>
            <w:tcW w:w="1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Threshold 5</w:t>
            </w:r>
          </w:p>
        </w:tc>
        <w:tc>
          <w:tcPr>
            <w:tcW w:w="71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Five to seven active points: formal JCC advisory published on the dashboard. No benefit reduction.</w:t>
            </w:r>
          </w:p>
        </w:tc>
      </w:tr>
      <w:tr>
        <w:trPr/>
        <w:tc>
          <w:tcPr>
            <w:tcW w:w="1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Threshold 8</w:t>
            </w:r>
          </w:p>
        </w:tc>
        <w:tc>
          <w:tcPr>
            <w:tcW w:w="71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Eight to eleven active points: mandatory escalated response, an additional 10 percent reduction of non-humanitarian benefits within the affected Protocol until active points drop below 8.</w:t>
            </w:r>
          </w:p>
        </w:tc>
      </w:tr>
      <w:tr>
        <w:trPr/>
        <w:tc>
          <w:tcPr>
            <w:tcW w:w="18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8"/>
              </w:rPr>
              <w:t>Threshold 12</w:t>
            </w:r>
          </w:p>
        </w:tc>
        <w:tc>
          <w:tcPr>
            <w:tcW w:w="71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8"/>
              </w:rPr>
              <w:t>Twelve or more active points: maximum graduated response. Discretionary benefits pause for 30 days; intensive verification for 90 days; restoration ladder runs. The Schedule contains no snapback and no threshold authorizes force, termination, or permanent exclusion.</w:t>
            </w:r>
          </w:p>
        </w:tc>
      </w:tr>
    </w:tbl>
    <w:p>
      <w:pPr>
        <w:pStyle w:val="Caption1"/>
        <w:rPr/>
      </w:pPr>
      <w:r>
        <w:rPr/>
        <w:t>Table D.1: Accumulation and expiration</w:t>
      </w:r>
    </w:p>
    <w:p>
      <w:pPr>
        <w:pStyle w:val="Heading2"/>
        <w:rPr/>
      </w:pPr>
      <w:bookmarkStart w:id="62" w:name="__RefHeading___Toc7292_2800514504"/>
      <w:bookmarkEnd w:id="62"/>
      <w:r>
        <w:rPr/>
        <w:t>D.2 Nuclear track deviations (Category N)</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898"/>
        <w:gridCol w:w="2101"/>
        <w:gridCol w:w="3500"/>
        <w:gridCol w:w="1200"/>
        <w:gridCol w:w="1327"/>
      </w:tblGrid>
      <w:tr>
        <w:trPr>
          <w:tblHeader w:val="true"/>
        </w:trPr>
        <w:tc>
          <w:tcPr>
            <w:tcW w:w="898"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Ref</w:t>
            </w:r>
          </w:p>
        </w:tc>
        <w:tc>
          <w:tcPr>
            <w:tcW w:w="210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Deviation</w:t>
            </w:r>
          </w:p>
        </w:tc>
        <w:tc>
          <w:tcPr>
            <w:tcW w:w="35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Technical threshold</w:t>
            </w:r>
          </w:p>
        </w:tc>
        <w:tc>
          <w:tcPr>
            <w:tcW w:w="12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Points</w:t>
            </w:r>
          </w:p>
        </w:tc>
        <w:tc>
          <w:tcPr>
            <w:tcW w:w="1327"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Class</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N-1.1</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Minor ceiling exceedance</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Assay between 3.67 and 4.17 percent U-235 for under 72 hours</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N-1.2</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Moderate ceiling exceedance</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Assay between 4.17 and 5.17 percent U-235, any duration</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N-1.3</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Significant ceiling exceedance</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Assay above 5.17 percent U-235</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N-1.4</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Enrichment above the civilian ceiling</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Any enrichment of any material above 3.67 percent after disposition completion, excluding N-1.1 within tolerance</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N-1.5</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Undeclared enrichment activity</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Any enrichment at a location outside the capability register</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N-2.1</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Baseline declaration delay</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Declaration delivered after Day 7 plus 72-hour grace</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N-2.2</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Retrieval schedule slip</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Retrieval incomplete at Day 60 without TVG-certified safety cause</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N-2.3</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Batch schedule slip</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 monthly batch incomplete at month-end, first occurrence</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N-2.4</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Batch schedule slip, repeated</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Two consecutive incomplete months</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N-2.5</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Unauthorized material movement</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Any movement of stockpile material outside the custody plan without dual-lock opening</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N-2.6</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Dual-lock breach</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Seal or lock opened without both custodians present</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N-2.7</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Custody tampering</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Intentional damage, removal, or substitution of seals or locks</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N-2.8</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Material unaccounted</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Material balance difference exceeding the IAEA significant-quantity accounting threshold</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N-3.1</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Inspection delay, minor</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Inspector access delay under 12 hours at a declared facility</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N-3.2</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Inspection delay, moderate</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Access delay of 12 to 72 hours</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N-3.3</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Access denial</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Access delay beyond 72 hours</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N-3.4</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Sampling obstruction</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Prevention of mass spectrometry or environmental sampling</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N-3.5</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Monitoring data delay</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Custody data package late by one cycle</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N-3.6</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Monitoring data delay, repeated</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Custody data late for 2 to 4 consecutive cycles</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N-3.7</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Monitoring data interruption</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Custody data late for 5 or more consecutive cycles</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N-3.8</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Data falsification</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Deliberate submission of false custody or accountancy data</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N-4.1</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Capability register failure</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Quarterly register update not verified within 14 days of cycle end</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N-4.2</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Register inaccuracy</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Material inaccuracy in the capability register, verified</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98"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N-4.3</w:t>
            </w:r>
          </w:p>
        </w:tc>
        <w:tc>
          <w:tcPr>
            <w:tcW w:w="21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Third-laboratory obstruction</w:t>
            </w:r>
          </w:p>
        </w:tc>
        <w:tc>
          <w:tcPr>
            <w:tcW w:w="35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Interference with the random third-laboratory sampling of Annex F, Section F.5, including attempts to identify the laboratory</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3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98"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N-4.4</w:t>
            </w:r>
          </w:p>
        </w:tc>
        <w:tc>
          <w:tcPr>
            <w:tcW w:w="2101"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Neutral inspection obstruction</w:t>
            </w:r>
          </w:p>
        </w:tc>
        <w:tc>
          <w:tcPr>
            <w:tcW w:w="35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Delay or obstruction of the quarterly independent physical inspection of Annex F, Section F.7</w:t>
            </w:r>
          </w:p>
        </w:tc>
        <w:tc>
          <w:tcPr>
            <w:tcW w:w="12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3</w:t>
            </w:r>
          </w:p>
        </w:tc>
        <w:tc>
          <w:tcPr>
            <w:tcW w:w="1327"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Two</w:t>
            </w:r>
          </w:p>
        </w:tc>
      </w:tr>
    </w:tbl>
    <w:p>
      <w:pPr>
        <w:pStyle w:val="Caption1"/>
        <w:rPr/>
      </w:pPr>
      <w:r>
        <w:rPr/>
        <w:t>Table D.2: Nuclear track schedule</w:t>
      </w:r>
    </w:p>
    <w:p>
      <w:pPr>
        <w:pStyle w:val="Heading2"/>
        <w:rPr/>
      </w:pPr>
      <w:bookmarkStart w:id="63" w:name="__RefHeading___Toc7294_2800514504"/>
      <w:bookmarkEnd w:id="63"/>
      <w:r>
        <w:rPr/>
        <w:t>D.3 Maritime track deviations (Category M)</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889"/>
        <w:gridCol w:w="2177"/>
        <w:gridCol w:w="3362"/>
        <w:gridCol w:w="1187"/>
        <w:gridCol w:w="1411"/>
      </w:tblGrid>
      <w:tr>
        <w:trPr>
          <w:tblHeader w:val="true"/>
        </w:trPr>
        <w:tc>
          <w:tcPr>
            <w:tcW w:w="88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Ref</w:t>
            </w:r>
          </w:p>
        </w:tc>
        <w:tc>
          <w:tcPr>
            <w:tcW w:w="2177"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Deviation</w:t>
            </w:r>
          </w:p>
        </w:tc>
        <w:tc>
          <w:tcPr>
            <w:tcW w:w="3362"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Technical threshold</w:t>
            </w:r>
          </w:p>
        </w:tc>
        <w:tc>
          <w:tcPr>
            <w:tcW w:w="1187"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Points</w:t>
            </w:r>
          </w:p>
        </w:tc>
        <w:tc>
          <w:tcPr>
            <w:tcW w:w="1411"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Class</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M-1.1</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Toll demand or collection</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Any charge demanded or collected on passage, any name, any amount, including contractual subversion per Article 21.5</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 Three on recurrence</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M-1.2</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Interdiction of commercial transit</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Attack, seizure, enforcement boarding, diversion, or detention outside the Class 8 protocol</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M-1.3</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Corridor closure beyond 72 hours</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Routing adjustment exceeding 72 hours outside Article 5.6 grounds</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M-1.4</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Notice system obstruction</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Failure to issue automatic acknowledgment within 60 minutes, pattern of 3 in 30 days</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M-1.5</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Class 8 protocol breach</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At-sea boarding or diversion of a referred vessel; detention beyond 96 hours</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M-1.6</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Humanitarian delay</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Any administrative delay of a Class 5 vessel</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M-2.1</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Standoff violation</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Naval or unmanned-system breach of SOL-A, SOL-B, or SOL-C geometry without transit notice or rescue status</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M-2.2</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Naval transit without notice</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Class 7 movement without the 96-hour military-channel notice</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M-2.3</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Hotline test failure</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 response to the daily 06:00 UTC channel test</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M-2.4</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Hotline test failure, repeated</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Test failure on 3 consecutive days</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M-2.5</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Incident notification failure</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 incident notification within 15 minutes</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M-2.6</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Emergency channel silence</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 response to an emergency-channel call</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M-2.7</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Blockade reimposition</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Any measure amounting to blockade or quarantine of commercial traffic</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M-2.8</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Ground-truth patrol obstruction</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Prevention of, interference with, or deceptive maneuvering against a scheduled patrol under Article 6.5</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M-3.1</w:t>
            </w:r>
          </w:p>
        </w:tc>
        <w:tc>
          <w:tcPr>
            <w:tcW w:w="217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Mine or ordnance deployment</w:t>
            </w:r>
          </w:p>
        </w:tc>
        <w:tc>
          <w:tcPr>
            <w:tcW w:w="3362"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Laying or tolerance of naval mines in the Governance Area</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88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M-3.2</w:t>
            </w:r>
          </w:p>
        </w:tc>
        <w:tc>
          <w:tcPr>
            <w:tcW w:w="2177"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Escort window abuse</w:t>
            </w:r>
          </w:p>
        </w:tc>
        <w:tc>
          <w:tcPr>
            <w:tcW w:w="3362"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Use of an escorted window for intelligence collection against the other Party</w:t>
            </w:r>
          </w:p>
        </w:tc>
        <w:tc>
          <w:tcPr>
            <w:tcW w:w="1187"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Two</w:t>
            </w:r>
          </w:p>
        </w:tc>
      </w:tr>
    </w:tbl>
    <w:p>
      <w:pPr>
        <w:pStyle w:val="Caption1"/>
        <w:rPr/>
      </w:pPr>
      <w:r>
        <w:rPr/>
        <w:t>Table D.3: Maritime track schedule</w:t>
      </w:r>
    </w:p>
    <w:p>
      <w:pPr>
        <w:pStyle w:val="Heading2"/>
        <w:rPr/>
      </w:pPr>
      <w:bookmarkStart w:id="64" w:name="__RefHeading___Toc7296_2800514504"/>
      <w:bookmarkEnd w:id="64"/>
      <w:r>
        <w:rPr/>
        <w:t>D.4 Economic track deviations (Category E)</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889"/>
        <w:gridCol w:w="2275"/>
        <w:gridCol w:w="3264"/>
        <w:gridCol w:w="1187"/>
        <w:gridCol w:w="1411"/>
      </w:tblGrid>
      <w:tr>
        <w:trPr>
          <w:tblHeader w:val="true"/>
        </w:trPr>
        <w:tc>
          <w:tcPr>
            <w:tcW w:w="88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Ref</w:t>
            </w:r>
          </w:p>
        </w:tc>
        <w:tc>
          <w:tcPr>
            <w:tcW w:w="2275"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Deviation</w:t>
            </w:r>
          </w:p>
        </w:tc>
        <w:tc>
          <w:tcPr>
            <w:tcW w:w="3264"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Technical threshold</w:t>
            </w:r>
          </w:p>
        </w:tc>
        <w:tc>
          <w:tcPr>
            <w:tcW w:w="1187"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Points</w:t>
            </w:r>
          </w:p>
        </w:tc>
        <w:tc>
          <w:tcPr>
            <w:tcW w:w="1411"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Class</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E-1.1</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Waiver renewal failure</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General license block not renewed while Standing Level I or II holds</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E-1.2</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Waiver narrowing outside rule</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License scope narrowed outside the Article 12.2 proportionality rule</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E-1.3</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At-sea cargo interference</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Interference with a cargo loaded and at sea contrary to the completion rule</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E-2.1</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Tranche release delay</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 verified milestone's tranche unreleased at 7 days</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E-2.2</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Tranche release failure</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 verified milestone's tranche unreleased at 30 days</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E-2.3</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Escrow malfunction</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Escrow disbursement outside the milestone schedule or a unilateral freeze</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E-2.4</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Humanitarian channel interference</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Any interference with the humanitarian tranche or the agricultural window</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E-3.1</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Matching guarantee delay</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Matching share unreleased at 90 days after verified project disbursement</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E-3.2</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Fund contribution arrears</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Contribution arrears beyond 60 days after the JCC call</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E-3.3</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Blanket financial disconnection</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Banking-sector disconnection contrary to Article 13.4</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E-4.1</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Reconstruction escrow obstruction</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Interference with the Qatar Central Bank escrow, the no-clawback guarantee, or milestone-verified disbursement under Annex N</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E-4.2</w:t>
            </w:r>
          </w:p>
        </w:tc>
        <w:tc>
          <w:tcPr>
            <w:tcW w:w="2275"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Procurement direction pressure</w:t>
            </w:r>
          </w:p>
        </w:tc>
        <w:tc>
          <w:tcPr>
            <w:tcW w:w="3264"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Any attempt to condition reconstruction funds on procurement from any particular country, contrary to Annex N, Section N.11</w:t>
            </w:r>
          </w:p>
        </w:tc>
        <w:tc>
          <w:tcPr>
            <w:tcW w:w="1187"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Two</w:t>
            </w:r>
          </w:p>
        </w:tc>
      </w:tr>
    </w:tbl>
    <w:p>
      <w:pPr>
        <w:pStyle w:val="Caption1"/>
        <w:rPr/>
      </w:pPr>
      <w:r>
        <w:rPr/>
        <w:t>Table D.4: Economic track schedule</w:t>
      </w:r>
    </w:p>
    <w:p>
      <w:pPr>
        <w:pStyle w:val="Heading2"/>
        <w:rPr/>
      </w:pPr>
      <w:bookmarkStart w:id="65" w:name="__RefHeading___Toc7298_2800514504"/>
      <w:bookmarkEnd w:id="65"/>
      <w:r>
        <w:rPr/>
        <w:t>D.5 Governance and institutional deviations (Categories G and I)</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889"/>
        <w:gridCol w:w="2275"/>
        <w:gridCol w:w="3264"/>
        <w:gridCol w:w="1187"/>
        <w:gridCol w:w="1411"/>
      </w:tblGrid>
      <w:tr>
        <w:trPr>
          <w:tblHeader w:val="true"/>
        </w:trPr>
        <w:tc>
          <w:tcPr>
            <w:tcW w:w="88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Ref</w:t>
            </w:r>
          </w:p>
        </w:tc>
        <w:tc>
          <w:tcPr>
            <w:tcW w:w="2275"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Deviation</w:t>
            </w:r>
          </w:p>
        </w:tc>
        <w:tc>
          <w:tcPr>
            <w:tcW w:w="3264"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Technical threshold</w:t>
            </w:r>
          </w:p>
        </w:tc>
        <w:tc>
          <w:tcPr>
            <w:tcW w:w="1187"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Points</w:t>
            </w:r>
          </w:p>
        </w:tc>
        <w:tc>
          <w:tcPr>
            <w:tcW w:w="1411"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Class</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G-1.1</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Meeting refusal</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Refusal to attend a JCC, Panel, or ladder session within its clock</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G-1.2</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Clock breach</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 dispute-layer clock missed without logged cause, including the Guarantor Panel's 72-hour and 120-hour determination clocks</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G-1.3</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Evidence obstruction</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Obstruction of evidence gathering by any organ</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G-1.4</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Data withholding</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Requested registry data withheld beyond 7 days</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G-1.5</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Binding determination ignored</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Non-compliance with a binding TVG or Panel determination</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G-1.6</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Frivolous challenge pattern</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Three or more challenges in 180 days found without merit</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G-1.7</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Framing misrepresentation</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Three or more findings in 180 days of material misrepresentation beyond protected domestic framing</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G-2.1</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Pause abuse</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Operational pause invoked without legitimate circumstance, or beyond 14 days, or a fourth invocation in a year</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G-2.2</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Pause obligations breach</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Tier A elements, custody, hotline, or humanitarian flows interrupted during a pause</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G-3.1</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Force majeure notification failure</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Notification later than 48 hours</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G-3.2</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Force majeure overrun</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Suspension beyond 60 days without JCC extension</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I-1.1</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Crisis contact failure</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Named crisis contact unreachable at a monthly test</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I-1.2</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Crisis contact failure, repeated</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Three consecutive failed monthly tests</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I-1.3</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Human-review audit failure</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Annual audit criteria unmet: autonomous classification, review beyond 24 hours, false-positive rate at or above 15 percent</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I-1.4</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Recalibration failure</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Recalibration incomplete 30 days after a failed audit</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I-1.5</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Two-key data access breach</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Single-officer access to sensitive registry data, or any edit or deletion of an access log record</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I-1.6</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Council interference</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Interference with the Independent Assurance Council's data access, reporting, or public comment rights under Article 15.9</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w:t>
            </w:r>
          </w:p>
        </w:tc>
      </w:tr>
      <w:tr>
        <w:trPr/>
        <w:tc>
          <w:tcPr>
            <w:tcW w:w="88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I-2.1</w:t>
            </w:r>
          </w:p>
        </w:tc>
        <w:tc>
          <w:tcPr>
            <w:tcW w:w="2275"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Rotation failure</w:t>
            </w:r>
          </w:p>
        </w:tc>
        <w:tc>
          <w:tcPr>
            <w:tcW w:w="3264"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 rotation review not held within its cycle without cause</w:t>
            </w:r>
          </w:p>
        </w:tc>
        <w:tc>
          <w:tcPr>
            <w:tcW w:w="1187"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w:t>
            </w:r>
          </w:p>
        </w:tc>
        <w:tc>
          <w:tcPr>
            <w:tcW w:w="1411"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One</w:t>
            </w:r>
          </w:p>
        </w:tc>
      </w:tr>
      <w:tr>
        <w:trPr/>
        <w:tc>
          <w:tcPr>
            <w:tcW w:w="88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I-2.2</w:t>
            </w:r>
          </w:p>
        </w:tc>
        <w:tc>
          <w:tcPr>
            <w:tcW w:w="2275"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Leadership channel failure</w:t>
            </w:r>
          </w:p>
        </w:tc>
        <w:tc>
          <w:tcPr>
            <w:tcW w:w="3264"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Channel unreachable for 72 hours or a consultation unanswered at 24 hours</w:t>
            </w:r>
          </w:p>
        </w:tc>
        <w:tc>
          <w:tcPr>
            <w:tcW w:w="1187"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3</w:t>
            </w:r>
          </w:p>
        </w:tc>
        <w:tc>
          <w:tcPr>
            <w:tcW w:w="1411"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Two</w:t>
            </w:r>
          </w:p>
        </w:tc>
      </w:tr>
    </w:tbl>
    <w:p>
      <w:pPr>
        <w:pStyle w:val="Caption1"/>
        <w:rPr/>
      </w:pPr>
      <w:r>
        <w:rPr/>
        <w:t>Table D.5: Governance and institutional schedule</w:t>
      </w:r>
    </w:p>
    <w:p>
      <w:pPr>
        <w:pStyle w:val="Heading2"/>
        <w:rPr/>
      </w:pPr>
      <w:bookmarkStart w:id="66" w:name="__RefHeading___Toc7300_2800514504"/>
      <w:bookmarkEnd w:id="66"/>
      <w:r>
        <w:rPr/>
        <w:t>D.6 Deliberate hostile deviations (Category X)</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000"/>
        <w:gridCol w:w="5499"/>
        <w:gridCol w:w="1200"/>
        <w:gridCol w:w="1326"/>
      </w:tblGrid>
      <w:tr>
        <w:trPr>
          <w:tblHeader w:val="true"/>
        </w:trPr>
        <w:tc>
          <w:tcPr>
            <w:tcW w:w="1000"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Ref</w:t>
            </w:r>
          </w:p>
        </w:tc>
        <w:tc>
          <w:tcPr>
            <w:tcW w:w="5499"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Deviation</w:t>
            </w:r>
          </w:p>
        </w:tc>
        <w:tc>
          <w:tcPr>
            <w:tcW w:w="12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Points</w:t>
            </w:r>
          </w:p>
        </w:tc>
        <w:tc>
          <w:tcPr>
            <w:tcW w:w="13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Class</w:t>
            </w:r>
          </w:p>
        </w:tc>
      </w:tr>
      <w:tr>
        <w:trPr/>
        <w:tc>
          <w:tcPr>
            <w:tcW w:w="10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X-1.1</w:t>
            </w:r>
          </w:p>
        </w:tc>
        <w:tc>
          <w:tcPr>
            <w:tcW w:w="54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Nuclear weapons activity of any kind</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3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10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X-1.2</w:t>
            </w:r>
          </w:p>
        </w:tc>
        <w:tc>
          <w:tcPr>
            <w:tcW w:w="54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Diversion of safeguarded material</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3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10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X-1.3</w:t>
            </w:r>
          </w:p>
        </w:tc>
        <w:tc>
          <w:tcPr>
            <w:tcW w:w="54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Attack on IAEA personnel, inspectors, verification equipment, or custody facilities</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3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10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X-1.4</w:t>
            </w:r>
          </w:p>
        </w:tc>
        <w:tc>
          <w:tcPr>
            <w:tcW w:w="54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Attack on nuclear facilities or safeguards infrastructure, by any actor</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3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10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X-1.5</w:t>
            </w:r>
          </w:p>
        </w:tc>
        <w:tc>
          <w:tcPr>
            <w:tcW w:w="54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False-flag operation: staging an event to implicate the other Party</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3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10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X-1.6</w:t>
            </w:r>
          </w:p>
        </w:tc>
        <w:tc>
          <w:tcPr>
            <w:tcW w:w="54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Cyber intrusion into registry, escrow, custody, or corridor systems</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3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10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X-1.7</w:t>
            </w:r>
          </w:p>
        </w:tc>
        <w:tc>
          <w:tcPr>
            <w:tcW w:w="54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Diversion of reconstruction or Fund resources to military or intelligence purposes</w:t>
            </w:r>
          </w:p>
        </w:tc>
        <w:tc>
          <w:tcPr>
            <w:tcW w:w="1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12</w:t>
            </w:r>
          </w:p>
        </w:tc>
        <w:tc>
          <w:tcPr>
            <w:tcW w:w="13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Three</w:t>
            </w:r>
          </w:p>
        </w:tc>
      </w:tr>
      <w:tr>
        <w:trPr/>
        <w:tc>
          <w:tcPr>
            <w:tcW w:w="1000"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X-1.8</w:t>
            </w:r>
          </w:p>
        </w:tc>
        <w:tc>
          <w:tcPr>
            <w:tcW w:w="5499"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Failure of rogue-actor substantiation: the 12-hour substantiation package of Article 9.8 not delivered, or delivered materially incomplete; the event classifies automatically as state-directed</w:t>
            </w:r>
          </w:p>
        </w:tc>
        <w:tc>
          <w:tcPr>
            <w:tcW w:w="12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12</w:t>
            </w:r>
          </w:p>
        </w:tc>
        <w:tc>
          <w:tcPr>
            <w:tcW w:w="13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Three (automatic)</w:t>
            </w:r>
          </w:p>
        </w:tc>
      </w:tr>
    </w:tbl>
    <w:p>
      <w:pPr>
        <w:pStyle w:val="Caption1"/>
        <w:rPr/>
      </w:pPr>
      <w:r>
        <w:rPr/>
        <w:t>Table D.6: Deliberate hostile schedule</w:t>
      </w:r>
    </w:p>
    <w:p>
      <w:pPr>
        <w:pStyle w:val="Heading2"/>
        <w:rPr/>
      </w:pPr>
      <w:bookmarkStart w:id="67" w:name="__RefHeading___Toc7302_2800514504"/>
      <w:bookmarkEnd w:id="67"/>
      <w:r>
        <w:rPr/>
        <w:t>D.7 Symmetry note</w:t>
      </w:r>
    </w:p>
    <w:p>
      <w:pPr>
        <w:pStyle w:val="Normal"/>
        <w:rPr/>
      </w:pPr>
      <w:r>
        <w:rPr/>
        <w:t>The Schedule binds both Parties identically. Categories E-1 and E-2 address United States delivery obligations; categories N and M address Iranian and coastal obligations; categories G and I address both equally; category X addresses any actor, including third parties where evidence establishes responsibility. The Guarantor Panel assigns the affected Protocol for each X-category finding simultaneously with the classification. No entry in this Schedule authorizes military action of any kind, per Article 9.7.</w:t>
      </w:r>
      <w:r>
        <w:br w:type="page"/>
      </w:r>
    </w:p>
    <w:p>
      <w:pPr>
        <w:pStyle w:val="Heading1"/>
        <w:rPr/>
      </w:pPr>
      <w:bookmarkStart w:id="68" w:name="__RefHeading___Toc7304_2800514504"/>
      <w:bookmarkEnd w:id="68"/>
      <w:r>
        <w:rPr/>
        <w:t>Annex E: Graduated Response and Restoration Operating Rules</w:t>
      </w:r>
      <w:bookmarkStart w:id="69" w:name="_TocSg11"/>
      <w:bookmarkEnd w:id="69"/>
    </w:p>
    <w:p>
      <w:pPr>
        <w:pStyle w:val="Normal"/>
        <w:rPr/>
      </w:pPr>
      <w:r>
        <w:rPr>
          <w:i/>
        </w:rPr>
        <w:t>Operative Annex for Article 18. These rules state the response sequencing, the consultation architecture, the restoration ladder, and the protected elements. The system replaces snapback with a gradient that breathes in both directions.</w:t>
      </w:r>
    </w:p>
    <w:p>
      <w:pPr>
        <w:pStyle w:val="Heading2"/>
        <w:rPr/>
      </w:pPr>
      <w:bookmarkStart w:id="70" w:name="__RefHeading___Toc7306_2800514504"/>
      <w:bookmarkEnd w:id="70"/>
      <w:r>
        <w:rPr/>
        <w:t>E.1 Sequenced impact</w:t>
      </w:r>
    </w:p>
    <w:p>
      <w:pPr>
        <w:pStyle w:val="Normal"/>
        <w:rPr/>
      </w:pPr>
      <w:r>
        <w:rPr/>
        <w:t>When a graduated response activates within a Protocol, benefits pause in this exact sequence:</w:t>
      </w:r>
    </w:p>
    <w:p>
      <w:pPr>
        <w:pStyle w:val="Normal"/>
        <w:numPr>
          <w:ilvl w:val="0"/>
          <w:numId w:val="1"/>
        </w:numPr>
        <w:spacing w:lineRule="auto" w:line="312" w:before="0" w:after="120"/>
        <w:rPr/>
      </w:pPr>
      <w:r>
        <w:rPr/>
        <w:t>First affected: discretionary elements, including reconstruction credits, over-performance credits, and bonus disbursements.</w:t>
      </w:r>
    </w:p>
    <w:p>
      <w:pPr>
        <w:pStyle w:val="Normal"/>
        <w:numPr>
          <w:ilvl w:val="0"/>
          <w:numId w:val="1"/>
        </w:numPr>
        <w:spacing w:lineRule="auto" w:line="312" w:before="0" w:after="120"/>
        <w:rPr/>
      </w:pPr>
      <w:r>
        <w:rPr/>
        <w:t>Second affected: commercial financial elements, including expanded licenses and non-humanitarian trade facilitation.</w:t>
      </w:r>
    </w:p>
    <w:p>
      <w:pPr>
        <w:pStyle w:val="Normal"/>
        <w:numPr>
          <w:ilvl w:val="0"/>
          <w:numId w:val="1"/>
        </w:numPr>
        <w:spacing w:lineRule="auto" w:line="312" w:before="0" w:after="120"/>
        <w:rPr/>
      </w:pPr>
      <w:r>
        <w:rPr/>
        <w:t>Third affected: core relief tranches, including scheduled asset releases and license renewals.</w:t>
      </w:r>
    </w:p>
    <w:p>
      <w:pPr>
        <w:pStyle w:val="Normal"/>
        <w:numPr>
          <w:ilvl w:val="0"/>
          <w:numId w:val="1"/>
        </w:numPr>
        <w:spacing w:lineRule="auto" w:line="312" w:before="0" w:after="120"/>
        <w:rPr/>
      </w:pPr>
      <w:r>
        <w:rPr/>
        <w:t>Last affected: core constraints and verification obligations, which persist regardless, including custody, the civilian ceiling, and the corridor rules.</w:t>
      </w:r>
    </w:p>
    <w:p>
      <w:pPr>
        <w:pStyle w:val="Normal"/>
        <w:numPr>
          <w:ilvl w:val="0"/>
          <w:numId w:val="1"/>
        </w:numPr>
        <w:spacing w:lineRule="auto" w:line="312" w:before="0" w:after="120"/>
        <w:rPr/>
      </w:pPr>
      <w:r>
        <w:rPr/>
        <w:t>Never affected: the humanitarian tranche, the agricultural window, released escrowed funds, disbursed reconstruction funds under Annex N's no-clawback guarantee, the hotline and de-confliction channels, Class 5 transit, and the Joint Confidence Account.</w:t>
      </w:r>
    </w:p>
    <w:p>
      <w:pPr>
        <w:pStyle w:val="Heading2"/>
        <w:rPr/>
      </w:pPr>
      <w:bookmarkStart w:id="71" w:name="__RefHeading___Toc7308_2800514504"/>
      <w:bookmarkEnd w:id="71"/>
      <w:r>
        <w:rPr/>
        <w:t>E.2 The proportionality formula</w:t>
      </w:r>
    </w:p>
    <w:p>
      <w:pPr>
        <w:pStyle w:val="Normal"/>
        <w:rPr/>
      </w:pPr>
      <w:r>
        <w:rPr/>
        <w:t>The precise response equals the base class response multiplied by a duration factor multiplied by a remediation factor:</w:t>
      </w:r>
    </w:p>
    <w:p>
      <w:pPr>
        <w:pStyle w:val="Normal"/>
        <w:numPr>
          <w:ilvl w:val="0"/>
          <w:numId w:val="2"/>
        </w:numPr>
        <w:spacing w:lineRule="auto" w:line="312" w:before="0" w:after="120"/>
        <w:rPr/>
      </w:pPr>
      <w:r>
        <w:rPr/>
        <w:t>Duration factor: 0.4 where correction completes within 24 hours; 0.6 within 72 hours; 0.8 within 7 days; 1.0 where the remediation window expires uncured.</w:t>
      </w:r>
    </w:p>
    <w:p>
      <w:pPr>
        <w:pStyle w:val="Normal"/>
        <w:numPr>
          <w:ilvl w:val="0"/>
          <w:numId w:val="2"/>
        </w:numPr>
        <w:spacing w:lineRule="auto" w:line="312" w:before="0" w:after="120"/>
        <w:rPr/>
      </w:pPr>
      <w:r>
        <w:rPr/>
        <w:t>Remediation factor: 0.5 for full verified remediation; 0.75 for partial verified remediation; 1.0 for no remediation.</w:t>
      </w:r>
    </w:p>
    <w:p>
      <w:pPr>
        <w:pStyle w:val="Normal"/>
        <w:rPr/>
      </w:pPr>
      <w:r>
        <w:rPr/>
        <w:t>The JCC applies the formula through Consensus Minus One. The formula prevents a minor glitch from producing a major economic effect, and it rewards speed: the fastest cure carries less than half the weight of the slowest.</w:t>
      </w:r>
    </w:p>
    <w:p>
      <w:pPr>
        <w:pStyle w:val="Heading2"/>
        <w:rPr/>
      </w:pPr>
      <w:bookmarkStart w:id="72" w:name="__RefHeading___Toc7310_2800514504"/>
      <w:bookmarkEnd w:id="72"/>
      <w:r>
        <w:rPr/>
        <w:t>E.3 The consultation architecture</w:t>
      </w:r>
    </w:p>
    <w:p>
      <w:pPr>
        <w:pStyle w:val="Normal"/>
        <w:rPr/>
      </w:pPr>
      <w:r>
        <w:rPr/>
        <w:t>Before any Class Two or Class Three consequence activates, the 48-hour consultation window runs: no consequence accrues; senior officials of both Parties confer directly through the Mediator of Record's facility; the Neutral Administrator proposes de-escalation options; and the window extends to 72 hours by mutual agreement. The window prevents heat-of-moment reactions to technical anomalies, intelligence fragments, or media pressure. The consultation is an obligation, not an option: a Party that declines to confer classifies under Annex D, category G-1.</w:t>
      </w:r>
    </w:p>
    <w:p>
      <w:pPr>
        <w:pStyle w:val="Heading2"/>
        <w:rPr/>
      </w:pPr>
      <w:bookmarkStart w:id="73" w:name="__RefHeading___Toc7312_2800514504"/>
      <w:bookmarkEnd w:id="73"/>
      <w:r>
        <w:rPr/>
        <w:t>E.4 The restoration ladder</w:t>
      </w:r>
    </w:p>
    <w:p>
      <w:pPr>
        <w:pStyle w:val="Normal"/>
        <w:rPr/>
      </w:pPr>
      <w:r>
        <w:rPr/>
        <w:t>Restoration proceeds up a three-rung ladder. Each rung is milestone-based, verification-driven, time-bounded, and published:</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799"/>
        <w:gridCol w:w="3000"/>
        <w:gridCol w:w="2200"/>
        <w:gridCol w:w="2026"/>
      </w:tblGrid>
      <w:tr>
        <w:trPr>
          <w:tblHeader w:val="true"/>
        </w:trPr>
        <w:tc>
          <w:tcPr>
            <w:tcW w:w="17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8"/>
              </w:rPr>
              <w:t>Rung</w:t>
            </w:r>
          </w:p>
        </w:tc>
        <w:tc>
          <w:tcPr>
            <w:tcW w:w="30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8"/>
              </w:rPr>
              <w:t>Content</w:t>
            </w:r>
          </w:p>
        </w:tc>
        <w:tc>
          <w:tcPr>
            <w:tcW w:w="22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8"/>
              </w:rPr>
              <w:t>Verification</w:t>
            </w:r>
          </w:p>
        </w:tc>
        <w:tc>
          <w:tcPr>
            <w:tcW w:w="20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8"/>
              </w:rPr>
              <w:t>Effect</w:t>
            </w:r>
          </w:p>
        </w:tc>
      </w:tr>
      <w:tr>
        <w:trPr/>
        <w:tc>
          <w:tcPr>
            <w:tcW w:w="17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Rung 1: Remediation plan</w:t>
            </w:r>
          </w:p>
        </w:tc>
        <w:tc>
          <w:tcPr>
            <w:tcW w:w="30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The Party files a remediation plan within 7 days of classification, stating actions and dates</w:t>
            </w:r>
          </w:p>
        </w:tc>
        <w:tc>
          <w:tcPr>
            <w:tcW w:w="2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JCC technical acceptance within 5 days</w:t>
            </w:r>
          </w:p>
        </w:tc>
        <w:tc>
          <w:tcPr>
            <w:tcW w:w="2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Response escalation freezes at its current level while the plan runs on time</w:t>
            </w:r>
          </w:p>
        </w:tc>
      </w:tr>
      <w:tr>
        <w:trPr/>
        <w:tc>
          <w:tcPr>
            <w:tcW w:w="17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Rung 2: Verified remediation</w:t>
            </w:r>
          </w:p>
        </w:tc>
        <w:tc>
          <w:tcPr>
            <w:tcW w:w="30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The Party completes the plan; the verifying body certifies the cure</w:t>
            </w:r>
          </w:p>
        </w:tc>
        <w:tc>
          <w:tcPr>
            <w:tcW w:w="22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IAEA or TVG certification within 7 days of completion</w:t>
            </w:r>
          </w:p>
        </w:tc>
        <w:tc>
          <w:tcPr>
            <w:tcW w:w="2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Benefits restore 50 percent immediately; monitoring period opens</w:t>
            </w:r>
          </w:p>
        </w:tc>
      </w:tr>
      <w:tr>
        <w:trPr/>
        <w:tc>
          <w:tcPr>
            <w:tcW w:w="17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8"/>
              </w:rPr>
              <w:t>Rung 3: Sustained compliance</w:t>
            </w:r>
          </w:p>
        </w:tc>
        <w:tc>
          <w:tcPr>
            <w:tcW w:w="30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8"/>
              </w:rPr>
              <w:t>The Party sustains verified compliance for the monitoring period</w:t>
            </w:r>
          </w:p>
        </w:tc>
        <w:tc>
          <w:tcPr>
            <w:tcW w:w="22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8"/>
              </w:rPr>
              <w:t>Certification at period end; Panel confirmation for Class Three</w:t>
            </w:r>
          </w:p>
        </w:tc>
        <w:tc>
          <w:tcPr>
            <w:tcW w:w="20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8"/>
              </w:rPr>
              <w:t>Full restoration; Standing Ratio and Standing Level restore; no permanent record</w:t>
            </w:r>
          </w:p>
        </w:tc>
      </w:tr>
    </w:tbl>
    <w:p>
      <w:pPr>
        <w:pStyle w:val="Caption1"/>
        <w:rPr/>
      </w:pPr>
      <w:r>
        <w:rPr/>
        <w:t>Table E.1: The restoration ladder</w:t>
      </w:r>
    </w:p>
    <w:p>
      <w:pPr>
        <w:pStyle w:val="Normal"/>
        <w:rPr/>
      </w:pPr>
      <w:r>
        <w:rPr/>
        <w:t>Monitoring periods: Class Two, 14 days, reducible to 11 through over-performance credits; Class Three, 90 days phased as 30 days intensive, 30 days standard, 30 days reduced, reducible to 68 through credits. During the monitoring period, no new Class Two or Class Three event occurs; a new event restarts the ladder at Rung 1 for the new event only, without prejudice to the completed rungs of the old.</w:t>
      </w:r>
    </w:p>
    <w:p>
      <w:pPr>
        <w:pStyle w:val="Heading2"/>
        <w:rPr/>
      </w:pPr>
      <w:bookmarkStart w:id="74" w:name="__RefHeading___Toc7314_2800514504"/>
      <w:bookmarkEnd w:id="74"/>
      <w:r>
        <w:rPr/>
        <w:t>E.5 The asset hold</w:t>
      </w:r>
    </w:p>
    <w:p>
      <w:pPr>
        <w:pStyle w:val="Normal"/>
        <w:rPr/>
      </w:pPr>
      <w:r>
        <w:rPr/>
        <w:t>Where a Class Three event completes the full 90-day remediation window uncured, a 60-day asset hold applies to the Party's escrowed discretionary balances: access pauses; assets remain the Party's property; the Neutral Administrator administers the hold; and verified compliance at any point inside the 60 days lifts it immediately with full release. The hold is the Framework's strongest economic measure, and it remains reversible to the last day.</w:t>
      </w:r>
    </w:p>
    <w:p>
      <w:pPr>
        <w:pStyle w:val="Heading2"/>
        <w:rPr/>
      </w:pPr>
      <w:bookmarkStart w:id="75" w:name="__RefHeading___Toc7316_2800514504"/>
      <w:bookmarkEnd w:id="75"/>
      <w:r>
        <w:rPr/>
        <w:t>E.6 The humanitarian reallocation</w:t>
      </w:r>
    </w:p>
    <w:p>
      <w:pPr>
        <w:pStyle w:val="Normal"/>
        <w:rPr/>
      </w:pPr>
      <w:r>
        <w:rPr/>
        <w:t>Where the 60-day asset hold expires uncured, 5 percent of the held balances transfers irrevocably to the Humanitarian Reallocation account, which finances food, medicine, and medical equipment for civilian populations, administered by the Neutral Administrator through established humanitarian agencies. The remaining 95 percent continues under hold, and verified compliance still releases it. The reallocation is not a fine: it converts a fraction of frozen value into humanitarian good, attributes the funding transparently, and leaves the restoration door open. It occurs at most once per event chain.</w:t>
      </w:r>
    </w:p>
    <w:p>
      <w:pPr>
        <w:pStyle w:val="Heading2"/>
        <w:rPr/>
      </w:pPr>
      <w:bookmarkStart w:id="76" w:name="__RefHeading___Toc7318_2800514504"/>
      <w:bookmarkEnd w:id="76"/>
      <w:r>
        <w:rPr/>
        <w:t>E.7 The humanitarian surge</w:t>
      </w:r>
    </w:p>
    <w:p>
      <w:pPr>
        <w:pStyle w:val="Normal"/>
        <w:rPr/>
      </w:pPr>
      <w:r>
        <w:rPr/>
        <w:t>Baseline humanitarian flows operate at 100 percent under every Standing Level. The surge mechanism raises them to 150 percent of baseline for 30 days where: a Class Three event damages civilian infrastructure, verified independently; a Guarantor Panel member certifies humanitarian need exceeding baseline capacity; both Parties jointly request activation; or a United Nations humanitarian agency files a formal surge request. The Joint Confidence Account finances the surge supplement; where it lacks reserves, both Parties contribute equally within 7 days. Either Party terminates a surge on 14 days' notice when conditions stabilize, with Panel review of any dispute.</w:t>
      </w:r>
    </w:p>
    <w:p>
      <w:pPr>
        <w:pStyle w:val="Heading2"/>
        <w:rPr/>
      </w:pPr>
      <w:bookmarkStart w:id="77" w:name="__RefHeading___Toc7320_2800514504"/>
      <w:bookmarkEnd w:id="77"/>
      <w:r>
        <w:rPr/>
        <w:t>E.8 Alert severity for data anomalies</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799"/>
        <w:gridCol w:w="3300"/>
        <w:gridCol w:w="3927"/>
      </w:tblGrid>
      <w:tr>
        <w:trPr>
          <w:tblHeader w:val="true"/>
        </w:trPr>
        <w:tc>
          <w:tcPr>
            <w:tcW w:w="17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8"/>
              </w:rPr>
              <w:t>Level</w:t>
            </w:r>
          </w:p>
        </w:tc>
        <w:tc>
          <w:tcPr>
            <w:tcW w:w="33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8"/>
              </w:rPr>
              <w:t>Signature</w:t>
            </w:r>
          </w:p>
        </w:tc>
        <w:tc>
          <w:tcPr>
            <w:tcW w:w="3927"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8"/>
              </w:rPr>
              <w:t>Handling</w:t>
            </w:r>
          </w:p>
        </w:tc>
      </w:tr>
      <w:tr>
        <w:trPr/>
        <w:tc>
          <w:tcPr>
            <w:tcW w:w="17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Level 1: Informational</w:t>
            </w:r>
          </w:p>
        </w:tc>
        <w:tc>
          <w:tcPr>
            <w:tcW w:w="33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Scheduled maintenance, notified downtime, minor transmission interruption</w:t>
            </w:r>
          </w:p>
        </w:tc>
        <w:tc>
          <w:tcPr>
            <w:tcW w:w="39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Log only; no notification</w:t>
            </w:r>
          </w:p>
        </w:tc>
      </w:tr>
      <w:tr>
        <w:trPr/>
        <w:tc>
          <w:tcPr>
            <w:tcW w:w="17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Level 2: Technical review</w:t>
            </w:r>
          </w:p>
        </w:tc>
        <w:tc>
          <w:tcPr>
            <w:tcW w:w="33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Unscheduled downtime under 4 hours; single anomalous reading without pattern</w:t>
            </w:r>
          </w:p>
        </w:tc>
        <w:tc>
          <w:tcPr>
            <w:tcW w:w="39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TVG review within 7 days; no consequence</w:t>
            </w:r>
          </w:p>
        </w:tc>
      </w:tr>
      <w:tr>
        <w:trPr/>
        <w:tc>
          <w:tcPr>
            <w:tcW w:w="17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Level 3: Compliance review</w:t>
            </w:r>
          </w:p>
        </w:tc>
        <w:tc>
          <w:tcPr>
            <w:tcW w:w="33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Downtime over 4 hours; pattern of anomalous readings</w:t>
            </w:r>
          </w:p>
        </w:tc>
        <w:tc>
          <w:tcPr>
            <w:tcW w:w="39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Enhanced verification within 72 hours; Class One classification if unresolved in 14 days</w:t>
            </w:r>
          </w:p>
        </w:tc>
      </w:tr>
      <w:tr>
        <w:trPr/>
        <w:tc>
          <w:tcPr>
            <w:tcW w:w="17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8"/>
              </w:rPr>
              <w:t>Level 4: Breach indicator</w:t>
            </w:r>
          </w:p>
        </w:tc>
        <w:tc>
          <w:tcPr>
            <w:tcW w:w="33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8"/>
              </w:rPr>
              <w:t>Evidence of tampering, deliberate disablement, or diversion</w:t>
            </w:r>
          </w:p>
        </w:tc>
        <w:tc>
          <w:tcPr>
            <w:tcW w:w="3927"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8"/>
              </w:rPr>
              <w:t>Class Two consideration; JCC convenes in 24 hours; consultation window runs before any consequence</w:t>
            </w:r>
          </w:p>
        </w:tc>
      </w:tr>
    </w:tbl>
    <w:p>
      <w:pPr>
        <w:pStyle w:val="Caption1"/>
        <w:rPr/>
      </w:pPr>
      <w:r>
        <w:rPr/>
        <w:t>Table E.2: Alert severity ladder</w:t>
      </w:r>
    </w:p>
    <w:p>
      <w:pPr>
        <w:pStyle w:val="Normal"/>
        <w:rPr/>
      </w:pPr>
      <w:r>
        <w:rPr/>
        <w:t>Only Level 4 approaches consequence territory. Levels 1 through 3 stay inside technical channels, which keeps noise out of politics and politics out of noise.</w:t>
      </w:r>
    </w:p>
    <w:p>
      <w:pPr>
        <w:pStyle w:val="Heading2"/>
        <w:rPr/>
      </w:pPr>
      <w:bookmarkStart w:id="78" w:name="__RefHeading___Toc7322_2800514504"/>
      <w:bookmarkEnd w:id="78"/>
      <w:r>
        <w:rPr/>
        <w:t>E.9 The good-faith reset</w:t>
      </w:r>
    </w:p>
    <w:p>
      <w:pPr>
        <w:pStyle w:val="Normal"/>
        <w:rPr/>
      </w:pPr>
      <w:r>
        <w:rPr/>
        <w:t>A Party whose active point total reaches 24 or more, or whose Standing Ratio falls below 0.5 for 30 consecutive days, invokes the good-faith reset at most once per rolling 18-month period. Invocation requires three elements, all verified before the reset activates: (a) a written acknowledgment of the deviation record; (b) a two-thirds confirmation by the Guarantor Panel, voting with the invoking Party's nominee to the Panel recused where applicable, that genuine intent to restore compliance exists; and (c) a compliance plan accepted under Rung 1 of the restoration ladder. Upon satisfaction of all three, the active point total resets to 8. The reset preserves accountability through the acknowledgment, demonstrates intent through the plan, and prevents any Party from falling into an irreversible negative spiral. The 18-month interval and the Panel gate together remove the tactic of invoking the reset immediately before a major milestone to wipe the slate clean: the reset exists for genuine recovery, not for strategic timing. A Party that invokes the reset and returns to the same threshold within the following 18 months faces the standard schedule without further reset protection for that period.</w:t>
      </w:r>
      <w:r>
        <w:br w:type="page"/>
      </w:r>
    </w:p>
    <w:p>
      <w:pPr>
        <w:pStyle w:val="Heading1"/>
        <w:rPr/>
      </w:pPr>
      <w:bookmarkStart w:id="79" w:name="__RefHeading___Toc7324_2800514504"/>
      <w:bookmarkEnd w:id="79"/>
      <w:r>
        <w:rPr/>
        <w:t>Annex F: Downblending Technical Protocol</w:t>
      </w:r>
      <w:bookmarkStart w:id="80" w:name="_TocSg12"/>
      <w:bookmarkEnd w:id="80"/>
    </w:p>
    <w:p>
      <w:pPr>
        <w:pStyle w:val="Normal"/>
        <w:rPr/>
      </w:pPr>
      <w:r>
        <w:rPr>
          <w:i/>
        </w:rPr>
        <w:t>Operative Annex for Articles 10 and 11. This Protocol states the complete technical procedure for the disposition of the 60 percent stockpile to 3.67 percent on Iranian soil under IAEA supervision, with dual-lock custody and a sealed in-country storage regime.</w:t>
      </w:r>
    </w:p>
    <w:p>
      <w:pPr>
        <w:pStyle w:val="Heading2"/>
        <w:rPr/>
      </w:pPr>
      <w:bookmarkStart w:id="81" w:name="__RefHeading___Toc7326_2800514504"/>
      <w:bookmarkEnd w:id="81"/>
      <w:r>
        <w:rPr/>
        <w:t>F.1 Facility and equipment</w:t>
      </w:r>
    </w:p>
    <w:p>
      <w:pPr>
        <w:pStyle w:val="Normal"/>
        <w:rPr/>
      </w:pPr>
      <w:r>
        <w:rPr/>
        <w:t>The disposition operates at the Esfahan downblending hall, designated Facility E-DB-1: a blending installation with two independent blending lines, surge and feed cylinder stations, a product cylinder filling station, mass spectrometry sampling points at feed and product, and an adjacent sealed storage module with capacity for 12,000 kilograms of uranium hexafluoride product in 30B and 48Y cylinders. Where the June 2025 strikes degraded blending capability at Esfahan, the protocol activates the Natanz fallback line, designated Facility N-DB-2, under the same custody rules; the IAEA certifies the operating facility before the first batch. The United States and the reconstruction framework contribute blending-skid equipment, cylinders, and sampling apparatus through licensed channels under Tranche T-2, which keeps the operation on schedule without any transfer of enrichment-relevant technology.</w:t>
      </w:r>
    </w:p>
    <w:p>
      <w:pPr>
        <w:pStyle w:val="Heading2"/>
        <w:rPr/>
      </w:pPr>
      <w:bookmarkStart w:id="82" w:name="__RefHeading___Toc7328_2800514504"/>
      <w:bookmarkEnd w:id="82"/>
      <w:r>
        <w:rPr/>
        <w:t>F.2 Feedstock logistics</w:t>
      </w:r>
    </w:p>
    <w:p>
      <w:pPr>
        <w:pStyle w:val="Normal"/>
        <w:rPr/>
      </w:pPr>
      <w:r>
        <w:rPr/>
        <w:t>Natural uranium hexafluoride feedstock, assay approximately 0.711 percent U-235, supplies the diluent. Iran sources the feedstock from its declared inventory, supplemented by commercial purchase through licensed channels where the inventory proves insufficient for the full blend ratio. The total diluent requirement stands at approximately 8,400 kilograms of natural feed for a 440.9 kilogram stockpile, computed at 19.0 kilograms of natural feed per kilogram of 60 percent feed to reach a product assay of 3.67 percent. Depleted uranium feedstock substitutes for natural feed on IAEA-verified assay where operationally convenient. The IAEA verifies every feed cylinder's assay and weight at intake.</w:t>
      </w:r>
    </w:p>
    <w:p>
      <w:pPr>
        <w:pStyle w:val="Heading2"/>
        <w:rPr/>
      </w:pPr>
      <w:bookmarkStart w:id="83" w:name="__RefHeading___Toc7330_2800514504"/>
      <w:bookmarkEnd w:id="83"/>
      <w:r>
        <w:rPr/>
        <w:t>F.3 The batch schedule</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899"/>
        <w:gridCol w:w="1701"/>
        <w:gridCol w:w="1700"/>
        <w:gridCol w:w="1600"/>
        <w:gridCol w:w="1799"/>
        <w:gridCol w:w="1326"/>
      </w:tblGrid>
      <w:tr>
        <w:trPr>
          <w:tblHeader w:val="true"/>
        </w:trPr>
        <w:tc>
          <w:tcPr>
            <w:tcW w:w="8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Batch</w:t>
            </w:r>
          </w:p>
        </w:tc>
        <w:tc>
          <w:tcPr>
            <w:tcW w:w="170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Window</w:t>
            </w:r>
          </w:p>
        </w:tc>
        <w:tc>
          <w:tcPr>
            <w:tcW w:w="17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60 percent feed (kg)</w:t>
            </w:r>
          </w:p>
        </w:tc>
        <w:tc>
          <w:tcPr>
            <w:tcW w:w="16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Natural feed (kg)</w:t>
            </w:r>
          </w:p>
        </w:tc>
        <w:tc>
          <w:tcPr>
            <w:tcW w:w="1799"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Product at 3.67 percent (kg)</w:t>
            </w:r>
          </w:p>
        </w:tc>
        <w:tc>
          <w:tcPr>
            <w:tcW w:w="13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Cumulative product (kg)</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B-1</w:t>
            </w:r>
          </w:p>
        </w:tc>
        <w:tc>
          <w:tcPr>
            <w:tcW w:w="17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Days 1 to 30</w:t>
            </w:r>
          </w:p>
        </w:tc>
        <w:tc>
          <w:tcPr>
            <w:tcW w:w="17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73.5</w:t>
            </w:r>
          </w:p>
        </w:tc>
        <w:tc>
          <w:tcPr>
            <w:tcW w:w="1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1,396</w:t>
            </w:r>
          </w:p>
        </w:tc>
        <w:tc>
          <w:tcPr>
            <w:tcW w:w="17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1,470</w:t>
            </w:r>
          </w:p>
        </w:tc>
        <w:tc>
          <w:tcPr>
            <w:tcW w:w="13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1,470</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B-2</w:t>
            </w:r>
          </w:p>
        </w:tc>
        <w:tc>
          <w:tcPr>
            <w:tcW w:w="17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Days 31 to 60</w:t>
            </w:r>
          </w:p>
        </w:tc>
        <w:tc>
          <w:tcPr>
            <w:tcW w:w="17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73.5</w:t>
            </w:r>
          </w:p>
        </w:tc>
        <w:tc>
          <w:tcPr>
            <w:tcW w:w="1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1,396</w:t>
            </w:r>
          </w:p>
        </w:tc>
        <w:tc>
          <w:tcPr>
            <w:tcW w:w="17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1,470</w:t>
            </w:r>
          </w:p>
        </w:tc>
        <w:tc>
          <w:tcPr>
            <w:tcW w:w="13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2,940</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B-3</w:t>
            </w:r>
          </w:p>
        </w:tc>
        <w:tc>
          <w:tcPr>
            <w:tcW w:w="17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Days 61 to 90</w:t>
            </w:r>
          </w:p>
        </w:tc>
        <w:tc>
          <w:tcPr>
            <w:tcW w:w="17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73.5</w:t>
            </w:r>
          </w:p>
        </w:tc>
        <w:tc>
          <w:tcPr>
            <w:tcW w:w="1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1,396</w:t>
            </w:r>
          </w:p>
        </w:tc>
        <w:tc>
          <w:tcPr>
            <w:tcW w:w="17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1,470</w:t>
            </w:r>
          </w:p>
        </w:tc>
        <w:tc>
          <w:tcPr>
            <w:tcW w:w="13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4,410</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B-4</w:t>
            </w:r>
          </w:p>
        </w:tc>
        <w:tc>
          <w:tcPr>
            <w:tcW w:w="17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Days 91 to 120</w:t>
            </w:r>
          </w:p>
        </w:tc>
        <w:tc>
          <w:tcPr>
            <w:tcW w:w="17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73.5</w:t>
            </w:r>
          </w:p>
        </w:tc>
        <w:tc>
          <w:tcPr>
            <w:tcW w:w="1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1,396</w:t>
            </w:r>
          </w:p>
        </w:tc>
        <w:tc>
          <w:tcPr>
            <w:tcW w:w="17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1,470</w:t>
            </w:r>
          </w:p>
        </w:tc>
        <w:tc>
          <w:tcPr>
            <w:tcW w:w="13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5,880</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B-5</w:t>
            </w:r>
          </w:p>
        </w:tc>
        <w:tc>
          <w:tcPr>
            <w:tcW w:w="17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Days 121 to 150</w:t>
            </w:r>
          </w:p>
        </w:tc>
        <w:tc>
          <w:tcPr>
            <w:tcW w:w="17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73.5</w:t>
            </w:r>
          </w:p>
        </w:tc>
        <w:tc>
          <w:tcPr>
            <w:tcW w:w="1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1,396</w:t>
            </w:r>
          </w:p>
        </w:tc>
        <w:tc>
          <w:tcPr>
            <w:tcW w:w="17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1,470</w:t>
            </w:r>
          </w:p>
        </w:tc>
        <w:tc>
          <w:tcPr>
            <w:tcW w:w="13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7,350</w:t>
            </w:r>
          </w:p>
        </w:tc>
      </w:tr>
      <w:tr>
        <w:trPr/>
        <w:tc>
          <w:tcPr>
            <w:tcW w:w="8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B-6</w:t>
            </w:r>
          </w:p>
        </w:tc>
        <w:tc>
          <w:tcPr>
            <w:tcW w:w="1701"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Days 151 to 180</w:t>
            </w:r>
          </w:p>
        </w:tc>
        <w:tc>
          <w:tcPr>
            <w:tcW w:w="17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73.4</w:t>
            </w:r>
          </w:p>
        </w:tc>
        <w:tc>
          <w:tcPr>
            <w:tcW w:w="16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1,394</w:t>
            </w:r>
          </w:p>
        </w:tc>
        <w:tc>
          <w:tcPr>
            <w:tcW w:w="1799"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1,468</w:t>
            </w:r>
          </w:p>
        </w:tc>
        <w:tc>
          <w:tcPr>
            <w:tcW w:w="13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8,818</w:t>
            </w:r>
          </w:p>
        </w:tc>
      </w:tr>
    </w:tbl>
    <w:p>
      <w:pPr>
        <w:pStyle w:val="Caption1"/>
        <w:rPr/>
      </w:pPr>
      <w:r>
        <w:rPr/>
        <w:t>Table F.1: Batch schedule (figures rounded; the IAEA mass balance governs)</w:t>
      </w:r>
    </w:p>
    <w:p>
      <w:pPr>
        <w:pStyle w:val="Normal"/>
        <w:rPr/>
      </w:pPr>
      <w:r>
        <w:rPr/>
        <w:t>Each batch blends, samples, certifies, and seals within its window. The IAEA certifies each product cylinder's assay at or below 3.67 percent U-235 by mass spectrometry before the cylinder enters the storage module. A cylinder exceeding the assay reprocesses into the next batch's feed stream under the same supervision, and the reprocess logs to the registry. The total disposition completes within 180 days of the first batch. Where retrieval under Article 10.2 encounters damaged-material conditions that delay a batch, the safety-first sequencing governs, the delay logs with the TVG certification, and the schedule extends day-for-day without classification, per the adaptive window of Article 16.5 applied at Tier A by IAEA certification rather than by notice.</w:t>
      </w:r>
    </w:p>
    <w:p>
      <w:pPr>
        <w:pStyle w:val="Heading2"/>
        <w:rPr/>
      </w:pPr>
      <w:bookmarkStart w:id="84" w:name="__RefHeading___Toc7332_2800514504"/>
      <w:bookmarkEnd w:id="84"/>
      <w:r>
        <w:rPr/>
        <w:t>F.4 Custody chain</w:t>
      </w:r>
    </w:p>
    <w:p>
      <w:pPr>
        <w:pStyle w:val="Normal"/>
        <w:rPr/>
      </w:pPr>
      <w:r>
        <w:rPr/>
        <w:t>The custody chain runs: site storage at Fordow, Natanz, or Esfahan tunnels; retrieval under Article 10.2; transport in certified packages under IAEA seal and Assembly escort; intake weighing and assay at Facility E-DB-1; blending; product certification; sealed storage in the module. Every transfer records: date, time, cylinder identifier, gross and net weight, assay, seal numbers before and after, and the two custodians' signatures. The registry logs every record with cryptographic chain of custody. The dual-lock rule of Article 10.4 applies at every storage node: two independent lock-and-seal systems, both custodians present for every opening.</w:t>
      </w:r>
    </w:p>
    <w:p>
      <w:pPr>
        <w:pStyle w:val="Heading2"/>
        <w:rPr/>
      </w:pPr>
      <w:bookmarkStart w:id="85" w:name="__RefHeading___Toc7334_2800514504"/>
      <w:bookmarkEnd w:id="85"/>
      <w:r>
        <w:rPr/>
        <w:t>F.5 Measurement, sampling, and the third-laboratory layer</w:t>
      </w:r>
    </w:p>
    <w:p>
      <w:pPr>
        <w:pStyle w:val="Normal"/>
        <w:rPr/>
      </w:pPr>
      <w:r>
        <w:rPr/>
        <w:t>Measurement standards follow IAEA safeguards practice: gravimetric measurement of every cylinder; mass spectrometry of every feed and product cylinder; statistical material balance evaluation each batch; and a full physical inventory verification at Day 180 and each quarter thereafter. The material balance uncertainty target stands at or below 0.5 percent of throughput. The IAEA draws duplicate samples for its own laboratory network; the Assembly's TVG draws triplicate samples for an independent laboratory from the expert roster.</w:t>
      </w:r>
    </w:p>
    <w:p>
      <w:pPr>
        <w:pStyle w:val="Normal"/>
        <w:rPr/>
      </w:pPr>
      <w:r>
        <w:rPr/>
        <w:t>A third, concealed verification layer operates in addition: one randomly selected product sample per batch travels to an independent laboratory in a neutral state, drawn by lot by the Neutral Administrator from a sealed roster of accredited laboratories, initially including laboratories in Switzerland, Japan, and Finland. The laboratory's identity remains concealed from both Parties and from every organ of the Assembly until the laboratory's result publishes. The Neutral Administrator holds the selection; the TVG holds the chain of custody; neither knows the other's step until publication. A divergence between the third laboratory's assay and the IAEA or TVG assays beyond measurement uncertainty triggers a Level 3 alert under Annex E, Section E.8, and a forensic review of the full sampling chain. Any attempt to identify the concealed laboratory in advance classifies under Annex D, category N-4.3. The concealed layer guarantees that even simultaneous compromise of the two visible channels still leaves one verification line that no actor locates, let alone captures.</w:t>
      </w:r>
    </w:p>
    <w:p>
      <w:pPr>
        <w:pStyle w:val="Heading2"/>
        <w:rPr/>
      </w:pPr>
      <w:bookmarkStart w:id="86" w:name="__RefHeading___Toc7336_2800514504"/>
      <w:bookmarkEnd w:id="86"/>
      <w:r>
        <w:rPr/>
        <w:t>F.6 Verification posture</w:t>
      </w:r>
    </w:p>
    <w:p>
      <w:pPr>
        <w:pStyle w:val="Normal"/>
        <w:rPr/>
      </w:pPr>
      <w:r>
        <w:rPr/>
        <w:t>The IAEA maintains continuous inspector presence at Facility E-DB-1 and the storage module during the 180-day disposition period, with a minimum of two inspectors on site at all times and unannounced access at any hour. After disposition, the posture transitions to a resident rhythm: scheduled weekly verification, unannounced monthly access, quarterly physical inventory, and continuous seal and camera coverage of the storage module perimeter and the blending hall. The Framework deliberately holds automated surveillance to those two locations: the verification load rests on human inspection, physical seals, samples, and accountancy, consistent with the Framework's limited-telemetry design and with the political acceptability rule.</w:t>
      </w:r>
    </w:p>
    <w:p>
      <w:pPr>
        <w:pStyle w:val="Heading2"/>
        <w:rPr/>
      </w:pPr>
      <w:bookmarkStart w:id="87" w:name="__RefHeading___Toc7338_2800514504"/>
      <w:bookmarkEnd w:id="87"/>
      <w:r>
        <w:rPr/>
        <w:t>F.7 Storage module operating rules and independent inspection</w:t>
      </w:r>
    </w:p>
    <w:p>
      <w:pPr>
        <w:pStyle w:val="Normal"/>
        <w:rPr/>
      </w:pPr>
      <w:r>
        <w:rPr/>
        <w:t>The storage module operates as an in-country, Iranian-owned, internationally custodied store:</w:t>
      </w:r>
    </w:p>
    <w:p>
      <w:pPr>
        <w:pStyle w:val="Normal"/>
        <w:numPr>
          <w:ilvl w:val="0"/>
          <w:numId w:val="1"/>
        </w:numPr>
        <w:spacing w:lineRule="auto" w:line="312" w:before="0" w:after="120"/>
        <w:rPr/>
      </w:pPr>
      <w:r>
        <w:rPr/>
        <w:t>Iran owns every cylinder. The module's custodianship never transfers title.</w:t>
      </w:r>
    </w:p>
    <w:p>
      <w:pPr>
        <w:pStyle w:val="Normal"/>
        <w:numPr>
          <w:ilvl w:val="0"/>
          <w:numId w:val="1"/>
        </w:numPr>
        <w:spacing w:lineRule="auto" w:line="312" w:before="0" w:after="120"/>
        <w:rPr/>
      </w:pPr>
      <w:r>
        <w:rPr/>
        <w:t>Withdrawals follow Article 10.5: verified civilian fabrication requests, IAEA end-use verification at destination, dual-lock opening for the verified quantity only.</w:t>
      </w:r>
    </w:p>
    <w:p>
      <w:pPr>
        <w:pStyle w:val="Normal"/>
        <w:numPr>
          <w:ilvl w:val="0"/>
          <w:numId w:val="1"/>
        </w:numPr>
        <w:spacing w:lineRule="auto" w:line="312" w:before="0" w:after="120"/>
        <w:rPr/>
      </w:pPr>
      <w:r>
        <w:rPr/>
        <w:t>The module's inventory publishes monthly to the JCC as aggregate kilograms and cylinder count, with cylinder-level detail available to both Parties and the IAEA at any time.</w:t>
      </w:r>
    </w:p>
    <w:p>
      <w:pPr>
        <w:pStyle w:val="Normal"/>
        <w:numPr>
          <w:ilvl w:val="0"/>
          <w:numId w:val="1"/>
        </w:numPr>
        <w:spacing w:lineRule="auto" w:line="312" w:before="0" w:after="120"/>
        <w:rPr/>
      </w:pPr>
      <w:r>
        <w:rPr/>
        <w:t>The module's physical protection follows IAEA nuclear security guidance, funded as nuclear-safety infrastructure under Article 14.4.</w:t>
      </w:r>
    </w:p>
    <w:p>
      <w:pPr>
        <w:pStyle w:val="Normal"/>
        <w:numPr>
          <w:ilvl w:val="0"/>
          <w:numId w:val="1"/>
        </w:numPr>
        <w:spacing w:lineRule="auto" w:line="312" w:before="0" w:after="120"/>
        <w:rPr/>
      </w:pPr>
      <w:r>
        <w:rPr/>
        <w:t>No deadline forces export or drawdown. The account keeps every kilogram visible indefinitely under the Continuing Effect Rule, and the annual review confirms the drawdown trajectory against the declared civilian program.</w:t>
      </w:r>
    </w:p>
    <w:p>
      <w:pPr>
        <w:pStyle w:val="Normal"/>
        <w:rPr/>
      </w:pPr>
      <w:r>
        <w:rPr/>
        <w:t>Independent inspection layer: one physical inspection per quarter includes, alongside the IAEA team, experts from a neutral state not party to this instrument, drawn from the Article 15.7 roster on rotation, with Japan and Australia as the initial sources. The neutral experts inspect seals, cylinder identifiers, weights, and module integrity at first hand, and their findings attach to the quarterly inventory report as an independent annex that no organ edits. The layer ensures that the IAEA never stands as the sole source of verification for the sealed module: a second, unaffiliated set of eyes confirms the physical reality each quarter. Obstruction or delay of the quarterly independent inspection classifies under Annex D, category N-4.4.</w:t>
      </w:r>
    </w:p>
    <w:p>
      <w:pPr>
        <w:pStyle w:val="Heading2"/>
        <w:rPr/>
      </w:pPr>
      <w:bookmarkStart w:id="88" w:name="__RefHeading___Toc7340_2800514504"/>
      <w:bookmarkEnd w:id="88"/>
      <w:r>
        <w:rPr/>
        <w:t>F.8 Fuel supply assurance</w:t>
      </w:r>
    </w:p>
    <w:p>
      <w:pPr>
        <w:pStyle w:val="Normal"/>
        <w:rPr/>
      </w:pPr>
      <w:r>
        <w:rPr/>
        <w:t>The Framework guarantees Iran's civilian fuel needs independent of the stored stockpile: existing international suppliers continue fuel fabrication for the Bushehr power reactor under their current arrangements; the reconstruction framework licenses expansion of those arrangements; and research-reactor fuel needs route through the IAEA's established supply mechanisms with Assembly facilitation. The assurance removes any operational incentive to re-enrich, and it converts the stored 3.67 percent material into what the Framework intends it to be: a civilian asset with a transparent account, not a strategic reserve.</w:t>
      </w:r>
    </w:p>
    <w:p>
      <w:pPr>
        <w:pStyle w:val="Heading2"/>
        <w:rPr/>
      </w:pPr>
      <w:bookmarkStart w:id="89" w:name="__RefHeading___Toc7342_2800514504"/>
      <w:bookmarkEnd w:id="89"/>
      <w:r>
        <w:rPr/>
        <w:t>F.9 The long-term enrichment plan</w:t>
      </w:r>
    </w:p>
    <w:p>
      <w:pPr>
        <w:pStyle w:val="Normal"/>
        <w:rPr/>
      </w:pPr>
      <w:r>
        <w:rPr/>
        <w:t>Iran attaches its long-term enrichment plan as Schedule F-9: declared capacity, sites, machine types, and production rates at or below the 3.67 percent ceiling, sized to the civilian program's fuel cycle needs. The JCC and the IAEA review the plan annually. The plan's publication converts capability from a contested estimate into a declared, verified fact base, consistent with Article 11.3. Changes to the plan file 90 days before implementation and verify at the next quarterly register update.</w:t>
      </w:r>
    </w:p>
    <w:p>
      <w:pPr>
        <w:pStyle w:val="Heading2"/>
        <w:rPr/>
      </w:pPr>
      <w:bookmarkStart w:id="90" w:name="__RefHeading___Toc7344_2800514504"/>
      <w:bookmarkEnd w:id="90"/>
      <w:r>
        <w:rPr/>
        <w:t>F.10 Cost and funding</w:t>
      </w:r>
    </w:p>
    <w:p>
      <w:pPr>
        <w:pStyle w:val="Normal"/>
        <w:rPr/>
      </w:pPr>
      <w:r>
        <w:rPr/>
        <w:t>The disposition's incremental costs, comprising blending operations, feedstock supplementation, cylinders, sampling, and module upgrades, carry an estimate of USD 180 to 260 million across the 180-day period, funded from the reconstruction framework's nuclear-safety line and the Tranche T-2 licensing package. IAEA safeguards costs follow the Agency's regular arrangements, with the Assembly's two Parties jointly underwriting the incremental inspection effort through voluntary contributions administered by the Neutral Administrator. The shared funding embodies the shared interest: the United States funds part of the machinery that eliminates the material it demands gone, and Iran operates that machinery on its own soil, under its own ownership, with the world watching through the IAEA rather than through any single state's eyes.</w:t>
      </w:r>
      <w:r>
        <w:br w:type="page"/>
      </w:r>
    </w:p>
    <w:p>
      <w:pPr>
        <w:pStyle w:val="Heading1"/>
        <w:rPr/>
      </w:pPr>
      <w:bookmarkStart w:id="91" w:name="__RefHeading___Toc7346_2800514504"/>
      <w:bookmarkEnd w:id="91"/>
      <w:r>
        <w:rPr/>
        <w:t>Annex G: Oil Waiver and Financial License Alignment Schedule</w:t>
      </w:r>
      <w:bookmarkStart w:id="92" w:name="_TocSg13"/>
      <w:bookmarkEnd w:id="92"/>
    </w:p>
    <w:p>
      <w:pPr>
        <w:pStyle w:val="Normal"/>
        <w:rPr/>
      </w:pPr>
      <w:r>
        <w:rPr>
          <w:i/>
        </w:rPr>
        <w:t>Operative Annex for Articles 12, 13, and 14. This Schedule states the alignment between the Framework's Standing Levels and the United States license architecture, so that lawful trade never faces a gap and relief delivery tracks verification on one clock.</w:t>
      </w:r>
    </w:p>
    <w:p>
      <w:pPr>
        <w:pStyle w:val="Heading2"/>
        <w:rPr/>
      </w:pPr>
      <w:bookmarkStart w:id="93" w:name="__RefHeading___Toc7348_2800514504"/>
      <w:bookmarkEnd w:id="93"/>
      <w:r>
        <w:rPr/>
        <w:t>G.1 The license baseline register</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299"/>
        <w:gridCol w:w="3601"/>
        <w:gridCol w:w="4126"/>
      </w:tblGrid>
      <w:tr>
        <w:trPr>
          <w:tblHeader w:val="true"/>
        </w:trPr>
        <w:tc>
          <w:tcPr>
            <w:tcW w:w="12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Element</w:t>
            </w:r>
          </w:p>
        </w:tc>
        <w:tc>
          <w:tcPr>
            <w:tcW w:w="360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Baseline (June 23, 2026 general license)</w:t>
            </w:r>
          </w:p>
        </w:tc>
        <w:tc>
          <w:tcPr>
            <w:tcW w:w="41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Framework treatment</w:t>
            </w:r>
          </w:p>
        </w:tc>
      </w:tr>
      <w:tr>
        <w:trPr/>
        <w:tc>
          <w:tcPr>
            <w:tcW w:w="12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Scope</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Production, export, delivery, sale of Iranian crude, petroleum products, petrochemicals; associated finance, insurance, shipping, freight; dollar settlement; United States port transit</w:t>
            </w:r>
          </w:p>
        </w:tc>
        <w:tc>
          <w:tcPr>
            <w:tcW w:w="41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Renewal Continuity Rule per Article 12.2; scope narrows only in proportion to a Level III deviation and never for humanitarian or at-sea cargoes</w:t>
            </w:r>
          </w:p>
        </w:tc>
      </w:tr>
      <w:tr>
        <w:trPr/>
        <w:tc>
          <w:tcPr>
            <w:tcW w:w="12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Duration</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60 days, through August 21, 2026</w:t>
            </w:r>
          </w:p>
        </w:tc>
        <w:tc>
          <w:tcPr>
            <w:tcW w:w="41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Successive 60-day blocks; renewal default; no calendar gap</w:t>
            </w:r>
          </w:p>
        </w:tc>
      </w:tr>
      <w:tr>
        <w:trPr/>
        <w:tc>
          <w:tcPr>
            <w:tcW w:w="12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Exclusions</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Cuba, North Korea, Crimea carve-outs</w:t>
            </w:r>
          </w:p>
        </w:tc>
        <w:tc>
          <w:tcPr>
            <w:tcW w:w="41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Persist unchanged; no Framework mechanism touches them</w:t>
            </w:r>
          </w:p>
        </w:tc>
      </w:tr>
      <w:tr>
        <w:trPr/>
        <w:tc>
          <w:tcPr>
            <w:tcW w:w="12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Legal posture</w:t>
            </w:r>
          </w:p>
        </w:tc>
        <w:tc>
          <w:tcPr>
            <w:tcW w:w="3601"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Temporary and conditional; underlying architecture intact</w:t>
            </w:r>
          </w:p>
        </w:tc>
        <w:tc>
          <w:tcPr>
            <w:tcW w:w="41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The Framework supplies the verification rhythm that converts temporariness into predictable continuity, pending the final deal's termination schedule under MOU paragraph 7</w:t>
            </w:r>
          </w:p>
        </w:tc>
      </w:tr>
    </w:tbl>
    <w:p>
      <w:pPr>
        <w:pStyle w:val="Caption1"/>
        <w:rPr/>
      </w:pPr>
      <w:r>
        <w:rPr/>
        <w:t>Table G.1: License baseline register</w:t>
      </w:r>
    </w:p>
    <w:p>
      <w:pPr>
        <w:pStyle w:val="Heading2"/>
        <w:rPr/>
      </w:pPr>
      <w:bookmarkStart w:id="94" w:name="__RefHeading___Toc7350_2800514504"/>
      <w:bookmarkEnd w:id="94"/>
      <w:r>
        <w:rPr/>
        <w:t>G.2 The renewal calendar</w:t>
      </w:r>
    </w:p>
    <w:p>
      <w:pPr>
        <w:pStyle w:val="Normal"/>
        <w:rPr/>
      </w:pPr>
      <w:r>
        <w:rPr/>
        <w:t>The renewal calendar publishes 12 months forward, rolling: block dates, decision points, and the Standing Level input for each. The Neutral Administrator certifies the Standing Level to the United States Treasury 10 days before each block boundary, and the certification travels with the complete registry extract so that Treasury's own process verifies the input independently. Where the Level reads I or II at the boundary, the block renews without ceremony. Where the Level reads III, the 30-day review window opens with the license continuing. Where the Level reads IV, the pause rule of Article 12.2 operates with its 30-day outer limit and automatic resumption on restoration. The calendar makes every market participant's planning horizon identical to the Framework's verification rhythm.</w:t>
      </w:r>
    </w:p>
    <w:p>
      <w:pPr>
        <w:pStyle w:val="Heading2"/>
        <w:rPr/>
      </w:pPr>
      <w:bookmarkStart w:id="95" w:name="__RefHeading___Toc7352_2800514504"/>
      <w:bookmarkEnd w:id="95"/>
      <w:r>
        <w:rPr/>
        <w:t>G.3 The escrow and designated accounts</w:t>
      </w:r>
    </w:p>
    <w:p>
      <w:pPr>
        <w:pStyle w:val="Normal"/>
        <w:rPr/>
      </w:pPr>
      <w:r>
        <w:rPr/>
        <w:t>The designated accounts operate at financial institutions selected by the Neutral Administrator with both Parties' consent, in jurisdictions with strong correspondent access. Payment flows: buyer remits to the designated account; the account allocates the humanitarian tranche percentage first, the Fund contribution second, and the general disbursement balance third; disbursement follows the milestone schedule automatically on verification. Every account movement logs to the registry. The account structure gives enforcement visibility without enforcement friction: lawful trade clears in ordinary commercial time, and every dollar's path stays documented for both Parties' regulators.</w:t>
      </w:r>
    </w:p>
    <w:p>
      <w:pPr>
        <w:pStyle w:val="Heading2"/>
        <w:rPr/>
      </w:pPr>
      <w:bookmarkStart w:id="96" w:name="__RefHeading___Toc7354_2800514504"/>
      <w:bookmarkEnd w:id="96"/>
      <w:r>
        <w:rPr/>
        <w:t>G.4 The reconstruction financial package</w:t>
      </w:r>
    </w:p>
    <w:p>
      <w:pPr>
        <w:pStyle w:val="Normal"/>
        <w:rPr/>
      </w:pPr>
      <w:r>
        <w:rPr/>
        <w:t>The MOU paragraph 6 commitment of at least USD 300 billion assembles through the two-layer architecture of Article 14.2 and Annex N: the Multilateral Reconstruction Fund's seven sub-funds; the IMF Special Drawing Rights channel; the frozen asset conversion protocol; the carbon credit pre-financing facility; the coordinated bilateral and regional programs; and private capital mobilized against the Framework's stability attestations and the Political Risk Insurance Pool of Annex N. The Reconstruction Steering Committee publishes the definitive mutually agreed plan within the MOU's 60-day mechanism, and the Assembly's verification rhythm supplies the disbursement gates. All required licenses, waivers, and permissions for the relevant financial transactions issue on the tranche schedule of Article 13.2, consistent with the MOU's own undertaking and with the sanctions firewall of Annex N, Section N.5.</w:t>
      </w:r>
    </w:p>
    <w:p>
      <w:pPr>
        <w:pStyle w:val="Heading2"/>
        <w:rPr/>
      </w:pPr>
      <w:bookmarkStart w:id="97" w:name="__RefHeading___Toc7356_2800514504"/>
      <w:bookmarkEnd w:id="97"/>
      <w:r>
        <w:rPr/>
        <w:t>G.5 Financial messaging reconnection</w:t>
      </w:r>
    </w:p>
    <w:p>
      <w:pPr>
        <w:pStyle w:val="Normal"/>
        <w:rPr/>
      </w:pPr>
      <w:r>
        <w:rPr/>
        <w:t>Financial messaging reconnection proceeds in three phases: Phase 1, restricted reconnection for designated banks handling humanitarian and licensed trade, with Tranche T-1; Phase 2, expanded reconnection for the broader banking sector, with Tranche T-2; Phase 3, full reconnection, with Tranche T-4 after twelve consecutive weeks at Level I or Level II and the sixth batch certification. Targeted isolation under Article 13.4 replaces disconnection at every Standing Level. Each phase's technical onboarding completes within 7 days of its trigger, and a delay classifies under Annex D, category E-2.</w:t>
      </w:r>
    </w:p>
    <w:p>
      <w:pPr>
        <w:pStyle w:val="Heading2"/>
        <w:rPr/>
      </w:pPr>
      <w:bookmarkStart w:id="98" w:name="__RefHeading___Toc7358_2800514504"/>
      <w:bookmarkEnd w:id="98"/>
      <w:r>
        <w:rPr/>
        <w:t>G.6 Buyer and insurer protections</w:t>
      </w:r>
    </w:p>
    <w:p>
      <w:pPr>
        <w:pStyle w:val="Normal"/>
        <w:rPr/>
      </w:pPr>
      <w:r>
        <w:rPr>
          <w:rFonts w:eastAsia="Microsoft YaHei" w:cs="Calibri"/>
          <w:color w:val="263238"/>
          <w:sz w:val="21"/>
          <w:szCs w:val="24"/>
          <w:lang w:val="en-CA" w:eastAsia="en-CA" w:bidi="ar-SA"/>
        </w:rPr>
        <w:t>Buyers and insurers receive: the monthly Neutral Administrator comfort letter; the at-sea completion rule protecting loaded cargoes against any status change; the Class 8 document-resolution channel with its 48-hour standard; and the premium differential index of Annex C, Section C.7 as a published measure of risk normalization. These protections answer the practical question every commercial actor asks after a conflict: what happens to my cargo if politics turns. The Framework's answer is structural and identical for everyone: cargoes at sea complete, insurance stays valid, and the calendar publishes a year ahead.</w:t>
      </w:r>
      <w:r>
        <w:br w:type="page"/>
      </w:r>
    </w:p>
    <w:p>
      <w:pPr>
        <w:pStyle w:val="Heading1"/>
        <w:rPr/>
      </w:pPr>
      <w:bookmarkStart w:id="99" w:name="__RefHeading___Toc7360_2800514504"/>
      <w:bookmarkStart w:id="100" w:name="_TocSg14"/>
      <w:bookmarkEnd w:id="99"/>
      <w:r>
        <w:rPr>
          <w:rFonts w:eastAsia="Microsoft YaHei" w:cs="Calibri"/>
          <w:b/>
          <w:color w:val="455A64"/>
          <w:sz w:val="20"/>
          <w:szCs w:val="24"/>
          <w:lang w:val="en-CA" w:eastAsia="en-CA" w:bidi="ar-SA"/>
        </w:rPr>
        <w:t>Annex H: Communications and De-confliction Protocols</w:t>
      </w:r>
      <w:bookmarkEnd w:id="100"/>
    </w:p>
    <w:p>
      <w:pPr>
        <w:pStyle w:val="Normal"/>
        <w:rPr/>
      </w:pPr>
      <w:r>
        <w:rPr>
          <w:rFonts w:eastAsia="Microsoft YaHei" w:cs="Calibri"/>
          <w:b/>
          <w:i/>
          <w:color w:val="37474F"/>
          <w:sz w:val="16"/>
          <w:szCs w:val="24"/>
          <w:lang w:val="en-CA" w:eastAsia="en-CA" w:bidi="ar-SA"/>
        </w:rPr>
        <w:t>Operative Annex for Articles 8 and 9. These protocols operate the channels, the notice systems, the incident ladder, and the joint exercise program that keep military and maritime actors separated, informed, and predictable.</w:t>
      </w:r>
    </w:p>
    <w:p>
      <w:pPr>
        <w:pStyle w:val="Heading2"/>
        <w:rPr/>
      </w:pPr>
      <w:bookmarkStart w:id="101" w:name="__RefHeading___Toc7362_2800514504"/>
      <w:bookmarkEnd w:id="101"/>
      <w:r>
        <w:rPr>
          <w:rFonts w:eastAsia="Microsoft YaHei" w:cs="Calibri"/>
          <w:b/>
          <w:color w:val="263238"/>
          <w:sz w:val="18"/>
          <w:szCs w:val="24"/>
          <w:lang w:val="en-CA" w:eastAsia="en-CA" w:bidi="ar-SA"/>
        </w:rPr>
        <w:t>H.1 The channel architecture</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899"/>
        <w:gridCol w:w="2900"/>
        <w:gridCol w:w="2700"/>
        <w:gridCol w:w="1526"/>
      </w:tblGrid>
      <w:tr>
        <w:trPr>
          <w:tblHeader w:val="true"/>
        </w:trPr>
        <w:tc>
          <w:tcPr>
            <w:tcW w:w="18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37474F"/>
                <w:sz w:val="16"/>
                <w:szCs w:val="24"/>
                <w:lang w:val="en-CA" w:eastAsia="en-CA" w:bidi="ar-SA"/>
              </w:rPr>
              <w:t>Channel</w:t>
            </w:r>
          </w:p>
        </w:tc>
        <w:tc>
          <w:tcPr>
            <w:tcW w:w="29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37474F"/>
                <w:sz w:val="16"/>
                <w:szCs w:val="24"/>
                <w:lang w:val="en-CA" w:eastAsia="en-CA" w:bidi="ar-SA"/>
              </w:rPr>
              <w:t>Purpose</w:t>
            </w:r>
          </w:p>
        </w:tc>
        <w:tc>
          <w:tcPr>
            <w:tcW w:w="27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37474F"/>
                <w:sz w:val="16"/>
                <w:szCs w:val="24"/>
                <w:lang w:val="en-CA" w:eastAsia="en-CA" w:bidi="ar-SA"/>
              </w:rPr>
              <w:t>Endpoints</w:t>
            </w:r>
          </w:p>
        </w:tc>
        <w:tc>
          <w:tcPr>
            <w:tcW w:w="15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rFonts w:eastAsia="Microsoft YaHei" w:cs="Calibri"/>
                <w:b/>
                <w:color w:val="37474F"/>
                <w:sz w:val="16"/>
                <w:szCs w:val="24"/>
                <w:lang w:val="en-CA" w:eastAsia="en-CA" w:bidi="ar-SA"/>
              </w:rPr>
              <w:t>Availability</w:t>
            </w:r>
          </w:p>
        </w:tc>
      </w:tr>
      <w:tr>
        <w:trPr/>
        <w:tc>
          <w:tcPr>
            <w:tcW w:w="1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Maritime safety channel</w:t>
            </w:r>
          </w:p>
        </w:tc>
        <w:tc>
          <w:tcPr>
            <w:tcW w:w="2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Operational traffic, hazards, schedule, casualties</w:t>
            </w:r>
          </w:p>
        </w:tc>
        <w:tc>
          <w:tcPr>
            <w:tcW w:w="27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COC, both coastal VTS centers, masters via standard maritime frequencies</w:t>
            </w:r>
          </w:p>
        </w:tc>
        <w:tc>
          <w:tcPr>
            <w:tcW w:w="1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Continuous; primary working channel</w:t>
            </w:r>
          </w:p>
        </w:tc>
      </w:tr>
      <w:tr>
        <w:trPr/>
        <w:tc>
          <w:tcPr>
            <w:tcW w:w="1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Military channel</w:t>
            </w:r>
          </w:p>
        </w:tc>
        <w:tc>
          <w:tcPr>
            <w:tcW w:w="2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Class 7 movement notices, standoff geometry traffic, incident notifications</w:t>
            </w:r>
          </w:p>
        </w:tc>
        <w:tc>
          <w:tcPr>
            <w:tcW w:w="27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Designated national military commands and the COC military desk</w:t>
            </w:r>
          </w:p>
        </w:tc>
        <w:tc>
          <w:tcPr>
            <w:tcW w:w="1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Continuous; monitored both ends</w:t>
            </w:r>
          </w:p>
        </w:tc>
      </w:tr>
      <w:tr>
        <w:trPr/>
        <w:tc>
          <w:tcPr>
            <w:tcW w:w="1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Emergency channel</w:t>
            </w:r>
          </w:p>
        </w:tc>
        <w:tc>
          <w:tcPr>
            <w:tcW w:w="2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Imminent incident prevention and immediate stand-down orders</w:t>
            </w:r>
          </w:p>
        </w:tc>
        <w:tc>
          <w:tcPr>
            <w:tcW w:w="27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National command authorities and the COC duty officer</w:t>
            </w:r>
          </w:p>
        </w:tc>
        <w:tc>
          <w:tcPr>
            <w:tcW w:w="1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Continuous; response immediate</w:t>
            </w:r>
          </w:p>
        </w:tc>
      </w:tr>
      <w:tr>
        <w:trPr/>
        <w:tc>
          <w:tcPr>
            <w:tcW w:w="1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Leadership channel</w:t>
            </w:r>
          </w:p>
        </w:tc>
        <w:tc>
          <w:tcPr>
            <w:tcW w:w="2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Article 23.3 consultations</w:t>
            </w:r>
          </w:p>
        </w:tc>
        <w:tc>
          <w:tcPr>
            <w:tcW w:w="27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Heads of government through the Mediator of Record</w:t>
            </w:r>
          </w:p>
        </w:tc>
        <w:tc>
          <w:tcPr>
            <w:tcW w:w="1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Contact within 1 hour, tested monthly</w:t>
            </w:r>
          </w:p>
        </w:tc>
      </w:tr>
      <w:tr>
        <w:trPr/>
        <w:tc>
          <w:tcPr>
            <w:tcW w:w="1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Administrative channel</w:t>
            </w:r>
          </w:p>
        </w:tc>
        <w:tc>
          <w:tcPr>
            <w:tcW w:w="29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Claims, notices, registry traffic, scheduling</w:t>
            </w:r>
          </w:p>
        </w:tc>
        <w:tc>
          <w:tcPr>
            <w:tcW w:w="27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All organs through the registry</w:t>
            </w:r>
          </w:p>
        </w:tc>
        <w:tc>
          <w:tcPr>
            <w:tcW w:w="1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Continuous; logged</w:t>
            </w:r>
          </w:p>
        </w:tc>
      </w:tr>
      <w:tr>
        <w:trPr/>
        <w:tc>
          <w:tcPr>
            <w:tcW w:w="18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GCC coordination channel</w:t>
            </w:r>
          </w:p>
        </w:tc>
        <w:tc>
          <w:tcPr>
            <w:tcW w:w="29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Corridor de-confliction coordination among the GCC naval commands</w:t>
            </w:r>
          </w:p>
        </w:tc>
        <w:tc>
          <w:tcPr>
            <w:tcW w:w="27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GCC Military Committee communications net, the naval commands of Saudi Arabia, Kuwait, Qatar, Bahrain, and the UAE, and the COC</w:t>
            </w:r>
          </w:p>
        </w:tc>
        <w:tc>
          <w:tcPr>
            <w:tcW w:w="15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rFonts w:eastAsia="Microsoft YaHei" w:cs="Calibri"/>
                <w:color w:val="263238"/>
                <w:sz w:val="16"/>
                <w:szCs w:val="24"/>
                <w:lang w:val="en-CA" w:eastAsia="en-CA" w:bidi="ar-SA"/>
              </w:rPr>
              <w:t>Continuous; the channel receives automated feeds from the COC's shared operational picture</w:t>
            </w:r>
          </w:p>
        </w:tc>
      </w:tr>
    </w:tbl>
    <w:p>
      <w:pPr>
        <w:pStyle w:val="Caption1"/>
        <w:rPr/>
      </w:pPr>
      <w:r>
        <w:rPr>
          <w:rFonts w:eastAsia="Microsoft YaHei" w:cs="Calibri"/>
          <w:b/>
          <w:color w:val="263238"/>
          <w:sz w:val="21"/>
          <w:szCs w:val="24"/>
          <w:lang w:val="en-CA" w:eastAsia="en-CA" w:bidi="ar-SA"/>
        </w:rPr>
        <w:t>Table H.1: Channel architecture</w:t>
      </w:r>
    </w:p>
    <w:p>
      <w:pPr>
        <w:pStyle w:val="Heading2"/>
        <w:rPr/>
      </w:pPr>
      <w:bookmarkStart w:id="102" w:name="__RefHeading___Toc7364_2800514504"/>
      <w:bookmarkEnd w:id="102"/>
      <w:r>
        <w:rPr>
          <w:rFonts w:eastAsia="Microsoft YaHei" w:cs="Calibri"/>
          <w:b/>
          <w:color w:val="263238"/>
          <w:sz w:val="18"/>
          <w:szCs w:val="24"/>
          <w:lang w:val="en-CA" w:eastAsia="en-CA" w:bidi="ar-SA"/>
        </w:rPr>
        <w:t>H.2 Crisis contacts: named, senior, and public</w:t>
      </w:r>
    </w:p>
    <w:p>
      <w:pPr>
        <w:pStyle w:val="Normal"/>
        <w:rPr/>
      </w:pPr>
      <w:r>
        <w:rPr>
          <w:rFonts w:eastAsia="Microsoft YaHei" w:cs="Calibri"/>
          <w:color w:val="263238"/>
          <w:sz w:val="21"/>
          <w:szCs w:val="24"/>
          <w:lang w:val="en-CA" w:eastAsia="en-CA" w:bidi="ar-SA"/>
        </w:rPr>
        <w:t>The Primary Crisis Contact of each Party holds the rank of serving Deputy Minister or equivalent and stands publicly named in the signature block of this instrument under Article 24.6. The public naming creates personal accountability: in a crisis, both Parties and the world know exactly who answers. The Primary Crisis Contact never consists of a rotating office or an anonymous duty desk. A Party replaces its Primary Crisis Contact only through written notification to the depositary, effective upon publication, with the successor holding the same rank; the public record updates within 24 hours. Two named deputies support the Primary Crisis Contact per Article 15.8, and contact details refresh quarterly with a live verification call. The structure prevents the classic failure mode in which a Party hides behind a low-level bureaucrat or an unreachable office precisely when the channel matters most.</w:t>
      </w:r>
    </w:p>
    <w:p>
      <w:pPr>
        <w:pStyle w:val="Normal"/>
        <w:rPr/>
      </w:pPr>
      <w:r>
        <w:rPr>
          <w:rFonts w:eastAsia="Microsoft YaHei" w:cs="Calibri"/>
          <w:color w:val="263238"/>
          <w:sz w:val="21"/>
          <w:szCs w:val="24"/>
          <w:lang w:val="en-CA" w:eastAsia="en-CA" w:bidi="ar-SA"/>
        </w:rPr>
        <w:t>The military channel tests daily at 06:00 UTC: a formatted test message each way, acknowledged within 30 minutes. The emergency channel tests weekly. The leadership channel tests monthly through the Mediator of Record, including a live reach to each Primary Crisis Contact. Test results log to the registry; failures classify under Annex D, categories M-2 and I-1.</w:t>
      </w:r>
    </w:p>
    <w:p>
      <w:pPr>
        <w:pStyle w:val="Heading2"/>
        <w:rPr/>
      </w:pPr>
      <w:bookmarkStart w:id="103" w:name="__RefHeading___Toc7366_2800514504"/>
      <w:bookmarkEnd w:id="103"/>
      <w:r>
        <w:rPr>
          <w:rFonts w:eastAsia="Microsoft YaHei" w:cs="Calibri"/>
          <w:b/>
          <w:color w:val="263238"/>
          <w:sz w:val="18"/>
          <w:szCs w:val="24"/>
          <w:lang w:val="en-CA" w:eastAsia="en-CA" w:bidi="ar-SA"/>
        </w:rPr>
        <w:t>H.3 Notice and acknowledgment standards</w:t>
      </w:r>
    </w:p>
    <w:p>
      <w:pPr>
        <w:pStyle w:val="Normal"/>
        <w:rPr/>
      </w:pPr>
      <w:r>
        <w:rPr>
          <w:rFonts w:eastAsia="Microsoft YaHei" w:cs="Calibri"/>
          <w:color w:val="263238"/>
          <w:sz w:val="21"/>
          <w:szCs w:val="24"/>
          <w:lang w:val="en-CA" w:eastAsia="en-CA" w:bidi="ar-SA"/>
        </w:rPr>
        <w:t>Every notice under this instrument follows a standard formatted structure: identifier, originator, subject, coordinates or reference, time window, and requested acknowledgment. Acknowledgment standards: transit notices for Corridor Two, 60 minutes, automatic; Class 7 movement notices, immediate automatic receipt plus 24-hour operational review; incident notifications, immediate; emergency-channel calls, immediate answer with a duty officer empowered to issue stand-down orders. Silence rules: silence beyond the acknowledgment window constitutes acknowledgment for transit notices; silence never constitutes consent for any military matter, where silence triggers escalation to the next channel level instead.</w:t>
      </w:r>
    </w:p>
    <w:p>
      <w:pPr>
        <w:pStyle w:val="Heading2"/>
        <w:rPr/>
      </w:pPr>
      <w:bookmarkStart w:id="104" w:name="__RefHeading___Toc7368_2800514504"/>
      <w:bookmarkEnd w:id="104"/>
      <w:r>
        <w:rPr>
          <w:rFonts w:eastAsia="Microsoft YaHei" w:cs="Calibri"/>
          <w:b/>
          <w:color w:val="263238"/>
          <w:sz w:val="18"/>
          <w:szCs w:val="24"/>
          <w:lang w:val="en-CA" w:eastAsia="en-CA" w:bidi="ar-SA"/>
        </w:rPr>
        <w:t>H.4 The shared operational picture</w:t>
      </w:r>
    </w:p>
    <w:p>
      <w:pPr>
        <w:pStyle w:val="Normal"/>
        <w:rPr/>
      </w:pPr>
      <w:r>
        <w:rPr>
          <w:rFonts w:eastAsia="Microsoft YaHei" w:cs="Calibri"/>
          <w:color w:val="263238"/>
          <w:sz w:val="21"/>
          <w:szCs w:val="24"/>
          <w:lang w:val="en-CA" w:eastAsia="en-CA" w:bidi="ar-SA"/>
        </w:rPr>
        <w:t>The COC maintains the shared operational picture: a fused display of corridor traffic, Class 7 movements at the notice level, standoff geometry, anchorages, and active incidents. The picture draws on coastal radar, automatic identification system feeds, the notice systems, the ground-truth patrol program of Article 6.5, and commercial satellite data contracted by the Neutral Administrator. Both Parties receive the identical picture with identical latency. The picture deliberately excludes weapons-system detail, force disposition beyond the notice level, and intelligence product: it displays what de-confliction needs and nothing more, which keeps the system politically sustainable on both sides.</w:t>
      </w:r>
    </w:p>
    <w:p>
      <w:pPr>
        <w:pStyle w:val="Normal"/>
        <w:rPr/>
      </w:pPr>
      <w:r>
        <w:rPr>
          <w:rFonts w:eastAsia="Microsoft YaHei" w:cs="Calibri"/>
          <w:color w:val="263238"/>
          <w:sz w:val="21"/>
          <w:szCs w:val="24"/>
          <w:lang w:val="en-CA" w:eastAsia="en-CA" w:bidi="ar-SA"/>
        </w:rPr>
        <w:t>Satellite redundancy rule: the Neutral Administrator contracts with at least two independent commercial satellite providers, drawn from separate corporate and national ownership structures, initially one United States-based provider and one Europe-based provider, and cross-references the two feeds continuously. A discrepancy between feeds triggers a Level 2 alert under Annex E, Section E.8 and a ground-truth patrol tasking under Article 6.5. The redundancy removes the possibility of blinding the Framework by compromising, jamming, or delaying a single source of truth.</w:t>
      </w:r>
    </w:p>
    <w:p>
      <w:pPr>
        <w:pStyle w:val="Heading2"/>
        <w:rPr/>
      </w:pPr>
      <w:bookmarkStart w:id="105" w:name="__RefHeading___Toc7370_2800514504"/>
      <w:bookmarkEnd w:id="105"/>
      <w:r>
        <w:rPr>
          <w:rFonts w:eastAsia="Microsoft YaHei" w:cs="Calibri"/>
          <w:b/>
          <w:color w:val="263238"/>
          <w:sz w:val="18"/>
          <w:szCs w:val="24"/>
          <w:lang w:val="en-CA" w:eastAsia="en-CA" w:bidi="ar-SA"/>
        </w:rPr>
        <w:t>H.5 The incident ladder</w:t>
      </w:r>
    </w:p>
    <w:p>
      <w:pPr>
        <w:pStyle w:val="Normal"/>
        <w:rPr/>
      </w:pPr>
      <w:r>
        <w:rPr>
          <w:rFonts w:eastAsia="Microsoft YaHei" w:cs="Calibri"/>
          <w:color w:val="263238"/>
          <w:sz w:val="21"/>
          <w:szCs w:val="24"/>
          <w:lang w:val="en-CA" w:eastAsia="en-CA" w:bidi="ar-SA"/>
        </w:rPr>
        <w:t>Any incident inside the Governance Area follows six steps, each with a clock:</w:t>
      </w:r>
    </w:p>
    <w:p>
      <w:pPr>
        <w:pStyle w:val="Normal"/>
        <w:numPr>
          <w:ilvl w:val="0"/>
          <w:numId w:val="1"/>
        </w:numPr>
        <w:spacing w:lineRule="auto" w:line="312" w:before="0" w:after="120"/>
        <w:rPr/>
      </w:pPr>
      <w:r>
        <w:rPr>
          <w:rFonts w:eastAsia="Microsoft YaHei" w:cs="Calibri"/>
          <w:color w:val="263238"/>
          <w:sz w:val="21"/>
          <w:szCs w:val="24"/>
          <w:lang w:val="en-CA" w:eastAsia="en-CA" w:bidi="ar-SA"/>
        </w:rPr>
        <w:t>Stand-down: involved units execute the pre-vetted stand-down order immediately upon the incident or upon an emergency-channel call; the stand-down holds until the COC chief watch officer confirms resolution or upgrade.</w:t>
      </w:r>
    </w:p>
    <w:p>
      <w:pPr>
        <w:pStyle w:val="Normal"/>
        <w:numPr>
          <w:ilvl w:val="0"/>
          <w:numId w:val="1"/>
        </w:numPr>
        <w:spacing w:lineRule="auto" w:line="312" w:before="0" w:after="120"/>
        <w:rPr/>
      </w:pPr>
      <w:r>
        <w:rPr>
          <w:rFonts w:eastAsia="Microsoft YaHei" w:cs="Calibri"/>
          <w:color w:val="263238"/>
          <w:sz w:val="21"/>
          <w:szCs w:val="24"/>
          <w:lang w:val="en-CA" w:eastAsia="en-CA" w:bidi="ar-SA"/>
        </w:rPr>
        <w:t>Notification: the incident notifies through the military channel within 15 minutes, with position, units, and nature.</w:t>
      </w:r>
    </w:p>
    <w:p>
      <w:pPr>
        <w:pStyle w:val="Normal"/>
        <w:numPr>
          <w:ilvl w:val="0"/>
          <w:numId w:val="1"/>
        </w:numPr>
        <w:spacing w:lineRule="auto" w:line="312" w:before="0" w:after="120"/>
        <w:rPr/>
      </w:pPr>
      <w:r>
        <w:rPr>
          <w:rFonts w:eastAsia="Microsoft YaHei" w:cs="Calibri"/>
          <w:color w:val="263238"/>
          <w:sz w:val="21"/>
          <w:szCs w:val="24"/>
          <w:lang w:val="en-CA" w:eastAsia="en-CA" w:bidi="ar-SA"/>
        </w:rPr>
        <w:t>Conference: an emergency video conference between designated technical representatives convenes within 30 minutes.</w:t>
      </w:r>
    </w:p>
    <w:p>
      <w:pPr>
        <w:pStyle w:val="Normal"/>
        <w:numPr>
          <w:ilvl w:val="0"/>
          <w:numId w:val="1"/>
        </w:numPr>
        <w:spacing w:lineRule="auto" w:line="312" w:before="0" w:after="120"/>
        <w:rPr/>
      </w:pPr>
      <w:r>
        <w:rPr>
          <w:rFonts w:eastAsia="Microsoft YaHei" w:cs="Calibri"/>
          <w:color w:val="263238"/>
          <w:sz w:val="21"/>
          <w:szCs w:val="24"/>
          <w:lang w:val="en-CA" w:eastAsia="en-CA" w:bidi="ar-SA"/>
        </w:rPr>
        <w:t>Fact record: a joint fact record assembles within 24 hours from the shared operational picture, voice recordings, patrol observations, and unit logs; the registry seals it.</w:t>
      </w:r>
    </w:p>
    <w:p>
      <w:pPr>
        <w:pStyle w:val="Normal"/>
        <w:numPr>
          <w:ilvl w:val="0"/>
          <w:numId w:val="1"/>
        </w:numPr>
        <w:spacing w:lineRule="auto" w:line="312" w:before="0" w:after="120"/>
        <w:rPr/>
      </w:pPr>
      <w:r>
        <w:rPr>
          <w:rFonts w:eastAsia="Microsoft YaHei" w:cs="Calibri"/>
          <w:color w:val="263238"/>
          <w:sz w:val="21"/>
          <w:szCs w:val="24"/>
          <w:lang w:val="en-CA" w:eastAsia="en-CA" w:bidi="ar-SA"/>
        </w:rPr>
        <w:t>Attribution deferral: 48 hours pass before any classification; forensic review precedes any finding; the substantiation duty of Article 9.8 applies to any rogue-actor or false-flag claim from hour zero.</w:t>
      </w:r>
    </w:p>
    <w:p>
      <w:pPr>
        <w:pStyle w:val="Normal"/>
        <w:numPr>
          <w:ilvl w:val="0"/>
          <w:numId w:val="1"/>
        </w:numPr>
        <w:spacing w:lineRule="auto" w:line="312" w:before="0" w:after="120"/>
        <w:rPr/>
      </w:pPr>
      <w:r>
        <w:rPr>
          <w:rFonts w:eastAsia="Microsoft YaHei" w:cs="Calibri"/>
          <w:color w:val="263238"/>
          <w:sz w:val="21"/>
          <w:szCs w:val="24"/>
          <w:lang w:val="en-CA" w:eastAsia="en-CA" w:bidi="ar-SA"/>
        </w:rPr>
        <w:t>Classification and closure: the incident classifies under Annex D on verified evidence, or closes as accident, third-party action, or unresolved, with the outcome logged to the pattern repository.</w:t>
      </w:r>
    </w:p>
    <w:p>
      <w:pPr>
        <w:pStyle w:val="Normal"/>
        <w:rPr/>
      </w:pPr>
      <w:r>
        <w:rPr>
          <w:rFonts w:eastAsia="Microsoft YaHei" w:cs="Calibri"/>
          <w:color w:val="263238"/>
          <w:sz w:val="21"/>
          <w:szCs w:val="24"/>
          <w:lang w:val="en-CA" w:eastAsia="en-CA" w:bidi="ar-SA"/>
        </w:rPr>
        <w:t>The substantiation clock of Article 9.8 runs independently of the attribution deferral: a Party claiming a rogue actor or false flag delivers its full, unredacted chain-of-command records and communications logs to the TVG within 12 hours of the claim, failing which the event classifies automatically as state-directed under Annex D, category X-1.8. The Independent Investigation Facility of Annex J, Section J.7 funds the forensic work, so the investigation never waits on a budget line.</w:t>
      </w:r>
    </w:p>
    <w:p>
      <w:pPr>
        <w:pStyle w:val="Heading2"/>
        <w:rPr/>
      </w:pPr>
      <w:bookmarkStart w:id="106" w:name="__RefHeading___Toc7372_2800514504"/>
      <w:bookmarkEnd w:id="106"/>
      <w:r>
        <w:rPr>
          <w:rFonts w:eastAsia="Microsoft YaHei" w:cs="Calibri"/>
          <w:b/>
          <w:color w:val="263238"/>
          <w:sz w:val="18"/>
          <w:szCs w:val="24"/>
          <w:lang w:val="en-CA" w:eastAsia="en-CA" w:bidi="ar-SA"/>
        </w:rPr>
        <w:t>H.6 Pre-authorizations</w:t>
      </w:r>
    </w:p>
    <w:p>
      <w:pPr>
        <w:pStyle w:val="Normal"/>
        <w:rPr/>
      </w:pPr>
      <w:r>
        <w:rPr>
          <w:rFonts w:eastAsia="Microsoft YaHei" w:cs="Calibri"/>
          <w:color w:val="263238"/>
          <w:sz w:val="21"/>
          <w:szCs w:val="24"/>
          <w:lang w:val="en-CA" w:eastAsia="en-CA" w:bidi="ar-SA"/>
        </w:rPr>
        <w:t>The following pre-authorizations activate without fresh consent in the moment of need, per Article 16.4: (a) rescue units of either coastal state enter any part of the Governance Area during a declared distress phase; (b) mine clearance units operate jointly anywhere in the Governance Area under Neutral Administrator observation upon an ordnance discovery; (c) tugs and salvage contracted under Article 8.2 cross corridor lines on COC tasking; (d) medical evacuation aircraft use the de-confliction air corridor at altitudes above 10,000 feet on emergency-channel notification; and (e) the emergency channel relays through the Neutral Administrator where a direct path degrades, with identical latency both ways.</w:t>
      </w:r>
    </w:p>
    <w:p>
      <w:pPr>
        <w:pStyle w:val="Heading2"/>
        <w:rPr/>
      </w:pPr>
      <w:bookmarkStart w:id="107" w:name="__RefHeading___Toc7374_2800514504"/>
      <w:bookmarkEnd w:id="107"/>
      <w:r>
        <w:rPr>
          <w:rFonts w:eastAsia="Microsoft YaHei" w:cs="Calibri"/>
          <w:b/>
          <w:color w:val="263238"/>
          <w:sz w:val="18"/>
          <w:szCs w:val="24"/>
          <w:lang w:val="en-CA" w:eastAsia="en-CA" w:bidi="ar-SA"/>
        </w:rPr>
        <w:t>H.7 Exercises and familiarization</w:t>
      </w:r>
    </w:p>
    <w:p>
      <w:pPr>
        <w:pStyle w:val="Normal"/>
        <w:rPr/>
      </w:pPr>
      <w:r>
        <w:rPr>
          <w:rFonts w:eastAsia="Microsoft YaHei" w:cs="Calibri"/>
          <w:color w:val="263238"/>
          <w:sz w:val="21"/>
          <w:szCs w:val="24"/>
          <w:lang w:val="en-CA" w:eastAsia="en-CA" w:bidi="ar-SA"/>
        </w:rPr>
        <w:t>The COC runs: monthly tabletop exercises on the incident ladder with both Parties' military desks; quarterly communications exercises across all channels; twice-yearly joint search and rescue and pollution response exercises under Article 8.4; and an annual full-spectrum exercise simulating a corridor surge under Article 5.6. Exercise results enter the pattern repository. No exercise rehearses combat against the other Party; every exercise rehearses the Framework itself.</w:t>
      </w:r>
    </w:p>
    <w:p>
      <w:pPr>
        <w:pStyle w:val="Heading2"/>
        <w:rPr/>
      </w:pPr>
      <w:bookmarkStart w:id="108" w:name="__RefHeading___Toc7376_2800514504"/>
      <w:bookmarkEnd w:id="108"/>
      <w:r>
        <w:rPr>
          <w:rFonts w:eastAsia="Microsoft YaHei" w:cs="Calibri"/>
          <w:b/>
          <w:color w:val="263238"/>
          <w:sz w:val="18"/>
          <w:szCs w:val="24"/>
          <w:lang w:val="en-CA" w:eastAsia="en-CA" w:bidi="ar-SA"/>
        </w:rPr>
        <w:t>H.8 Air de-confliction</w:t>
      </w:r>
    </w:p>
    <w:p>
      <w:pPr>
        <w:pStyle w:val="Normal"/>
        <w:rPr/>
      </w:pPr>
      <w:r>
        <w:rPr>
          <w:rFonts w:eastAsia="Microsoft YaHei" w:cs="Calibri"/>
          <w:color w:val="263238"/>
          <w:sz w:val="21"/>
          <w:szCs w:val="24"/>
          <w:lang w:val="en-CA" w:eastAsia="en-CA" w:bidi="ar-SA"/>
        </w:rPr>
        <w:t>Manned military aviation of the Parties observes: no overflight of the corridor lanes below 5,000 feet within the Governance Area except declared rescue or medical evacuation; unmanned systems per Article 9.2; and notification of military air activity within the Governance Area through the military channel 24 hours in advance in general terms. Civil aviation follows standard international civil aviation rules with the COC informed of any route changes touching the corridors.</w:t>
      </w:r>
      <w:r>
        <w:br w:type="page"/>
      </w:r>
    </w:p>
    <w:p>
      <w:pPr>
        <w:pStyle w:val="Heading1"/>
        <w:rPr/>
      </w:pPr>
      <w:bookmarkStart w:id="109" w:name="__RefHeading___Toc7378_2800514504"/>
      <w:bookmarkStart w:id="110" w:name="_TocSg15"/>
      <w:bookmarkEnd w:id="109"/>
      <w:r>
        <w:rPr>
          <w:rFonts w:eastAsia="Microsoft YaHei" w:cs="Calibri"/>
          <w:b/>
          <w:color w:val="455A64"/>
          <w:sz w:val="20"/>
          <w:szCs w:val="24"/>
          <w:lang w:val="en-CA" w:eastAsia="en-CA" w:bidi="ar-SA"/>
        </w:rPr>
        <w:t>Annex I: Anticipation Registry Operating Rules</w:t>
      </w:r>
      <w:bookmarkEnd w:id="110"/>
    </w:p>
    <w:p>
      <w:pPr>
        <w:pStyle w:val="Normal"/>
        <w:rPr/>
      </w:pPr>
      <w:r>
        <w:rPr>
          <w:rFonts w:eastAsia="Microsoft YaHei" w:cs="Calibri"/>
          <w:b/>
          <w:i/>
          <w:color w:val="37474F"/>
          <w:sz w:val="16"/>
          <w:szCs w:val="24"/>
          <w:lang w:val="en-CA" w:eastAsia="en-CA" w:bidi="ar-SA"/>
        </w:rPr>
        <w:t>Operative Annex for Article 19. These rules establish the expected patterns, tolerance bands, classification procedure, recalibration mechanics, and the pattern repository. The Registry detects drift before drift becomes dispute; it imposes no consequence by itself.</w:t>
      </w:r>
    </w:p>
    <w:p>
      <w:pPr>
        <w:pStyle w:val="Heading2"/>
        <w:rPr/>
      </w:pPr>
      <w:bookmarkStart w:id="111" w:name="__RefHeading___Toc7380_2800514504"/>
      <w:bookmarkEnd w:id="111"/>
      <w:r>
        <w:rPr>
          <w:rFonts w:eastAsia="Microsoft YaHei" w:cs="Calibri"/>
          <w:b/>
          <w:color w:val="263238"/>
          <w:sz w:val="18"/>
          <w:szCs w:val="24"/>
          <w:lang w:val="en-CA" w:eastAsia="en-CA" w:bidi="ar-SA"/>
        </w:rPr>
        <w:t>I.1 The initial pattern set</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599"/>
        <w:gridCol w:w="2400"/>
        <w:gridCol w:w="2600"/>
        <w:gridCol w:w="1426"/>
      </w:tblGrid>
      <w:tr>
        <w:trPr>
          <w:tblHeader w:val="true"/>
        </w:trPr>
        <w:tc>
          <w:tcPr>
            <w:tcW w:w="25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37474F"/>
                <w:sz w:val="16"/>
                <w:szCs w:val="24"/>
                <w:lang w:val="en-CA" w:eastAsia="en-CA" w:bidi="ar-SA"/>
              </w:rPr>
              <w:t>Pattern</w:t>
            </w:r>
          </w:p>
        </w:tc>
        <w:tc>
          <w:tcPr>
            <w:tcW w:w="24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37474F"/>
                <w:sz w:val="16"/>
                <w:szCs w:val="24"/>
                <w:lang w:val="en-CA" w:eastAsia="en-CA" w:bidi="ar-SA"/>
              </w:rPr>
              <w:t>Expected value</w:t>
            </w:r>
          </w:p>
        </w:tc>
        <w:tc>
          <w:tcPr>
            <w:tcW w:w="26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37474F"/>
                <w:sz w:val="16"/>
                <w:szCs w:val="24"/>
                <w:lang w:val="en-CA" w:eastAsia="en-CA" w:bidi="ar-SA"/>
              </w:rPr>
              <w:t>Tolerance band</w:t>
            </w:r>
          </w:p>
        </w:tc>
        <w:tc>
          <w:tcPr>
            <w:tcW w:w="14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rFonts w:eastAsia="Microsoft YaHei" w:cs="Calibri"/>
                <w:b/>
                <w:color w:val="37474F"/>
                <w:sz w:val="16"/>
                <w:szCs w:val="24"/>
                <w:lang w:val="en-CA" w:eastAsia="en-CA" w:bidi="ar-SA"/>
              </w:rPr>
              <w:t>Review</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Daily transits, Corridor One</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55 to 75 vessels per day</w:t>
            </w:r>
          </w:p>
        </w:tc>
        <w:tc>
          <w:tcPr>
            <w:tcW w:w="2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Plus or minus 20 percent on a 7-day average</w:t>
            </w:r>
          </w:p>
        </w:tc>
        <w:tc>
          <w:tcPr>
            <w:tcW w:w="1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Quarterly</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Daily transits, Corridor Two</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25 to 45 vessels per day</w:t>
            </w:r>
          </w:p>
        </w:tc>
        <w:tc>
          <w:tcPr>
            <w:tcW w:w="2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Plus or minus 20 percent on a 7-day average</w:t>
            </w:r>
          </w:p>
        </w:tc>
        <w:tc>
          <w:tcPr>
            <w:tcW w:w="1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Quarterly</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Class 2 convoy utilization</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60 to 85 percent of offered windows</w:t>
            </w:r>
          </w:p>
        </w:tc>
        <w:tc>
          <w:tcPr>
            <w:tcW w:w="2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Plus or minus 15 percentage points</w:t>
            </w:r>
          </w:p>
        </w:tc>
        <w:tc>
          <w:tcPr>
            <w:tcW w:w="1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Quarterly</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Corridor Two notice lead time</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Median 36 hours</w:t>
            </w:r>
          </w:p>
        </w:tc>
        <w:tc>
          <w:tcPr>
            <w:tcW w:w="2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Band 12 to 72 hours</w:t>
            </w:r>
          </w:p>
        </w:tc>
        <w:tc>
          <w:tcPr>
            <w:tcW w:w="1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Quarterly</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Acknowledgment latency</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Under 15 minutes median</w:t>
            </w:r>
          </w:p>
        </w:tc>
        <w:tc>
          <w:tcPr>
            <w:tcW w:w="2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Maximum 60 minutes per Article 5.3</w:t>
            </w:r>
          </w:p>
        </w:tc>
        <w:tc>
          <w:tcPr>
            <w:tcW w:w="1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Monthly</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Ground-truth patrol reconciliation</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100 percent of patrol findings reconciled within 24 hours</w:t>
            </w:r>
          </w:p>
        </w:tc>
        <w:tc>
          <w:tcPr>
            <w:tcW w:w="2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Any unexplained discrepancy triggers review</w:t>
            </w:r>
          </w:p>
        </w:tc>
        <w:tc>
          <w:tcPr>
            <w:tcW w:w="1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Weekly</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Coastal service claims volume</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Baseline set after first 90 days</w:t>
            </w:r>
          </w:p>
        </w:tc>
        <w:tc>
          <w:tcPr>
            <w:tcW w:w="2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Plus or minus 25 percent</w:t>
            </w:r>
          </w:p>
        </w:tc>
        <w:tc>
          <w:tcPr>
            <w:tcW w:w="1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Quarterly</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Claim confirmation rate</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85 percent or higher full plus substantial</w:t>
            </w:r>
          </w:p>
        </w:tc>
        <w:tc>
          <w:tcPr>
            <w:tcW w:w="2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Below 70 percent triggers pattern review</w:t>
            </w:r>
          </w:p>
        </w:tc>
        <w:tc>
          <w:tcPr>
            <w:tcW w:w="1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Quarterly</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Waiver-block trade volume</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Baseline set after first block</w:t>
            </w:r>
          </w:p>
        </w:tc>
        <w:tc>
          <w:tcPr>
            <w:tcW w:w="2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Plus or minus 30 percent</w:t>
            </w:r>
          </w:p>
        </w:tc>
        <w:tc>
          <w:tcPr>
            <w:tcW w:w="1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Each block</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Disbursement pacing</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Within 7 days of milestone verification</w:t>
            </w:r>
          </w:p>
        </w:tc>
        <w:tc>
          <w:tcPr>
            <w:tcW w:w="2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No band; hard standard</w:t>
            </w:r>
          </w:p>
        </w:tc>
        <w:tc>
          <w:tcPr>
            <w:tcW w:w="1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Monthly</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Hotline test reliability</w:t>
            </w:r>
          </w:p>
        </w:tc>
        <w:tc>
          <w:tcPr>
            <w:tcW w:w="24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100 percent acknowledgment within 30 minutes</w:t>
            </w:r>
          </w:p>
        </w:tc>
        <w:tc>
          <w:tcPr>
            <w:tcW w:w="26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Failures classify per Annex D</w:t>
            </w:r>
          </w:p>
        </w:tc>
        <w:tc>
          <w:tcPr>
            <w:tcW w:w="14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Monthly</w:t>
            </w:r>
          </w:p>
        </w:tc>
      </w:tr>
      <w:tr>
        <w:trPr/>
        <w:tc>
          <w:tcPr>
            <w:tcW w:w="25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Downblending batch cadence</w:t>
            </w:r>
          </w:p>
        </w:tc>
        <w:tc>
          <w:tcPr>
            <w:tcW w:w="24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One batch per 30-day window</w:t>
            </w:r>
          </w:p>
        </w:tc>
        <w:tc>
          <w:tcPr>
            <w:tcW w:w="26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6"/>
                <w:szCs w:val="24"/>
                <w:lang w:val="en-CA" w:eastAsia="en-CA" w:bidi="ar-SA"/>
              </w:rPr>
              <w:t>Adaptive window per Annex F.3</w:t>
            </w:r>
          </w:p>
        </w:tc>
        <w:tc>
          <w:tcPr>
            <w:tcW w:w="14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rFonts w:eastAsia="Microsoft YaHei" w:cs="Calibri"/>
                <w:color w:val="263238"/>
                <w:sz w:val="16"/>
                <w:szCs w:val="24"/>
                <w:lang w:val="en-CA" w:eastAsia="en-CA" w:bidi="ar-SA"/>
              </w:rPr>
              <w:t>Each batch</w:t>
            </w:r>
          </w:p>
        </w:tc>
      </w:tr>
    </w:tbl>
    <w:p>
      <w:pPr>
        <w:pStyle w:val="Caption1"/>
        <w:rPr/>
      </w:pPr>
      <w:r>
        <w:rPr>
          <w:rFonts w:eastAsia="Microsoft YaHei" w:cs="Calibri"/>
          <w:b/>
          <w:color w:val="263238"/>
          <w:sz w:val="21"/>
          <w:szCs w:val="24"/>
          <w:lang w:val="en-CA" w:eastAsia="en-CA" w:bidi="ar-SA"/>
        </w:rPr>
        <w:t>Table I.1: Initial expected patterns</w:t>
      </w:r>
    </w:p>
    <w:p>
      <w:pPr>
        <w:pStyle w:val="Heading2"/>
        <w:rPr/>
      </w:pPr>
      <w:bookmarkStart w:id="112" w:name="__RefHeading___Toc7382_2800514504"/>
      <w:bookmarkEnd w:id="112"/>
      <w:r>
        <w:rPr>
          <w:rFonts w:eastAsia="Microsoft YaHei" w:cs="Calibri"/>
          <w:b/>
          <w:color w:val="263238"/>
          <w:sz w:val="18"/>
          <w:szCs w:val="24"/>
          <w:lang w:val="en-CA" w:eastAsia="en-CA" w:bidi="ar-SA"/>
        </w:rPr>
        <w:t>I.2 Coordination officers</w:t>
      </w:r>
    </w:p>
    <w:p>
      <w:pPr>
        <w:pStyle w:val="Normal"/>
        <w:rPr/>
      </w:pPr>
      <w:r>
        <w:rPr>
          <w:rFonts w:eastAsia="Microsoft YaHei" w:cs="Calibri"/>
          <w:color w:val="263238"/>
          <w:sz w:val="21"/>
          <w:szCs w:val="24"/>
          <w:lang w:val="en-CA" w:eastAsia="en-CA" w:bidi="ar-SA"/>
        </w:rPr>
        <w:t>Each Party designates one coordination officer per domain cluster: maritime, nuclear, economic, and governance. The coordination officer holds operational expertise and delegated authority to classify flags, convene Recalibration Sessions, annotate the Registry, and propose pattern adjustments. The role stands apart from legal and political representation: the coordination officer speaks for operations, not for positions. Deputies mirror the Article 15.8 succession roster.</w:t>
      </w:r>
    </w:p>
    <w:p>
      <w:pPr>
        <w:pStyle w:val="Heading2"/>
        <w:rPr/>
      </w:pPr>
      <w:bookmarkStart w:id="113" w:name="__RefHeading___Toc7384_2800514504"/>
      <w:bookmarkEnd w:id="113"/>
      <w:r>
        <w:rPr>
          <w:rFonts w:eastAsia="Microsoft YaHei" w:cs="Calibri"/>
          <w:b/>
          <w:color w:val="263238"/>
          <w:sz w:val="18"/>
          <w:szCs w:val="24"/>
          <w:lang w:val="en-CA" w:eastAsia="en-CA" w:bidi="ar-SA"/>
        </w:rPr>
        <w:t>I.3 Flagging and classification procedure</w:t>
      </w:r>
    </w:p>
    <w:p>
      <w:pPr>
        <w:pStyle w:val="Normal"/>
        <w:rPr/>
      </w:pPr>
      <w:r>
        <w:rPr>
          <w:rFonts w:eastAsia="Microsoft YaHei" w:cs="Calibri"/>
          <w:color w:val="263238"/>
          <w:sz w:val="21"/>
          <w:szCs w:val="24"/>
          <w:lang w:val="en-CA" w:eastAsia="en-CA" w:bidi="ar-SA"/>
        </w:rPr>
        <w:t>The Registry flags divergence beyond a tolerance band automatically and notifies both Parties' coordination officers simultaneously. Classification completes within 72 hours by joint entry of the two officers: Routine Variation, Operational Friction, Structural Drift, or Shared Uncertainty, per Table 19.1. The Shared Uncertainty class applies only where both officers jointly record the cause as unclear. Where the officers fail to agree within the 72-hour window, the flag escalates automatically to Operational Friction, and the Recalibration Session of Section I.4 convenes within 7 days. The automatic escalation removes the clock-running tactic: disagreement never buys delay; it buys a mandatory session with a date. Every classification logs with a short written rationale. The rationale discipline matters: the Registry's value compounds only where its records explain themselves to future reviewers.</w:t>
      </w:r>
    </w:p>
    <w:p>
      <w:pPr>
        <w:pStyle w:val="Heading2"/>
        <w:rPr/>
      </w:pPr>
      <w:bookmarkStart w:id="114" w:name="__RefHeading___Toc7386_2800514504"/>
      <w:bookmarkEnd w:id="114"/>
      <w:r>
        <w:rPr>
          <w:rFonts w:eastAsia="Microsoft YaHei" w:cs="Calibri"/>
          <w:b/>
          <w:color w:val="263238"/>
          <w:sz w:val="18"/>
          <w:szCs w:val="24"/>
          <w:lang w:val="en-CA" w:eastAsia="en-CA" w:bidi="ar-SA"/>
        </w:rPr>
        <w:t>I.4 Recalibration Session mechanics</w:t>
      </w:r>
    </w:p>
    <w:p>
      <w:pPr>
        <w:pStyle w:val="Normal"/>
        <w:rPr/>
      </w:pPr>
      <w:r>
        <w:rPr>
          <w:rFonts w:eastAsia="Microsoft YaHei" w:cs="Calibri"/>
          <w:color w:val="263238"/>
          <w:sz w:val="21"/>
          <w:szCs w:val="24"/>
          <w:lang w:val="en-CA" w:eastAsia="en-CA" w:bidi="ar-SA"/>
        </w:rPr>
        <w:t>A Recalibration Session convenes within 7 days of an Operational Friction classification: participants are the coordination officers, the operators of the affected process, and a Neutral Administrator facilitator on request. The session runs at most three working days. Outcomes record as one of: operational adjustment, with owner and date; pattern adjustment, submitted to the JCC at the next rotation; or bounded experiment, with metrics and a review date within 90 days. A session that reaches no outcome escalates the flag to Structural Drift automatically, which routes to the JCC. Sessions never produce findings of fault, never classify deviations under Annex D, and never suspend any flow.</w:t>
      </w:r>
    </w:p>
    <w:p>
      <w:pPr>
        <w:pStyle w:val="Heading2"/>
        <w:rPr/>
      </w:pPr>
      <w:bookmarkStart w:id="115" w:name="__RefHeading___Toc7388_2800514504"/>
      <w:bookmarkEnd w:id="115"/>
      <w:r>
        <w:rPr>
          <w:rFonts w:eastAsia="Microsoft YaHei" w:cs="Calibri"/>
          <w:b/>
          <w:color w:val="263238"/>
          <w:sz w:val="18"/>
          <w:szCs w:val="24"/>
          <w:lang w:val="en-CA" w:eastAsia="en-CA" w:bidi="ar-SA"/>
        </w:rPr>
        <w:t>I.5 The pattern repository</w:t>
      </w:r>
    </w:p>
    <w:p>
      <w:pPr>
        <w:pStyle w:val="Normal"/>
        <w:rPr/>
      </w:pPr>
      <w:r>
        <w:rPr>
          <w:rFonts w:eastAsia="Microsoft YaHei" w:cs="Calibri"/>
          <w:color w:val="263238"/>
          <w:sz w:val="21"/>
          <w:szCs w:val="24"/>
          <w:lang w:val="en-CA" w:eastAsia="en-CA" w:bidi="ar-SA"/>
        </w:rPr>
        <w:t>The repository holds every flag, classification, session record, adjustment, experiment, and outcome, anonymized for public layers and fully attributed for the Parties' layers. The Neutral Administrator derives quarterly trend indicators: friction accumulation by domain, pattern accuracy scores, recalibration cycle times, and consolidation-mode inputs per Article 16.6. Repository data retains for the life of the instrument plus five years. Either Party audits any segment through the forensic audit procedure of the registry rules, with the requesting Party bearing cost unless the audit reveals material manipulation, in which case the manipulating side bears all costs.</w:t>
      </w:r>
    </w:p>
    <w:p>
      <w:pPr>
        <w:pStyle w:val="Heading2"/>
        <w:rPr/>
      </w:pPr>
      <w:bookmarkStart w:id="116" w:name="__RefHeading___Toc7390_2800514504"/>
      <w:bookmarkEnd w:id="116"/>
      <w:r>
        <w:rPr>
          <w:rFonts w:eastAsia="Microsoft YaHei" w:cs="Calibri"/>
          <w:b/>
          <w:color w:val="263238"/>
          <w:sz w:val="18"/>
          <w:szCs w:val="24"/>
          <w:lang w:val="en-CA" w:eastAsia="en-CA" w:bidi="ar-SA"/>
        </w:rPr>
        <w:t>I.6 Relationship to verification</w:t>
      </w:r>
    </w:p>
    <w:p>
      <w:pPr>
        <w:pStyle w:val="Normal"/>
        <w:rPr/>
      </w:pPr>
      <w:r>
        <w:rPr>
          <w:rFonts w:eastAsia="Microsoft YaHei" w:cs="Calibri"/>
          <w:color w:val="263238"/>
          <w:sz w:val="21"/>
          <w:szCs w:val="24"/>
          <w:lang w:val="en-CA" w:eastAsia="en-CA" w:bidi="ar-SA"/>
        </w:rPr>
        <w:t>The Registry and the verification system answer different questions and never merge. The Registry tracks patterns of normal operations; verification tracks obligations. A Registry flag never constitutes evidence of a violation, never classifies under Annex D by itself, and never reaches the graduated response directly. Where a flag reveals conduct that plausibly breaches an obligation, the coordination officers refer the matter to the verification channel with the data attached, and the verification system alone decides. The separation protects both systems: the Registry stays a safe place to surface awkward truths early, and verification stays a disciplined process that acts on obligations rather than on vibes.</w:t>
      </w:r>
      <w:r>
        <w:br w:type="page"/>
      </w:r>
    </w:p>
    <w:p>
      <w:pPr>
        <w:pStyle w:val="Heading1"/>
        <w:rPr/>
      </w:pPr>
      <w:bookmarkStart w:id="117" w:name="__RefHeading___Toc7392_2800514504"/>
      <w:bookmarkStart w:id="118" w:name="_TocSg16"/>
      <w:bookmarkEnd w:id="117"/>
      <w:r>
        <w:rPr>
          <w:rFonts w:eastAsia="Microsoft YaHei" w:cs="Calibri"/>
          <w:b/>
          <w:color w:val="455A64"/>
          <w:sz w:val="20"/>
          <w:szCs w:val="24"/>
          <w:lang w:val="en-CA" w:eastAsia="en-CA" w:bidi="ar-SA"/>
        </w:rPr>
        <w:t>Annex J: Performance Bond and Claim Rules</w:t>
      </w:r>
      <w:bookmarkEnd w:id="118"/>
    </w:p>
    <w:p>
      <w:pPr>
        <w:pStyle w:val="Normal"/>
        <w:rPr/>
      </w:pPr>
      <w:r>
        <w:rPr>
          <w:rFonts w:eastAsia="Microsoft YaHei" w:cs="Calibri"/>
          <w:b/>
          <w:i/>
          <w:color w:val="37474F"/>
          <w:sz w:val="16"/>
          <w:szCs w:val="24"/>
          <w:lang w:val="en-CA" w:eastAsia="en-CA" w:bidi="ar-SA"/>
        </w:rPr>
        <w:t>Operative Annex for Article 20. These rules govern the Performance Bond, claim processing, challenge economics, the expedited humanitarian track, and the Independent Investigation Facility.</w:t>
      </w:r>
    </w:p>
    <w:p>
      <w:pPr>
        <w:pStyle w:val="Heading2"/>
        <w:rPr/>
      </w:pPr>
      <w:bookmarkStart w:id="119" w:name="__RefHeading___Toc7394_2800514504"/>
      <w:bookmarkEnd w:id="119"/>
      <w:r>
        <w:rPr>
          <w:rFonts w:eastAsia="Microsoft YaHei" w:cs="Calibri"/>
          <w:b/>
          <w:color w:val="263238"/>
          <w:sz w:val="18"/>
          <w:szCs w:val="24"/>
          <w:lang w:val="en-CA" w:eastAsia="en-CA" w:bidi="ar-SA"/>
        </w:rPr>
        <w:t>J.1 Bond parameters</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200"/>
        <w:gridCol w:w="3399"/>
        <w:gridCol w:w="3427"/>
      </w:tblGrid>
      <w:tr>
        <w:trPr>
          <w:tblHeader w:val="true"/>
        </w:trPr>
        <w:tc>
          <w:tcPr>
            <w:tcW w:w="2200"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Parameter</w:t>
            </w:r>
          </w:p>
        </w:tc>
        <w:tc>
          <w:tcPr>
            <w:tcW w:w="3399"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Party bond</w:t>
            </w:r>
          </w:p>
        </w:tc>
        <w:tc>
          <w:tcPr>
            <w:tcW w:w="3427"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rFonts w:eastAsia="Microsoft YaHei" w:cs="Calibri"/>
                <w:b/>
                <w:color w:val="263238"/>
                <w:sz w:val="18"/>
                <w:szCs w:val="24"/>
                <w:lang w:val="en-CA" w:eastAsia="en-CA" w:bidi="ar-SA"/>
              </w:rPr>
              <w:t>Coastal service bond</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Principal</w:t>
            </w:r>
          </w:p>
        </w:tc>
        <w:tc>
          <w:tcPr>
            <w:tcW w:w="33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USD 250 million each Party</w:t>
            </w:r>
          </w:p>
        </w:tc>
        <w:tc>
          <w:tcPr>
            <w:tcW w:w="34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USD 50 million each corridor coastal state</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Custodian</w:t>
            </w:r>
          </w:p>
        </w:tc>
        <w:tc>
          <w:tcPr>
            <w:tcW w:w="33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Neutral Administrator, escrow sub-account</w:t>
            </w:r>
          </w:p>
        </w:tc>
        <w:tc>
          <w:tcPr>
            <w:tcW w:w="34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Neutral Administrator, escrow sub-account</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Replenishment</w:t>
            </w:r>
          </w:p>
        </w:tc>
        <w:tc>
          <w:tcPr>
            <w:tcW w:w="33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To floor within 15 days of any draw</w:t>
            </w:r>
          </w:p>
        </w:tc>
        <w:tc>
          <w:tcPr>
            <w:tcW w:w="34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To floor within 30 days of any draw</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Below-floor effect</w:t>
            </w:r>
          </w:p>
        </w:tc>
        <w:tc>
          <w:tcPr>
            <w:tcW w:w="33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Challenge rights and JCC claim-matter votes suspend until replenishment</w:t>
            </w:r>
          </w:p>
        </w:tc>
        <w:tc>
          <w:tcPr>
            <w:tcW w:w="34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Claim submissions suspend until replenishment</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Release</w:t>
            </w:r>
          </w:p>
        </w:tc>
        <w:tc>
          <w:tcPr>
            <w:tcW w:w="33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On withdrawal after wind-down, less verified obligations</w:t>
            </w:r>
          </w:p>
        </w:tc>
        <w:tc>
          <w:tcPr>
            <w:tcW w:w="34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Annually against the Fund audit, less pending claims</w:t>
            </w:r>
          </w:p>
        </w:tc>
      </w:tr>
      <w:tr>
        <w:trPr/>
        <w:tc>
          <w:tcPr>
            <w:tcW w:w="2200"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Visibility</w:t>
            </w:r>
          </w:p>
        </w:tc>
        <w:tc>
          <w:tcPr>
            <w:tcW w:w="3399"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rFonts w:eastAsia="Microsoft YaHei" w:cs="Calibri"/>
                <w:color w:val="263238"/>
                <w:sz w:val="18"/>
                <w:szCs w:val="24"/>
                <w:lang w:val="en-CA" w:eastAsia="en-CA" w:bidi="ar-SA"/>
              </w:rPr>
              <w:t>Dashboard, continuous</w:t>
            </w:r>
          </w:p>
        </w:tc>
        <w:tc>
          <w:tcPr>
            <w:tcW w:w="3427"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rFonts w:eastAsia="Microsoft YaHei" w:cs="Calibri"/>
                <w:color w:val="263238"/>
                <w:sz w:val="18"/>
                <w:szCs w:val="24"/>
                <w:lang w:val="en-CA" w:eastAsia="en-CA" w:bidi="ar-SA"/>
              </w:rPr>
              <w:t>Dashboard, continuous</w:t>
            </w:r>
          </w:p>
        </w:tc>
      </w:tr>
    </w:tbl>
    <w:p>
      <w:pPr>
        <w:pStyle w:val="Caption1"/>
        <w:rPr/>
      </w:pPr>
      <w:r>
        <w:rPr>
          <w:rFonts w:eastAsia="Microsoft YaHei" w:cs="Calibri"/>
          <w:b/>
          <w:color w:val="263238"/>
          <w:sz w:val="21"/>
          <w:szCs w:val="24"/>
          <w:lang w:val="en-CA" w:eastAsia="en-CA" w:bidi="ar-SA"/>
        </w:rPr>
        <w:t>Table J.1: Bond parameters</w:t>
      </w:r>
    </w:p>
    <w:p>
      <w:pPr>
        <w:pStyle w:val="Normal"/>
        <w:rPr/>
      </w:pPr>
      <w:r>
        <w:rPr>
          <w:rFonts w:eastAsia="Microsoft YaHei" w:cs="Calibri"/>
          <w:color w:val="263238"/>
          <w:sz w:val="21"/>
          <w:szCs w:val="24"/>
          <w:lang w:val="en-CA" w:eastAsia="en-CA" w:bidi="ar-SA"/>
        </w:rPr>
        <w:t>The floor stands deliberately at a level that registers with a finance ministry rather than a petty cash account: a failed-challenge strategy at these levels costs real money, and the cost publishes on the dashboard for every contributor and every public to see.</w:t>
      </w:r>
    </w:p>
    <w:p>
      <w:pPr>
        <w:pStyle w:val="Heading2"/>
        <w:rPr/>
      </w:pPr>
      <w:bookmarkStart w:id="120" w:name="__RefHeading___Toc7396_2800514504"/>
      <w:bookmarkEnd w:id="120"/>
      <w:r>
        <w:rPr/>
        <w:t>J.2 Claim processing clock</w:t>
      </w:r>
    </w:p>
    <w:p>
      <w:pPr>
        <w:pStyle w:val="Normal"/>
        <w:rPr/>
      </w:pPr>
      <w:r>
        <w:rPr/>
        <w:t>The claim clock runs: filing within 72 hours of the service period; TVG confirmation level within 10 working days of a complete filing; rapid-confirmation increment where confirmation completes within 5 working days; payment within 15 working days of confirmation through the Neutral Administrator; challenge window 10 working days from confirmation; review panel determination within 5 working days of a challenge; second-opinion request within 5 working days of a panel determination. Every clock is an obligation: a missed clock classifies under Annex D, category G-1, and the affected claim advances to the next step by default rather than dying in the queue.</w:t>
      </w:r>
    </w:p>
    <w:p>
      <w:pPr>
        <w:pStyle w:val="Heading2"/>
        <w:rPr/>
      </w:pPr>
      <w:bookmarkStart w:id="121" w:name="__RefHeading___Toc7398_2800514504"/>
      <w:bookmarkEnd w:id="121"/>
      <w:r>
        <w:rPr/>
        <w:t>J.3 High-value claim reserve</w:t>
      </w:r>
    </w:p>
    <w:p>
      <w:pPr>
        <w:pStyle w:val="Normal"/>
        <w:rPr/>
      </w:pPr>
      <w:r>
        <w:rPr/>
        <w:t>Claims above USD 5 million carry a reserve split: 50 percent pays on confirmation and 50 percent holds until the challenge window closes or any challenge resolves. Claims above USD 20 million hold 75 percent. The reserve protects both sides: the claimant avoids catastrophic reversal risk on a single adjudication, and the challenger keeps meaningful incentive to contest genuinely inflated high-value claims. The reserve releases automatically on its trigger; no officer holds discretion over it.</w:t>
      </w:r>
    </w:p>
    <w:p>
      <w:pPr>
        <w:pStyle w:val="Heading2"/>
        <w:rPr/>
      </w:pPr>
      <w:bookmarkStart w:id="122" w:name="__RefHeading___Toc7400_2800514504"/>
      <w:bookmarkEnd w:id="122"/>
      <w:r>
        <w:rPr/>
        <w:t>J.4 The expedited humanitarian track</w:t>
      </w:r>
    </w:p>
    <w:p>
      <w:pPr>
        <w:pStyle w:val="Normal"/>
        <w:rPr/>
      </w:pPr>
      <w:r>
        <w:rPr/>
        <w:t>Claims for humanitarian services, including Class 5 transit support, medical evacuation, humanitarian standby anchorage services, and emergency response under Annex E, Section E.7, follow a fast lane that runs around the standard window: the challenge window compresses to 48 hours from confirmation, and the review panel issues its determination within 72 hours of a filed challenge. The track recognizes that humanitarian providers operate on thin margins and immediate need: a slow payment to a humanitarian claimant costs lives, not merely interest. Payment under the expedited track never pauses for a pending challenge; the reserve split of Section J.3 does not apply; and a challenge that fails under the expedited track costs triple the standard challenge cost, reflecting the elevated public interest in unimpeded humanitarian finance.</w:t>
      </w:r>
    </w:p>
    <w:p>
      <w:pPr>
        <w:pStyle w:val="Heading2"/>
        <w:rPr/>
      </w:pPr>
      <w:bookmarkStart w:id="123" w:name="__RefHeading___Toc7402_2800514504"/>
      <w:bookmarkEnd w:id="123"/>
      <w:r>
        <w:rPr/>
        <w:t>J.5 Pacing limits</w:t>
      </w:r>
    </w:p>
    <w:p>
      <w:pPr>
        <w:pStyle w:val="Normal"/>
        <w:rPr/>
      </w:pPr>
      <w:r>
        <w:rPr/>
        <w:t>Pacing limits prevent flooding: during the first 90 days, each claiming authority files at most 5 claims per week and each challenger raises at most 3 challenges per week; thereafter, 10 claims and 5 challenges per week. The COC enforces the limits automatically in the registry; overflow queues to the next week without loss of position or prejudice. Bundled periodic claims for repetitive services count as one claim, which keeps the pipeline dominated by substance rather than volume. Humanitarian-track claims count outside the pacing limits entirely.</w:t>
      </w:r>
    </w:p>
    <w:p>
      <w:pPr>
        <w:pStyle w:val="Heading2"/>
        <w:rPr/>
      </w:pPr>
      <w:bookmarkStart w:id="124" w:name="__RefHeading___Toc7404_2800514504"/>
      <w:bookmarkEnd w:id="124"/>
      <w:r>
        <w:rPr/>
        <w:t>J.6 The challenge escalation ladder and second opinion</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200"/>
        <w:gridCol w:w="2800"/>
        <w:gridCol w:w="4026"/>
      </w:tblGrid>
      <w:tr>
        <w:trPr>
          <w:tblHeader w:val="true"/>
        </w:trPr>
        <w:tc>
          <w:tcPr>
            <w:tcW w:w="2200"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8"/>
              </w:rPr>
              <w:t>Step</w:t>
            </w:r>
          </w:p>
        </w:tc>
        <w:tc>
          <w:tcPr>
            <w:tcW w:w="28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8"/>
              </w:rPr>
              <w:t>Trigger</w:t>
            </w:r>
          </w:p>
        </w:tc>
        <w:tc>
          <w:tcPr>
            <w:tcW w:w="40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8"/>
              </w:rPr>
              <w:t>Consequence</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First failed challenge</w:t>
            </w:r>
          </w:p>
        </w:tc>
        <w:tc>
          <w:tcPr>
            <w:tcW w:w="2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Review panel upholds the claim</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Loss of the challenge cost; no procedural consequence</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Second failed challenge</w:t>
            </w:r>
          </w:p>
        </w:tc>
        <w:tc>
          <w:tcPr>
            <w:tcW w:w="2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Within the same rolling year</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Double penalty; 14-day challenge moratorium</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Third failed challenge</w:t>
            </w:r>
          </w:p>
        </w:tc>
        <w:tc>
          <w:tcPr>
            <w:tcW w:w="2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Within the same rolling year</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Quadruple penalty; 30-day moratorium; JCC review of the pattern</w:t>
            </w:r>
          </w:p>
        </w:tc>
      </w:tr>
      <w:tr>
        <w:trPr/>
        <w:tc>
          <w:tcPr>
            <w:tcW w:w="2200"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8"/>
              </w:rPr>
              <w:t>Fourth failed challenge</w:t>
            </w:r>
          </w:p>
        </w:tc>
        <w:tc>
          <w:tcPr>
            <w:tcW w:w="28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8"/>
              </w:rPr>
              <w:t>Within the same rolling year</w:t>
            </w:r>
          </w:p>
        </w:tc>
        <w:tc>
          <w:tcPr>
            <w:tcW w:w="40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8"/>
              </w:rPr>
              <w:t>Obstruction designation: the protected Party's claims confirm provisionally on filing for 14 days; permanent record in the pattern repository</w:t>
            </w:r>
          </w:p>
        </w:tc>
      </w:tr>
    </w:tbl>
    <w:p>
      <w:pPr>
        <w:pStyle w:val="Caption1"/>
        <w:rPr/>
      </w:pPr>
      <w:r>
        <w:rPr/>
        <w:t>Table J.2: Challenge escalation ladder</w:t>
      </w:r>
    </w:p>
    <w:p>
      <w:pPr>
        <w:pStyle w:val="Normal"/>
        <w:rPr/>
      </w:pPr>
      <w:r>
        <w:rPr/>
        <w:t>The ladder resets each rolling year. A successful challenge never counts against the challenger. The ladder exists to price obstruction out of the system while keeping the legitimate challenge permanently available and permanently safe to raise through the sealed channel of Article 20.6.</w:t>
      </w:r>
    </w:p>
    <w:p>
      <w:pPr>
        <w:pStyle w:val="Normal"/>
        <w:rPr/>
      </w:pPr>
      <w:r>
        <w:rPr/>
        <w:t>Either side of a review panel determination requests one second opinion per determination: the Neutral Administrator selects one expert from the Article 15.7 roster by lot, and the expert reviews the sealed record independently and issues an opinion within 72 hours. A second opinion confirming the panel costs the requester a fixed fee of USD 250,000 from its bond. A second opinion overturning the panel vacates the determination, re-adjudicates the claim on the opinion's authority, and rotates the original panel members off the roster for 12 months. The procedure corrects genuine error without paralyzing the pipeline, and its fee prices frivolous appeals out.</w:t>
      </w:r>
    </w:p>
    <w:p>
      <w:pPr>
        <w:pStyle w:val="Heading2"/>
        <w:rPr/>
      </w:pPr>
      <w:bookmarkStart w:id="125" w:name="__RefHeading___Toc7406_2800514504"/>
      <w:bookmarkEnd w:id="125"/>
      <w:r>
        <w:rPr/>
        <w:t>J.7 The Independent Investigation Facility</w:t>
      </w:r>
    </w:p>
    <w:p>
      <w:pPr>
        <w:pStyle w:val="Normal"/>
        <w:rPr/>
      </w:pPr>
      <w:r>
        <w:rPr/>
        <w:t>The Framework holds a dedicated investigative finance reserve, the Independent Investigation Facility, capitalized at USD 25 million from the escrow yield allocation of Table 7.1 before any other yield distribution. The Facility finances, on the Neutral Administrator's certification alone: TVG forensic investigations; the rogue-actor and false-flag inquiries of Article 9.8; the third-laboratory sampling chain of Annex F, Section F.5; cyber-forensic work under Annex D, category X-1.6; and any expert investigation the Guarantor Panel commissions on a preliminary determination. No Party approves, delays, or conditions a draw: the certification of the Neutral Administrator suffices, and the draw logs to the registry with the investigation's reference. The Facility replenishes from escrow yield whenever its balance falls below USD 10 million. The Facility's purpose is structural: investigation in this Framework never waits for the permission of the investigated.</w:t>
      </w:r>
      <w:r>
        <w:br w:type="page"/>
      </w:r>
    </w:p>
    <w:p>
      <w:pPr>
        <w:pStyle w:val="Heading1"/>
        <w:rPr/>
      </w:pPr>
      <w:bookmarkStart w:id="126" w:name="__RefHeading___Toc7408_2800514504"/>
      <w:bookmarkEnd w:id="126"/>
      <w:r>
        <w:rPr/>
        <w:t>Annex K: Implementation Timeline and Activation Checklists</w:t>
      </w:r>
      <w:bookmarkStart w:id="127" w:name="_TocSg17"/>
      <w:bookmarkEnd w:id="127"/>
    </w:p>
    <w:p>
      <w:pPr>
        <w:pStyle w:val="Normal"/>
        <w:rPr/>
      </w:pPr>
      <w:r>
        <w:rPr>
          <w:i/>
        </w:rPr>
        <w:t>Operative Annex for Articles 22 and 24. This Annex states the activation sequence, aligned with the MOU's 60-day window, and the readiness checklists for each organ.</w:t>
      </w:r>
    </w:p>
    <w:p>
      <w:pPr>
        <w:pStyle w:val="Heading2"/>
        <w:rPr/>
      </w:pPr>
      <w:bookmarkStart w:id="128" w:name="__RefHeading___Toc7410_2800514504"/>
      <w:bookmarkEnd w:id="128"/>
      <w:r>
        <w:rPr/>
        <w:t>K.1 The activation sequence</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1099"/>
        <w:gridCol w:w="4901"/>
        <w:gridCol w:w="3026"/>
      </w:tblGrid>
      <w:tr>
        <w:trPr>
          <w:tblHeader w:val="true"/>
        </w:trPr>
        <w:tc>
          <w:tcPr>
            <w:tcW w:w="10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Day</w:t>
            </w:r>
          </w:p>
        </w:tc>
        <w:tc>
          <w:tcPr>
            <w:tcW w:w="490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Milestone</w:t>
            </w:r>
          </w:p>
        </w:tc>
        <w:tc>
          <w:tcPr>
            <w:tcW w:w="30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Verification</w:t>
            </w:r>
          </w:p>
        </w:tc>
      </w:tr>
      <w:tr>
        <w:trPr/>
        <w:tc>
          <w:tcPr>
            <w:tcW w:w="10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 0</w:t>
            </w:r>
          </w:p>
        </w:tc>
        <w:tc>
          <w:tcPr>
            <w:tcW w:w="49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Signature; instrument enters into force; Primary Crisis Contacts publicly named in the signature block; joint openness declaration issued within 7 days</w:t>
            </w:r>
          </w:p>
        </w:tc>
        <w:tc>
          <w:tcPr>
            <w:tcW w:w="3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Depositary record</w:t>
            </w:r>
          </w:p>
        </w:tc>
      </w:tr>
      <w:tr>
        <w:trPr/>
        <w:tc>
          <w:tcPr>
            <w:tcW w:w="10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 1</w:t>
            </w:r>
          </w:p>
        </w:tc>
        <w:tc>
          <w:tcPr>
            <w:tcW w:w="49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Corridor One activates free navigation; Corridor Two activates the notification regime; blockade measures dissolve; Tranche T-1 releases</w:t>
            </w:r>
          </w:p>
        </w:tc>
        <w:tc>
          <w:tcPr>
            <w:tcW w:w="3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COC activation report</w:t>
            </w:r>
          </w:p>
        </w:tc>
      </w:tr>
      <w:tr>
        <w:trPr/>
        <w:tc>
          <w:tcPr>
            <w:tcW w:w="10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 1</w:t>
            </w:r>
          </w:p>
        </w:tc>
        <w:tc>
          <w:tcPr>
            <w:tcW w:w="49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Military, emergency, and maritime safety channels live; first 06:00 UTC test the following morning</w:t>
            </w:r>
          </w:p>
        </w:tc>
        <w:tc>
          <w:tcPr>
            <w:tcW w:w="3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Channel test log</w:t>
            </w:r>
          </w:p>
        </w:tc>
      </w:tr>
      <w:tr>
        <w:trPr/>
        <w:tc>
          <w:tcPr>
            <w:tcW w:w="10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 7</w:t>
            </w:r>
          </w:p>
        </w:tc>
        <w:tc>
          <w:tcPr>
            <w:tcW w:w="49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COC full watch strength; baseline declaration delivered to the IAEA; first ground-truth patrols scheduled in both corridors</w:t>
            </w:r>
          </w:p>
        </w:tc>
        <w:tc>
          <w:tcPr>
            <w:tcW w:w="3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COC staffing record; IAEA receipt</w:t>
            </w:r>
          </w:p>
        </w:tc>
      </w:tr>
      <w:tr>
        <w:trPr/>
        <w:tc>
          <w:tcPr>
            <w:tcW w:w="10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 14</w:t>
            </w:r>
          </w:p>
        </w:tc>
        <w:tc>
          <w:tcPr>
            <w:tcW w:w="49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Claim procedure live; Performance Bonds deposited at the HP-1 floors; Registry pattern set operational; Reconstruction Steering Committee convenes in Doha under Annex N</w:t>
            </w:r>
          </w:p>
        </w:tc>
        <w:tc>
          <w:tcPr>
            <w:tcW w:w="3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Registry log; escrow confirmation</w:t>
            </w:r>
          </w:p>
        </w:tc>
      </w:tr>
      <w:tr>
        <w:trPr/>
        <w:tc>
          <w:tcPr>
            <w:tcW w:w="10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 21</w:t>
            </w:r>
          </w:p>
        </w:tc>
        <w:tc>
          <w:tcPr>
            <w:tcW w:w="49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First joint search and rescue exercise scheduled; waiver block renewal certification issued 10 days before the block boundary; dual satellite feeds cross-referenced live</w:t>
            </w:r>
          </w:p>
        </w:tc>
        <w:tc>
          <w:tcPr>
            <w:tcW w:w="3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Exercise order; certification record</w:t>
            </w:r>
          </w:p>
        </w:tc>
      </w:tr>
      <w:tr>
        <w:trPr/>
        <w:tc>
          <w:tcPr>
            <w:tcW w:w="10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 30</w:t>
            </w:r>
          </w:p>
        </w:tc>
        <w:tc>
          <w:tcPr>
            <w:tcW w:w="49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Downblending commences, Batch B-1; Tranche T-2 releases on retrieval commencement; Independent Investigation Facility capitalized</w:t>
            </w:r>
          </w:p>
        </w:tc>
        <w:tc>
          <w:tcPr>
            <w:tcW w:w="3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IAEA batch record</w:t>
            </w:r>
          </w:p>
        </w:tc>
      </w:tr>
      <w:tr>
        <w:trPr/>
        <w:tc>
          <w:tcPr>
            <w:tcW w:w="10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 60</w:t>
            </w:r>
          </w:p>
        </w:tc>
        <w:tc>
          <w:tcPr>
            <w:tcW w:w="49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Steady-state review; MOU window checkpoint; definitive reconstruction plan published; Independent Assurance Council seated</w:t>
            </w:r>
          </w:p>
        </w:tc>
        <w:tc>
          <w:tcPr>
            <w:tcW w:w="3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JCC review record</w:t>
            </w:r>
          </w:p>
        </w:tc>
      </w:tr>
      <w:tr>
        <w:trPr/>
        <w:tc>
          <w:tcPr>
            <w:tcW w:w="10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Day 180</w:t>
            </w:r>
          </w:p>
        </w:tc>
        <w:tc>
          <w:tcPr>
            <w:tcW w:w="49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Batch B-6 certified; disposition complete; Tranche T-4 gate opens upon the 12-week Level I or II condition</w:t>
            </w:r>
          </w:p>
        </w:tc>
        <w:tc>
          <w:tcPr>
            <w:tcW w:w="3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IAEA certification</w:t>
            </w:r>
          </w:p>
        </w:tc>
      </w:tr>
      <w:tr>
        <w:trPr/>
        <w:tc>
          <w:tcPr>
            <w:tcW w:w="10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Year 1</w:t>
            </w:r>
          </w:p>
        </w:tc>
        <w:tc>
          <w:tcPr>
            <w:tcW w:w="4901"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First annual review; first rotation cycle for all Tier B Protocols; premium differential target assessment; first quarterly independent module inspections complete</w:t>
            </w:r>
          </w:p>
        </w:tc>
        <w:tc>
          <w:tcPr>
            <w:tcW w:w="30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Plenary record</w:t>
            </w:r>
          </w:p>
        </w:tc>
      </w:tr>
    </w:tbl>
    <w:p>
      <w:pPr>
        <w:pStyle w:val="Caption1"/>
        <w:rPr/>
      </w:pPr>
      <w:r>
        <w:rPr/>
        <w:t>Table K.1: Activation sequence</w:t>
      </w:r>
    </w:p>
    <w:p>
      <w:pPr>
        <w:pStyle w:val="Heading2"/>
        <w:rPr/>
      </w:pPr>
      <w:bookmarkStart w:id="129" w:name="__RefHeading___Toc7412_2800514504"/>
      <w:bookmarkEnd w:id="129"/>
      <w:r>
        <w:rPr/>
        <w:t>K.2 Pre-activation checklist</w:t>
      </w:r>
    </w:p>
    <w:p>
      <w:pPr>
        <w:pStyle w:val="Normal"/>
        <w:numPr>
          <w:ilvl w:val="0"/>
          <w:numId w:val="2"/>
        </w:numPr>
        <w:spacing w:lineRule="auto" w:line="312" w:before="0" w:after="120"/>
        <w:rPr/>
      </w:pPr>
      <w:r>
        <w:rPr/>
        <w:t>Neutral Administrator escrow structure open: designated accounts, Fund account, bond sub-accounts, Joint Confidence Account, Independent Investigation Facility sub-account.</w:t>
      </w:r>
    </w:p>
    <w:p>
      <w:pPr>
        <w:pStyle w:val="Normal"/>
        <w:numPr>
          <w:ilvl w:val="0"/>
          <w:numId w:val="2"/>
        </w:numPr>
        <w:spacing w:lineRule="auto" w:line="312" w:before="0" w:after="120"/>
        <w:rPr/>
      </w:pPr>
      <w:r>
        <w:rPr/>
        <w:t>COC premises and systems ready in Muscat; liaison detachment ready in Bandar Abbas; watch rosters staffed in mixed composition; patrol craft assigned and crews mixed.</w:t>
      </w:r>
    </w:p>
    <w:p>
      <w:pPr>
        <w:pStyle w:val="Normal"/>
        <w:numPr>
          <w:ilvl w:val="0"/>
          <w:numId w:val="2"/>
        </w:numPr>
        <w:spacing w:lineRule="auto" w:line="312" w:before="0" w:after="120"/>
        <w:rPr/>
      </w:pPr>
      <w:r>
        <w:rPr/>
        <w:t>Channel endpoints designated, tested end to end, and logged; Primary Crisis Contacts named as persons at Deputy Minister rank with deputies; leadership channel live-tested to both named contacts.</w:t>
      </w:r>
    </w:p>
    <w:p>
      <w:pPr>
        <w:pStyle w:val="Normal"/>
        <w:numPr>
          <w:ilvl w:val="0"/>
          <w:numId w:val="2"/>
        </w:numPr>
        <w:spacing w:lineRule="auto" w:line="312" w:before="0" w:after="120"/>
        <w:rPr/>
      </w:pPr>
      <w:r>
        <w:rPr/>
        <w:t>Registry pattern set loaded; coordination officers designated for all four domain clusters; two-key data access controls tested and logged.</w:t>
      </w:r>
    </w:p>
    <w:p>
      <w:pPr>
        <w:pStyle w:val="Normal"/>
        <w:numPr>
          <w:ilvl w:val="0"/>
          <w:numId w:val="2"/>
        </w:numPr>
        <w:spacing w:lineRule="auto" w:line="312" w:before="0" w:after="120"/>
        <w:rPr/>
      </w:pPr>
      <w:r>
        <w:rPr/>
        <w:t>IAEA baseline declaration formats agreed; retrieval plan circulated through the Neutral Administrator; third-laboratory sealed roster prepared.</w:t>
      </w:r>
    </w:p>
    <w:p>
      <w:pPr>
        <w:pStyle w:val="Normal"/>
        <w:numPr>
          <w:ilvl w:val="0"/>
          <w:numId w:val="2"/>
        </w:numPr>
        <w:spacing w:lineRule="auto" w:line="312" w:before="0" w:after="120"/>
        <w:rPr/>
      </w:pPr>
      <w:r>
        <w:rPr/>
        <w:t>Dual commercial satellite contracts executed with cross-referencing feed live to the shared operational picture.</w:t>
      </w:r>
    </w:p>
    <w:p>
      <w:pPr>
        <w:pStyle w:val="Normal"/>
        <w:numPr>
          <w:ilvl w:val="0"/>
          <w:numId w:val="2"/>
        </w:numPr>
        <w:spacing w:lineRule="auto" w:line="312" w:before="0" w:after="120"/>
        <w:rPr/>
      </w:pPr>
      <w:r>
        <w:rPr/>
        <w:t>Expert roster accredited; review panel pool trained on the sealed record procedure; Independent Assurance Council nomination pool prepared by the Mediator of Record.</w:t>
      </w:r>
    </w:p>
    <w:p>
      <w:pPr>
        <w:pStyle w:val="Normal"/>
        <w:numPr>
          <w:ilvl w:val="0"/>
          <w:numId w:val="2"/>
        </w:numPr>
        <w:spacing w:lineRule="auto" w:line="312" w:before="0" w:after="120"/>
        <w:rPr/>
      </w:pPr>
      <w:r>
        <w:rPr/>
        <w:t>Guarantor Panel members confirmed contactable within 48 hours; succession rosters published; Fund auditor roster adopted through the dual gate of Annex C, Section C.1.</w:t>
      </w:r>
    </w:p>
    <w:p>
      <w:pPr>
        <w:pStyle w:val="Normal"/>
        <w:numPr>
          <w:ilvl w:val="0"/>
          <w:numId w:val="2"/>
        </w:numPr>
        <w:spacing w:lineRule="auto" w:line="312" w:before="0" w:after="120"/>
        <w:rPr/>
      </w:pPr>
      <w:r>
        <w:rPr/>
        <w:t>Qatar Central Bank escrow accounts open; World Bank fiduciary administration agreement executed; Reconstruction Steering Committee membership confirmed under Annex N.</w:t>
      </w:r>
    </w:p>
    <w:p>
      <w:pPr>
        <w:pStyle w:val="Heading2"/>
        <w:rPr/>
      </w:pPr>
      <w:bookmarkStart w:id="130" w:name="__RefHeading___Toc7414_2800514504"/>
      <w:bookmarkEnd w:id="130"/>
      <w:r>
        <w:rPr/>
        <w:t>K.3 Day 1 checklist</w:t>
      </w:r>
    </w:p>
    <w:p>
      <w:pPr>
        <w:pStyle w:val="Normal"/>
        <w:numPr>
          <w:ilvl w:val="0"/>
          <w:numId w:val="2"/>
        </w:numPr>
        <w:spacing w:lineRule="auto" w:line="312" w:before="0" w:after="120"/>
        <w:rPr/>
      </w:pPr>
      <w:r>
        <w:rPr/>
        <w:t>Openness declaration text finalized through the Mediator of Record and scheduled for release within 7 days.</w:t>
      </w:r>
    </w:p>
    <w:p>
      <w:pPr>
        <w:pStyle w:val="Normal"/>
        <w:numPr>
          <w:ilvl w:val="0"/>
          <w:numId w:val="2"/>
        </w:numPr>
        <w:spacing w:lineRule="auto" w:line="312" w:before="0" w:after="120"/>
        <w:rPr/>
      </w:pPr>
      <w:r>
        <w:rPr/>
        <w:t>Corridor status broadcast on the maritime safety channel; first daily corridor schedule published.</w:t>
      </w:r>
    </w:p>
    <w:p>
      <w:pPr>
        <w:pStyle w:val="Normal"/>
        <w:numPr>
          <w:ilvl w:val="0"/>
          <w:numId w:val="2"/>
        </w:numPr>
        <w:spacing w:lineRule="auto" w:line="312" w:before="0" w:after="120"/>
        <w:rPr/>
      </w:pPr>
      <w:r>
        <w:rPr/>
        <w:t>Notice and acknowledgment systems live; automatic acknowledgment verified with test filings.</w:t>
      </w:r>
    </w:p>
    <w:p>
      <w:pPr>
        <w:pStyle w:val="Normal"/>
        <w:numPr>
          <w:ilvl w:val="0"/>
          <w:numId w:val="2"/>
        </w:numPr>
        <w:spacing w:lineRule="auto" w:line="312" w:before="0" w:after="120"/>
        <w:rPr/>
      </w:pPr>
      <w:r>
        <w:rPr/>
        <w:t>Standoff geometry loaded to the shared operational picture; both Parties confirm identical display on both satellite feeds.</w:t>
      </w:r>
    </w:p>
    <w:p>
      <w:pPr>
        <w:pStyle w:val="Normal"/>
        <w:numPr>
          <w:ilvl w:val="0"/>
          <w:numId w:val="2"/>
        </w:numPr>
        <w:spacing w:lineRule="auto" w:line="312" w:before="0" w:after="120"/>
        <w:rPr/>
      </w:pPr>
      <w:r>
        <w:rPr/>
        <w:t>Tranche T-1 disbursements confirmed; restricted financial messaging reconnection initiated.</w:t>
      </w:r>
    </w:p>
    <w:p>
      <w:pPr>
        <w:pStyle w:val="Heading2"/>
        <w:rPr/>
      </w:pPr>
      <w:bookmarkStart w:id="131" w:name="__RefHeading___Toc7416_2800514504"/>
      <w:bookmarkEnd w:id="131"/>
      <w:r>
        <w:rPr/>
        <w:t>K.4 Standing weekly rhythm</w:t>
      </w:r>
    </w:p>
    <w:p>
      <w:pPr>
        <w:pStyle w:val="Normal"/>
        <w:numPr>
          <w:ilvl w:val="0"/>
          <w:numId w:val="2"/>
        </w:numPr>
        <w:spacing w:lineRule="auto" w:line="312" w:before="0" w:after="120"/>
        <w:rPr/>
      </w:pPr>
      <w:r>
        <w:rPr/>
        <w:t>Daily: 06:00 UTC channel test; corridor schedule; acknowledgment latency audit.</w:t>
      </w:r>
    </w:p>
    <w:p>
      <w:pPr>
        <w:pStyle w:val="Normal"/>
        <w:numPr>
          <w:ilvl w:val="0"/>
          <w:numId w:val="2"/>
        </w:numPr>
        <w:spacing w:lineRule="auto" w:line="312" w:before="0" w:after="120"/>
        <w:rPr/>
      </w:pPr>
      <w:r>
        <w:rPr/>
        <w:t>Weekly: openness statement; JCC secretariat digest of flags and claims; military desk tabletop rotation; one ground-truth patrol per corridor.</w:t>
      </w:r>
    </w:p>
    <w:p>
      <w:pPr>
        <w:pStyle w:val="Normal"/>
        <w:numPr>
          <w:ilvl w:val="0"/>
          <w:numId w:val="2"/>
        </w:numPr>
        <w:spacing w:lineRule="auto" w:line="312" w:before="0" w:after="120"/>
        <w:rPr/>
      </w:pPr>
      <w:r>
        <w:rPr/>
        <w:t>Monthly: storage module inventory figure; claim and confirmation statistics; crisis contact test including live reach to Primary Crisis Contacts; premium differential index.</w:t>
      </w:r>
    </w:p>
    <w:p>
      <w:pPr>
        <w:pStyle w:val="Normal"/>
        <w:numPr>
          <w:ilvl w:val="0"/>
          <w:numId w:val="2"/>
        </w:numPr>
        <w:spacing w:lineRule="auto" w:line="312" w:before="0" w:after="120"/>
        <w:rPr/>
      </w:pPr>
      <w:r>
        <w:rPr/>
        <w:t>Quarterly: trend indicators; Fund review; environmental sampling cycle; Register update verification; independent physical inspection of the storage module with neutral-state experts; Reconstruction Steering Committee meeting in Doha.</w:t>
      </w:r>
    </w:p>
    <w:p>
      <w:pPr>
        <w:pStyle w:val="Normal"/>
        <w:numPr>
          <w:ilvl w:val="0"/>
          <w:numId w:val="2"/>
        </w:numPr>
        <w:spacing w:lineRule="auto" w:line="312" w:before="0" w:after="120"/>
        <w:rPr/>
      </w:pPr>
      <w:r>
        <w:rPr/>
        <w:t>Annually: Plenary; budget adoption; rotation reviews; human-review audit; comprehensive review under Article 24.5; Independent Assurance Council report.</w:t>
      </w:r>
      <w:r>
        <w:br w:type="page"/>
      </w:r>
    </w:p>
    <w:p>
      <w:pPr>
        <w:pStyle w:val="Heading1"/>
        <w:rPr/>
      </w:pPr>
      <w:bookmarkStart w:id="132" w:name="__RefHeading___Toc7418_2800514504"/>
      <w:bookmarkEnd w:id="132"/>
      <w:r>
        <w:rPr/>
        <w:t>Annex L: Red Line Register</w:t>
      </w:r>
      <w:bookmarkStart w:id="133" w:name="_TocSg18"/>
      <w:bookmarkEnd w:id="133"/>
    </w:p>
    <w:p>
      <w:pPr>
        <w:pStyle w:val="Normal"/>
        <w:rPr/>
      </w:pPr>
      <w:r>
        <w:rPr>
          <w:i/>
        </w:rPr>
        <w:t>Operative Annex for Article 3.5. This Register records each Party's Red Lines as registered in the negotiations of June and July 2026, and the structural feature that prevents each crossing. The Register does not rank, judge, or merge the two columns; it holds them side by side inside one architecture.</w:t>
      </w:r>
    </w:p>
    <w:p>
      <w:pPr>
        <w:pStyle w:val="Heading2"/>
        <w:rPr/>
      </w:pPr>
      <w:bookmarkStart w:id="134" w:name="__RefHeading___Toc7420_2800514504"/>
      <w:bookmarkEnd w:id="134"/>
      <w:r>
        <w:rPr/>
        <w:t>L.1 Registered Red Lines</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899"/>
        <w:gridCol w:w="3601"/>
        <w:gridCol w:w="4526"/>
      </w:tblGrid>
      <w:tr>
        <w:trPr>
          <w:tblHeader w:val="true"/>
        </w:trPr>
        <w:tc>
          <w:tcPr>
            <w:tcW w:w="8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Ref</w:t>
            </w:r>
          </w:p>
        </w:tc>
        <w:tc>
          <w:tcPr>
            <w:tcW w:w="360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Registered by the United States</w:t>
            </w:r>
          </w:p>
        </w:tc>
        <w:tc>
          <w:tcPr>
            <w:tcW w:w="45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Structural prevention</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US-1</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 tolls, fees, or charges of any kind on passage</w:t>
            </w:r>
          </w:p>
        </w:tc>
        <w:tc>
          <w:tcPr>
            <w:tcW w:w="4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Zero-Toll Rule (Article 7.1); anti-evasion rule (Article 7.6); contractual subversion rule (Article 21.5); Annex D category M-1.1</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US-2</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 attacks on or seizures of commercial vessels</w:t>
            </w:r>
          </w:p>
        </w:tc>
        <w:tc>
          <w:tcPr>
            <w:tcW w:w="4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Non-interdiction protocol (Article 8.1); Class Three classification (M-1.2); incident ladder (Annex H.5); rogue-actor substantiation duty (Article 9.8)</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US-3</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The Strait open as before the conflict</w:t>
            </w:r>
          </w:p>
        </w:tc>
        <w:tc>
          <w:tcPr>
            <w:tcW w:w="4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Two-corridor geometry with free-navigation Corridor One (Article 5.2); weekly openness statement (Article 8.6); ground-truth patrols (Article 6.5)</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US-4</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 nuclear weapon and no path to one</w:t>
            </w:r>
          </w:p>
        </w:tc>
        <w:tc>
          <w:tcPr>
            <w:tcW w:w="4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Civilian ceiling (Article 11.1); full stockpile downblending (Article 10); continuous IAEA verification plus third-laboratory layer (Annex F.5) and quarterly independent inspection (Annex F.7); Annex D categories N and X</w:t>
            </w:r>
          </w:p>
        </w:tc>
      </w:tr>
      <w:tr>
        <w:trPr/>
        <w:tc>
          <w:tcPr>
            <w:tcW w:w="8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US-5</w:t>
            </w:r>
          </w:p>
        </w:tc>
        <w:tc>
          <w:tcPr>
            <w:tcW w:w="3601"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Public commitment that all channels operate open</w:t>
            </w:r>
          </w:p>
        </w:tc>
        <w:tc>
          <w:tcPr>
            <w:tcW w:w="45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Joint openness declaration (Article 8.6) attributed to the shared architecture</w:t>
            </w:r>
          </w:p>
        </w:tc>
      </w:tr>
    </w:tbl>
    <w:p>
      <w:pPr>
        <w:pStyle w:val="Caption1"/>
        <w:rPr/>
      </w:pPr>
      <w:r>
        <w:rPr/>
        <w:t>Table L.1: United States registrations</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899"/>
        <w:gridCol w:w="3601"/>
        <w:gridCol w:w="4526"/>
      </w:tblGrid>
      <w:tr>
        <w:trPr>
          <w:tblHeader w:val="true"/>
        </w:trPr>
        <w:tc>
          <w:tcPr>
            <w:tcW w:w="8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Ref</w:t>
            </w:r>
          </w:p>
        </w:tc>
        <w:tc>
          <w:tcPr>
            <w:tcW w:w="3601"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Registered by the Islamic Republic of Iran</w:t>
            </w:r>
          </w:p>
        </w:tc>
        <w:tc>
          <w:tcPr>
            <w:tcW w:w="45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Structural prevention</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IR-1</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Sovereignty and territorial integrity respected; no interference in internal affairs</w:t>
            </w:r>
          </w:p>
        </w:tc>
        <w:tc>
          <w:tcPr>
            <w:tcW w:w="4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MOU paragraph 2 restated as operative rule (Articles 1.2, 3.6); non-prejudice clause (Article 3.4); sovereign procurement rule (Annex N, Section N.11)</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IR-2</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No regime-change objective in any form</w:t>
            </w:r>
          </w:p>
        </w:tc>
        <w:tc>
          <w:tcPr>
            <w:tcW w:w="4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Article 3.6 prohibition binding every fund, mechanism, and procedure</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IR-3</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Downblended material retained on Iranian soil under Iranian ownership</w:t>
            </w:r>
          </w:p>
        </w:tc>
        <w:tc>
          <w:tcPr>
            <w:tcW w:w="4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In-country storage module with dual-lock custody (Articles 10.4, 10.5; Annex F.7)</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IR-4</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Civilian enrichment capability up to 3.67 percent retained</w:t>
            </w:r>
          </w:p>
        </w:tc>
        <w:tc>
          <w:tcPr>
            <w:tcW w:w="4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The civilian ceiling itself (Article 11.1); long-term enrichment plan (Annex F.9); fuel supply assurance (Annex F.8)</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IR-5</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End of strikes and blockade</w:t>
            </w:r>
          </w:p>
        </w:tc>
        <w:tc>
          <w:tcPr>
            <w:tcW w:w="4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Dissolution of blockade measures on signature (Article 9.3); exclusion of force (Article 9.7); Class Three classification of attacks on nuclear facilities (D category X-1.4)</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IR-6</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Sanctions termination schedule honored</w:t>
            </w:r>
          </w:p>
        </w:tc>
        <w:tc>
          <w:tcPr>
            <w:tcW w:w="4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Tranche schedule with automatic release on verification (Article 13.2); Renewal Continuity Rule (Article 12.2); waiver failure classified (D category E-1.1); sanctions firewall (Annex N, Section N.5)</w:t>
            </w:r>
          </w:p>
        </w:tc>
      </w:tr>
      <w:tr>
        <w:trPr/>
        <w:tc>
          <w:tcPr>
            <w:tcW w:w="8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IR-7</w:t>
            </w:r>
          </w:p>
        </w:tc>
        <w:tc>
          <w:tcPr>
            <w:tcW w:w="3601"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Recognition of a legitimate regulatory role in Iran's territorial sea</w:t>
            </w:r>
          </w:p>
        </w:tc>
        <w:tc>
          <w:tcPr>
            <w:tcW w:w="45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Corridor Two notification regime (Article 5.3); coastal service compensation through the Fund (Article 7.4)</w:t>
            </w:r>
          </w:p>
        </w:tc>
      </w:tr>
      <w:tr>
        <w:trPr/>
        <w:tc>
          <w:tcPr>
            <w:tcW w:w="8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IR-8</w:t>
            </w:r>
          </w:p>
        </w:tc>
        <w:tc>
          <w:tcPr>
            <w:tcW w:w="3601"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Reconstruction funds protected from reversal and directed procurement</w:t>
            </w:r>
          </w:p>
        </w:tc>
        <w:tc>
          <w:tcPr>
            <w:tcW w:w="45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No-clawback guarantee (Article 14.6; Annex N, Section N.7); non-directed purchasing rule (Annex N, Section N.11); Annex D categories E-4.1 and E-4.2</w:t>
            </w:r>
          </w:p>
        </w:tc>
      </w:tr>
    </w:tbl>
    <w:p>
      <w:pPr>
        <w:pStyle w:val="Caption1"/>
        <w:rPr/>
      </w:pPr>
      <w:r>
        <w:rPr/>
        <w:t>Table L.2: Iranian registrations</w:t>
      </w:r>
    </w:p>
    <w:p>
      <w:pPr>
        <w:pStyle w:val="Heading2"/>
        <w:rPr/>
      </w:pPr>
      <w:bookmarkStart w:id="135" w:name="__RefHeading___Toc7422_2800514504"/>
      <w:bookmarkEnd w:id="135"/>
      <w:r>
        <w:rPr/>
        <w:t>L.2 Register maintenance</w:t>
      </w:r>
    </w:p>
    <w:p>
      <w:pPr>
        <w:pStyle w:val="Normal"/>
        <w:rPr/>
      </w:pPr>
      <w:r>
        <w:rPr/>
        <w:t>A Party registers an additional Red Line only through a written filing to the depositary with the other Party's acknowledgment of receipt; acknowledgment of receipt never constitutes acceptance of content. The annual review examines the Register's coverage. A perceived approach to any registered line activates the Red Line Consultation of Article 23.4 before any other response. The Register's discipline is its strength: the Parties argue inside a published boundary map instead of discovering each other's boundaries by collision.</w:t>
      </w:r>
      <w:r>
        <w:br w:type="page"/>
      </w:r>
    </w:p>
    <w:p>
      <w:pPr>
        <w:pStyle w:val="Heading1"/>
        <w:rPr/>
      </w:pPr>
      <w:bookmarkStart w:id="136" w:name="__RefHeading___Toc7424_2800514504"/>
      <w:bookmarkEnd w:id="136"/>
      <w:r>
        <w:rPr/>
        <w:t>Annex M: Glossary of Framework Terms and MOU Alignment Map</w:t>
      </w:r>
      <w:bookmarkStart w:id="137" w:name="_TocSg19"/>
      <w:bookmarkEnd w:id="137"/>
    </w:p>
    <w:p>
      <w:pPr>
        <w:pStyle w:val="Normal"/>
        <w:rPr/>
      </w:pPr>
      <w:r>
        <w:rPr>
          <w:i/>
        </w:rPr>
        <w:t>Reference Annex for the whole instrument. Section M.1 restates the neutral terminology register; Section M.2 maps every MOU provision to its implementing machinery.</w:t>
      </w:r>
    </w:p>
    <w:p>
      <w:pPr>
        <w:pStyle w:val="Heading2"/>
        <w:rPr/>
      </w:pPr>
      <w:bookmarkStart w:id="138" w:name="__RefHeading___Toc7426_2800514504"/>
      <w:bookmarkEnd w:id="138"/>
      <w:r>
        <w:rPr/>
        <w:t>M.1 Neutral terminology register</w:t>
      </w:r>
    </w:p>
    <w:p>
      <w:pPr>
        <w:pStyle w:val="Normal"/>
        <w:rPr/>
      </w:pPr>
      <w:r>
        <w:rPr/>
        <w:t>The Framework names its mechanisms for what they do, in language that neither Party's public reads as the other's victory. The register below collects the operative neutral terms; Article 2 carries their definitions.</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001"/>
        <w:gridCol w:w="2999"/>
        <w:gridCol w:w="4026"/>
      </w:tblGrid>
      <w:tr>
        <w:trPr>
          <w:tblHeader w:val="true"/>
        </w:trPr>
        <w:tc>
          <w:tcPr>
            <w:tcW w:w="2001"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Mechanism family</w:t>
            </w:r>
          </w:p>
        </w:tc>
        <w:tc>
          <w:tcPr>
            <w:tcW w:w="2999"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Neutral term</w:t>
            </w:r>
          </w:p>
        </w:tc>
        <w:tc>
          <w:tcPr>
            <w:tcW w:w="4026"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Function in one sentence</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Compliance accounting</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Reciprocity Ledger; Compliance Units; Adjustment Units; Standing Ratio</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Verified actions record as units; benefits flow from the published balance automatically in both directions</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Graduated enforcement</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Graduated Response and Restoration System; Class One, Two, Three events</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Deviations produce proportionate, sequenced, reversible responses inside their own Protocol only</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Status architecture</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Standing Levels I to IV</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A single public status per Party synthesizes ratio and events, with automatic transitions both directions</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Restoration</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Restoration ladder; over-performance credits; good-faith reset</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Every consequence carries a defined, achievable path back to full standing without admission of guilt</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Final measures</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Asset hold; humanitarian reallocation</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The strongest measures pause assets reversibly and convert a fraction of frozen value to humanitarian good</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Predictive coordination</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Anticipation Registry; expected patterns; tolerance bands; Recalibration Session; pattern repository</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Shared baselines surface operational drift early and resolve it through adjustment dialogue without penalty</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Claim discipline</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Substantiated Claim Procedure; Performance Bond; confirmation levels; sealed review; escalation ladder; expedited humanitarian track</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Service compensation and dispute economics that reward accuracy, price out obstruction, and fast-track humanitarian payments</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Investigative finance</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Independent Investigation Facility</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A pre-capitalized reserve that funds forensic investigations without any Party's permission</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Modular structure</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Standing Protocols; Tiers A, B, C; rotation; alternate channels; adaptive windows; consolidation mode</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Many small bonds instead of one grand bargain, with pre-authorized detours and weather-tolerant operation</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Anti-gaming</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Repeat-deviation conditions; compressed windows; enhanced verification status; false-claim discipline; contractual subversion rule</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Automatic process consequences that make patient gaming and form-over-substance evasion progressively irrational</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Attribution discipline</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Rogue-actor substantiation duty</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A 12-hour full-disclosure duty that prices plausible deniability while protecting genuine third-party defenses</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Physical verification</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Ground-truth patrol program; quarterly independent module inspection; third-laboratory layer; dual satellite feeds</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Human and independent physical checks that keep every electronic picture honest without telemetry density</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Public assurance</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Independent Assurance Council; public Class Three notification; named Primary Crisis Contacts</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Independent experts, automatic publication, and personal accountability that expose obstruction to daylight</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Continuity</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Continuing Effect Rule; rolling continuation; Recognition-Implementation-Parity Cycle</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Nothing sunsets; continuation is the default; the interim asymmetry closes into final-deal parity</w:t>
            </w:r>
          </w:p>
        </w:tc>
      </w:tr>
      <w:tr>
        <w:trPr/>
        <w:tc>
          <w:tcPr>
            <w:tcW w:w="2001"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Funds</w:t>
            </w:r>
          </w:p>
        </w:tc>
        <w:tc>
          <w:tcPr>
            <w:tcW w:w="2999"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Transit Services Fund; Joint Confidence Account; Emergency Relief Reserve; Humanitarian Reallocation account; Multilateral Reconstruction Fund</w:t>
            </w:r>
          </w:p>
        </w:tc>
        <w:tc>
          <w:tcPr>
            <w:tcW w:w="4026"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Collective finance for services, confidence, catastrophe, humanitarian good, and reconstruction, each with hard usage rules</w:t>
            </w:r>
          </w:p>
        </w:tc>
      </w:tr>
      <w:tr>
        <w:trPr/>
        <w:tc>
          <w:tcPr>
            <w:tcW w:w="2001"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Bodies</w:t>
            </w:r>
          </w:p>
        </w:tc>
        <w:tc>
          <w:tcPr>
            <w:tcW w:w="2999"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Plenary; Joint Coordination Council; Corridor Operations Cell; Neutral Administrator; Guarantor Panel; Technical Verification Group; Independent Assurance Council; Reconstruction Steering Committee</w:t>
            </w:r>
          </w:p>
        </w:tc>
        <w:tc>
          <w:tcPr>
            <w:tcW w:w="4026"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A lean organ structure with the two-key rule and named-person succession throughout</w:t>
            </w:r>
          </w:p>
        </w:tc>
      </w:tr>
    </w:tbl>
    <w:p>
      <w:pPr>
        <w:pStyle w:val="Caption1"/>
        <w:rPr/>
      </w:pPr>
      <w:r>
        <w:rPr/>
        <w:t>Table M.1: Neutral terminology register</w:t>
      </w:r>
    </w:p>
    <w:p>
      <w:pPr>
        <w:pStyle w:val="Heading2"/>
        <w:rPr/>
      </w:pPr>
      <w:bookmarkStart w:id="139" w:name="__RefHeading___Toc7428_2800514504"/>
      <w:bookmarkEnd w:id="139"/>
      <w:r>
        <w:rPr/>
        <w:t>M.2 MOU alignment map</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4100"/>
        <w:gridCol w:w="4925"/>
      </w:tblGrid>
      <w:tr>
        <w:trPr>
          <w:tblHeader w:val="true"/>
        </w:trPr>
        <w:tc>
          <w:tcPr>
            <w:tcW w:w="4100"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MOU provision</w:t>
            </w:r>
          </w:p>
        </w:tc>
        <w:tc>
          <w:tcPr>
            <w:tcW w:w="4925"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SGDA implementing machinery</w:t>
            </w:r>
          </w:p>
        </w:tc>
      </w:tr>
      <w:tr>
        <w:trPr/>
        <w:tc>
          <w:tcPr>
            <w:tcW w:w="41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Paragraph 1: immediate and permanent termination of military operations on all fronts, including Lebanon; no initiation of war or military operations; no threat or use of force; Lebanese territorial integrity</w:t>
            </w:r>
          </w:p>
        </w:tc>
        <w:tc>
          <w:tcPr>
            <w:tcW w:w="49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Articles 8 and 9 (non-interdiction, standoff geometry, exclusion of force); Article 9.6 (regional front isolation); Annex H (channels and incident ladder); Annex D categories M and X</w:t>
            </w:r>
          </w:p>
        </w:tc>
      </w:tr>
      <w:tr>
        <w:trPr/>
        <w:tc>
          <w:tcPr>
            <w:tcW w:w="41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Paragraph 2: mutual respect of sovereignty and territorial integrity; non-interference in internal affairs</w:t>
            </w:r>
          </w:p>
        </w:tc>
        <w:tc>
          <w:tcPr>
            <w:tcW w:w="49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Articles 1.2, 3.4, 3.6; Annex L registrations IR-1 and IR-2; Annex N, Section N.11 (procurement sovereignty); the mutual-architecture principle throughout</w:t>
            </w:r>
          </w:p>
        </w:tc>
      </w:tr>
      <w:tr>
        <w:trPr/>
        <w:tc>
          <w:tcPr>
            <w:tcW w:w="41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Paragraph 3: final deal within 60 days, extendable by mutual consent</w:t>
            </w:r>
          </w:p>
        </w:tc>
        <w:tc>
          <w:tcPr>
            <w:tcW w:w="49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Article 3.3 (the window); Article 22.6 (the Recognition-Implementation-Parity Cycle); Annex K (activation sequence and Day 60 checkpoint)</w:t>
            </w:r>
          </w:p>
        </w:tc>
      </w:tr>
      <w:tr>
        <w:trPr/>
        <w:tc>
          <w:tcPr>
            <w:tcW w:w="41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Paragraph 6: reconstruction and development plan of at least USD 300 billion with all required licenses, waivers, and permissions</w:t>
            </w:r>
          </w:p>
        </w:tc>
        <w:tc>
          <w:tcPr>
            <w:tcW w:w="49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Article 14 (two-layer delivery architecture); Annex N (Multilateral Reconstruction Fund, seven sub-funds, escrow, fiduciary administration, contributor registry, supplementary windows); Annex G, Section G.4</w:t>
            </w:r>
          </w:p>
        </w:tc>
      </w:tr>
      <w:tr>
        <w:trPr/>
        <w:tc>
          <w:tcPr>
            <w:tcW w:w="41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Paragraph 7: termination of all sanctions on an agreed schedule, including United Nations, IAEA Board, and unilateral primary and secondary measures</w:t>
            </w:r>
          </w:p>
        </w:tc>
        <w:tc>
          <w:tcPr>
            <w:tcW w:w="49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Article 12 (waiver alignment); Article 13 (tranche sequencing, escrow, reconnection); Annex G (license baseline and renewal calendar); Annex N, Section N.5 (sanctions firewall)</w:t>
            </w:r>
          </w:p>
        </w:tc>
      </w:tr>
      <w:tr>
        <w:trPr/>
        <w:tc>
          <w:tcPr>
            <w:tcW w:w="41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Paragraph 8: no procurement or development of nuclear weapons; disposition of stockpiled enriched material with the minimum methodology of downblending on site under IAEA supervision; discussion of enrichment and nuclear needs in the final deal</w:t>
            </w:r>
          </w:p>
        </w:tc>
        <w:tc>
          <w:tcPr>
            <w:tcW w:w="49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Article 10 (downblending); Article 11 (civilian ceiling and verification); Annex F (technical protocol, fuel assurance, long-term plan, third-laboratory layer); Annex D category N</w:t>
            </w:r>
          </w:p>
        </w:tc>
      </w:tr>
      <w:tr>
        <w:trPr/>
        <w:tc>
          <w:tcPr>
            <w:tcW w:w="41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Maritime undertakings: free and open navigation through the Strait of Hormuz; toll-free transit; safety of commercial shipping</w:t>
            </w:r>
          </w:p>
        </w:tc>
        <w:tc>
          <w:tcPr>
            <w:tcW w:w="49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Articles 4 through 9; Annexes A, B, C; the Zero-Toll Rule; the non-interdiction protocol; the joint openness declaration; the ground-truth patrol program</w:t>
            </w:r>
          </w:p>
        </w:tc>
      </w:tr>
      <w:tr>
        <w:trPr/>
        <w:tc>
          <w:tcPr>
            <w:tcW w:w="4100"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Waiver linkage: IAEA access and Hormuz commitments as preconditions of the June 23, 2026 general license</w:t>
            </w:r>
          </w:p>
        </w:tc>
        <w:tc>
          <w:tcPr>
            <w:tcW w:w="4925"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Article 11.2 (verification architecture); Articles 4 to 9 (corridor system); Article 12 (Renewal Continuity Rule)</w:t>
            </w:r>
          </w:p>
        </w:tc>
      </w:tr>
    </w:tbl>
    <w:p>
      <w:pPr>
        <w:pStyle w:val="Caption1"/>
        <w:rPr/>
      </w:pPr>
      <w:r>
        <w:rPr/>
        <w:t>Table M.2: MOU alignment map</w:t>
      </w:r>
    </w:p>
    <w:p>
      <w:pPr>
        <w:pStyle w:val="Heading2"/>
        <w:rPr/>
      </w:pPr>
      <w:bookmarkStart w:id="140" w:name="__RefHeading___Toc7430_2800514504"/>
      <w:bookmarkEnd w:id="140"/>
      <w:r>
        <w:rPr/>
        <w:t>M.3 Closing note</w:t>
      </w:r>
    </w:p>
    <w:p>
      <w:pPr>
        <w:pStyle w:val="Normal"/>
        <w:rPr/>
      </w:pPr>
      <w:r>
        <w:rPr/>
        <w:t>This instrument asks neither Party to trust the other's motives. It asks both Parties to trust the architecture's predictability: that every action meets a published response, that every response reverses on verified compliance, that the corridors stay free and the tolls stay at zero, that the material converts to civilian form and stays visible under two locks, that every investigation proceeds regardless of whose conduct it examines, and that nothing, anywhere in the Framework, fades silently away. Verification is good. Predictability is better. An architecture that survives without demanding either trust or restraint, because its structure carries both, is the objective this text pursues.</w:t>
      </w:r>
    </w:p>
    <w:p>
      <w:pPr>
        <w:pStyle w:val="Normal"/>
        <w:spacing w:before="0" w:after="60"/>
        <w:rPr/>
      </w:pPr>
      <w:r>
        <w:rPr/>
      </w:r>
    </w:p>
    <w:p>
      <w:pPr>
        <w:pStyle w:val="Normal"/>
        <w:rPr/>
      </w:pPr>
      <w:r>
        <w:rPr/>
        <w:t>END OF MAIN INSTRUMENT. ANNEX N FOLLOWS AND FORMS AN INTEGRAL PART OF THIS INSTRUMENT.</w:t>
      </w:r>
      <w:r>
        <w:br w:type="page"/>
      </w:r>
    </w:p>
    <w:p>
      <w:pPr>
        <w:pStyle w:val="Heading1"/>
        <w:rPr/>
      </w:pPr>
      <w:bookmarkStart w:id="141" w:name="__RefHeading___Toc7432_2800514504"/>
      <w:bookmarkEnd w:id="141"/>
      <w:r>
        <w:rPr/>
        <w:t>Annex N: Reconstruction and Development Fund Protocol</w:t>
      </w:r>
      <w:bookmarkStart w:id="142" w:name="_TocSg20"/>
      <w:bookmarkEnd w:id="142"/>
    </w:p>
    <w:p>
      <w:pPr>
        <w:pStyle w:val="Normal"/>
        <w:rPr/>
      </w:pPr>
      <w:r>
        <w:rPr>
          <w:i/>
        </w:rPr>
        <w:t>Operative Annex for Article 14. This Annex incorporates the Reconstruction and Development Fund Protocol into this instrument as the delivery machinery of paragraph 6 of the MOU, harmonized with the Assembly's bodies and rules. Where the incorporated protocol references its own guarantor arrangements, escrow annex, or tier framework, those references resolve to the Guarantor Panel, the escrow architecture of Article 13.3 together with the Qatar Central Bank escrow, and the Standing Protocol tiers of Article 16, respectively.</w:t>
      </w:r>
    </w:p>
    <w:p>
      <w:pPr>
        <w:pStyle w:val="Heading2"/>
        <w:rPr/>
      </w:pPr>
      <w:bookmarkStart w:id="143" w:name="__RefHeading___Toc7434_2800514504"/>
      <w:bookmarkEnd w:id="143"/>
      <w:r>
        <w:rPr/>
        <w:t>N.1 Purpose and structure</w:t>
      </w:r>
    </w:p>
    <w:p>
      <w:pPr>
        <w:pStyle w:val="Normal"/>
        <w:rPr/>
      </w:pPr>
      <w:r>
        <w:rPr/>
        <w:t>This Annex establishes the Multilateral Reconstruction Fund (the MRF): a multilateral financing architecture that aggregates third-party capital for the reconstruction and economic development of Iran under Iranian sovereign project selection, neutral fiduciary administration, and performance-based disbursement. The MRF operates in two layers. Layer one: seven sector sub-funds totaling USD 270 billion over a ten-year horizon. Layer two: the supplementary windows of Section N.10, which carry the aggregate architecture to and beyond the MOU's floor of USD 300 billion. The MRF is not a party fund and not a donor fund: it is a shared machine whose rules bind contributors, administrators, and the recipient in one published structure.</w:t>
      </w:r>
    </w:p>
    <w:p>
      <w:pPr>
        <w:pStyle w:val="Heading2"/>
        <w:rPr/>
      </w:pPr>
      <w:bookmarkStart w:id="144" w:name="__RefHeading___Toc7436_2800514504"/>
      <w:bookmarkEnd w:id="144"/>
      <w:r>
        <w:rPr/>
        <w:t>N.2 Definitions</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200"/>
        <w:gridCol w:w="6825"/>
      </w:tblGrid>
      <w:tr>
        <w:trPr>
          <w:tblHeader w:val="true"/>
        </w:trPr>
        <w:tc>
          <w:tcPr>
            <w:tcW w:w="2200"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8"/>
              </w:rPr>
              <w:t>Term</w:t>
            </w:r>
          </w:p>
        </w:tc>
        <w:tc>
          <w:tcPr>
            <w:tcW w:w="6825"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8"/>
              </w:rPr>
              <w:t>Definition</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MRF</w:t>
            </w:r>
          </w:p>
        </w:tc>
        <w:tc>
          <w:tcPr>
            <w:tcW w:w="68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The Multilateral Reconstruction Fund established by this Annex.</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RSC</w:t>
            </w:r>
          </w:p>
        </w:tc>
        <w:tc>
          <w:tcPr>
            <w:tcW w:w="68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The Reconstruction Steering Committee, the MRF's oversight body, seated in Doha.</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TAG</w:t>
            </w:r>
          </w:p>
        </w:tc>
        <w:tc>
          <w:tcPr>
            <w:tcW w:w="68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The Technical Appraisal Group, the MRF's project evaluation body, comprising engineers, economists, and sector specialists seconded by the World Bank, the regional development banks, and Iran.</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NDF</w:t>
            </w:r>
          </w:p>
        </w:tc>
        <w:tc>
          <w:tcPr>
            <w:tcW w:w="68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The National Development Fund of Iran, the sovereign co-financing partner of the MRF.</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Escrow Agent</w:t>
            </w:r>
          </w:p>
        </w:tc>
        <w:tc>
          <w:tcPr>
            <w:tcW w:w="68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The Qatar Central Bank, holding all MRF funds in segregated escrow accounts outside the jurisdiction of any single contributor or Party.</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Fiduciary Co-Administrator</w:t>
            </w:r>
          </w:p>
        </w:tc>
        <w:tc>
          <w:tcPr>
            <w:tcW w:w="68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The World Bank, administering disbursement standards, procurement review, and audit.</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Sub-fund</w:t>
            </w:r>
          </w:p>
        </w:tc>
        <w:tc>
          <w:tcPr>
            <w:tcW w:w="68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One of the seven sector financing windows of Section N.3.</w:t>
            </w:r>
          </w:p>
        </w:tc>
      </w:tr>
      <w:tr>
        <w:trPr/>
        <w:tc>
          <w:tcPr>
            <w:tcW w:w="2200"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8"/>
              </w:rPr>
              <w:t>Safe Harbor</w:t>
            </w:r>
          </w:p>
        </w:tc>
        <w:tc>
          <w:tcPr>
            <w:tcW w:w="6825"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8"/>
              </w:rPr>
              <w:t>The United States private-sector participation mechanism of Section N.9.</w:t>
            </w:r>
          </w:p>
        </w:tc>
      </w:tr>
      <w:tr>
        <w:trPr/>
        <w:tc>
          <w:tcPr>
            <w:tcW w:w="2200"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8"/>
              </w:rPr>
              <w:t>PRI Pool</w:t>
            </w:r>
          </w:p>
        </w:tc>
        <w:tc>
          <w:tcPr>
            <w:tcW w:w="6825"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8"/>
              </w:rPr>
              <w:t>The Political Risk Insurance Pool of Section N.8.</w:t>
            </w:r>
          </w:p>
        </w:tc>
      </w:tr>
    </w:tbl>
    <w:p>
      <w:pPr>
        <w:pStyle w:val="Caption1"/>
        <w:rPr/>
      </w:pPr>
      <w:r>
        <w:rPr/>
        <w:t>Table N.1: Annex N definitions</w:t>
      </w:r>
    </w:p>
    <w:p>
      <w:pPr>
        <w:pStyle w:val="Heading2"/>
        <w:rPr/>
      </w:pPr>
      <w:bookmarkStart w:id="145" w:name="__RefHeading___Toc7438_2800514504"/>
      <w:bookmarkEnd w:id="145"/>
      <w:r>
        <w:rPr/>
        <w:t>N.3 The seven sub-funds and sovereign co-financing</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3299"/>
        <w:gridCol w:w="1800"/>
        <w:gridCol w:w="3927"/>
      </w:tblGrid>
      <w:tr>
        <w:trPr>
          <w:tblHeader w:val="true"/>
        </w:trPr>
        <w:tc>
          <w:tcPr>
            <w:tcW w:w="32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Sub-fund</w:t>
            </w:r>
          </w:p>
        </w:tc>
        <w:tc>
          <w:tcPr>
            <w:tcW w:w="18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Ten-year allocation (USD billion)</w:t>
            </w:r>
          </w:p>
        </w:tc>
        <w:tc>
          <w:tcPr>
            <w:tcW w:w="3927"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Core mandate</w:t>
            </w:r>
          </w:p>
        </w:tc>
      </w:tr>
      <w:tr>
        <w:trPr/>
        <w:tc>
          <w:tcPr>
            <w:tcW w:w="32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Core Infrastructure and Housing Reconstruction</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65</w:t>
            </w:r>
          </w:p>
        </w:tc>
        <w:tc>
          <w:tcPr>
            <w:tcW w:w="39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Housing units, urban reconstruction, public buildings, seismic retrofit</w:t>
            </w:r>
          </w:p>
        </w:tc>
      </w:tr>
      <w:tr>
        <w:trPr/>
        <w:tc>
          <w:tcPr>
            <w:tcW w:w="32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Energy Sector Modernization</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55</w:t>
            </w:r>
          </w:p>
        </w:tc>
        <w:tc>
          <w:tcPr>
            <w:tcW w:w="39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Generation, grid, transmission loss reduction, renewable capacity, refinery safety</w:t>
            </w:r>
          </w:p>
        </w:tc>
      </w:tr>
      <w:tr>
        <w:trPr/>
        <w:tc>
          <w:tcPr>
            <w:tcW w:w="32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Healthcare and Social Services</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40</w:t>
            </w:r>
          </w:p>
        </w:tc>
        <w:tc>
          <w:tcPr>
            <w:tcW w:w="39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Hospitals, clinics, medicine supply chains, social protection systems</w:t>
            </w:r>
          </w:p>
        </w:tc>
      </w:tr>
      <w:tr>
        <w:trPr/>
        <w:tc>
          <w:tcPr>
            <w:tcW w:w="32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Transportation and Logistics</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35</w:t>
            </w:r>
          </w:p>
        </w:tc>
        <w:tc>
          <w:tcPr>
            <w:tcW w:w="39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Highways, rail, airport and port upgrades, logistics corridors</w:t>
            </w:r>
          </w:p>
        </w:tc>
      </w:tr>
      <w:tr>
        <w:trPr/>
        <w:tc>
          <w:tcPr>
            <w:tcW w:w="32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Water and Agricultural Resilience</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30</w:t>
            </w:r>
          </w:p>
        </w:tc>
        <w:tc>
          <w:tcPr>
            <w:tcW w:w="39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Treatment plants, desalination, irrigation modernization, food security</w:t>
            </w:r>
          </w:p>
        </w:tc>
      </w:tr>
      <w:tr>
        <w:trPr/>
        <w:tc>
          <w:tcPr>
            <w:tcW w:w="32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Economic and SME Development</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25</w:t>
            </w:r>
          </w:p>
        </w:tc>
        <w:tc>
          <w:tcPr>
            <w:tcW w:w="39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Small and medium enterprise finance, industrial parks, digital infrastructure</w:t>
            </w:r>
          </w:p>
        </w:tc>
      </w:tr>
      <w:tr>
        <w:trPr/>
        <w:tc>
          <w:tcPr>
            <w:tcW w:w="32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Governance, Demining, and Public Administration</w:t>
            </w:r>
          </w:p>
        </w:tc>
        <w:tc>
          <w:tcPr>
            <w:tcW w:w="18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20</w:t>
            </w:r>
          </w:p>
        </w:tc>
        <w:tc>
          <w:tcPr>
            <w:tcW w:w="3927"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Public financial management, cadastre, demining under UNMAS coordination, statistics</w:t>
            </w:r>
          </w:p>
        </w:tc>
      </w:tr>
    </w:tbl>
    <w:p>
      <w:pPr>
        <w:pStyle w:val="Caption1"/>
        <w:rPr/>
      </w:pPr>
      <w:r>
        <w:rPr/>
        <w:t>Table N.2: Sub-fund architecture (total USD 270 billion)</w:t>
      </w:r>
    </w:p>
    <w:p>
      <w:pPr>
        <w:pStyle w:val="Normal"/>
        <w:rPr/>
      </w:pPr>
      <w:r>
        <w:rPr/>
        <w:t>The NDF co-finances at 20 percent of the aggregate, approximately USD 54 billion over the horizon, drawn from Iran's sovereign resource revenues. The NDF match operates pari passu with international capital for milestone and disbursement purposes: a project draws the NDF share and the MRF share on the same certification, at the same time, through the same escrow. Sub-fund resources apply exclusively to their stated mandates; inter-sub-fund transfers require RSC approval by two-thirds. The Transit Services Fund seed of Article 7.3 draws from the Economic and SME Development window as a strait-stability investment.</w:t>
      </w:r>
    </w:p>
    <w:p>
      <w:pPr>
        <w:pStyle w:val="Heading2"/>
        <w:rPr/>
      </w:pPr>
      <w:bookmarkStart w:id="146" w:name="__RefHeading___Toc7440_2800514504"/>
      <w:bookmarkEnd w:id="146"/>
      <w:r>
        <w:rPr/>
        <w:t>N.4 Project origination and Iranian sovereign selection</w:t>
      </w:r>
    </w:p>
    <w:p>
      <w:pPr>
        <w:pStyle w:val="Normal"/>
        <w:rPr/>
      </w:pPr>
      <w:r>
        <w:rPr/>
        <w:t>Projects originate through six steps, and the first two belong to Iran alone:</w:t>
      </w:r>
    </w:p>
    <w:p>
      <w:pPr>
        <w:pStyle w:val="Normal"/>
        <w:numPr>
          <w:ilvl w:val="0"/>
          <w:numId w:val="1"/>
        </w:numPr>
        <w:spacing w:lineRule="auto" w:line="312" w:before="0" w:after="120"/>
        <w:rPr/>
      </w:pPr>
      <w:r>
        <w:rPr/>
        <w:t>Project identification: an Iranian line ministry, provincial government, or state agency identifies and proposes the project, with community consultation documented.</w:t>
      </w:r>
    </w:p>
    <w:p>
      <w:pPr>
        <w:pStyle w:val="Normal"/>
        <w:numPr>
          <w:ilvl w:val="0"/>
          <w:numId w:val="1"/>
        </w:numPr>
        <w:spacing w:lineRule="auto" w:line="312" w:before="0" w:after="120"/>
        <w:rPr/>
      </w:pPr>
      <w:r>
        <w:rPr/>
        <w:t>NDF pre-qualification: the NDF appraises the proposal, commits its 20 percent share, and certifies the project's place in the national development plan.</w:t>
      </w:r>
    </w:p>
    <w:p>
      <w:pPr>
        <w:pStyle w:val="Normal"/>
        <w:numPr>
          <w:ilvl w:val="0"/>
          <w:numId w:val="1"/>
        </w:numPr>
        <w:spacing w:lineRule="auto" w:line="312" w:before="0" w:after="120"/>
        <w:rPr/>
      </w:pPr>
      <w:r>
        <w:rPr/>
        <w:t>Joint technical appraisal: the TAG evaluates engineering, procurement, environmental, and fiduciary soundness within 30 days.</w:t>
      </w:r>
    </w:p>
    <w:p>
      <w:pPr>
        <w:pStyle w:val="Normal"/>
        <w:numPr>
          <w:ilvl w:val="0"/>
          <w:numId w:val="1"/>
        </w:numPr>
        <w:spacing w:lineRule="auto" w:line="312" w:before="0" w:after="120"/>
        <w:rPr/>
      </w:pPr>
      <w:r>
        <w:rPr/>
        <w:t>RSC approval: the RSC approves within 60 days of a complete appraisal, with an accelerated track of 15 days for projects at or below USD 50 million.</w:t>
      </w:r>
    </w:p>
    <w:p>
      <w:pPr>
        <w:pStyle w:val="Normal"/>
        <w:numPr>
          <w:ilvl w:val="0"/>
          <w:numId w:val="1"/>
        </w:numPr>
        <w:spacing w:lineRule="auto" w:line="312" w:before="0" w:after="120"/>
        <w:rPr/>
      </w:pPr>
      <w:r>
        <w:rPr/>
        <w:t>Escrow funding release: the Qatar Central Bank releases the first disbursement tranche against the approved milestone schedule.</w:t>
      </w:r>
    </w:p>
    <w:p>
      <w:pPr>
        <w:pStyle w:val="Normal"/>
        <w:numPr>
          <w:ilvl w:val="0"/>
          <w:numId w:val="1"/>
        </w:numPr>
        <w:spacing w:lineRule="auto" w:line="312" w:before="0" w:after="120"/>
        <w:rPr/>
      </w:pPr>
      <w:r>
        <w:rPr/>
        <w:t>Performance monitoring: quarterly engineer certification, independent site visits, and dashboard publication follow the disbursement rules of Section N.7.</w:t>
      </w:r>
    </w:p>
    <w:p>
      <w:pPr>
        <w:pStyle w:val="Normal"/>
        <w:rPr/>
      </w:pPr>
      <w:r>
        <w:rPr/>
        <w:t>Sector requirements guide the pipeline: housing, 500,000 units over ten years with 70 percent allocated to low-income households and full seismic standards; transport, 3,000 kilometers of highways, 1,500 kilometers of rail, and ten airport upgrades; power, 20 gigawatts of new capacity with at least 15 gigawatts renewable and a 50 percent reduction in transmission losses; water, 25 large treatment plants, 15 desalination facilities, and a 30 percent reduction in agricultural water intensity; health, 200 hospitals and 500 clinics with universal essential medicine access; agriculture, 500,000 hectares under modern irrigation, 50 agro-processing facilities, and a 30 percent reduction in food import dependence. The requirements state planning targets, not entitlements: the TAG weighs every project on its merits.</w:t>
      </w:r>
    </w:p>
    <w:p>
      <w:pPr>
        <w:pStyle w:val="Heading2"/>
        <w:rPr/>
      </w:pPr>
      <w:bookmarkStart w:id="147" w:name="__RefHeading___Toc7442_2800514504"/>
      <w:bookmarkEnd w:id="147"/>
      <w:r>
        <w:rPr/>
        <w:t>N.5 Contributors, governance, and the sanctions firewall</w:t>
      </w:r>
    </w:p>
    <w:p>
      <w:pPr>
        <w:pStyle w:val="Normal"/>
        <w:rPr/>
      </w:pPr>
      <w:r>
        <w:rPr/>
        <w:t>Contributors organize in tiers: Gulf Cooperation Council states, European states, Asian states, international financial institutions, and the private windows of Section N.9. Every contribution enters the Qatar Central Bank escrow in segregated sub-accounts, denominated and structured to sit outside the unilateral reach of any single jurisdiction. The sanctions firewall operates as follows: all MRF transactions travel under the licenses, waivers, and permissions that the MOU paragraph 6 itself commits the United States to issue; the escrow's location and structure insulate transactions from secondary-measure exposure; and the World Bank's fiduciary co-administration supplies the compliance documentation that global banks require to clear payments. The firewall gives every contributor one answer to its own regulators: the transaction runs through the neutral escrow, under the MOU's licenses, with World Bank paperwork. Interference with the escrow classifies under Annex D, category E-4.1.</w:t>
      </w:r>
    </w:p>
    <w:p>
      <w:pPr>
        <w:pStyle w:val="Heading2"/>
        <w:rPr/>
      </w:pPr>
      <w:bookmarkStart w:id="148" w:name="__RefHeading___Toc7444_2800514504"/>
      <w:bookmarkEnd w:id="148"/>
      <w:r>
        <w:rPr/>
        <w:t>N.6 Project approval standards</w:t>
      </w:r>
    </w:p>
    <w:p>
      <w:pPr>
        <w:pStyle w:val="Normal"/>
        <w:rPr/>
      </w:pPr>
      <w:r>
        <w:rPr/>
        <w:t>The TAG applies four standing standards to every project: (a) local content between 10 and 15 percent of contract value as a floor, rising with Iranian industrial capacity, reviewed annually; (b) a project rebalancing reserve of 10 percent of each contract, held for scope adjustment without re-approval; (c) technology transfer provisions in every contract above USD 100 million, building Iranian operating capacity rather than permanent dependence; and (d) procurement through open or documented competitive procedure, with the local content preference applied transparently. The RSC publishes approval statistics quarterly: volumes, sectors, cycle times, and rejection reasons, so that the pipeline's discipline stays visible to contributors and to the Iranian public alike.</w:t>
      </w:r>
    </w:p>
    <w:p>
      <w:pPr>
        <w:pStyle w:val="Heading2"/>
        <w:rPr/>
      </w:pPr>
      <w:bookmarkStart w:id="149" w:name="__RefHeading___Toc7446_2800514504"/>
      <w:bookmarkEnd w:id="149"/>
      <w:r>
        <w:rPr/>
        <w:t>N.7 Performance-based disbursement and the no-clawback guarantee</w:t>
      </w:r>
    </w:p>
    <w:p>
      <w:pPr>
        <w:pStyle w:val="Normal"/>
        <w:rPr/>
      </w:pPr>
      <w:r>
        <w:rPr/>
        <w:t>Disbursement follows milestones, never calendars. The standard schedule: 10 percent on contract execution and mobilization; 30 percent on foundation and early works, engineer-certified; 40 percent on principal construction milestones, engineer-certified; 20 percent on commissioning and handover, engineer-certified. Projects at or below USD 10 million run a simplified 20/40/40 schedule. Milestone verification completes within 30 days of the contractor's certification request; a disputed certification resolves within 45 days through the TAG's technical review, with the second-opinion procedure of Annex J, Section J.6 available to either side. A failing project receives one corrective action period; a project that fails correction terminates with an independent completion audit, and its undisbursed balance returns to its sub-fund for reallocation.</w:t>
      </w:r>
    </w:p>
    <w:p>
      <w:pPr>
        <w:pStyle w:val="Normal"/>
        <w:rPr/>
      </w:pPr>
      <w:r>
        <w:rPr/>
        <w:t>The no-clawback guarantee stands absolute: funds already disbursed never reverse, freeze, or rescind under any circumstances, including project discontinuation, cost overruns, political disputes, Standing Level changes, or any change in the state of this instrument. The guarantee stands outside the graduated response system of Article 18, outside the asset hold of Annex E, Section E.5, and outside every compliance mechanism. The architecture trades this certainty for verification density: the Framework watches every dollar before it moves, so that no dollar needs chasing after.</w:t>
      </w:r>
    </w:p>
    <w:p>
      <w:pPr>
        <w:pStyle w:val="Heading2"/>
        <w:rPr/>
      </w:pPr>
      <w:bookmarkStart w:id="150" w:name="__RefHeading___Toc7448_2800514504"/>
      <w:bookmarkEnd w:id="150"/>
      <w:r>
        <w:rPr/>
        <w:t>N.8 Governance, transparency, and integrity</w:t>
      </w:r>
    </w:p>
    <w:p>
      <w:pPr>
        <w:pStyle w:val="Normal"/>
        <w:rPr/>
      </w:pPr>
      <w:r>
        <w:rPr/>
        <w:t>The RSC comprises voting members Iran, Qatar, the World Bank, and the Gulf Cooperation Council, with the United States, China, and the European Union as observers without vote, and one rotating non-voting civil society observer seat filled from a nomination pool of independent development and humanitarian organizations. The RSC meets quarterly in Doha and holds one annual public session. Its transparency instruments operate continuously: quarterly progress reports; an annual independent audit by a firm selected under the same dual-gate rule as Annex C, Section C.1; quarterly independent auditor site visits to a rotating sample of projects; a public dashboard showing every sub-fund's commitments, disbursements, milestones, and audit findings; and a protected whistleblower channel administered by the fiduciary co-administrator, with retaliation against a whistleblower classified under Annex D, category G-1.3.</w:t>
      </w:r>
    </w:p>
    <w:p>
      <w:pPr>
        <w:pStyle w:val="Normal"/>
        <w:rPr/>
      </w:pPr>
      <w:r>
        <w:rPr/>
        <w:t>Four financial integrity mechanisms complete the architecture: (a) contractor performance bonds of 10 percent of contract value, callable on certified non-performance; (b) the Political Risk Insurance Pool, which underwrites contributor and contractor exposure against political disruption, priced against the Standing Levels of Article 18.5 so that stability literally pays; (c) the Hard Currency Facility, which manages rial convertibility for project accounts at published rates, so that no project stalls on exchange mechanics; and (d) a contingency reserve of 5 percent of each sub-fund, drawable only on RSC certification of cost overrun causes outside the contractor's control.</w:t>
      </w:r>
    </w:p>
    <w:p>
      <w:pPr>
        <w:pStyle w:val="Heading2"/>
        <w:rPr/>
      </w:pPr>
      <w:bookmarkStart w:id="151" w:name="__RefHeading___Toc7450_2800514504"/>
      <w:bookmarkEnd w:id="151"/>
      <w:r>
        <w:rPr/>
        <w:t>N.9 The United States non-cash participation package</w:t>
      </w:r>
    </w:p>
    <w:p>
      <w:pPr>
        <w:pStyle w:val="Normal"/>
        <w:rPr/>
      </w:pPr>
      <w:r>
        <w:rPr/>
        <w:t>The United States participates without direct cash transfers to Iran, consistent with its domestic political constraints, through three channels. First, technical assistance and regulatory facilitation: engineering standards cooperation, export licensing for reconstruction goods, and the license architecture of Annex G. Second, the private-sector Safe Harbor: standing letters of comfort from the Neutral Administrator confirming that United States and third-country firms participating in MRF projects operate within the licensed framework, protecting them from inadvertent exposure and unlocking private capital at scale. Third, the In-Kind Contribution Window: equipment, expertise, services, and technology contributions valued at agreed rates and credited as United States participation. The package delivers genuine value to the reconstruction while requiring no appropriation, and it keeps the United States inside the architecture it helped design.</w:t>
      </w:r>
    </w:p>
    <w:p>
      <w:pPr>
        <w:pStyle w:val="Heading2"/>
        <w:rPr/>
      </w:pPr>
      <w:bookmarkStart w:id="152" w:name="__RefHeading___Toc7452_2800514504"/>
      <w:bookmarkEnd w:id="152"/>
      <w:r>
        <w:rPr/>
        <w:t>N.10 Supplementary windows to the MOU floor</w:t>
      </w:r>
    </w:p>
    <w:tbl>
      <w:tblPr>
        <w:tblW w:w="5000" w:type="pct"/>
        <w:jc w:val="left"/>
        <w:tblInd w:w="190" w:type="dxa"/>
        <w:tblLayout w:type="fixed"/>
        <w:tblCellMar>
          <w:top w:w="50" w:type="dxa"/>
          <w:left w:w="100" w:type="dxa"/>
          <w:bottom w:w="50" w:type="dxa"/>
          <w:right w:w="100" w:type="dxa"/>
        </w:tblCellMar>
        <w:tblLook w:val="04a0" w:noHBand="0" w:noVBand="1" w:firstColumn="1" w:lastRow="0" w:lastColumn="0" w:firstRow="1"/>
      </w:tblPr>
      <w:tblGrid>
        <w:gridCol w:w="2599"/>
        <w:gridCol w:w="1800"/>
        <w:gridCol w:w="4627"/>
      </w:tblGrid>
      <w:tr>
        <w:trPr>
          <w:tblHeader w:val="true"/>
        </w:trPr>
        <w:tc>
          <w:tcPr>
            <w:tcW w:w="2599" w:type="dxa"/>
            <w:tcBorders>
              <w:top w:val="single" w:sz="12" w:space="0" w:color="37474F"/>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Window</w:t>
            </w:r>
          </w:p>
        </w:tc>
        <w:tc>
          <w:tcPr>
            <w:tcW w:w="1800" w:type="dxa"/>
            <w:tcBorders>
              <w:top w:val="single" w:sz="12" w:space="0" w:color="37474F"/>
              <w:left w:val="single" w:sz="4" w:space="0" w:color="B0BEC5"/>
              <w:bottom w:val="single" w:sz="4" w:space="0" w:color="B0BEC5"/>
              <w:right w:val="single" w:sz="4" w:space="0" w:color="B0BEC5"/>
            </w:tcBorders>
            <w:shd w:color="auto" w:fill="ECEFF1" w:val="clear"/>
          </w:tcPr>
          <w:p>
            <w:pPr>
              <w:pStyle w:val="Normal"/>
              <w:widowControl w:val="false"/>
              <w:spacing w:lineRule="auto" w:line="264" w:before="30" w:after="30"/>
              <w:rPr/>
            </w:pPr>
            <w:r>
              <w:rPr>
                <w:b/>
                <w:color w:val="37474F"/>
                <w:sz w:val="16"/>
              </w:rPr>
              <w:t>Indicative scale (USD billion)</w:t>
            </w:r>
          </w:p>
        </w:tc>
        <w:tc>
          <w:tcPr>
            <w:tcW w:w="4627" w:type="dxa"/>
            <w:tcBorders>
              <w:top w:val="single" w:sz="12" w:space="0" w:color="37474F"/>
              <w:left w:val="single" w:sz="4" w:space="0" w:color="B0BEC5"/>
              <w:bottom w:val="single" w:sz="4" w:space="0" w:color="B0BEC5"/>
            </w:tcBorders>
            <w:shd w:color="auto" w:fill="ECEFF1" w:val="clear"/>
          </w:tcPr>
          <w:p>
            <w:pPr>
              <w:pStyle w:val="Normal"/>
              <w:widowControl w:val="false"/>
              <w:spacing w:lineRule="auto" w:line="264" w:before="30" w:after="30"/>
              <w:rPr/>
            </w:pPr>
            <w:r>
              <w:rPr>
                <w:b/>
                <w:color w:val="37474F"/>
                <w:sz w:val="16"/>
              </w:rPr>
              <w:t>Mechanism</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IMF Special Drawing Rights channel</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3 to 5</w:t>
            </w:r>
          </w:p>
        </w:tc>
        <w:tc>
          <w:tcPr>
            <w:tcW w:w="46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SDR-denominated financing arranged through the IMF's established mechanisms, counted toward the aggregate</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Frozen asset conversion protocol</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6 to 10</w:t>
            </w:r>
          </w:p>
        </w:tc>
        <w:tc>
          <w:tcPr>
            <w:tcW w:w="46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Scheduled conversion of released frozen assets from the Tranche T-3 blocks into reconstruction escrow deposits, at Iran's election, with matching NDF credit</w:t>
            </w:r>
          </w:p>
        </w:tc>
      </w:tr>
      <w:tr>
        <w:trPr/>
        <w:tc>
          <w:tcPr>
            <w:tcW w:w="2599" w:type="dxa"/>
            <w:tcBorders>
              <w:top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Carbon credit pre-financing facility</w:t>
            </w:r>
          </w:p>
        </w:tc>
        <w:tc>
          <w:tcPr>
            <w:tcW w:w="1800" w:type="dxa"/>
            <w:tcBorders>
              <w:top w:val="single" w:sz="4" w:space="0" w:color="B0BEC5"/>
              <w:left w:val="single" w:sz="4" w:space="0" w:color="B0BEC5"/>
              <w:bottom w:val="single" w:sz="4" w:space="0" w:color="B0BEC5"/>
              <w:right w:val="single" w:sz="4" w:space="0" w:color="B0BEC5"/>
            </w:tcBorders>
          </w:tcPr>
          <w:p>
            <w:pPr>
              <w:pStyle w:val="Normal"/>
              <w:widowControl w:val="false"/>
              <w:spacing w:lineRule="auto" w:line="264" w:before="30" w:after="30"/>
              <w:rPr/>
            </w:pPr>
            <w:r>
              <w:rPr>
                <w:sz w:val="16"/>
              </w:rPr>
              <w:t>2 to 5</w:t>
            </w:r>
          </w:p>
        </w:tc>
        <w:tc>
          <w:tcPr>
            <w:tcW w:w="4627" w:type="dxa"/>
            <w:tcBorders>
              <w:top w:val="single" w:sz="4" w:space="0" w:color="B0BEC5"/>
              <w:left w:val="single" w:sz="4" w:space="0" w:color="B0BEC5"/>
              <w:bottom w:val="single" w:sz="4" w:space="0" w:color="B0BEC5"/>
            </w:tcBorders>
          </w:tcPr>
          <w:p>
            <w:pPr>
              <w:pStyle w:val="Normal"/>
              <w:widowControl w:val="false"/>
              <w:spacing w:lineRule="auto" w:line="264" w:before="30" w:after="30"/>
              <w:rPr/>
            </w:pPr>
            <w:r>
              <w:rPr>
                <w:sz w:val="16"/>
              </w:rPr>
              <w:t>Pre-financing against verified emission reductions from the energy sub-fund's renewable and efficiency projects, through established carbon market standards</w:t>
            </w:r>
          </w:p>
        </w:tc>
      </w:tr>
      <w:tr>
        <w:trPr/>
        <w:tc>
          <w:tcPr>
            <w:tcW w:w="2599" w:type="dxa"/>
            <w:tcBorders>
              <w:top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Coordinated bilateral and regional programs</w:t>
            </w:r>
          </w:p>
        </w:tc>
        <w:tc>
          <w:tcPr>
            <w:tcW w:w="1800" w:type="dxa"/>
            <w:tcBorders>
              <w:top w:val="single" w:sz="4" w:space="0" w:color="B0BEC5"/>
              <w:left w:val="single" w:sz="4" w:space="0" w:color="B0BEC5"/>
              <w:bottom w:val="single" w:sz="12" w:space="0" w:color="37474F"/>
              <w:right w:val="single" w:sz="4" w:space="0" w:color="B0BEC5"/>
            </w:tcBorders>
          </w:tcPr>
          <w:p>
            <w:pPr>
              <w:pStyle w:val="Normal"/>
              <w:widowControl w:val="false"/>
              <w:spacing w:lineRule="auto" w:line="264" w:before="30" w:after="30"/>
              <w:rPr/>
            </w:pPr>
            <w:r>
              <w:rPr>
                <w:sz w:val="16"/>
              </w:rPr>
              <w:t>Balance to the MOU floor</w:t>
            </w:r>
          </w:p>
        </w:tc>
        <w:tc>
          <w:tcPr>
            <w:tcW w:w="4627" w:type="dxa"/>
            <w:tcBorders>
              <w:top w:val="single" w:sz="4" w:space="0" w:color="B0BEC5"/>
              <w:left w:val="single" w:sz="4" w:space="0" w:color="B0BEC5"/>
              <w:bottom w:val="single" w:sz="12" w:space="0" w:color="37474F"/>
            </w:tcBorders>
          </w:tcPr>
          <w:p>
            <w:pPr>
              <w:pStyle w:val="Normal"/>
              <w:widowControl w:val="false"/>
              <w:spacing w:lineRule="auto" w:line="264" w:before="30" w:after="30"/>
              <w:rPr/>
            </w:pPr>
            <w:r>
              <w:rPr>
                <w:sz w:val="16"/>
              </w:rPr>
              <w:t>Bilateral development programs and regional facilities coordinated through the RSC's Funding Opportunities Database, counted once, against double-counting audit</w:t>
            </w:r>
          </w:p>
        </w:tc>
      </w:tr>
    </w:tbl>
    <w:p>
      <w:pPr>
        <w:pStyle w:val="Caption1"/>
        <w:rPr/>
      </w:pPr>
      <w:r>
        <w:rPr/>
        <w:t>Table N.3: Supplementary windows</w:t>
      </w:r>
    </w:p>
    <w:p>
      <w:pPr>
        <w:pStyle w:val="Normal"/>
        <w:rPr/>
      </w:pPr>
      <w:r>
        <w:rPr/>
        <w:t>The RSC maintains the Funding Opportunities Database as the single registry of every financing source counted toward the MOU floor: each entry records source, instrument, amount, conditions, and verification status, and the annual audit reconciles the registry against the USD 300 billion commitment, eliminating double counting by construction. The definitive mutually agreed plan that the MOU requires publishes from this database within the 60-day mechanism.</w:t>
      </w:r>
    </w:p>
    <w:p>
      <w:pPr>
        <w:pStyle w:val="Heading2"/>
        <w:rPr/>
      </w:pPr>
      <w:bookmarkStart w:id="153" w:name="__RefHeading___Toc7454_2800514504"/>
      <w:bookmarkEnd w:id="153"/>
      <w:r>
        <w:rPr>
          <w:rFonts w:eastAsia="Microsoft YaHei" w:cs="Calibri"/>
          <w:b/>
          <w:color w:val="263238"/>
          <w:sz w:val="21"/>
          <w:szCs w:val="24"/>
          <w:lang w:val="en-CA" w:eastAsia="en-CA" w:bidi="ar-SA"/>
        </w:rPr>
        <w:t>N.11 Sovereign procurement and non-directed purchasing</w:t>
      </w:r>
    </w:p>
    <w:p>
      <w:pPr>
        <w:pStyle w:val="Normal"/>
        <w:rPr/>
      </w:pPr>
      <w:r>
        <w:rPr>
          <w:rFonts w:eastAsia="Microsoft YaHei" w:cs="Calibri"/>
          <w:color w:val="263238"/>
          <w:sz w:val="21"/>
          <w:szCs w:val="24"/>
          <w:lang w:val="en-CA" w:eastAsia="en-CA" w:bidi="ar-SA"/>
        </w:rPr>
        <w:t>The Framework states plainly: nothing in this instrument, in the MOU, or in any associated arrangement obligates Iran to purchase goods, services, equipment, or technology from the United States or from any particular country. Procurement under the MRF follows competitive international rules with the local content preference of Section N.6, and Iran selects suppliers on merit, price, quality, and its national interest. A contribution carries no procurement string. The architecture records, for the avoidance of doubt, the following standing understandings:</w:t>
      </w:r>
    </w:p>
    <w:p>
      <w:pPr>
        <w:pStyle w:val="Normal"/>
        <w:numPr>
          <w:ilvl w:val="0"/>
          <w:numId w:val="1"/>
        </w:numPr>
        <w:spacing w:lineRule="auto" w:line="312" w:before="0" w:after="120"/>
        <w:rPr/>
      </w:pPr>
      <w:r>
        <w:rPr>
          <w:rFonts w:eastAsia="Microsoft YaHei" w:cs="Calibri"/>
          <w:color w:val="263238"/>
          <w:sz w:val="21"/>
          <w:szCs w:val="24"/>
          <w:lang w:val="en-CA" w:eastAsia="en-CA" w:bidi="ar-SA"/>
        </w:rPr>
        <w:t>Iran's procurement sovereignty stands absolute. No MRF project, window, or tranche conditions funds on the origin of goods or services.</w:t>
      </w:r>
    </w:p>
    <w:p>
      <w:pPr>
        <w:pStyle w:val="Normal"/>
        <w:numPr>
          <w:ilvl w:val="0"/>
          <w:numId w:val="1"/>
        </w:numPr>
        <w:spacing w:lineRule="auto" w:line="312" w:before="0" w:after="120"/>
        <w:rPr/>
      </w:pPr>
      <w:r>
        <w:rPr>
          <w:rFonts w:eastAsia="Microsoft YaHei" w:cs="Calibri"/>
          <w:color w:val="263238"/>
          <w:sz w:val="21"/>
          <w:szCs w:val="24"/>
          <w:lang w:val="en-CA" w:eastAsia="en-CA" w:bidi="ar-SA"/>
        </w:rPr>
        <w:t>The Safe Harbor of Section N.9 operates as an open channel for firms that choose to compete, never as a directed trade commitment.</w:t>
      </w:r>
    </w:p>
    <w:p>
      <w:pPr>
        <w:pStyle w:val="Normal"/>
        <w:numPr>
          <w:ilvl w:val="0"/>
          <w:numId w:val="1"/>
        </w:numPr>
        <w:spacing w:lineRule="auto" w:line="312" w:before="0" w:after="120"/>
        <w:rPr/>
      </w:pPr>
      <w:r>
        <w:rPr>
          <w:rFonts w:eastAsia="Microsoft YaHei" w:cs="Calibri"/>
          <w:color w:val="263238"/>
          <w:sz w:val="21"/>
          <w:szCs w:val="24"/>
          <w:lang w:val="en-CA" w:eastAsia="en-CA" w:bidi="ar-SA"/>
        </w:rPr>
        <w:t>The agricultural window of Article 13.5 operates on the same basis: an open, licensed channel for purchases Iran elects to make, with no volume commitment and no origin requirement.</w:t>
      </w:r>
    </w:p>
    <w:p>
      <w:pPr>
        <w:pStyle w:val="Normal"/>
        <w:numPr>
          <w:ilvl w:val="0"/>
          <w:numId w:val="1"/>
        </w:numPr>
        <w:spacing w:lineRule="auto" w:line="312" w:before="0" w:after="120"/>
        <w:rPr/>
      </w:pPr>
      <w:r>
        <w:rPr>
          <w:rFonts w:eastAsia="Microsoft YaHei" w:cs="Calibri"/>
          <w:color w:val="263238"/>
          <w:sz w:val="21"/>
          <w:szCs w:val="24"/>
          <w:lang w:val="en-CA" w:eastAsia="en-CA" w:bidi="ar-SA"/>
        </w:rPr>
        <w:t>Any attempt to condition reconstruction funds, escrow disbursement, or license issuance on procurement from any particular country classifies under Annex D, category E-4.2.</w:t>
      </w:r>
    </w:p>
    <w:p>
      <w:pPr>
        <w:pStyle w:val="Normal"/>
        <w:rPr/>
      </w:pPr>
      <w:r>
        <w:rPr>
          <w:rFonts w:eastAsia="Microsoft YaHei" w:cs="Calibri"/>
          <w:color w:val="263238"/>
          <w:sz w:val="21"/>
          <w:szCs w:val="24"/>
          <w:lang w:val="en-CA" w:eastAsia="en-CA" w:bidi="ar-SA"/>
        </w:rPr>
        <w:t>This Section satisfies the Iranian registration that economic cooperation never converts into economic direction, and it protects the United States equally: no American contribution buys an obligation, and no American firm receives an entitlement. Competition, not direction, allocates the work.</w:t>
      </w:r>
    </w:p>
    <w:p>
      <w:pPr>
        <w:pStyle w:val="Heading2"/>
        <w:rPr/>
      </w:pPr>
      <w:bookmarkStart w:id="154" w:name="__RefHeading___Toc7456_2800514504"/>
      <w:bookmarkEnd w:id="154"/>
      <w:r>
        <w:rPr>
          <w:rFonts w:eastAsia="Microsoft YaHei" w:cs="Calibri"/>
          <w:b/>
          <w:color w:val="263238"/>
          <w:sz w:val="21"/>
          <w:szCs w:val="24"/>
          <w:lang w:val="en-CA" w:eastAsia="en-CA" w:bidi="ar-SA"/>
        </w:rPr>
        <w:t>N.12 The force majeure fallback protocol</w:t>
      </w:r>
    </w:p>
    <w:p>
      <w:pPr>
        <w:pStyle w:val="Normal"/>
        <w:rPr/>
      </w:pPr>
      <w:r>
        <w:rPr>
          <w:rFonts w:eastAsia="Microsoft YaHei" w:cs="Calibri"/>
          <w:color w:val="263238"/>
          <w:sz w:val="21"/>
          <w:szCs w:val="24"/>
          <w:lang w:val="en-CA" w:eastAsia="en-CA" w:bidi="ar-SA"/>
        </w:rPr>
        <w:t>Where a verified force majeure event under Article 22.4 affects the reconstruction domain, the fallback protocol operates automatically: (a) disbursed funds remain untouched under the no-clawback guarantee; (b) undisbursed committed funds hold in the Qatar Central Bank escrow, insulated from every Party's reach, for up to 180 days pending resolution; (c) milestone clocks suspend without classification; (d) the RSC convenes within 14 days to adopt continuity measures, including project resequencing and the surge scenario budget; and (e) humanitarian projects continue without interruption under the humanitarian absolute. The protocol ensures that a regional shock freezes the reconstruction machine in place, fully funded and ready to resume, rather than shattering it.</w:t>
      </w:r>
    </w:p>
    <w:p>
      <w:pPr>
        <w:pStyle w:val="Heading2"/>
        <w:rPr/>
      </w:pPr>
      <w:bookmarkStart w:id="155" w:name="__RefHeading___Toc7458_2800514504"/>
      <w:bookmarkEnd w:id="155"/>
      <w:r>
        <w:rPr>
          <w:rFonts w:eastAsia="Microsoft YaHei" w:cs="Calibri"/>
          <w:b/>
          <w:color w:val="263238"/>
          <w:sz w:val="21"/>
          <w:szCs w:val="24"/>
          <w:lang w:val="en-CA" w:eastAsia="en-CA" w:bidi="ar-SA"/>
        </w:rPr>
        <w:t>N.13 Dispute resolution and continuity</w:t>
      </w:r>
    </w:p>
    <w:p>
      <w:pPr>
        <w:pStyle w:val="Normal"/>
        <w:rPr/>
      </w:pPr>
      <w:r>
        <w:rPr>
          <w:rFonts w:eastAsia="Microsoft YaHei" w:cs="Calibri"/>
          <w:color w:val="263238"/>
          <w:sz w:val="21"/>
          <w:szCs w:val="24"/>
          <w:lang w:val="en-CA" w:eastAsia="en-CA" w:bidi="ar-SA"/>
        </w:rPr>
        <w:t>Disputes within the MRF resolve through fast-track arbitration under the International Chamber of Commerce rules, seated in Doha or Geneva, with a final award within 90 days of constitution of the tribunal. Arbitration of an MRF dispute suspends no disbursement already certified and no unrelated project. The MRF operates under the Continuing Effect Rule: its sub-funds, windows, and governance persist until the Parties and the RSC jointly amend or close them under Article 24.3, with a 24-month wind-down protecting every project underway. The initial 60-day stabilization phase that the MOU establishes transitions automatically into steady-state operation at Day 60 without any further act, per Annex K; supersession of this Annex occurs only through the final deal's entry into force under Article 22.6, and even then the Annex's machinery continues as the final deal's reconstruction arm unless the final deal expressly replaces it. Nothing in the reconstruction architecture fades.</w:t>
      </w:r>
    </w:p>
    <w:p>
      <w:pPr>
        <w:pStyle w:val="Heading2"/>
        <w:rPr/>
      </w:pPr>
      <w:bookmarkStart w:id="156" w:name="__RefHeading___Toc7460_2800514504"/>
      <w:bookmarkEnd w:id="156"/>
      <w:r>
        <w:rPr>
          <w:rFonts w:eastAsia="Microsoft YaHei" w:cs="Calibri"/>
          <w:b/>
          <w:color w:val="263238"/>
          <w:sz w:val="21"/>
          <w:szCs w:val="24"/>
          <w:lang w:val="en-CA" w:eastAsia="en-CA" w:bidi="ar-SA"/>
        </w:rPr>
        <w:t>N.14 Alignment with the Assembly</w:t>
      </w:r>
    </w:p>
    <w:p>
      <w:pPr>
        <w:pStyle w:val="Normal"/>
        <w:rPr/>
      </w:pPr>
      <w:r>
        <w:rPr>
          <w:rFonts w:eastAsia="Microsoft YaHei" w:cs="Calibri"/>
          <w:color w:val="263238"/>
          <w:sz w:val="21"/>
          <w:szCs w:val="24"/>
          <w:lang w:val="en-CA" w:eastAsia="en-CA" w:bidi="ar-SA"/>
        </w:rPr>
        <w:t>The MRF reports into the Assembly architecture through four interfaces: the Reconstruction Coordination Office of Article 14.3 consolidates the pipeline view for the JCC; the Reciprocity Ledger records reconstruction milestones and disbursement performance as Compliance Units and Adjustment Units on the same schedule as every other domain; the Anticipation Registry tracks disbursement pacing as an expected pattern under Annex I; and the Guarantor Panel hears any MRF matter escalated from the RSC on the rapid-response clock of Article 15.6. The MRF keeps its own governance, its own escrow, and its own fiduciary administration, and it moves on the Assembly's clock: one framework, one rhythm, one public record.</w:t>
      </w:r>
    </w:p>
    <w:p>
      <w:pPr>
        <w:pStyle w:val="Heading2"/>
        <w:rPr/>
      </w:pPr>
      <w:bookmarkStart w:id="157" w:name="__RefHeading___Toc7462_2800514504"/>
      <w:bookmarkEnd w:id="157"/>
      <w:r>
        <w:rPr>
          <w:rFonts w:eastAsia="Microsoft YaHei" w:cs="Calibri"/>
          <w:b/>
          <w:color w:val="263238"/>
          <w:sz w:val="21"/>
          <w:szCs w:val="24"/>
          <w:lang w:val="en-CA" w:eastAsia="en-CA" w:bidi="ar-SA"/>
        </w:rPr>
        <w:t>N.15 Gulf Dependents' Reconstruction Trust</w:t>
      </w:r>
    </w:p>
    <w:p>
      <w:pPr>
        <w:pStyle w:val="Normal"/>
        <w:rPr/>
      </w:pPr>
      <w:r>
        <w:rPr>
          <w:rFonts w:eastAsia="Microsoft YaHei" w:cs="Calibri"/>
          <w:color w:val="263238"/>
          <w:sz w:val="21"/>
          <w:szCs w:val="24"/>
          <w:lang w:val="en-CA" w:eastAsia="en-CA" w:bidi="ar-SA"/>
        </w:rPr>
        <w:t>The Gulf littoral states establish the Gulf Dependents' Reconstruction Trust with an initial capitalization of USD 10 billion to address reconstruction in areas dependent on the Strait for their economic livelihood. Eligible categories: coastal infrastructure repair, fishing industry support, desalination plant reconstruction, and small business recovery. The Trust operates under the RSC's oversight with a dedicated advisory committee that represents the affected coastal communities.</w:t>
      </w:r>
    </w:p>
    <w:p>
      <w:pPr>
        <w:pStyle w:val="Heading2"/>
        <w:rPr/>
      </w:pPr>
      <w:bookmarkStart w:id="158" w:name="__RefHeading___Toc7464_2800514504"/>
      <w:bookmarkEnd w:id="158"/>
      <w:r>
        <w:rPr>
          <w:rFonts w:eastAsia="Microsoft YaHei" w:cs="Calibri"/>
          <w:b/>
          <w:color w:val="263238"/>
          <w:sz w:val="21"/>
          <w:szCs w:val="24"/>
          <w:lang w:val="en-CA" w:eastAsia="en-CA" w:bidi="ar-SA"/>
        </w:rPr>
        <w:t>N.16 Gulf Strategic Reserve Fund</w:t>
      </w:r>
    </w:p>
    <w:p>
      <w:pPr>
        <w:pStyle w:val="Normal"/>
        <w:rPr/>
      </w:pPr>
      <w:r>
        <w:rPr>
          <w:rFonts w:eastAsia="Microsoft YaHei" w:cs="Calibri"/>
          <w:color w:val="263238"/>
          <w:sz w:val="21"/>
          <w:szCs w:val="24"/>
          <w:lang w:val="en-CA" w:eastAsia="en-CA" w:bidi="ar-SA"/>
        </w:rPr>
        <w:t>(a) Establishment: The Gulf littoral states establish the Gulf Strategic Reserve Fund with an initial capitalization of USD 50 billion as a sub-account of the Multilateral Reconstruction Fund, to address catastrophic disruption to Strait transit or regional energy infrastructure.</w:t>
      </w:r>
    </w:p>
    <w:p>
      <w:pPr>
        <w:pStyle w:val="Normal"/>
        <w:rPr/>
      </w:pPr>
      <w:r>
        <w:rPr>
          <w:rFonts w:eastAsia="Microsoft YaHei" w:cs="Calibri"/>
          <w:color w:val="263238"/>
          <w:sz w:val="21"/>
          <w:szCs w:val="24"/>
          <w:lang w:val="en-CA" w:eastAsia="en-CA" w:bidi="ar-SA"/>
        </w:rPr>
        <w:t>(b) Trigger: The Fund activates upon JCC certification that corridor throughput has fallen below 50 percent of normal for more than 7 days, or upon declaration by the GCC Secretary-General of a regional energy emergency.</w:t>
      </w:r>
    </w:p>
    <w:p>
      <w:pPr>
        <w:pStyle w:val="Normal"/>
        <w:rPr/>
      </w:pPr>
      <w:r>
        <w:rPr>
          <w:rFonts w:eastAsia="Microsoft YaHei" w:cs="Calibri"/>
          <w:color w:val="263238"/>
          <w:sz w:val="21"/>
          <w:szCs w:val="24"/>
          <w:lang w:val="en-CA" w:eastAsia="en-CA" w:bidi="ar-SA"/>
        </w:rPr>
        <w:t>(c) Disbursement: The RSC approves disbursement of up to USD 10 billion per incident by two-thirds. The Fund finances emergency energy infrastructure repair, alternative route development, and humanitarian supplementation.</w:t>
      </w:r>
    </w:p>
    <w:p>
      <w:pPr>
        <w:pStyle w:val="Normal"/>
        <w:rPr/>
      </w:pPr>
      <w:r>
        <w:rPr>
          <w:rFonts w:eastAsia="Microsoft YaHei" w:cs="Calibri"/>
          <w:color w:val="263238"/>
          <w:sz w:val="21"/>
          <w:szCs w:val="24"/>
          <w:lang w:val="en-CA" w:eastAsia="en-CA" w:bidi="ar-SA"/>
        </w:rPr>
        <w:t>(d) Replenishment: The Fund replenishes through annual contributions from the Gulf littoral states, proportional to their GDP, until contributions restore the USD 50 billion ceiling.</w:t>
      </w:r>
    </w:p>
    <w:p>
      <w:pPr>
        <w:pStyle w:val="Normal"/>
        <w:rPr/>
      </w:pPr>
      <w:r>
        <w:rPr>
          <w:rFonts w:eastAsia="Microsoft YaHei" w:cs="Calibri"/>
          <w:color w:val="263238"/>
          <w:sz w:val="21"/>
          <w:szCs w:val="24"/>
          <w:lang w:val="en-CA" w:eastAsia="en-CA" w:bidi="ar-SA"/>
        </w:rPr>
        <w:t>(e) No-clawback guarantee: Article 14.6 applies to all disbursements from the Fund.</w:t>
      </w:r>
    </w:p>
    <w:p>
      <w:pPr>
        <w:pStyle w:val="Normal"/>
        <w:spacing w:before="0" w:after="60"/>
        <w:rPr/>
      </w:pPr>
      <w:r>
        <w:rPr/>
      </w:r>
    </w:p>
    <w:p>
      <w:pPr>
        <w:pStyle w:val="Normal"/>
        <w:widowControl/>
        <w:bidi w:val="0"/>
        <w:spacing w:lineRule="auto" w:line="300" w:before="0" w:after="160"/>
        <w:jc w:val="both"/>
        <w:rPr/>
      </w:pPr>
      <w:r>
        <w:rPr>
          <w:rFonts w:eastAsia="Microsoft YaHei" w:cs="Calibri"/>
          <w:color w:val="263238"/>
          <w:sz w:val="21"/>
          <w:szCs w:val="24"/>
          <w:lang w:val="en-CA" w:eastAsia="en-CA" w:bidi="ar-SA"/>
        </w:rPr>
        <w:t>END OF INSTRUMENT</w:t>
      </w:r>
    </w:p>
    <w:sectPr>
      <w:headerReference w:type="even" r:id="rId8"/>
      <w:headerReference w:type="default" r:id="rId9"/>
      <w:footerReference w:type="even" r:id="rId10"/>
      <w:footerReference w:type="default" r:id="rId11"/>
      <w:type w:val="nextPage"/>
      <w:pgSz w:w="11906" w:h="16838"/>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eastAsia="Microsoft YaHei" w:cs="Calibri"/>
        <w:color w:val="78909C"/>
        <w:sz w:val="17"/>
        <w:szCs w:val="24"/>
        <w:lang w:val="en-CA" w:eastAsia="en-CA" w:bidi="ar-SA"/>
      </w:rPr>
      <w:t xml:space="preserve">SGDA v2.0  |  Page </w:t>
    </w:r>
    <w:r>
      <w:rPr>
        <w:color w:val="78909C"/>
        <w:sz w:val="17"/>
      </w:rPr>
      <w:fldChar w:fldCharType="begin"/>
    </w:r>
    <w:r>
      <w:rPr>
        <w:sz w:val="17"/>
        <w:color w:val="78909C"/>
      </w:rPr>
      <w:instrText xml:space="preserve"> PAGE </w:instrText>
    </w:r>
    <w:r>
      <w:rPr>
        <w:sz w:val="17"/>
        <w:color w:val="78909C"/>
      </w:rPr>
      <w:fldChar w:fldCharType="separate"/>
    </w:r>
    <w:r>
      <w:rPr>
        <w:sz w:val="17"/>
        <w:color w:val="78909C"/>
      </w:rPr>
      <w:t>95</w:t>
    </w:r>
    <w:r>
      <w:rPr>
        <w:sz w:val="17"/>
        <w:color w:val="78909C"/>
      </w:rPr>
      <w:fldChar w:fldCharType="end"/>
    </w:r>
    <w:r>
      <w:rPr>
        <w:rFonts w:eastAsia="Microsoft YaHei" w:cs="Calibri"/>
        <w:color w:val="78909C"/>
        <w:sz w:val="17"/>
        <w:szCs w:val="24"/>
        <w:lang w:val="en-CA" w:eastAsia="en-CA" w:bidi="ar-SA"/>
      </w:rPr>
      <w:t xml:space="preserve"> of </w:t>
    </w:r>
    <w:r>
      <w:rPr>
        <w:color w:val="78909C"/>
        <w:sz w:val="17"/>
      </w:rPr>
      <w:fldChar w:fldCharType="begin"/>
    </w:r>
    <w:r>
      <w:rPr>
        <w:sz w:val="17"/>
        <w:color w:val="78909C"/>
      </w:rPr>
      <w:instrText xml:space="preserve"> NUMPAGES </w:instrText>
    </w:r>
    <w:r>
      <w:rPr>
        <w:sz w:val="17"/>
        <w:color w:val="78909C"/>
      </w:rPr>
      <w:fldChar w:fldCharType="separate"/>
    </w:r>
    <w:r>
      <w:rPr>
        <w:sz w:val="17"/>
        <w:color w:val="78909C"/>
      </w:rPr>
      <w:t>96</w:t>
    </w:r>
    <w:r>
      <w:rPr>
        <w:sz w:val="17"/>
        <w:color w:val="78909C"/>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0BEC5"/>
      </w:pBdr>
      <w:spacing w:before="0" w:after="160"/>
      <w:jc w:val="right"/>
      <w:rPr/>
    </w:pPr>
    <w:r>
      <w:rPr>
        <w:rFonts w:eastAsia="Microsoft YaHei" w:cs="Calibri"/>
        <w:color w:val="78909C"/>
        <w:sz w:val="17"/>
        <w:szCs w:val="24"/>
        <w:lang w:val="en-CA" w:eastAsia="en-CA" w:bidi="ar-SA"/>
      </w:rPr>
      <w:t>Strait Governance and De-confliction Assembly (SGDA) v2.0 | MT-1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lvlText w:val="%1."/>
      <w:lvlJc w:val="left"/>
      <w:pPr>
        <w:tabs>
          <w:tab w:val="num" w:pos="0"/>
        </w:tabs>
        <w:ind w:left="6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numFmt w:val="bullet"/>
      <w:lvlText w:val="•"/>
      <w:lvlJc w:val="left"/>
      <w:pPr>
        <w:tabs>
          <w:tab w:val="num" w:pos="0"/>
        </w:tabs>
        <w:ind w:left="60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1"/>
  <w:defaultTabStop w:val="720"/>
  <w:autoHyphenation w:val="true"/>
  <w:evenAndOddHeaders/>
  <w:compat>
    <w:compatSetting w:name="compatibilityMode" w:uri="http://schemas.microsoft.com/office/word" w:val="12"/>
    <w:compatSetting w:name="useWord2013TrackBottomHyphenation" w:uri="http://schemas.microsoft.com/office/word" w:val="1"/>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CA" w:eastAsia="en-CA"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00" w:before="0" w:after="160"/>
      <w:jc w:val="both"/>
    </w:pPr>
    <w:rPr>
      <w:rFonts w:ascii="Calibri" w:hAnsi="Calibri" w:eastAsia="Microsoft YaHei" w:cs=""/>
      <w:color w:val="263238"/>
      <w:kern w:val="2"/>
      <w:sz w:val="21"/>
      <w:szCs w:val="24"/>
      <w:lang w:val="en-CA" w:eastAsia="en-CA" w:bidi="ar-SA"/>
    </w:rPr>
  </w:style>
  <w:style w:type="paragraph" w:styleId="Heading1">
    <w:name w:val="Heading 1"/>
    <w:basedOn w:val="Normal"/>
    <w:uiPriority w:val="9"/>
    <w:qFormat/>
    <w:pPr>
      <w:keepNext w:val="true"/>
      <w:keepLines/>
      <w:spacing w:before="560" w:after="200"/>
      <w:jc w:val="left"/>
      <w:outlineLvl w:val="0"/>
    </w:pPr>
    <w:rPr>
      <w:b/>
      <w:color w:val="37474F"/>
      <w:sz w:val="32"/>
    </w:rPr>
  </w:style>
  <w:style w:type="paragraph" w:styleId="Heading2">
    <w:name w:val="Heading 2"/>
    <w:basedOn w:val="Normal"/>
    <w:uiPriority w:val="9"/>
    <w:unhideWhenUsed/>
    <w:qFormat/>
    <w:pPr>
      <w:keepNext w:val="true"/>
      <w:keepLines/>
      <w:spacing w:before="360" w:after="140"/>
      <w:jc w:val="left"/>
      <w:outlineLvl w:val="1"/>
    </w:pPr>
    <w:rPr>
      <w:b/>
      <w:color w:val="455A64"/>
      <w:sz w:val="26"/>
    </w:rPr>
  </w:style>
  <w:style w:type="paragraph" w:styleId="Heading3">
    <w:name w:val="Heading 3"/>
    <w:basedOn w:val="Normal"/>
    <w:uiPriority w:val="9"/>
    <w:unhideWhenUsed/>
    <w:qFormat/>
    <w:pPr>
      <w:keepNext w:val="true"/>
      <w:keepLines/>
      <w:spacing w:before="240" w:after="100"/>
      <w:jc w:val="left"/>
      <w:outlineLvl w:val="2"/>
    </w:pPr>
    <w:rPr>
      <w:b/>
      <w:color w:val="546E7A"/>
      <w:sz w:val="22"/>
    </w:rPr>
  </w:style>
  <w:style w:type="paragraph" w:styleId="Heading4">
    <w:name w:val="Heading 4"/>
    <w:basedOn w:val="Normal"/>
    <w:next w:val="Normal"/>
    <w:link w:val="Heading4Char"/>
    <w:uiPriority w:val="9"/>
    <w:semiHidden/>
    <w:unhideWhenUsed/>
    <w:qFormat/>
    <w:rsid w:val="00a17dda"/>
    <w:pPr>
      <w:keepNext w:val="true"/>
      <w:keepLines/>
      <w:spacing w:before="40" w:after="0"/>
      <w:outlineLvl w:val="3"/>
    </w:pPr>
    <w:rPr>
      <w:rFonts w:ascii="Aptos Display" w:hAnsi="Aptos Display" w:eastAsia="" w:cs="" w:asciiTheme="majorHAnsi" w:cstheme="majorBidi" w:eastAsiaTheme="majorEastAsia" w:hAnsiTheme="majorHAnsi"/>
      <w:i/>
      <w:iCs/>
      <w:color w:val="0F4761" w:themeColor="accent1" w:themeShade="bf"/>
    </w:rPr>
  </w:style>
  <w:style w:type="paragraph" w:styleId="Heading5">
    <w:name w:val="Heading 5"/>
    <w:basedOn w:val="Normal"/>
    <w:next w:val="Normal"/>
    <w:link w:val="Heading5Char"/>
    <w:uiPriority w:val="9"/>
    <w:semiHidden/>
    <w:unhideWhenUsed/>
    <w:qFormat/>
    <w:rsid w:val="00a17dda"/>
    <w:pPr>
      <w:keepNext w:val="true"/>
      <w:keepLines/>
      <w:spacing w:before="40" w:after="0"/>
      <w:outlineLvl w:val="4"/>
    </w:pPr>
    <w:rPr>
      <w:rFonts w:ascii="Aptos Display" w:hAnsi="Aptos Display" w:eastAsia="" w:cs="" w:asciiTheme="majorHAnsi" w:cstheme="majorBidi" w:eastAsiaTheme="majorEastAsia" w:hAnsiTheme="majorHAnsi"/>
      <w:color w:val="0F4761" w:themeColor="accent1" w:themeShade="bf"/>
    </w:rPr>
  </w:style>
  <w:style w:type="paragraph" w:styleId="Heading6">
    <w:name w:val="Heading 6"/>
    <w:basedOn w:val="Normal"/>
    <w:next w:val="Normal"/>
    <w:link w:val="Heading6Char"/>
    <w:uiPriority w:val="9"/>
    <w:semiHidden/>
    <w:unhideWhenUsed/>
    <w:qFormat/>
    <w:rsid w:val="00a17dda"/>
    <w:pPr>
      <w:keepNext w:val="true"/>
      <w:keepLines/>
      <w:spacing w:before="40" w:after="0"/>
      <w:outlineLvl w:val="5"/>
    </w:pPr>
    <w:rPr>
      <w:rFonts w:ascii="Aptos Display" w:hAnsi="Aptos Display" w:eastAsia="" w:cs="" w:asciiTheme="majorHAnsi" w:cstheme="majorBidi" w:eastAsiaTheme="majorEastAsia" w:hAnsiTheme="majorHAnsi"/>
      <w:color w:val="0A2F40" w:themeColor="accent1" w:themeShade="7f"/>
    </w:rPr>
  </w:style>
  <w:style w:type="paragraph" w:styleId="Heading7">
    <w:name w:val="Heading 7"/>
    <w:basedOn w:val="Normal"/>
    <w:next w:val="Normal"/>
    <w:link w:val="Heading7Char"/>
    <w:uiPriority w:val="9"/>
    <w:semiHidden/>
    <w:unhideWhenUsed/>
    <w:qFormat/>
    <w:rsid w:val="00a17dda"/>
    <w:pPr>
      <w:keepNext w:val="true"/>
      <w:keepLines/>
      <w:spacing w:before="40" w:after="0"/>
      <w:outlineLvl w:val="6"/>
    </w:pPr>
    <w:rPr>
      <w:rFonts w:ascii="Aptos Display" w:hAnsi="Aptos Display" w:eastAsia="" w:cs="" w:asciiTheme="majorHAnsi" w:cstheme="majorBidi" w:eastAsiaTheme="majorEastAsia" w:hAnsiTheme="majorHAnsi"/>
      <w:i/>
      <w:iCs/>
      <w:color w:val="0A2F40" w:themeColor="accent1" w:themeShade="7f"/>
    </w:rPr>
  </w:style>
  <w:style w:type="paragraph" w:styleId="Heading8">
    <w:name w:val="Heading 8"/>
    <w:basedOn w:val="Normal"/>
    <w:next w:val="Normal"/>
    <w:link w:val="Heading8Char"/>
    <w:uiPriority w:val="9"/>
    <w:semiHidden/>
    <w:unhideWhenUsed/>
    <w:qFormat/>
    <w:rsid w:val="00a17dda"/>
    <w:pPr>
      <w:keepNext w:val="true"/>
      <w:keepLines/>
      <w:spacing w:before="40" w:after="0"/>
      <w:outlineLvl w:val="7"/>
    </w:pPr>
    <w:rPr>
      <w:rFonts w:ascii="Aptos Display" w:hAnsi="Aptos Display" w:eastAsia="" w:cs="" w:asciiTheme="majorHAnsi" w:cstheme="majorBidi" w:eastAsiaTheme="majorEastAsia" w:hAnsiTheme="majorHAnsi"/>
      <w:color w:val="272727" w:themeColor="text1" w:themeTint="d8"/>
      <w:szCs w:val="21"/>
    </w:rPr>
  </w:style>
  <w:style w:type="paragraph" w:styleId="Heading9">
    <w:name w:val="Heading 9"/>
    <w:basedOn w:val="Normal"/>
    <w:next w:val="Normal"/>
    <w:link w:val="Heading9Char"/>
    <w:uiPriority w:val="9"/>
    <w:semiHidden/>
    <w:unhideWhenUsed/>
    <w:qFormat/>
    <w:rsid w:val="00a17dda"/>
    <w:pPr>
      <w:keepNext w:val="true"/>
      <w:keepLines/>
      <w:spacing w:before="40" w:after="0"/>
      <w:outlineLvl w:val="8"/>
    </w:pPr>
    <w:rPr>
      <w:rFonts w:ascii="Aptos Display" w:hAnsi="Aptos Display" w:eastAsia="" w:cs="" w:asciiTheme="majorHAnsi" w:cstheme="majorBidi" w:eastAsiaTheme="majorEastAsia" w:hAnsiTheme="majorHAnsi"/>
      <w:i/>
      <w:iCs/>
      <w:color w:val="272727" w:themeColor="text1" w:themeTint="d8"/>
      <w:szCs w:val="21"/>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17dda"/>
    <w:rPr>
      <w:rFonts w:ascii="Calibri" w:hAnsi="Calibri" w:eastAsia="Microsoft YaHei"/>
      <w:color w:val="263238"/>
      <w:sz w:val="21"/>
    </w:rPr>
  </w:style>
  <w:style w:type="character" w:styleId="FooterChar" w:customStyle="1">
    <w:name w:val="Footer Char"/>
    <w:basedOn w:val="DefaultParagraphFont"/>
    <w:link w:val="Footer"/>
    <w:uiPriority w:val="99"/>
    <w:qFormat/>
    <w:rsid w:val="00a17dda"/>
    <w:rPr>
      <w:rFonts w:ascii="Calibri" w:hAnsi="Calibri" w:eastAsia="Microsoft YaHei"/>
      <w:color w:val="263238"/>
      <w:sz w:val="21"/>
    </w:rPr>
  </w:style>
  <w:style w:type="character" w:styleId="BookTitle">
    <w:name w:val="Book Title"/>
    <w:basedOn w:val="DefaultParagraphFont"/>
    <w:uiPriority w:val="33"/>
    <w:qFormat/>
    <w:rsid w:val="00a17dda"/>
    <w:rPr>
      <w:b/>
      <w:bCs/>
      <w:i/>
      <w:iCs/>
      <w:spacing w:val="5"/>
    </w:rPr>
  </w:style>
  <w:style w:type="character" w:styleId="Emphasis">
    <w:name w:val="Emphasis"/>
    <w:basedOn w:val="DefaultParagraphFont"/>
    <w:uiPriority w:val="20"/>
    <w:qFormat/>
    <w:rsid w:val="00a17dda"/>
    <w:rPr>
      <w:i/>
      <w:iCs/>
    </w:rPr>
  </w:style>
  <w:style w:type="character" w:styleId="Heading4Char" w:customStyle="1">
    <w:name w:val="Heading 4 Char"/>
    <w:basedOn w:val="DefaultParagraphFont"/>
    <w:link w:val="Heading4"/>
    <w:uiPriority w:val="9"/>
    <w:semiHidden/>
    <w:qFormat/>
    <w:rsid w:val="00a17dda"/>
    <w:rPr>
      <w:rFonts w:ascii="Aptos Display" w:hAnsi="Aptos Display" w:eastAsia="" w:cs="" w:asciiTheme="majorHAnsi" w:cstheme="majorBidi" w:eastAsiaTheme="majorEastAsia" w:hAnsiTheme="majorHAnsi"/>
      <w:i/>
      <w:iCs/>
      <w:color w:val="0F4761" w:themeColor="accent1" w:themeShade="bf"/>
      <w:sz w:val="21"/>
    </w:rPr>
  </w:style>
  <w:style w:type="character" w:styleId="Heading5Char" w:customStyle="1">
    <w:name w:val="Heading 5 Char"/>
    <w:basedOn w:val="DefaultParagraphFont"/>
    <w:link w:val="Heading5"/>
    <w:uiPriority w:val="9"/>
    <w:semiHidden/>
    <w:qFormat/>
    <w:rsid w:val="00a17dda"/>
    <w:rPr>
      <w:rFonts w:ascii="Aptos Display" w:hAnsi="Aptos Display" w:eastAsia="" w:cs="" w:asciiTheme="majorHAnsi" w:cstheme="majorBidi" w:eastAsiaTheme="majorEastAsia" w:hAnsiTheme="majorHAnsi"/>
      <w:color w:val="0F4761" w:themeColor="accent1" w:themeShade="bf"/>
      <w:sz w:val="21"/>
    </w:rPr>
  </w:style>
  <w:style w:type="character" w:styleId="Heading6Char" w:customStyle="1">
    <w:name w:val="Heading 6 Char"/>
    <w:basedOn w:val="DefaultParagraphFont"/>
    <w:link w:val="Heading6"/>
    <w:uiPriority w:val="9"/>
    <w:semiHidden/>
    <w:qFormat/>
    <w:rsid w:val="00a17dda"/>
    <w:rPr>
      <w:rFonts w:ascii="Aptos Display" w:hAnsi="Aptos Display" w:eastAsia="" w:cs="" w:asciiTheme="majorHAnsi" w:cstheme="majorBidi" w:eastAsiaTheme="majorEastAsia" w:hAnsiTheme="majorHAnsi"/>
      <w:color w:val="0A2F40" w:themeColor="accent1" w:themeShade="7f"/>
      <w:sz w:val="21"/>
    </w:rPr>
  </w:style>
  <w:style w:type="character" w:styleId="Heading7Char" w:customStyle="1">
    <w:name w:val="Heading 7 Char"/>
    <w:basedOn w:val="DefaultParagraphFont"/>
    <w:link w:val="Heading7"/>
    <w:uiPriority w:val="9"/>
    <w:semiHidden/>
    <w:qFormat/>
    <w:rsid w:val="00a17dda"/>
    <w:rPr>
      <w:rFonts w:ascii="Aptos Display" w:hAnsi="Aptos Display" w:eastAsia="" w:cs="" w:asciiTheme="majorHAnsi" w:cstheme="majorBidi" w:eastAsiaTheme="majorEastAsia" w:hAnsiTheme="majorHAnsi"/>
      <w:i/>
      <w:iCs/>
      <w:color w:val="0A2F40" w:themeColor="accent1" w:themeShade="7f"/>
      <w:sz w:val="21"/>
    </w:rPr>
  </w:style>
  <w:style w:type="character" w:styleId="Heading8Char" w:customStyle="1">
    <w:name w:val="Heading 8 Char"/>
    <w:basedOn w:val="DefaultParagraphFont"/>
    <w:link w:val="Heading8"/>
    <w:uiPriority w:val="9"/>
    <w:semiHidden/>
    <w:qFormat/>
    <w:rsid w:val="00a17dda"/>
    <w:rPr>
      <w:rFonts w:ascii="Aptos Display" w:hAnsi="Aptos Display" w:eastAsia="" w:cs="" w:asciiTheme="majorHAnsi" w:cstheme="majorBidi" w:eastAsiaTheme="majorEastAsia" w:hAnsiTheme="majorHAnsi"/>
      <w:color w:val="272727" w:themeColor="text1" w:themeTint="d8"/>
      <w:sz w:val="21"/>
      <w:szCs w:val="21"/>
    </w:rPr>
  </w:style>
  <w:style w:type="character" w:styleId="Heading9Char" w:customStyle="1">
    <w:name w:val="Heading 9 Char"/>
    <w:basedOn w:val="DefaultParagraphFont"/>
    <w:link w:val="Heading9"/>
    <w:uiPriority w:val="9"/>
    <w:semiHidden/>
    <w:qFormat/>
    <w:rsid w:val="00a17dda"/>
    <w:rPr>
      <w:rFonts w:ascii="Aptos Display" w:hAnsi="Aptos Display" w:eastAsia="" w:cs="" w:asciiTheme="majorHAnsi" w:cstheme="majorBidi" w:eastAsiaTheme="majorEastAsia" w:hAnsiTheme="majorHAnsi"/>
      <w:i/>
      <w:iCs/>
      <w:color w:val="272727" w:themeColor="text1" w:themeTint="d8"/>
      <w:sz w:val="21"/>
      <w:szCs w:val="21"/>
    </w:rPr>
  </w:style>
  <w:style w:type="character" w:styleId="IntenseEmphasis">
    <w:name w:val="Intense Emphasis"/>
    <w:basedOn w:val="DefaultParagraphFont"/>
    <w:uiPriority w:val="21"/>
    <w:qFormat/>
    <w:rsid w:val="00a17dda"/>
    <w:rPr>
      <w:i/>
      <w:iCs/>
      <w:color w:val="156082" w:themeColor="accent1"/>
    </w:rPr>
  </w:style>
  <w:style w:type="character" w:styleId="IntenseQuoteChar" w:customStyle="1">
    <w:name w:val="Intense Quote Char"/>
    <w:basedOn w:val="DefaultParagraphFont"/>
    <w:link w:val="IntenseQuote"/>
    <w:uiPriority w:val="30"/>
    <w:qFormat/>
    <w:rsid w:val="00a17dda"/>
    <w:rPr>
      <w:rFonts w:ascii="Calibri" w:hAnsi="Calibri" w:eastAsia="Microsoft YaHei"/>
      <w:i/>
      <w:iCs/>
      <w:color w:val="156082" w:themeColor="accent1"/>
      <w:sz w:val="21"/>
    </w:rPr>
  </w:style>
  <w:style w:type="character" w:styleId="IntenseReference">
    <w:name w:val="Intense Reference"/>
    <w:basedOn w:val="DefaultParagraphFont"/>
    <w:uiPriority w:val="32"/>
    <w:qFormat/>
    <w:rsid w:val="00a17dda"/>
    <w:rPr>
      <w:b/>
      <w:bCs/>
      <w:smallCaps/>
      <w:color w:val="156082" w:themeColor="accent1"/>
      <w:spacing w:val="5"/>
    </w:rPr>
  </w:style>
  <w:style w:type="character" w:styleId="QuoteChar" w:customStyle="1">
    <w:name w:val="Quote Char"/>
    <w:basedOn w:val="DefaultParagraphFont"/>
    <w:link w:val="Quote"/>
    <w:uiPriority w:val="29"/>
    <w:qFormat/>
    <w:rsid w:val="00a17dda"/>
    <w:rPr>
      <w:rFonts w:ascii="Calibri" w:hAnsi="Calibri" w:eastAsia="Microsoft YaHei"/>
      <w:i/>
      <w:iCs/>
      <w:color w:val="404040" w:themeColor="text1" w:themeTint="bf"/>
      <w:sz w:val="21"/>
    </w:rPr>
  </w:style>
  <w:style w:type="character" w:styleId="Strong">
    <w:name w:val="Strong"/>
    <w:basedOn w:val="DefaultParagraphFont"/>
    <w:uiPriority w:val="22"/>
    <w:qFormat/>
    <w:rsid w:val="00a17dda"/>
    <w:rPr>
      <w:b/>
      <w:bCs/>
    </w:rPr>
  </w:style>
  <w:style w:type="character" w:styleId="SubtitleChar" w:customStyle="1">
    <w:name w:val="Subtitle Char"/>
    <w:basedOn w:val="DefaultParagraphFont"/>
    <w:link w:val="Subtitle"/>
    <w:uiPriority w:val="11"/>
    <w:qFormat/>
    <w:rsid w:val="00a17dda"/>
    <w:rPr>
      <w:color w:val="5A5A5A" w:themeColor="text1" w:themeTint="a5"/>
      <w:spacing w:val="15"/>
      <w:sz w:val="22"/>
      <w:szCs w:val="22"/>
    </w:rPr>
  </w:style>
  <w:style w:type="character" w:styleId="SubtleEmphasis">
    <w:name w:val="Subtle Emphasis"/>
    <w:basedOn w:val="DefaultParagraphFont"/>
    <w:uiPriority w:val="19"/>
    <w:qFormat/>
    <w:rsid w:val="00a17dda"/>
    <w:rPr>
      <w:i/>
      <w:iCs/>
      <w:color w:val="404040" w:themeColor="text1" w:themeTint="bf"/>
    </w:rPr>
  </w:style>
  <w:style w:type="character" w:styleId="SubtleReference">
    <w:name w:val="Subtle Reference"/>
    <w:basedOn w:val="DefaultParagraphFont"/>
    <w:uiPriority w:val="31"/>
    <w:qFormat/>
    <w:rsid w:val="00a17dda"/>
    <w:rPr>
      <w:smallCaps/>
      <w:color w:val="5A5A5A" w:themeColor="text1" w:themeTint="a5"/>
    </w:rPr>
  </w:style>
  <w:style w:type="character" w:styleId="TitleChar" w:customStyle="1">
    <w:name w:val="Title Char"/>
    <w:basedOn w:val="DefaultParagraphFont"/>
    <w:link w:val="Title"/>
    <w:uiPriority w:val="10"/>
    <w:qFormat/>
    <w:rsid w:val="00a17dda"/>
    <w:rPr>
      <w:rFonts w:ascii="Aptos Display" w:hAnsi="Aptos Display" w:eastAsia="" w:cs="" w:asciiTheme="majorHAnsi" w:cstheme="majorBidi" w:eastAsiaTheme="majorEastAsia" w:hAnsiTheme="majorHAnsi"/>
      <w:spacing w:val="-10"/>
      <w:kern w:val="2"/>
      <w:sz w:val="56"/>
      <w:szCs w:val="56"/>
    </w:rPr>
  </w:style>
  <w:style w:type="character" w:styleId="IndexLink">
    <w:name w:val="Index Link"/>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aption1">
    <w:name w:val="caption"/>
    <w:basedOn w:val="Normal"/>
    <w:qFormat/>
    <w:pPr>
      <w:spacing w:before="60" w:after="280"/>
      <w:jc w:val="center"/>
    </w:pPr>
    <w:rPr>
      <w:color w:val="78909C"/>
      <w:sz w:val="18"/>
    </w:rPr>
  </w:style>
  <w:style w:type="paragraph" w:styleId="Contents1">
    <w:name w:val="TOC 1"/>
    <w:basedOn w:val="Normal"/>
    <w:pPr>
      <w:tabs>
        <w:tab w:val="clear" w:pos="720"/>
        <w:tab w:val="right" w:pos="9026" w:leader="dot"/>
      </w:tabs>
      <w:spacing w:before="160" w:after="40"/>
      <w:jc w:val="left"/>
    </w:pPr>
    <w:rPr>
      <w:b/>
      <w:sz w:val="20"/>
    </w:rPr>
  </w:style>
  <w:style w:type="paragraph" w:styleId="Contents2">
    <w:name w:val="TOC 2"/>
    <w:basedOn w:val="Normal"/>
    <w:pPr>
      <w:tabs>
        <w:tab w:val="clear" w:pos="720"/>
        <w:tab w:val="right" w:pos="9026" w:leader="dot"/>
      </w:tabs>
      <w:spacing w:before="40" w:after="40"/>
      <w:ind w:left="360" w:hanging="0"/>
      <w:jc w:val="left"/>
    </w:pPr>
    <w:rPr>
      <w:color w:val="455A64"/>
      <w:sz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a17dd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a17dda"/>
    <w:pPr>
      <w:tabs>
        <w:tab w:val="clear" w:pos="720"/>
        <w:tab w:val="center" w:pos="4680" w:leader="none"/>
        <w:tab w:val="right" w:pos="9360" w:leader="none"/>
      </w:tabs>
      <w:spacing w:lineRule="auto" w:line="240" w:before="0" w:after="0"/>
    </w:pPr>
    <w:rPr/>
  </w:style>
  <w:style w:type="paragraph" w:styleId="IntenseQuote">
    <w:name w:val="Intense Quote"/>
    <w:basedOn w:val="Normal"/>
    <w:next w:val="Normal"/>
    <w:link w:val="IntenseQuoteChar"/>
    <w:uiPriority w:val="30"/>
    <w:qFormat/>
    <w:rsid w:val="00a17dda"/>
    <w:pPr>
      <w:pBdr>
        <w:top w:val="single" w:sz="4" w:space="10" w:color="156082"/>
        <w:bottom w:val="single" w:sz="4" w:space="10" w:color="156082"/>
      </w:pBdr>
      <w:spacing w:before="360" w:after="360"/>
      <w:ind w:left="864" w:right="864" w:hanging="0"/>
      <w:jc w:val="center"/>
    </w:pPr>
    <w:rPr>
      <w:i/>
      <w:iCs/>
      <w:color w:val="156082" w:themeColor="accent1"/>
    </w:rPr>
  </w:style>
  <w:style w:type="paragraph" w:styleId="ListParagraph">
    <w:name w:val="List Paragraph"/>
    <w:basedOn w:val="Normal"/>
    <w:uiPriority w:val="34"/>
    <w:qFormat/>
    <w:rsid w:val="00a17dda"/>
    <w:pPr>
      <w:spacing w:before="0" w:after="160"/>
      <w:ind w:left="720" w:hanging="0"/>
      <w:contextualSpacing/>
    </w:pPr>
    <w:rPr/>
  </w:style>
  <w:style w:type="paragraph" w:styleId="NoSpacing">
    <w:name w:val="No Spacing"/>
    <w:uiPriority w:val="1"/>
    <w:qFormat/>
    <w:rsid w:val="00a17dda"/>
    <w:pPr>
      <w:widowControl/>
      <w:bidi w:val="0"/>
      <w:spacing w:lineRule="auto" w:line="240" w:before="0" w:after="0"/>
      <w:jc w:val="both"/>
    </w:pPr>
    <w:rPr>
      <w:rFonts w:ascii="Calibri" w:hAnsi="Calibri" w:eastAsia="Microsoft YaHei" w:cs=""/>
      <w:color w:val="263238"/>
      <w:kern w:val="2"/>
      <w:sz w:val="21"/>
      <w:szCs w:val="24"/>
      <w:lang w:val="en-CA" w:eastAsia="en-CA" w:bidi="ar-SA"/>
    </w:rPr>
  </w:style>
  <w:style w:type="paragraph" w:styleId="Quote">
    <w:name w:val="Quote"/>
    <w:basedOn w:val="Normal"/>
    <w:next w:val="Normal"/>
    <w:link w:val="QuoteChar"/>
    <w:uiPriority w:val="29"/>
    <w:qFormat/>
    <w:rsid w:val="00a17dda"/>
    <w:pPr>
      <w:spacing w:before="200" w:after="160"/>
      <w:ind w:left="864" w:right="864" w:hanging="0"/>
      <w:jc w:val="center"/>
    </w:pPr>
    <w:rPr>
      <w:i/>
      <w:iCs/>
      <w:color w:val="404040" w:themeColor="text1" w:themeTint="bf"/>
    </w:rPr>
  </w:style>
  <w:style w:type="paragraph" w:styleId="Subtitle">
    <w:name w:val="Subtitle"/>
    <w:basedOn w:val="Normal"/>
    <w:next w:val="Normal"/>
    <w:link w:val="SubtitleChar"/>
    <w:uiPriority w:val="11"/>
    <w:qFormat/>
    <w:rsid w:val="00a17dda"/>
    <w:pPr/>
    <w:rPr>
      <w:rFonts w:ascii="Aptos" w:hAnsi="Aptos" w:eastAsia="" w:asciiTheme="minorHAnsi" w:eastAsiaTheme="minorEastAsia" w:hAnsiTheme="minorHAnsi"/>
      <w:color w:val="5A5A5A" w:themeColor="text1" w:themeTint="a5"/>
      <w:spacing w:val="15"/>
      <w:sz w:val="22"/>
      <w:szCs w:val="22"/>
    </w:rPr>
  </w:style>
  <w:style w:type="paragraph" w:styleId="Title">
    <w:name w:val="Title"/>
    <w:basedOn w:val="Normal"/>
    <w:next w:val="Normal"/>
    <w:link w:val="TitleChar"/>
    <w:uiPriority w:val="10"/>
    <w:qFormat/>
    <w:rsid w:val="00a17dda"/>
    <w:pPr>
      <w:spacing w:lineRule="auto" w:line="240" w:before="0" w:after="0"/>
      <w:contextualSpacing/>
    </w:pPr>
    <w:rPr>
      <w:rFonts w:ascii="Aptos Display" w:hAnsi="Aptos Display" w:eastAsia="" w:cs="" w:asciiTheme="majorHAnsi" w:cstheme="majorBidi" w:eastAsiaTheme="majorEastAsia" w:hAnsiTheme="majorHAnsi"/>
      <w:color w:val="auto"/>
      <w:spacing w:val="-10"/>
      <w:kern w:val="2"/>
      <w:sz w:val="56"/>
      <w:szCs w:val="56"/>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a17dda"/>
    <w:pPr>
      <w:spacing w:before="240" w:after="0"/>
      <w:jc w:val="both"/>
      <w:outlineLvl w:val="9"/>
    </w:pPr>
    <w:rPr>
      <w:rFonts w:ascii="Aptos Display" w:hAnsi="Aptos Display" w:eastAsia="" w:cs="" w:asciiTheme="majorHAnsi" w:cstheme="majorBidi" w:eastAsiaTheme="majorEastAsia" w:hAnsiTheme="majorHAnsi"/>
      <w:b w:val="false"/>
      <w:color w:val="0F4761" w:themeColor="accent1" w:themeShade="bf"/>
      <w:szCs w:val="32"/>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LibreOffice/7.4.7.2$Linux_X86_64 LibreOffice_project/40$Build-2</Application>
  <AppVersion>15.0000</AppVersion>
  <Pages>96</Pages>
  <Words>35366</Words>
  <Characters>210887</Characters>
  <CharactersWithSpaces>243838</CharactersWithSpaces>
  <Paragraphs>2327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2026-07-23T08:13:00Z</dcterms:created>
  <dc:creator/>
  <dc:description/>
  <dc:language>en-US</dc:language>
  <cp:lastModifiedBy/>
  <dcterms:modified xsi:type="dcterms:W3CDTF">2026-07-27T13:18:56Z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