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800" w:after="480"/>
        <w:jc w:val="center"/>
      </w:pPr>
      <w:r>
        <w:rPr>
          <w:bCs/>
          <w:b/>
          <w:color w:val="5B6B7C"/>
          <w:sz w:val="20"/>
        </w:rPr>
        <w:t xml:space="preserve">DIPLOMATIC REFERENCE DRAFT</w:t>
      </w:r>
    </w:p>
    <w:bookmarkStart w:id="20" w:name="the-fairway-compact"/>
    <w:p>
      <w:pPr>
        <w:pStyle w:val="Heading1"/>
        <w:pageBreakBefore w:val="0"/>
        <w:spacing w:after="240"/>
        <w:jc w:val="center"/>
        <w:pBdr>
          <w:bottom w:val="single" w:sz="12" w:space="6" w:color="1F3A5F"/>
        </w:pBdr>
      </w:pPr>
      <w:r>
        <w:rPr>
          <w:b/>
          <w:color w:val="1F3A5F"/>
          <w:sz w:val="64"/>
        </w:rPr>
        <w:t xml:space="preserve">The Fairway Compact</w:t>
      </w:r>
    </w:p>
    <w:p>
      <w:pPr>
        <w:pStyle w:val="FirstParagraph"/>
        <w:spacing w:after="440"/>
        <w:jc w:val="center"/>
      </w:pPr>
      <w:r>
        <w:rPr>
          <w:i/>
          <w:color w:val="2E4E74"/>
          <w:sz w:val="26"/>
        </w:rPr>
        <w:t xml:space="preserve">A Multilateral Compact for Certified Safe Transit, De-escalation, and Cooperative Governance of the Strait of Hormuz</w:t>
      </w:r>
    </w:p>
    <w:p>
      <w:pPr>
        <w:pStyle w:val="BodyText"/>
        <w:spacing w:after="120"/>
        <w:jc w:val="center"/>
      </w:pPr>
      <w:r>
        <w:rPr>
          <w:b/>
          <w:color w:val="26282B"/>
          <w:sz w:val="23"/>
        </w:rPr>
        <w:t xml:space="preserve">Between the Islamic Republic of Iran and the Sultanate of Oman</w:t>
      </w:r>
    </w:p>
    <w:p>
      <w:pPr>
        <w:pStyle w:val="BodyText"/>
        <w:spacing w:after="120"/>
        <w:jc w:val="center"/>
      </w:pPr>
      <w:r>
        <w:rPr>
          <w:color w:val="26282B"/>
          <w:sz w:val="23"/>
        </w:rPr>
        <w:t xml:space="preserve">With the United States of America Participating as Security Assistance Provider</w:t>
      </w:r>
    </w:p>
    <w:p>
      <w:pPr>
        <w:pStyle w:val="BodyText"/>
        <w:spacing w:after="120"/>
        <w:jc w:val="center"/>
      </w:pPr>
      <w:r>
        <w:rPr>
          <w:color w:val="26282B"/>
          <w:sz w:val="23"/>
        </w:rPr>
        <w:t xml:space="preserve">Convened and Verified under the Auspices of the Sultanate of Oman</w:t>
      </w:r>
    </w:p>
    <w:p>
      <w:pPr>
        <w:pStyle w:val="BodyText"/>
        <w:spacing w:after="120"/>
        <w:jc w:val="center"/>
      </w:pPr>
      <w:r>
        <w:rPr>
          <w:color w:val="26282B"/>
          <w:sz w:val="23"/>
        </w:rPr>
        <w:t xml:space="preserve">Open to Accession by Littoral, Regional, Neutral, and Technical Members at Tiered Levels of Participation</w:t>
      </w:r>
    </w:p>
    <w:tbl>
      <w:tblPr>
        <w:tblStyle w:val="Table"/>
        <w:tblW w:type="pct" w:w="5000"/>
        <w:tblLook w:firstRow="0" w:lastRow="0" w:firstColumn="0" w:lastColumn="0" w:noHBand="0" w:noVBand="0" w:val="000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3960"/>
        <w:gridCol w:w="3960"/>
      </w:tblGrid>
      <w:tr>
        <w:tc>
          <w:tcPr>
            <w:shd w:val="clear" w:color="auto" w:fill="D9E2EC"/>
          </w:tcPr>
          <w:p>
            <w:pPr>
              <w:pStyle w:val="Compact"/>
              <w:jc w:val="left"/>
            </w:pPr>
            <w:r>
              <w:rPr>
                <w:bCs/>
                <w:b/>
              </w:rPr>
              <w:t xml:space="preserve">Document Status</w:t>
            </w:r>
          </w:p>
        </w:tc>
        <w:tc>
          <w:tcPr>
            <w:shd w:val="clear" w:color="auto" w:fill="D9E2EC"/>
          </w:tcPr>
          <w:p>
            <w:pPr>
              <w:pStyle w:val="Compact"/>
              <w:jc w:val="left"/>
            </w:pPr>
            <w:r>
              <w:rPr>
                <w:b/>
              </w:rPr>
              <w:t xml:space="preserve">Diplomatic Reference Draft</w:t>
            </w:r>
          </w:p>
        </w:tc>
      </w:tr>
      <w:tr>
        <w:tc>
          <w:tcPr/>
          <w:p>
            <w:pPr>
              <w:pStyle w:val="Compact"/>
              <w:jc w:val="left"/>
            </w:pPr>
            <w:r>
              <w:rPr>
                <w:bCs/>
                <w:b/>
              </w:rPr>
              <w:t xml:space="preserve">Version</w:t>
            </w:r>
          </w:p>
        </w:tc>
        <w:tc>
          <w:tcPr/>
          <w:p>
            <w:pPr>
              <w:pStyle w:val="Compact"/>
              <w:jc w:val="left"/>
            </w:pPr>
            <w:r>
              <w:t xml:space="preserve">1.0, Full Edition with Annexes A through N</w:t>
            </w:r>
          </w:p>
        </w:tc>
      </w:tr>
      <w:tr>
        <w:tc>
          <w:tcPr/>
          <w:p>
            <w:pPr>
              <w:pStyle w:val="Compact"/>
              <w:jc w:val="left"/>
            </w:pPr>
            <w:r>
              <w:rPr>
                <w:bCs/>
                <w:b/>
              </w:rPr>
              <w:t xml:space="preserve">Date of Issue</w:t>
            </w:r>
          </w:p>
        </w:tc>
        <w:tc>
          <w:tcPr/>
          <w:p>
            <w:pPr>
              <w:pStyle w:val="Compact"/>
              <w:jc w:val="left"/>
            </w:pPr>
            <w:r>
              <w:t xml:space="preserve">July 27, 2026</w:t>
            </w:r>
          </w:p>
        </w:tc>
      </w:tr>
      <w:tr>
        <w:tc>
          <w:tcPr/>
          <w:p>
            <w:pPr>
              <w:pStyle w:val="Compact"/>
              <w:jc w:val="left"/>
            </w:pPr>
            <w:r>
              <w:rPr>
                <w:bCs/>
                <w:b/>
              </w:rPr>
              <w:t xml:space="preserve">Anchor Instruments</w:t>
            </w:r>
          </w:p>
        </w:tc>
        <w:tc>
          <w:tcPr/>
          <w:p>
            <w:pPr>
              <w:pStyle w:val="Compact"/>
              <w:jc w:val="left"/>
            </w:pPr>
            <w:r>
              <w:t xml:space="preserve">Islamabad Memorandum of Understanding of June 2026; Return to Stability Framework v2.0 (incorporated through Annex H)</w:t>
            </w:r>
          </w:p>
        </w:tc>
      </w:tr>
      <w:tr>
        <w:tc>
          <w:tcPr/>
          <w:p>
            <w:pPr>
              <w:pStyle w:val="Compact"/>
              <w:jc w:val="left"/>
            </w:pPr>
            <w:r>
              <w:rPr>
                <w:bCs/>
                <w:b/>
              </w:rPr>
              <w:t xml:space="preserve">Verification and Mediation</w:t>
            </w:r>
          </w:p>
        </w:tc>
        <w:tc>
          <w:tcPr/>
          <w:p>
            <w:pPr>
              <w:pStyle w:val="Compact"/>
              <w:jc w:val="left"/>
            </w:pPr>
            <w:r>
              <w:t xml:space="preserve">Sultanate of Oman (maritime and security); International Atomic Energy Agency (nuclear); International Maritime Organization and International Hydrographic Organization (technical certification)</w:t>
            </w:r>
          </w:p>
        </w:tc>
      </w:tr>
      <w:tr>
        <w:tc>
          <w:tcPr/>
          <w:p>
            <w:pPr>
              <w:pStyle w:val="Compact"/>
              <w:jc w:val="left"/>
            </w:pPr>
            <w:r>
              <w:rPr>
                <w:bCs/>
                <w:b/>
              </w:rPr>
              <w:t xml:space="preserve">Neutral Administration</w:t>
            </w:r>
          </w:p>
        </w:tc>
        <w:tc>
          <w:tcPr/>
          <w:p>
            <w:pPr>
              <w:pStyle w:val="Compact"/>
              <w:jc w:val="left"/>
            </w:pPr>
            <w:r>
              <w:t xml:space="preserve">Swiss Confederation (Neutral Administrator); State of Qatar, Qatar Central Bank (Escrow Agent)</w:t>
            </w:r>
          </w:p>
        </w:tc>
      </w:tr>
      <w:tr>
        <w:tc>
          <w:tcPr/>
          <w:p>
            <w:pPr>
              <w:pStyle w:val="Compact"/>
              <w:jc w:val="left"/>
            </w:pPr>
            <w:r>
              <w:rPr>
                <w:bCs/>
                <w:b/>
              </w:rPr>
              <w:t xml:space="preserve">Security Assistance Provider</w:t>
            </w:r>
          </w:p>
        </w:tc>
        <w:tc>
          <w:tcPr/>
          <w:p>
            <w:pPr>
              <w:pStyle w:val="Compact"/>
              <w:jc w:val="left"/>
            </w:pPr>
            <w:r>
              <w:t xml:space="preserve">United States of America (Article 4.8; non-tier designation)</w:t>
            </w:r>
          </w:p>
        </w:tc>
      </w:tr>
      <w:tr>
        <w:tc>
          <w:tcPr/>
          <w:p>
            <w:pPr>
              <w:pStyle w:val="Compact"/>
              <w:jc w:val="left"/>
            </w:pPr>
            <w:r>
              <w:rPr>
                <w:bCs/>
                <w:b/>
              </w:rPr>
              <w:t xml:space="preserve">Depositary</w:t>
            </w:r>
          </w:p>
        </w:tc>
        <w:tc>
          <w:tcPr/>
          <w:p>
            <w:pPr>
              <w:pStyle w:val="Compact"/>
              <w:jc w:val="left"/>
            </w:pPr>
            <w:r>
              <w:t xml:space="preserve">Sultanate of Oman, Muscat</w:t>
            </w:r>
          </w:p>
        </w:tc>
      </w:tr>
    </w:tbl>
    <w:p>
      <w:pPr>
        <w:pStyle w:val="BodyText"/>
        <w:spacing w:before="320"/>
        <w:jc w:val="center"/>
      </w:pPr>
      <w:r>
        <w:rPr>
          <w:i/>
          <w:color w:val="5B6B7C"/>
          <w:sz w:val="19"/>
        </w:rPr>
        <w:t xml:space="preserve">This document is a technical stabilization instrument. It records no admission of fault, liability, or belligerency by any Party.</w:t>
      </w:r>
    </w:p>
    <w:bookmarkEnd w:id="20"/>
    <w:bookmarkStart w:id="21" w:name="cover-note-of-the-convening-authority"/>
    <w:p>
      <w:pPr>
        <w:pStyle w:val="Heading1"/>
      </w:pPr>
      <w:r>
        <w:t xml:space="preserve">Cover Note of the Convening Authority</w:t>
      </w:r>
    </w:p>
    <w:p>
      <w:pPr>
        <w:pStyle w:val="FirstParagraph"/>
      </w:pPr>
      <w:r>
        <w:t xml:space="preserve">Muscat, Sultanate of Oman. July 27, 2026.</w:t>
      </w:r>
    </w:p>
    <w:p>
      <w:pPr>
        <w:pStyle w:val="BodyText"/>
      </w:pPr>
      <w:r>
        <w:t xml:space="preserve">The Sultanate of Oman, acting in its capacity as Convening, Verification, and Mediation Authority, presents the Fairway Compact to the Principal Parties, to the United States of America in its capacity as Security Assistance Provider, and to the acceding and observing states for review and adoption.</w:t>
      </w:r>
    </w:p>
    <w:p>
      <w:pPr>
        <w:pStyle w:val="BodyText"/>
      </w:pPr>
      <w:r>
        <w:t xml:space="preserve">The Compact answers the operational emergency of the present hour. Commercial transit through the Strait of Hormuz stands at roughly seventeen percent of its pre-crisis volume, war-risk insurance prices at eight times its pre-crisis level, a tanker has struck a naval mine, and several hundred vessels sit anchored or stopped in the region awaiting a certified safe passage. The Compact answers this emergency with architecture rather than admonition: certified fairways instead of assertions, escorted safety instead of interdiction, verified mine clearance instead of rumor, and a published boundary map of each side’s red lines instead of discovery by collision.</w:t>
      </w:r>
    </w:p>
    <w:p>
      <w:pPr>
        <w:pStyle w:val="BodyText"/>
      </w:pPr>
      <w:r>
        <w:t xml:space="preserve">The Compact carries its operative substance in fourteen annexes. Each annex stands alone as a technical instrument, and each cross-references the Articles to which it attaches. Annex C converts Iran’s patrol boat and fast attack craft fleet into a lead-escort safety service under strict non-interdiction rules. Annex D stands up the Mine Removal Taskforce for the Strait of Hormuz as a civilian-led, multilateral clearance and certification body. Annex E opens the Compact to the region and the world at tiered levels of participation, from Tier I Principal Membership to Observer status, with the United States participating as Security Assistance Provider outside the tier structure. Annex F registers the red lines of both Principal Parties and holds them intact by design. Annex G states the phased implementation schedule on an accelerated timeline. Annex H incorporates the Return to Stability Framework v2.0 as the de-escalation and negotiation track of this Compact.</w:t>
      </w:r>
    </w:p>
    <w:p>
      <w:pPr>
        <w:pStyle w:val="BodyText"/>
      </w:pPr>
      <w:r>
        <w:t xml:space="preserve">The Convening Authority confirms that the annexes apply the drafting disciplines of the instrument family: paired actions, verification over trust, reversibility first, mutual architecture, present-tense execution, and no-fade continuity. Adoption of the annexes occurs as a single package. Technical corrections route through the channel of Article 12 at any time without reopening the package.</w:t>
      </w:r>
    </w:p>
    <w:p>
      <w:pPr>
        <w:pStyle w:val="BodyText"/>
      </w:pPr>
      <w:r>
        <w:t xml:space="preserve">Signed for the Convening Authority: Office of the Special Envoy for Maritime Stabilization, Muscat.</w:t>
      </w:r>
    </w:p>
    <w:bookmarkEnd w:id="21"/>
    <w:bookmarkStart w:id="22" w:name="preface.-drafting-convention-and-method"/>
    <w:p>
      <w:pPr>
        <w:pStyle w:val="Heading1"/>
      </w:pPr>
      <w:r>
        <w:t xml:space="preserve">Preface. Drafting Convention and Method</w:t>
      </w:r>
    </w:p>
    <w:p>
      <w:pPr>
        <w:pStyle w:val="FirstParagraph"/>
      </w:pPr>
      <w:r>
        <w:t xml:space="preserve">This Compact follows a fixed drafting convention, and the convention itself forms part of the instrument. Six rules govern every Article, every Annex, and every certificate issued under this Compact.</w:t>
      </w:r>
    </w:p>
    <w:p>
      <w:pPr>
        <w:pStyle w:val="BodyText"/>
      </w:pPr>
      <w:r>
        <w:rPr>
          <w:bCs/>
          <w:b/>
        </w:rPr>
        <w:t xml:space="preserve">Rule One: The Sovereign Present Tense.</w:t>
      </w:r>
      <w:r>
        <w:t xml:space="preserve"> </w:t>
      </w:r>
      <w:r>
        <w:t xml:space="preserve">Every obligation reads as an active, present-tense operational state. The instrument speaks of what the architecture does, never of what it intends or expects. The Parties notify, the Center publishes, the Fund reimburses, the Taskforce certifies. Two sovereign Principal Parties bind themselves through architecture, not through subordination to one another or to any third party.</w:t>
      </w:r>
    </w:p>
    <w:p>
      <w:pPr>
        <w:pStyle w:val="BodyText"/>
      </w:pPr>
      <w:r>
        <w:rPr>
          <w:bCs/>
          <w:b/>
        </w:rPr>
        <w:t xml:space="preserve">Rule Two: Mutual Architecture.</w:t>
      </w:r>
      <w:r>
        <w:t xml:space="preserve"> </w:t>
      </w:r>
      <w:r>
        <w:t xml:space="preserve">Every prohibitive commitment reads as a feature of the shared framework, binding all participants equally, never as a restraint by one Party for the benefit of another. The text attributes each constraint to the system itself: the framework architecture excludes interdiction of commercial transit; the fairway system excludes tolls on passage; the escort service excludes boarding and inspection. This framing preserves full legal force while removing any appearance of hierarchy, capitulation, or asymmetric burden.</w:t>
      </w:r>
    </w:p>
    <w:p>
      <w:pPr>
        <w:pStyle w:val="BodyText"/>
      </w:pPr>
      <w:r>
        <w:rPr>
          <w:bCs/>
          <w:b/>
        </w:rPr>
        <w:t xml:space="preserve">Rule Three: Automatic Logic Triggers.</w:t>
      </w:r>
      <w:r>
        <w:t xml:space="preserve"> </w:t>
      </w:r>
      <w:r>
        <w:t xml:space="preserve">Consequences attach to events directly and immediately. A verified deviation opens a consultation; a clean record renews a certification; a notice pauses a clock. Where a consequence exists, the text states the consequence as the direct result of the triggering event.</w:t>
      </w:r>
    </w:p>
    <w:p>
      <w:pPr>
        <w:pStyle w:val="BodyText"/>
      </w:pPr>
      <w:r>
        <w:rPr>
          <w:bCs/>
          <w:b/>
        </w:rPr>
        <w:t xml:space="preserve">Rule Four: No-Fade Continuity.</w:t>
      </w:r>
      <w:r>
        <w:t xml:space="preserve"> </w:t>
      </w:r>
      <w:r>
        <w:t xml:space="preserve">No commitment fades at any date boundary. Verified performance banks permanently and carries forward into every review, every renewal, and every successor instrument. Renewal occurs by silence; amendment occurs by mutual written instrument; exit occurs only through the orderly transition of Article 16. The passing of any date suspends nothing, voids nothing, and resets nothing.</w:t>
      </w:r>
    </w:p>
    <w:p>
      <w:pPr>
        <w:pStyle w:val="BodyText"/>
      </w:pPr>
      <w:r>
        <w:rPr>
          <w:bCs/>
          <w:b/>
        </w:rPr>
        <w:t xml:space="preserve">Rule Five: Telemetry With Human Anchors.</w:t>
      </w:r>
      <w:r>
        <w:t xml:space="preserve"> </w:t>
      </w:r>
      <w:r>
        <w:t xml:space="preserve">The Compact uses telemetry, including automatic identification system data, coastal radar, and satellite observation, as one verification layer among several. No compliance determination rests on telemetry alone. Visual patrols, scheduled voice reporting, embarked observers, and documentary records stand as coequal channels, and the Convergence Standard of Annex B governs every determination. Human judgment sits between every sensor and every consequence.</w:t>
      </w:r>
    </w:p>
    <w:p>
      <w:pPr>
        <w:pStyle w:val="BodyText"/>
      </w:pPr>
      <w:r>
        <w:rPr>
          <w:bCs/>
          <w:b/>
        </w:rPr>
        <w:t xml:space="preserve">Rule Six: Modularity.</w:t>
      </w:r>
      <w:r>
        <w:t xml:space="preserve"> </w:t>
      </w:r>
      <w:r>
        <w:t xml:space="preserve">The annexes operate as self-contained protocol modules. Each module stands on its own, survives the failure of any other module, and enters or leaves operation only through the procedures of Article 17. The bridge bends; it never collapses.</w:t>
      </w:r>
    </w:p>
    <w:bookmarkEnd w:id="22"/>
    <w:bookmarkStart w:id="23" w:name="table-of-contents"/>
    <w:p>
      <w:pPr>
        <w:pStyle w:val="Heading1"/>
      </w:pPr>
      <w:r>
        <w:t xml:space="preserve">Table of Contents</w:t>
      </w:r>
    </w:p>
    <w:p>
      <w:pPr>
        <w:numPr>
          <w:ilvl w:val="0"/>
          <w:numId w:val="1001"/>
        </w:numPr>
        <w:pStyle w:val="Compact"/>
      </w:pPr>
      <w:r>
        <w:t xml:space="preserve">Cover Note of the Convening Authority</w:t>
      </w:r>
    </w:p>
    <w:p>
      <w:pPr>
        <w:numPr>
          <w:ilvl w:val="0"/>
          <w:numId w:val="1001"/>
        </w:numPr>
        <w:pStyle w:val="Compact"/>
      </w:pPr>
      <w:r>
        <w:t xml:space="preserve">Preface. Drafting Convention and Method</w:t>
      </w:r>
    </w:p>
    <w:p>
      <w:pPr>
        <w:numPr>
          <w:ilvl w:val="0"/>
          <w:numId w:val="1001"/>
        </w:numPr>
        <w:pStyle w:val="Compact"/>
      </w:pPr>
      <w:r>
        <w:t xml:space="preserve">Article 1. Purpose, Scope, and Anchor Instruments</w:t>
      </w:r>
    </w:p>
    <w:p>
      <w:pPr>
        <w:numPr>
          <w:ilvl w:val="0"/>
          <w:numId w:val="1001"/>
        </w:numPr>
        <w:pStyle w:val="Compact"/>
      </w:pPr>
      <w:r>
        <w:t xml:space="preserve">Article 2. Definitions</w:t>
      </w:r>
    </w:p>
    <w:p>
      <w:pPr>
        <w:numPr>
          <w:ilvl w:val="0"/>
          <w:numId w:val="1001"/>
        </w:numPr>
        <w:pStyle w:val="Compact"/>
      </w:pPr>
      <w:r>
        <w:t xml:space="preserve">Article 3. Legal Character, Non-Prejudice, and the Red Line Architecture</w:t>
      </w:r>
    </w:p>
    <w:p>
      <w:pPr>
        <w:numPr>
          <w:ilvl w:val="0"/>
          <w:numId w:val="1001"/>
        </w:numPr>
        <w:pStyle w:val="Compact"/>
      </w:pPr>
      <w:r>
        <w:t xml:space="preserve">Article 4. The Multilateral Membership Architecture</w:t>
      </w:r>
    </w:p>
    <w:p>
      <w:pPr>
        <w:numPr>
          <w:ilvl w:val="0"/>
          <w:numId w:val="1001"/>
        </w:numPr>
        <w:pStyle w:val="Compact"/>
      </w:pPr>
      <w:r>
        <w:t xml:space="preserve">Article 5. The Fairway System</w:t>
      </w:r>
    </w:p>
    <w:p>
      <w:pPr>
        <w:numPr>
          <w:ilvl w:val="0"/>
          <w:numId w:val="1001"/>
        </w:numPr>
        <w:pStyle w:val="Compact"/>
      </w:pPr>
      <w:r>
        <w:t xml:space="preserve">Article 6. Non-Interdiction and the Zero-Toll Guarantee</w:t>
      </w:r>
    </w:p>
    <w:p>
      <w:pPr>
        <w:numPr>
          <w:ilvl w:val="0"/>
          <w:numId w:val="1001"/>
        </w:numPr>
        <w:pStyle w:val="Compact"/>
      </w:pPr>
      <w:r>
        <w:t xml:space="preserve">Article 7. The Paired Stabilization Measures</w:t>
      </w:r>
    </w:p>
    <w:p>
      <w:pPr>
        <w:numPr>
          <w:ilvl w:val="0"/>
          <w:numId w:val="1001"/>
        </w:numPr>
        <w:pStyle w:val="Compact"/>
      </w:pPr>
      <w:r>
        <w:t xml:space="preserve">Article 8. Mine Hazard Response</w:t>
      </w:r>
    </w:p>
    <w:p>
      <w:pPr>
        <w:numPr>
          <w:ilvl w:val="0"/>
          <w:numId w:val="1001"/>
        </w:numPr>
        <w:pStyle w:val="Compact"/>
      </w:pPr>
      <w:r>
        <w:t xml:space="preserve">Article 9. The Lead-Escort Safety Service</w:t>
      </w:r>
    </w:p>
    <w:p>
      <w:pPr>
        <w:numPr>
          <w:ilvl w:val="0"/>
          <w:numId w:val="1001"/>
        </w:numPr>
        <w:pStyle w:val="Compact"/>
      </w:pPr>
      <w:r>
        <w:t xml:space="preserve">Article 10. Verification and the Convergence Standard</w:t>
      </w:r>
    </w:p>
    <w:p>
      <w:pPr>
        <w:numPr>
          <w:ilvl w:val="0"/>
          <w:numId w:val="1001"/>
        </w:numPr>
        <w:pStyle w:val="Compact"/>
      </w:pPr>
      <w:r>
        <w:t xml:space="preserve">Article 11. The Compliance and Restoration Engine</w:t>
      </w:r>
    </w:p>
    <w:p>
      <w:pPr>
        <w:numPr>
          <w:ilvl w:val="0"/>
          <w:numId w:val="1001"/>
        </w:numPr>
        <w:pStyle w:val="Compact"/>
      </w:pPr>
      <w:r>
        <w:t xml:space="preserve">Article 12. Dispute Resolution, Hotline, and Red Line Consultation</w:t>
      </w:r>
    </w:p>
    <w:p>
      <w:pPr>
        <w:numPr>
          <w:ilvl w:val="0"/>
          <w:numId w:val="1001"/>
        </w:numPr>
        <w:pStyle w:val="Compact"/>
      </w:pPr>
      <w:r>
        <w:t xml:space="preserve">Article 13. The Return to Stability Track</w:t>
      </w:r>
    </w:p>
    <w:p>
      <w:pPr>
        <w:numPr>
          <w:ilvl w:val="0"/>
          <w:numId w:val="1001"/>
        </w:numPr>
        <w:pStyle w:val="Compact"/>
      </w:pPr>
      <w:r>
        <w:t xml:space="preserve">Article 14. Funding and the Escrow Architecture</w:t>
      </w:r>
    </w:p>
    <w:p>
      <w:pPr>
        <w:numPr>
          <w:ilvl w:val="0"/>
          <w:numId w:val="1001"/>
        </w:numPr>
        <w:pStyle w:val="Compact"/>
      </w:pPr>
      <w:r>
        <w:t xml:space="preserve">Article 15. Implementation</w:t>
      </w:r>
    </w:p>
    <w:p>
      <w:pPr>
        <w:numPr>
          <w:ilvl w:val="0"/>
          <w:numId w:val="1001"/>
        </w:numPr>
        <w:pStyle w:val="Compact"/>
      </w:pPr>
      <w:r>
        <w:t xml:space="preserve">Article 16. Protective Provisions</w:t>
      </w:r>
    </w:p>
    <w:p>
      <w:pPr>
        <w:numPr>
          <w:ilvl w:val="0"/>
          <w:numId w:val="1001"/>
        </w:numPr>
        <w:pStyle w:val="Compact"/>
      </w:pPr>
      <w:r>
        <w:t xml:space="preserve">Article 17. Final Provisions and Depositary</w:t>
      </w:r>
    </w:p>
    <w:p>
      <w:pPr>
        <w:numPr>
          <w:ilvl w:val="0"/>
          <w:numId w:val="1001"/>
        </w:numPr>
        <w:pStyle w:val="Compact"/>
      </w:pPr>
      <w:r>
        <w:t xml:space="preserve">Signature Block</w:t>
      </w:r>
    </w:p>
    <w:p>
      <w:pPr>
        <w:numPr>
          <w:ilvl w:val="0"/>
          <w:numId w:val="1001"/>
        </w:numPr>
        <w:pStyle w:val="Compact"/>
      </w:pPr>
      <w:r>
        <w:t xml:space="preserve">Annex A. Fairway Corridor Geometry and Transit Rules</w:t>
      </w:r>
    </w:p>
    <w:p>
      <w:pPr>
        <w:numPr>
          <w:ilvl w:val="0"/>
          <w:numId w:val="1001"/>
        </w:numPr>
        <w:pStyle w:val="Compact"/>
      </w:pPr>
      <w:r>
        <w:t xml:space="preserve">Annex B. Verification and Convergence Protocol</w:t>
      </w:r>
    </w:p>
    <w:p>
      <w:pPr>
        <w:numPr>
          <w:ilvl w:val="0"/>
          <w:numId w:val="1001"/>
        </w:numPr>
        <w:pStyle w:val="Compact"/>
      </w:pPr>
      <w:r>
        <w:t xml:space="preserve">Annex C. Lead-Escort Speedboat Operating Protocol</w:t>
      </w:r>
    </w:p>
    <w:p>
      <w:pPr>
        <w:numPr>
          <w:ilvl w:val="0"/>
          <w:numId w:val="1001"/>
        </w:numPr>
        <w:pStyle w:val="Compact"/>
      </w:pPr>
      <w:r>
        <w:t xml:space="preserve">Annex D. Mine Removal Taskforce Charter (MRT-H)</w:t>
      </w:r>
    </w:p>
    <w:p>
      <w:pPr>
        <w:numPr>
          <w:ilvl w:val="0"/>
          <w:numId w:val="1001"/>
        </w:numPr>
        <w:pStyle w:val="Compact"/>
      </w:pPr>
      <w:r>
        <w:t xml:space="preserve">Annex E. Membership Tiers and Accession Protocol</w:t>
      </w:r>
    </w:p>
    <w:p>
      <w:pPr>
        <w:numPr>
          <w:ilvl w:val="0"/>
          <w:numId w:val="1001"/>
        </w:numPr>
        <w:pStyle w:val="Compact"/>
      </w:pPr>
      <w:r>
        <w:t xml:space="preserve">Annex F. Red Line Register</w:t>
      </w:r>
    </w:p>
    <w:p>
      <w:pPr>
        <w:numPr>
          <w:ilvl w:val="0"/>
          <w:numId w:val="1001"/>
        </w:numPr>
        <w:pStyle w:val="Compact"/>
      </w:pPr>
      <w:r>
        <w:t xml:space="preserve">Annex G. Phased Implementation Schedule</w:t>
      </w:r>
    </w:p>
    <w:p>
      <w:pPr>
        <w:numPr>
          <w:ilvl w:val="0"/>
          <w:numId w:val="1001"/>
        </w:numPr>
        <w:pStyle w:val="Compact"/>
      </w:pPr>
      <w:r>
        <w:t xml:space="preserve">Annex H. The Return to Stability Track</w:t>
      </w:r>
    </w:p>
    <w:p>
      <w:pPr>
        <w:numPr>
          <w:ilvl w:val="0"/>
          <w:numId w:val="1001"/>
        </w:numPr>
        <w:pStyle w:val="Compact"/>
      </w:pPr>
      <w:r>
        <w:t xml:space="preserve">Annex I. Hotline, Communications, and Escalation Protocol</w:t>
      </w:r>
    </w:p>
    <w:p>
      <w:pPr>
        <w:numPr>
          <w:ilvl w:val="0"/>
          <w:numId w:val="1001"/>
        </w:numPr>
        <w:pStyle w:val="Compact"/>
      </w:pPr>
      <w:r>
        <w:t xml:space="preserve">Annex J. Transit Services Fund and Escrow Protocol</w:t>
      </w:r>
    </w:p>
    <w:p>
      <w:pPr>
        <w:numPr>
          <w:ilvl w:val="0"/>
          <w:numId w:val="1001"/>
        </w:numPr>
        <w:pStyle w:val="Compact"/>
      </w:pPr>
      <w:r>
        <w:t xml:space="preserve">Annex K. Compliance and Restoration Engine</w:t>
      </w:r>
    </w:p>
    <w:p>
      <w:pPr>
        <w:numPr>
          <w:ilvl w:val="0"/>
          <w:numId w:val="1001"/>
        </w:numPr>
        <w:pStyle w:val="Compact"/>
      </w:pPr>
      <w:r>
        <w:t xml:space="preserve">Annex L. Authorized Terminology Registry and Narrative Symmetry</w:t>
      </w:r>
    </w:p>
    <w:p>
      <w:pPr>
        <w:numPr>
          <w:ilvl w:val="0"/>
          <w:numId w:val="1001"/>
        </w:numPr>
        <w:pStyle w:val="Compact"/>
      </w:pPr>
      <w:r>
        <w:t xml:space="preserve">Annex M. Protective Instruments</w:t>
      </w:r>
    </w:p>
    <w:p>
      <w:pPr>
        <w:numPr>
          <w:ilvl w:val="0"/>
          <w:numId w:val="1001"/>
        </w:numPr>
        <w:pStyle w:val="Compact"/>
      </w:pPr>
      <w:r>
        <w:t xml:space="preserve">Annex N. Glossary of Compact Terms</w:t>
      </w:r>
    </w:p>
    <w:bookmarkEnd w:id="23"/>
    <w:bookmarkStart w:id="24" w:name="X5b1acfa49e06d44cbbe5ac94b1ef146b440248f"/>
    <w:p>
      <w:pPr>
        <w:pStyle w:val="Heading1"/>
      </w:pPr>
      <w:r>
        <w:t xml:space="preserve">Article 1. Purpose, Scope, and Anchor Instruments</w:t>
      </w:r>
    </w:p>
    <w:p>
      <w:pPr>
        <w:pStyle w:val="FirstParagraph"/>
      </w:pPr>
      <w:r>
        <w:rPr>
          <w:bCs/>
          <w:b/>
        </w:rPr>
        <w:t xml:space="preserve">1.1</w:t>
      </w:r>
      <w:r>
        <w:t xml:space="preserve"> </w:t>
      </w:r>
      <w:r>
        <w:t xml:space="preserve">The Islamic Republic of Iran and the Sultanate of Oman (the</w:t>
      </w:r>
      <w:r>
        <w:t xml:space="preserve"> </w:t>
      </w:r>
      <w:r>
        <w:t xml:space="preserve">“</w:t>
      </w:r>
      <w:r>
        <w:t xml:space="preserve">Principal Parties</w:t>
      </w:r>
      <w:r>
        <w:t xml:space="preserve">”</w:t>
      </w:r>
      <w:r>
        <w:t xml:space="preserve">), with the United States of America participating as Security Assistance Provider under Article 4.8, and with the Sultanate of Oman as Convening, Verification, and Mediation Authority, establish this Fairway Compact (the</w:t>
      </w:r>
      <w:r>
        <w:t xml:space="preserve"> </w:t>
      </w:r>
      <w:r>
        <w:t xml:space="preserve">“</w:t>
      </w:r>
      <w:r>
        <w:t xml:space="preserve">Compact</w:t>
      </w:r>
      <w:r>
        <w:t xml:space="preserve">”</w:t>
      </w:r>
      <w:r>
        <w:t xml:space="preserve">) as the standing governance architecture for safe, certified, and verified commercial transit through the Strait of Hormuz and its approaches.</w:t>
      </w:r>
    </w:p>
    <w:p>
      <w:pPr>
        <w:pStyle w:val="BodyText"/>
      </w:pPr>
      <w:r>
        <w:rPr>
          <w:bCs/>
          <w:b/>
        </w:rPr>
        <w:t xml:space="preserve">1.2</w:t>
      </w:r>
      <w:r>
        <w:t xml:space="preserve"> </w:t>
      </w:r>
      <w:r>
        <w:t xml:space="preserve">The Compact pursues four purposes in equal rank: the safety of navigation and of life at sea; the stabilization of the region through verified de-escalation; the freedom of commercial transit without toll, interdiction, or route compulsion; and the protection of the marine environment.</w:t>
      </w:r>
    </w:p>
    <w:p>
      <w:pPr>
        <w:pStyle w:val="BodyText"/>
      </w:pPr>
      <w:r>
        <w:rPr>
          <w:bCs/>
          <w:b/>
        </w:rPr>
        <w:t xml:space="preserve">1.3</w:t>
      </w:r>
      <w:r>
        <w:t xml:space="preserve"> </w:t>
      </w:r>
      <w:r>
        <w:t xml:space="preserve">The Compact anchors itself in the Islamabad Memorandum of Understanding of June 2026 (the</w:t>
      </w:r>
      <w:r>
        <w:t xml:space="preserve"> </w:t>
      </w:r>
      <w:r>
        <w:t xml:space="preserve">“</w:t>
      </w:r>
      <w:r>
        <w:t xml:space="preserve">June Memorandum</w:t>
      </w:r>
      <w:r>
        <w:t xml:space="preserve">”</w:t>
      </w:r>
      <w:r>
        <w:t xml:space="preserve">), and recognizes the United States of America as a signatory to that instrument whose security assistance role under this Compact is exercised at the request of the Principal Parties or the multilateral bodies of this Compact.</w:t>
      </w:r>
    </w:p>
    <w:p>
      <w:pPr>
        <w:pStyle w:val="BodyText"/>
      </w:pPr>
      <w:r>
        <w:rPr>
          <w:bCs/>
          <w:b/>
        </w:rPr>
        <w:t xml:space="preserve">1.4</w:t>
      </w:r>
      <w:r>
        <w:t xml:space="preserve"> </w:t>
      </w:r>
      <w:r>
        <w:t xml:space="preserve">The Compact incorporates the Return to Stability Framework v2.0 of July 22, 2026 (the</w:t>
      </w:r>
      <w:r>
        <w:t xml:space="preserve"> </w:t>
      </w:r>
      <w:r>
        <w:t xml:space="preserve">“</w:t>
      </w:r>
      <w:r>
        <w:t xml:space="preserve">RTF</w:t>
      </w:r>
      <w:r>
        <w:t xml:space="preserve">”</w:t>
      </w:r>
      <w:r>
        <w:t xml:space="preserve">) as its de-escalation and negotiation track. Annex H states the incorporation mechanics, carries forward the RTF’s paired measures, verification bodies, escrow architecture, and nuclear disposition roadmap, and harmonizes the RTF timeline with the accelerated schedule of Annex G.</w:t>
      </w:r>
    </w:p>
    <w:p>
      <w:pPr>
        <w:pStyle w:val="BodyText"/>
      </w:pPr>
      <w:r>
        <w:rPr>
          <w:bCs/>
          <w:b/>
        </w:rPr>
        <w:t xml:space="preserve">1.5</w:t>
      </w:r>
      <w:r>
        <w:t xml:space="preserve"> </w:t>
      </w:r>
      <w:r>
        <w:t xml:space="preserve">The Compact operates as a multilateral instrument from signature. Article 4 and Annex E define four tiers of participation, and the architecture invites accession by littoral states, regional states, neutral states, technical organizations, and observer states at the level each selects.</w:t>
      </w:r>
    </w:p>
    <w:p>
      <w:pPr>
        <w:pStyle w:val="BodyText"/>
      </w:pPr>
      <w:r>
        <w:rPr>
          <w:bCs/>
          <w:b/>
        </w:rPr>
        <w:t xml:space="preserve">1.6</w:t>
      </w:r>
      <w:r>
        <w:t xml:space="preserve"> </w:t>
      </w:r>
      <w:r>
        <w:t xml:space="preserve">Scope of area. The Compact governs the maritime and air area described in Annex A (the</w:t>
      </w:r>
      <w:r>
        <w:t xml:space="preserve"> </w:t>
      </w:r>
      <w:r>
        <w:t xml:space="preserve">“</w:t>
      </w:r>
      <w:r>
        <w:t xml:space="preserve">Governance Area</w:t>
      </w:r>
      <w:r>
        <w:t xml:space="preserve">”</w:t>
      </w:r>
      <w:r>
        <w:t xml:space="preserve">), spanning the Strait of Hormuz and its approaches between 25 degrees 00 minutes N and 27 degrees 30 minutes N latitude and 55 degrees 00 minutes E and 58 degrees 00 minutes E longitude.</w:t>
      </w:r>
    </w:p>
    <w:p>
      <w:pPr>
        <w:pStyle w:val="BodyText"/>
      </w:pPr>
      <w:r>
        <w:rPr>
          <w:bCs/>
          <w:b/>
        </w:rPr>
        <w:t xml:space="preserve">1.7</w:t>
      </w:r>
      <w:r>
        <w:t xml:space="preserve"> </w:t>
      </w:r>
      <w:r>
        <w:t xml:space="preserve">Relationship to international law. The Compact operates in conformity with the United Nations Convention on the Law of the Sea and the transit passage regime for straits used for international navigation. Nothing in this Compact suspends, diminishes, or conditions the right of transit passage.</w:t>
      </w:r>
    </w:p>
    <w:p>
      <w:pPr>
        <w:pStyle w:val="BodyText"/>
      </w:pPr>
      <w:r>
        <w:rPr>
          <w:bCs/>
          <w:b/>
        </w:rPr>
        <w:t xml:space="preserve">1.8</w:t>
      </w:r>
      <w:r>
        <w:t xml:space="preserve"> </w:t>
      </w:r>
      <w:r>
        <w:t xml:space="preserve">Relationship to existing instruments. The Compact complements and does not displace the June Memorandum, the RTF, or any bilateral arrangement between littoral states. Where a broader regional maritime arrangement emerges, this Compact folds into it as the Strait chapter, carrying its banked record, its institutions, and its Red Line Register intact.</w:t>
      </w:r>
    </w:p>
    <w:bookmarkEnd w:id="24"/>
    <w:bookmarkStart w:id="25" w:name="article-2.-definitions"/>
    <w:p>
      <w:pPr>
        <w:pStyle w:val="Heading1"/>
      </w:pPr>
      <w:r>
        <w:t xml:space="preserve">Article 2. Definitions</w:t>
      </w:r>
    </w:p>
    <w:p>
      <w:pPr>
        <w:pStyle w:val="FirstParagraph"/>
      </w:pPr>
      <w:r>
        <w:t xml:space="preserve">For the purposes of this Compact:</w:t>
      </w:r>
    </w:p>
    <w:p>
      <w:pPr>
        <w:pStyle w:val="BodyText"/>
      </w:pPr>
      <w:r>
        <w:rPr>
          <w:bCs/>
          <w:b/>
        </w:rPr>
        <w:t xml:space="preserve">2.1</w:t>
      </w:r>
      <w:r>
        <w:t xml:space="preserve"> </w:t>
      </w:r>
      <w:r>
        <w:t xml:space="preserve">“</w:t>
      </w:r>
      <w:r>
        <w:t xml:space="preserve">Fairway</w:t>
      </w:r>
      <w:r>
        <w:t xml:space="preserve">”</w:t>
      </w:r>
      <w:r>
        <w:t xml:space="preserve"> </w:t>
      </w:r>
      <w:r>
        <w:t xml:space="preserve">means a transit lane of the Strait of Hormuz that the verification architecture of Annex B certifies as safe for commercial navigation and publishes with coordinates, depth, and residual risk level.</w:t>
      </w:r>
    </w:p>
    <w:p>
      <w:pPr>
        <w:pStyle w:val="BodyText"/>
      </w:pPr>
      <w:r>
        <w:rPr>
          <w:bCs/>
          <w:b/>
        </w:rPr>
        <w:t xml:space="preserve">2.2</w:t>
      </w:r>
      <w:r>
        <w:t xml:space="preserve"> </w:t>
      </w:r>
      <w:r>
        <w:t xml:space="preserve">“</w:t>
      </w:r>
      <w:r>
        <w:t xml:space="preserve">Fairway Alpha</w:t>
      </w:r>
      <w:r>
        <w:t xml:space="preserve">”</w:t>
      </w:r>
      <w:r>
        <w:t xml:space="preserve"> </w:t>
      </w:r>
      <w:r>
        <w:t xml:space="preserve">means the southern certified lane described in Annex A, operating as an open lane without prior notification.</w:t>
      </w:r>
    </w:p>
    <w:p>
      <w:pPr>
        <w:pStyle w:val="BodyText"/>
      </w:pPr>
      <w:r>
        <w:rPr>
          <w:bCs/>
          <w:b/>
        </w:rPr>
        <w:t xml:space="preserve">2.3</w:t>
      </w:r>
      <w:r>
        <w:t xml:space="preserve"> </w:t>
      </w:r>
      <w:r>
        <w:t xml:space="preserve">“</w:t>
      </w:r>
      <w:r>
        <w:t xml:space="preserve">Fairway Bravo</w:t>
      </w:r>
      <w:r>
        <w:t xml:space="preserve">”</w:t>
      </w:r>
      <w:r>
        <w:t xml:space="preserve"> </w:t>
      </w:r>
      <w:r>
        <w:t xml:space="preserve">means the northern certified lane described in Annex A, operating as a notification lane under the notice regime of Annex A.</w:t>
      </w:r>
    </w:p>
    <w:p>
      <w:pPr>
        <w:pStyle w:val="BodyText"/>
      </w:pPr>
      <w:r>
        <w:rPr>
          <w:bCs/>
          <w:b/>
        </w:rPr>
        <w:t xml:space="preserve">2.4</w:t>
      </w:r>
      <w:r>
        <w:t xml:space="preserve"> </w:t>
      </w:r>
      <w:r>
        <w:t xml:space="preserve">“</w:t>
      </w:r>
      <w:r>
        <w:t xml:space="preserve">Commercial Vessel</w:t>
      </w:r>
      <w:r>
        <w:t xml:space="preserve">”</w:t>
      </w:r>
      <w:r>
        <w:t xml:space="preserve"> </w:t>
      </w:r>
      <w:r>
        <w:t xml:space="preserve">means any ship that transports goods or passengers for commercial purposes and flies the flag of a state not party to the present conflict.</w:t>
      </w:r>
    </w:p>
    <w:p>
      <w:pPr>
        <w:pStyle w:val="BodyText"/>
      </w:pPr>
      <w:r>
        <w:rPr>
          <w:bCs/>
          <w:b/>
        </w:rPr>
        <w:t xml:space="preserve">2.5</w:t>
      </w:r>
      <w:r>
        <w:t xml:space="preserve"> </w:t>
      </w:r>
      <w:r>
        <w:t xml:space="preserve">“</w:t>
      </w:r>
      <w:r>
        <w:t xml:space="preserve">Interference</w:t>
      </w:r>
      <w:r>
        <w:t xml:space="preserve">”</w:t>
      </w:r>
      <w:r>
        <w:t xml:space="preserve"> </w:t>
      </w:r>
      <w:r>
        <w:t xml:space="preserve">means any boarding, seizure, detention, diversion, harassment, close approach, targeting-radar illumination, fee demand, or kinetic action against a Commercial Vessel.</w:t>
      </w:r>
    </w:p>
    <w:p>
      <w:pPr>
        <w:pStyle w:val="BodyText"/>
      </w:pPr>
      <w:r>
        <w:rPr>
          <w:bCs/>
          <w:b/>
        </w:rPr>
        <w:t xml:space="preserve">2.6</w:t>
      </w:r>
      <w:r>
        <w:t xml:space="preserve"> </w:t>
      </w:r>
      <w:r>
        <w:t xml:space="preserve">“</w:t>
      </w:r>
      <w:r>
        <w:t xml:space="preserve">Lead-Escort Craft</w:t>
      </w:r>
      <w:r>
        <w:t xml:space="preserve">”</w:t>
      </w:r>
      <w:r>
        <w:t xml:space="preserve"> </w:t>
      </w:r>
      <w:r>
        <w:t xml:space="preserve">means a patrol boat or fast attack craft assigned to the safety-only escort service of Annex C, operating ahead of merchant vessels for hazard detection under strict non-interdiction rules.</w:t>
      </w:r>
    </w:p>
    <w:p>
      <w:pPr>
        <w:pStyle w:val="BodyText"/>
      </w:pPr>
      <w:r>
        <w:rPr>
          <w:bCs/>
          <w:b/>
        </w:rPr>
        <w:t xml:space="preserve">2.7</w:t>
      </w:r>
      <w:r>
        <w:t xml:space="preserve"> </w:t>
      </w:r>
      <w:r>
        <w:t xml:space="preserve">“</w:t>
      </w:r>
      <w:r>
        <w:t xml:space="preserve">MRT-H</w:t>
      </w:r>
      <w:r>
        <w:t xml:space="preserve">”</w:t>
      </w:r>
      <w:r>
        <w:t xml:space="preserve"> </w:t>
      </w:r>
      <w:r>
        <w:t xml:space="preserve">means the Mine Removal Taskforce for the Strait of Hormuz established by Article 8 and chartered in Annex D.</w:t>
      </w:r>
    </w:p>
    <w:p>
      <w:pPr>
        <w:pStyle w:val="BodyText"/>
      </w:pPr>
      <w:r>
        <w:rPr>
          <w:bCs/>
          <w:b/>
        </w:rPr>
        <w:t xml:space="preserve">2.8</w:t>
      </w:r>
      <w:r>
        <w:t xml:space="preserve"> </w:t>
      </w:r>
      <w:r>
        <w:t xml:space="preserve">“</w:t>
      </w:r>
      <w:r>
        <w:t xml:space="preserve">Verification Authority</w:t>
      </w:r>
      <w:r>
        <w:t xml:space="preserve">”</w:t>
      </w:r>
      <w:r>
        <w:t xml:space="preserve"> </w:t>
      </w:r>
      <w:r>
        <w:t xml:space="preserve">means the Sultanate of Oman for maritime and security commitments, and the International Atomic Energy Agency for nuclear commitments.</w:t>
      </w:r>
    </w:p>
    <w:p>
      <w:pPr>
        <w:pStyle w:val="BodyText"/>
      </w:pPr>
      <w:r>
        <w:rPr>
          <w:bCs/>
          <w:b/>
        </w:rPr>
        <w:t xml:space="preserve">2.9</w:t>
      </w:r>
      <w:r>
        <w:t xml:space="preserve"> </w:t>
      </w:r>
      <w:r>
        <w:t xml:space="preserve">“</w:t>
      </w:r>
      <w:r>
        <w:t xml:space="preserve">Convergence Standard</w:t>
      </w:r>
      <w:r>
        <w:t xml:space="preserve">”</w:t>
      </w:r>
      <w:r>
        <w:t xml:space="preserve"> </w:t>
      </w:r>
      <w:r>
        <w:t xml:space="preserve">means the rule that a material finding rests on corroboration by at least two independent verification channels, as specified in Annex B.</w:t>
      </w:r>
    </w:p>
    <w:p>
      <w:pPr>
        <w:pStyle w:val="BodyText"/>
      </w:pPr>
      <w:r>
        <w:rPr>
          <w:bCs/>
          <w:b/>
        </w:rPr>
        <w:t xml:space="preserve">2.10</w:t>
      </w:r>
      <w:r>
        <w:t xml:space="preserve"> </w:t>
      </w:r>
      <w:r>
        <w:t xml:space="preserve">“</w:t>
      </w:r>
      <w:r>
        <w:t xml:space="preserve">Red Line</w:t>
      </w:r>
      <w:r>
        <w:t xml:space="preserve">”</w:t>
      </w:r>
      <w:r>
        <w:t xml:space="preserve"> </w:t>
      </w:r>
      <w:r>
        <w:t xml:space="preserve">means a boundary condition registered in Annex F whose crossing the Compact architecture structurally prevents.</w:t>
      </w:r>
    </w:p>
    <w:p>
      <w:pPr>
        <w:pStyle w:val="BodyText"/>
      </w:pPr>
      <w:r>
        <w:rPr>
          <w:bCs/>
          <w:b/>
        </w:rPr>
        <w:t xml:space="preserve">2.11</w:t>
      </w:r>
      <w:r>
        <w:t xml:space="preserve"> </w:t>
      </w:r>
      <w:r>
        <w:t xml:space="preserve">“</w:t>
      </w:r>
      <w:r>
        <w:t xml:space="preserve">Tier I Member,</w:t>
      </w:r>
      <w:r>
        <w:t xml:space="preserve">”</w:t>
      </w:r>
      <w:r>
        <w:t xml:space="preserve"> </w:t>
      </w:r>
      <w:r>
        <w:t xml:space="preserve">“</w:t>
      </w:r>
      <w:r>
        <w:t xml:space="preserve">Tier II Member,</w:t>
      </w:r>
      <w:r>
        <w:t xml:space="preserve">”</w:t>
      </w:r>
      <w:r>
        <w:t xml:space="preserve"> </w:t>
      </w:r>
      <w:r>
        <w:t xml:space="preserve">“</w:t>
      </w:r>
      <w:r>
        <w:t xml:space="preserve">Tier III Technical Participant,</w:t>
      </w:r>
      <w:r>
        <w:t xml:space="preserve">”</w:t>
      </w:r>
      <w:r>
        <w:t xml:space="preserve"> </w:t>
      </w:r>
      <w:r>
        <w:t xml:space="preserve">and</w:t>
      </w:r>
      <w:r>
        <w:t xml:space="preserve"> </w:t>
      </w:r>
      <w:r>
        <w:t xml:space="preserve">“</w:t>
      </w:r>
      <w:r>
        <w:t xml:space="preserve">Observer Member</w:t>
      </w:r>
      <w:r>
        <w:t xml:space="preserve">”</w:t>
      </w:r>
      <w:r>
        <w:t xml:space="preserve"> </w:t>
      </w:r>
      <w:r>
        <w:t xml:space="preserve">carry the meanings assigned in Article 4 and Annex E.</w:t>
      </w:r>
    </w:p>
    <w:p>
      <w:pPr>
        <w:pStyle w:val="BodyText"/>
      </w:pPr>
      <w:r>
        <w:rPr>
          <w:bCs/>
          <w:b/>
        </w:rPr>
        <w:t xml:space="preserve">2.12</w:t>
      </w:r>
      <w:r>
        <w:t xml:space="preserve"> </w:t>
      </w:r>
      <w:r>
        <w:t xml:space="preserve">“</w:t>
      </w:r>
      <w:r>
        <w:t xml:space="preserve">Day 0</w:t>
      </w:r>
      <w:r>
        <w:t xml:space="preserve">”</w:t>
      </w:r>
      <w:r>
        <w:t xml:space="preserve"> </w:t>
      </w:r>
      <w:r>
        <w:t xml:space="preserve">means 00:00 Gulf Standard Time on the date of signature of this Compact, and every subsequent day reference counts forward from that time.</w:t>
      </w:r>
      <w:r>
        <w:t xml:space="preserve"> </w:t>
      </w:r>
      <w:r>
        <w:t xml:space="preserve">“</w:t>
      </w:r>
      <w:r>
        <w:t xml:space="preserve">Day minus 1</w:t>
      </w:r>
      <w:r>
        <w:t xml:space="preserve">”</w:t>
      </w:r>
      <w:r>
        <w:t xml:space="preserve"> </w:t>
      </w:r>
      <w:r>
        <w:t xml:space="preserve">means the standstill day preceding signature, consistent with the reciprocal pause in military operations in effect from July 25, 2026.</w:t>
      </w:r>
    </w:p>
    <w:p>
      <w:pPr>
        <w:pStyle w:val="BodyText"/>
      </w:pPr>
      <w:r>
        <w:rPr>
          <w:bCs/>
          <w:b/>
        </w:rPr>
        <w:t xml:space="preserve">2.13</w:t>
      </w:r>
      <w:r>
        <w:t xml:space="preserve"> </w:t>
      </w:r>
      <w:r>
        <w:t xml:space="preserve">“</w:t>
      </w:r>
      <w:r>
        <w:t xml:space="preserve">Incident</w:t>
      </w:r>
      <w:r>
        <w:t xml:space="preserve">”</w:t>
      </w:r>
      <w:r>
        <w:t xml:space="preserve"> </w:t>
      </w:r>
      <w:r>
        <w:t xml:space="preserve">means any event that a Party or Member identifies as inconsistent with this Compact.</w:t>
      </w:r>
    </w:p>
    <w:p>
      <w:pPr>
        <w:pStyle w:val="BodyText"/>
      </w:pPr>
      <w:r>
        <w:rPr>
          <w:bCs/>
          <w:b/>
        </w:rPr>
        <w:t xml:space="preserve">2.14</w:t>
      </w:r>
      <w:r>
        <w:t xml:space="preserve"> </w:t>
      </w:r>
      <w:r>
        <w:t xml:space="preserve">“</w:t>
      </w:r>
      <w:r>
        <w:t xml:space="preserve">Zero-Toll Rule</w:t>
      </w:r>
      <w:r>
        <w:t xml:space="preserve">”</w:t>
      </w:r>
      <w:r>
        <w:t xml:space="preserve"> </w:t>
      </w:r>
      <w:r>
        <w:t xml:space="preserve">means the rule of Article 6 under which no charge, fee, toll, due, or payment of any kind attaches to the act of transit through either fairway.</w:t>
      </w:r>
    </w:p>
    <w:p>
      <w:pPr>
        <w:pStyle w:val="BodyText"/>
      </w:pPr>
      <w:r>
        <w:rPr>
          <w:bCs/>
          <w:b/>
        </w:rPr>
        <w:t xml:space="preserve">2.15</w:t>
      </w:r>
      <w:r>
        <w:t xml:space="preserve"> </w:t>
      </w:r>
      <w:r>
        <w:t xml:space="preserve">“</w:t>
      </w:r>
      <w:r>
        <w:t xml:space="preserve">Security Assistance Provider</w:t>
      </w:r>
      <w:r>
        <w:t xml:space="preserve">”</w:t>
      </w:r>
      <w:r>
        <w:t xml:space="preserve"> </w:t>
      </w:r>
      <w:r>
        <w:t xml:space="preserve">means the United States of America, participating in this Compact outside the tier structure under Article 4.8, providing security assistance only upon written request, with no command authority, no vote, no fee role, and no enforcement role.</w:t>
      </w:r>
    </w:p>
    <w:p>
      <w:pPr>
        <w:pStyle w:val="BodyText"/>
      </w:pPr>
      <w:r>
        <w:rPr>
          <w:bCs/>
          <w:b/>
        </w:rPr>
        <w:t xml:space="preserve">2.16</w:t>
      </w:r>
      <w:r>
        <w:t xml:space="preserve"> </w:t>
      </w:r>
      <w:r>
        <w:t xml:space="preserve">Savings clause. The title</w:t>
      </w:r>
      <w:r>
        <w:t xml:space="preserve"> </w:t>
      </w:r>
      <w:r>
        <w:t xml:space="preserve">“</w:t>
      </w:r>
      <w:r>
        <w:t xml:space="preserve">Fairway Compact</w:t>
      </w:r>
      <w:r>
        <w:t xml:space="preserve">”</w:t>
      </w:r>
      <w:r>
        <w:t xml:space="preserve"> </w:t>
      </w:r>
      <w:r>
        <w:t xml:space="preserve">serves administrative and referential purposes only. The title admits no prior instability, fault, or liability by any Party, and no Party invokes the title as evidence of a state of belligerency or armed conflict.</w:t>
      </w:r>
    </w:p>
    <w:bookmarkEnd w:id="25"/>
    <w:bookmarkStart w:id="26" w:name="Xbc3cc927dd1e07f1068099603ddd4b615b3280e"/>
    <w:p>
      <w:pPr>
        <w:pStyle w:val="Heading1"/>
      </w:pPr>
      <w:r>
        <w:t xml:space="preserve">Article 3. Legal Character, Non-Prejudice, and the Red Line Architecture</w:t>
      </w:r>
    </w:p>
    <w:p>
      <w:pPr>
        <w:pStyle w:val="FirstParagraph"/>
      </w:pPr>
      <w:r>
        <w:rPr>
          <w:bCs/>
          <w:b/>
        </w:rPr>
        <w:t xml:space="preserve">3.1</w:t>
      </w:r>
      <w:r>
        <w:t xml:space="preserve"> </w:t>
      </w:r>
      <w:r>
        <w:t xml:space="preserve">Legal status. This Compact is non-prejudicial, non-treaty, and non-recognition. Nothing in this Compact prejudices the legal positions, sovereignty claims, sanctions positions, maritime boundary claims, or future political negotiations of any Party or Member. This Compact is a technical stabilization instrument and does not constitute a treaty under the domestic law of any Party or under international law. Participation in this Compact alters no legal status of any state, government, territorial claim, or jurisdictional assertion.</w:t>
      </w:r>
    </w:p>
    <w:p>
      <w:pPr>
        <w:pStyle w:val="BodyText"/>
      </w:pPr>
      <w:r>
        <w:rPr>
          <w:bCs/>
          <w:b/>
        </w:rPr>
        <w:t xml:space="preserve">3.2</w:t>
      </w:r>
      <w:r>
        <w:t xml:space="preserve"> </w:t>
      </w:r>
      <w:r>
        <w:t xml:space="preserve">Sovereignty preserved. The Compact recognizes the sovereignty and territorial integrity of every participating state. Nothing in this Compact grants any foreign navy, coast guard, or verification body enforcement authority within the territorial sea of a littoral state, and nothing in this Compact limits the sovereign rights of a littoral state beyond the voluntary architecture the state itself adopts.</w:t>
      </w:r>
    </w:p>
    <w:p>
      <w:pPr>
        <w:pStyle w:val="BodyText"/>
      </w:pPr>
      <w:r>
        <w:rPr>
          <w:bCs/>
          <w:b/>
        </w:rPr>
        <w:t xml:space="preserve">3.3</w:t>
      </w:r>
      <w:r>
        <w:t xml:space="preserve"> </w:t>
      </w:r>
      <w:r>
        <w:t xml:space="preserve">Non-interference. The framework architecture excludes interference by any Party or Member in the internal affairs of another. The Compact addresses maritime safety, de-escalation, and verification, and extends to no domestic political matter of any state.</w:t>
      </w:r>
    </w:p>
    <w:p>
      <w:pPr>
        <w:pStyle w:val="BodyText"/>
      </w:pPr>
      <w:r>
        <w:rPr>
          <w:bCs/>
          <w:b/>
        </w:rPr>
        <w:t xml:space="preserve">3.4</w:t>
      </w:r>
      <w:r>
        <w:t xml:space="preserve"> </w:t>
      </w:r>
      <w:r>
        <w:t xml:space="preserve">The Red Line architecture. Annex F registers the Red Lines of both Principal Parties as stated in the negotiations of June and July 2026. The Compact asks neither Principal Party to renounce a Red Line. Instead, the architecture makes each crossing structurally unnecessary and structurally costly. A proposal that crosses a registered line fails at the Fairway Council without a vote: the chair rules the proposal out of order against the Register, and the ruling records in the decision register.</w:t>
      </w:r>
    </w:p>
    <w:p>
      <w:pPr>
        <w:pStyle w:val="BodyText"/>
      </w:pPr>
      <w:r>
        <w:rPr>
          <w:bCs/>
          <w:b/>
        </w:rPr>
        <w:t xml:space="preserve">3.5</w:t>
      </w:r>
      <w:r>
        <w:t xml:space="preserve"> </w:t>
      </w:r>
      <w:r>
        <w:t xml:space="preserve">Red Line Consultation. A Party that perceives a registered Red Line under pressure activates the Red Line Consultation of Annex I before any other response. The consultation convenes within twenty-four (24) hours at the leadership layer through the Pakistani channel. The architecture freezes the implicated mechanism for seventy-two (72) hours while the consultation proceeds, except for the humanitarian absolutes of Article 16, which never freeze.</w:t>
      </w:r>
    </w:p>
    <w:p>
      <w:pPr>
        <w:pStyle w:val="BodyText"/>
      </w:pPr>
      <w:r>
        <w:rPr>
          <w:bCs/>
          <w:b/>
        </w:rPr>
        <w:t xml:space="preserve">3.6</w:t>
      </w:r>
      <w:r>
        <w:t xml:space="preserve"> </w:t>
      </w:r>
      <w:r>
        <w:t xml:space="preserve">Structural respect test. Every annex, certificate, and operational decision under this Compact passes the structural respect test of Annex F: the action leaves every registered Red Line of both Principal Parties intact by design. The symmetry of respect is the Compact’s condition of survival.</w:t>
      </w:r>
    </w:p>
    <w:bookmarkEnd w:id="26"/>
    <w:bookmarkStart w:id="27" w:name="Xe17d4f2030b65ce34ebefbfadf2035057a36b15"/>
    <w:p>
      <w:pPr>
        <w:pStyle w:val="Heading1"/>
      </w:pPr>
      <w:r>
        <w:t xml:space="preserve">Article 4. The Multilateral Membership Architecture</w:t>
      </w:r>
    </w:p>
    <w:p>
      <w:pPr>
        <w:pStyle w:val="FirstParagraph"/>
      </w:pPr>
      <w:r>
        <w:rPr>
          <w:bCs/>
          <w:b/>
        </w:rPr>
        <w:t xml:space="preserve">4.1</w:t>
      </w:r>
      <w:r>
        <w:t xml:space="preserve"> </w:t>
      </w:r>
      <w:r>
        <w:t xml:space="preserve">Four tiers. The Compact organizes participation in four tiers, with rights and obligations specified in Annex E. Tier I comprises the Principal Members: the Islamic Republic of Iran and the Sultanate of Oman, each holding full membership in the Fairway Council. The United States of America participates as Security Assistance Provider under Article 4.8, with the rights and obligations stated therein. Tier II comprises Operational Members: littoral and regional states that accede with operational roles, funding contributions, liaison officers, and voting rights in the operational modules they join. Tier III comprises Technical Participants: the International Maritime Organization, the International Hydrographic Organization, and the International Atomic Energy Agency, each holding standing technical participation without a political vote. Observer Members comprise states and organizations that attend sessions, receive all published data, contribute assets by invitation, and hold no vote.</w:t>
      </w:r>
    </w:p>
    <w:p>
      <w:pPr>
        <w:pStyle w:val="BodyText"/>
      </w:pPr>
      <w:r>
        <w:rPr>
          <w:bCs/>
          <w:b/>
        </w:rPr>
        <w:t xml:space="preserve">4.2</w:t>
      </w:r>
      <w:r>
        <w:t xml:space="preserve"> </w:t>
      </w:r>
      <w:r>
        <w:t xml:space="preserve">Initial composition. At signature, Tier II invitations extend to the United Arab Emirates, the State of Qatar, the Kingdom of Saudi Arabia, the Kingdom of Bahrain, the State of Kuwait, and the Republic of Iraq. Observer invitations extend to the Swiss Confederation, the Islamic Republic of Pakistan, Japan, the Kingdom of Norway, the Kingdom of the Netherlands, the United Kingdom, the French Republic, the Republic of India, and the Republic of Singapore.</w:t>
      </w:r>
    </w:p>
    <w:p>
      <w:pPr>
        <w:pStyle w:val="BodyText"/>
      </w:pPr>
      <w:r>
        <w:rPr>
          <w:bCs/>
          <w:b/>
        </w:rPr>
        <w:t xml:space="preserve">4.3</w:t>
      </w:r>
      <w:r>
        <w:t xml:space="preserve"> </w:t>
      </w:r>
      <w:r>
        <w:t xml:space="preserve">Special designations. The Swiss Confederation serves as Neutral Administrator with the functions of Article 14 and Annex J, and the Islamic Republic of Pakistan serves as the principals-level consultation channel of Annex I. These designations operate independently of tier status and carry no vote beyond the functions stated.</w:t>
      </w:r>
    </w:p>
    <w:p>
      <w:pPr>
        <w:pStyle w:val="BodyText"/>
      </w:pPr>
      <w:r>
        <w:rPr>
          <w:bCs/>
          <w:b/>
        </w:rPr>
        <w:t xml:space="preserve">4.4</w:t>
      </w:r>
      <w:r>
        <w:t xml:space="preserve"> </w:t>
      </w:r>
      <w:r>
        <w:t xml:space="preserve">Graduation. An Observer Member graduates to Tier II through the accession instrument of Annex E at any time, with effect thirty (30) days after deposit. Graduation requires no renegotiation of this Compact and no consent beyond the accession criteria of Annex E.</w:t>
      </w:r>
    </w:p>
    <w:p>
      <w:pPr>
        <w:pStyle w:val="BodyText"/>
      </w:pPr>
      <w:r>
        <w:rPr>
          <w:bCs/>
          <w:b/>
        </w:rPr>
        <w:t xml:space="preserve">4.5</w:t>
      </w:r>
      <w:r>
        <w:t xml:space="preserve"> </w:t>
      </w:r>
      <w:r>
        <w:t xml:space="preserve">Guarantor Panel. The Guarantor Panel provides the final political judgment layer of the Compact. It comprises the Sultanate of Oman, the Swiss Confederation, and the State of Qatar as standing members, plus two rotating members drawn from a list maintained by the Fairway Council, with Japan and Singapore as the initial rotating members for their maritime-technical standing and regional neutrality. The United States of America does not sit on the Guarantor Panel.</w:t>
      </w:r>
    </w:p>
    <w:p>
      <w:pPr>
        <w:pStyle w:val="BodyText"/>
      </w:pPr>
      <w:r>
        <w:rPr>
          <w:bCs/>
          <w:b/>
        </w:rPr>
        <w:t xml:space="preserve">4.6</w:t>
      </w:r>
      <w:r>
        <w:t xml:space="preserve"> </w:t>
      </w:r>
      <w:r>
        <w:t xml:space="preserve">Advisory stakeholders. Protection and indemnity clubs, war-risk insurers, shipping associations, and tanker and liquefied natural gas operators participate in advisory status through the Market Confidence Interface of Annex B. They hold no vote and no operational role, and they receive the same published data as every Member.</w:t>
      </w:r>
    </w:p>
    <w:p>
      <w:pPr>
        <w:pStyle w:val="BodyText"/>
      </w:pPr>
      <w:r>
        <w:rPr>
          <w:bCs/>
          <w:b/>
        </w:rPr>
        <w:t xml:space="preserve">4.7</w:t>
      </w:r>
      <w:r>
        <w:t xml:space="preserve"> </w:t>
      </w:r>
      <w:r>
        <w:t xml:space="preserve">Equality inside tiers. Every Member inside a tier holds equal rights within that tier. No Member holds primacy over another Member of the same tier, and the architecture assigns no victory, ownership, or subordination to any participant.</w:t>
      </w:r>
    </w:p>
    <w:p>
      <w:pPr>
        <w:pStyle w:val="BodyText"/>
      </w:pPr>
      <w:r>
        <w:rPr>
          <w:bCs/>
          <w:b/>
        </w:rPr>
        <w:t xml:space="preserve">4.8</w:t>
      </w:r>
      <w:r>
        <w:t xml:space="preserve"> </w:t>
      </w:r>
      <w:r>
        <w:t xml:space="preserve">Security Assistance Provider. The United States of America participates in this Compact as Security Assistance Provider, outside the tier structure of Annex E.</w:t>
      </w:r>
    </w:p>
    <w:p>
      <w:pPr>
        <w:pStyle w:val="BodyText"/>
      </w:pPr>
      <w:r>
        <w:rPr>
          <w:bCs/>
          <w:b/>
        </w:rPr>
        <w:t xml:space="preserve">(a)</w:t>
      </w:r>
      <w:r>
        <w:t xml:space="preserve"> </w:t>
      </w:r>
      <w:r>
        <w:t xml:space="preserve">Role. The United States provides security assistance to the Compact only upon the written request of: the Fairway Council acting by consensus of Tier I Members; either Principal Party for assistance in its own waters; or the MRT-H Assurance Board for mine countermeasure support.</w:t>
      </w:r>
    </w:p>
    <w:p>
      <w:pPr>
        <w:pStyle w:val="BodyText"/>
      </w:pPr>
      <w:r>
        <w:rPr>
          <w:bCs/>
          <w:b/>
        </w:rPr>
        <w:t xml:space="preserve">(b)</w:t>
      </w:r>
      <w:r>
        <w:t xml:space="preserve"> </w:t>
      </w:r>
      <w:r>
        <w:t xml:space="preserve">Limits. Security assistance is limited to: intelligence sharing on mine hazards and maritime threats; technical support for the Lead-Escort Safety Service; military de-confliction coordination through the hotline; mine countermeasure asset deployment when requested by the MRT-H; and capacity building for the maritime safety services of the Principal Parties.</w:t>
      </w:r>
    </w:p>
    <w:p>
      <w:pPr>
        <w:pStyle w:val="BodyText"/>
      </w:pPr>
      <w:r>
        <w:rPr>
          <w:bCs/>
          <w:b/>
        </w:rPr>
        <w:t xml:space="preserve">(c)</w:t>
      </w:r>
      <w:r>
        <w:t xml:space="preserve"> </w:t>
      </w:r>
      <w:r>
        <w:t xml:space="preserve">No command authority. United States forces and personnel operating under this Compact hold no command authority over any Compact body, Principal Party, or Member. They operate under the operational direction of the requesting body or Principal Party.</w:t>
      </w:r>
    </w:p>
    <w:p>
      <w:pPr>
        <w:pStyle w:val="BodyText"/>
      </w:pPr>
      <w:r>
        <w:rPr>
          <w:bCs/>
          <w:b/>
        </w:rPr>
        <w:t xml:space="preserve">(d)</w:t>
      </w:r>
      <w:r>
        <w:t xml:space="preserve"> </w:t>
      </w:r>
      <w:r>
        <w:t xml:space="preserve">Requested, not automatic. No security assistance flows automatically. Every assistance action proceeds under a specific, written, time-bounded request, and the requesting body or Party withdraws the request at any time.</w:t>
      </w:r>
    </w:p>
    <w:p>
      <w:pPr>
        <w:pStyle w:val="BodyText"/>
      </w:pPr>
      <w:r>
        <w:rPr>
          <w:bCs/>
          <w:b/>
        </w:rPr>
        <w:t xml:space="preserve">(e)</w:t>
      </w:r>
      <w:r>
        <w:t xml:space="preserve"> </w:t>
      </w:r>
      <w:r>
        <w:t xml:space="preserve">No vote. The United States holds no vote in the Fairway Council, the Joint Technical Committee, the MRT-H Assurance Board, or any other Compact body.</w:t>
      </w:r>
    </w:p>
    <w:p>
      <w:pPr>
        <w:pStyle w:val="BodyText"/>
      </w:pPr>
      <w:r>
        <w:rPr>
          <w:bCs/>
          <w:b/>
        </w:rPr>
        <w:t xml:space="preserve">(f)</w:t>
      </w:r>
      <w:r>
        <w:t xml:space="preserve"> </w:t>
      </w:r>
      <w:r>
        <w:t xml:space="preserve">No fee role. The United States holds no governance role in the Transit Services Fund, no role in the escrow architecture, and no role in any revenue question under this Compact. Voluntary contributions under the Observer window of Annex E stand outside this limit and carry no governance rights.</w:t>
      </w:r>
    </w:p>
    <w:p>
      <w:pPr>
        <w:pStyle w:val="BodyText"/>
      </w:pPr>
      <w:r>
        <w:rPr>
          <w:bCs/>
          <w:b/>
        </w:rPr>
        <w:t xml:space="preserve">(g)</w:t>
      </w:r>
      <w:r>
        <w:t xml:space="preserve"> </w:t>
      </w:r>
      <w:r>
        <w:t xml:space="preserve">No enforcement role. United States forces under this Compact exercise no enforcement authority over any vessel, person, or territory in the Governance Area.</w:t>
      </w:r>
    </w:p>
    <w:p>
      <w:pPr>
        <w:pStyle w:val="BodyText"/>
      </w:pPr>
      <w:r>
        <w:rPr>
          <w:bCs/>
          <w:b/>
        </w:rPr>
        <w:t xml:space="preserve">4.9</w:t>
      </w:r>
      <w:r>
        <w:t xml:space="preserve"> </w:t>
      </w:r>
      <w:r>
        <w:t xml:space="preserve">Security Assistance Request Procedure.</w:t>
      </w:r>
    </w:p>
    <w:p>
      <w:pPr>
        <w:pStyle w:val="BodyText"/>
      </w:pPr>
      <w:r>
        <w:rPr>
          <w:bCs/>
          <w:b/>
        </w:rPr>
        <w:t xml:space="preserve">(a)</w:t>
      </w:r>
      <w:r>
        <w:t xml:space="preserve"> </w:t>
      </w:r>
      <w:r>
        <w:t xml:space="preserve">Form. A request for security assistance under Section 4.8 states the assistance requested, the period of the request, the operational parameters, and the requesting authority.</w:t>
      </w:r>
    </w:p>
    <w:p>
      <w:pPr>
        <w:pStyle w:val="BodyText"/>
      </w:pPr>
      <w:r>
        <w:rPr>
          <w:bCs/>
          <w:b/>
        </w:rPr>
        <w:t xml:space="preserve">(b)</w:t>
      </w:r>
      <w:r>
        <w:t xml:space="preserve"> </w:t>
      </w:r>
      <w:r>
        <w:t xml:space="preserve">Review. The requesting body or Party reviews the request with the Neutral Administrator before transmission to the United States.</w:t>
      </w:r>
    </w:p>
    <w:p>
      <w:pPr>
        <w:pStyle w:val="BodyText"/>
      </w:pPr>
      <w:r>
        <w:rPr>
          <w:bCs/>
          <w:b/>
        </w:rPr>
        <w:t xml:space="preserve">(c)</w:t>
      </w:r>
      <w:r>
        <w:t xml:space="preserve"> </w:t>
      </w:r>
      <w:r>
        <w:t xml:space="preserve">Acceptance. The United States accepts or declines the request within seventy-two (72) hours. A partial acceptance operates as an acceptance of the accepted elements only, and the requesting body or Party retains the right to withdraw the request upon partial acceptance.</w:t>
      </w:r>
    </w:p>
    <w:p>
      <w:pPr>
        <w:pStyle w:val="BodyText"/>
      </w:pPr>
      <w:r>
        <w:rPr>
          <w:bCs/>
          <w:b/>
        </w:rPr>
        <w:t xml:space="preserve">(d)</w:t>
      </w:r>
      <w:r>
        <w:t xml:space="preserve"> </w:t>
      </w:r>
      <w:r>
        <w:t xml:space="preserve">Duration. A request runs for the stated period, not exceeding ninety (90) days without renewal. Renewal follows the same procedure.</w:t>
      </w:r>
    </w:p>
    <w:p>
      <w:pPr>
        <w:pStyle w:val="BodyText"/>
      </w:pPr>
      <w:r>
        <w:rPr>
          <w:bCs/>
          <w:b/>
        </w:rPr>
        <w:t xml:space="preserve">(e)</w:t>
      </w:r>
      <w:r>
        <w:t xml:space="preserve"> </w:t>
      </w:r>
      <w:r>
        <w:t xml:space="preserve">Withdrawal. The requesting body or Party withdraws the request at any time by written notice, with immediate effect.</w:t>
      </w:r>
    </w:p>
    <w:p>
      <w:pPr>
        <w:pStyle w:val="BodyText"/>
      </w:pPr>
      <w:r>
        <w:rPr>
          <w:bCs/>
          <w:b/>
        </w:rPr>
        <w:t xml:space="preserve">(f)</w:t>
      </w:r>
      <w:r>
        <w:t xml:space="preserve"> </w:t>
      </w:r>
      <w:r>
        <w:t xml:space="preserve">Record. Every request, acceptance, and withdrawal enters the Shared Digital Registry.</w:t>
      </w:r>
    </w:p>
    <w:bookmarkEnd w:id="27"/>
    <w:bookmarkStart w:id="28" w:name="article-5.-the-fairway-system"/>
    <w:p>
      <w:pPr>
        <w:pStyle w:val="Heading1"/>
      </w:pPr>
      <w:r>
        <w:t xml:space="preserve">Article 5. The Fairway System</w:t>
      </w:r>
    </w:p>
    <w:p>
      <w:pPr>
        <w:pStyle w:val="FirstParagraph"/>
      </w:pPr>
      <w:r>
        <w:rPr>
          <w:bCs/>
          <w:b/>
        </w:rPr>
        <w:t xml:space="preserve">5.1</w:t>
      </w:r>
      <w:r>
        <w:t xml:space="preserve"> </w:t>
      </w:r>
      <w:r>
        <w:t xml:space="preserve">Two certified fairways. The Compact establishes two certified transit fairways through the Strait of Hormuz. Fairway Alpha, the southern lane, operates as an open lane: Commercial Vessels transit without tolls, inspection requirements, or prior notification. Fairway Bravo, the northern lane, operates as a notification lane: a transiting Commercial Vessel provides notice of transit to the Joint Coordination Center no less than six (6) hours in advance. Annex A fixes the geometry, waypoints, separation scheme, holding anchorages, and special zones of both fairways.</w:t>
      </w:r>
    </w:p>
    <w:p>
      <w:pPr>
        <w:pStyle w:val="BodyText"/>
      </w:pPr>
      <w:r>
        <w:rPr>
          <w:bCs/>
          <w:b/>
        </w:rPr>
        <w:t xml:space="preserve">5.2</w:t>
      </w:r>
      <w:r>
        <w:t xml:space="preserve"> </w:t>
      </w:r>
      <w:r>
        <w:t xml:space="preserve">Certification before designation. A lane carries the designation</w:t>
      </w:r>
      <w:r>
        <w:t xml:space="preserve"> </w:t>
      </w:r>
      <w:r>
        <w:t xml:space="preserve">“</w:t>
      </w:r>
      <w:r>
        <w:t xml:space="preserve">Fairway</w:t>
      </w:r>
      <w:r>
        <w:t xml:space="preserve">”</w:t>
      </w:r>
      <w:r>
        <w:t xml:space="preserve"> </w:t>
      </w:r>
      <w:r>
        <w:t xml:space="preserve">only after the verification architecture of Annex B certifies it under the Convergence Standard and the Mine Removal Taskforce of Annex D issues its Safe Route Certification for that lane. Pending certification, the lane operates as a Temporary Transit Route under the traffic rules of Annex A.</w:t>
      </w:r>
    </w:p>
    <w:p>
      <w:pPr>
        <w:pStyle w:val="BodyText"/>
      </w:pPr>
      <w:r>
        <w:rPr>
          <w:bCs/>
          <w:b/>
        </w:rPr>
        <w:t xml:space="preserve">5.3</w:t>
      </w:r>
      <w:r>
        <w:t xml:space="preserve"> </w:t>
      </w:r>
      <w:r>
        <w:t xml:space="preserve">Lane separation and speed. The fairways maintain a separation buffer of five (5) nautical miles and a transit speed limit of fifteen (15) knots. Annex A states the full traffic separation scheme, vessel class parameters, and flow-state definitions for normal, managed, and restricted conditions.</w:t>
      </w:r>
    </w:p>
    <w:p>
      <w:pPr>
        <w:pStyle w:val="BodyText"/>
      </w:pPr>
      <w:r>
        <w:rPr>
          <w:bCs/>
          <w:b/>
        </w:rPr>
        <w:t xml:space="preserve">5.4</w:t>
      </w:r>
      <w:r>
        <w:t xml:space="preserve"> </w:t>
      </w:r>
      <w:r>
        <w:t xml:space="preserve">Transit transparency. The master of every transiting Commercial Vessel maintains continuous automatic identification system transmission, monitors the designated maritime distress and calling channel, and follows the lane geometry of Annex A. Deviation from a designated lane without distress justification opens a technical inquiry under Annex B, never an interdiction.</w:t>
      </w:r>
    </w:p>
    <w:p>
      <w:pPr>
        <w:pStyle w:val="BodyText"/>
      </w:pPr>
      <w:r>
        <w:rPr>
          <w:bCs/>
          <w:b/>
        </w:rPr>
        <w:t xml:space="preserve">5.5</w:t>
      </w:r>
      <w:r>
        <w:t xml:space="preserve"> </w:t>
      </w:r>
      <w:r>
        <w:t xml:space="preserve">Humanitarian fast lane. Humanitarian-flagged vessels carrying medicines, food, medical equipment, or relief cargo receive fast-track clearance within twenty-four (24) hours at zero cost in both fairways. The humanitarian transit tier operates under every compliance classification and every exit scenario, without exception.</w:t>
      </w:r>
    </w:p>
    <w:p>
      <w:pPr>
        <w:pStyle w:val="BodyText"/>
      </w:pPr>
      <w:r>
        <w:rPr>
          <w:bCs/>
          <w:b/>
        </w:rPr>
        <w:t xml:space="preserve">5.6</w:t>
      </w:r>
      <w:r>
        <w:t xml:space="preserve"> </w:t>
      </w:r>
      <w:r>
        <w:t xml:space="preserve">Flow states and rerouting. The Joint Coordination Center declares flow states of normal, managed, or restricted against the objective criteria of Annex A, and publishes every declaration simultaneously to all Members, flag states, and the insurance market. A temporary rerouting follows the pre-surveyed alternate routes of Annex A and reverses within seventy-two (72) hours unless the Convergence Standard certifies a continuing hazard.</w:t>
      </w:r>
    </w:p>
    <w:bookmarkEnd w:id="28"/>
    <w:bookmarkStart w:id="29" w:name="X75647432173b7cd3b088dd78593490dbb97da71"/>
    <w:p>
      <w:pPr>
        <w:pStyle w:val="Heading1"/>
      </w:pPr>
      <w:r>
        <w:t xml:space="preserve">Article 6. Non-Interdiction and the Zero-Toll Guarantee</w:t>
      </w:r>
    </w:p>
    <w:p>
      <w:pPr>
        <w:pStyle w:val="FirstParagraph"/>
      </w:pPr>
      <w:r>
        <w:rPr>
          <w:bCs/>
          <w:b/>
        </w:rPr>
        <w:t xml:space="preserve">6.1</w:t>
      </w:r>
      <w:r>
        <w:t xml:space="preserve"> </w:t>
      </w:r>
      <w:r>
        <w:t xml:space="preserve">Absolute non-interdiction. Commercial transit operates under an absolute non-interdiction protocol within the framework architecture. The protocol excludes boarding, seizure, detention, diversion, harassment, close approach, targeting-radar illumination, fee collection, and route compulsion in both fairways for the duration of this Compact.</w:t>
      </w:r>
    </w:p>
    <w:p>
      <w:pPr>
        <w:pStyle w:val="BodyText"/>
      </w:pPr>
      <w:r>
        <w:rPr>
          <w:bCs/>
          <w:b/>
        </w:rPr>
        <w:t xml:space="preserve">6.2</w:t>
      </w:r>
      <w:r>
        <w:t xml:space="preserve"> </w:t>
      </w:r>
      <w:r>
        <w:t xml:space="preserve">The Zero-Toll Rule. No charge, fee, toll, due, or payment of any kind attaches to the act of transit through either fairway, under any name, in any amount, through any mechanism, including contractual subversion. Maritime services, including channel maintenance, navigation aids, pilotage, escort safety services, and environmental response, invoice at pre-approved unit rates benchmarked to regional markets and route through the Transit Services Fund of Annex J. The framework architecture attaches no revenue share to passage itself.</w:t>
      </w:r>
    </w:p>
    <w:p>
      <w:pPr>
        <w:pStyle w:val="BodyText"/>
      </w:pPr>
      <w:r>
        <w:rPr>
          <w:bCs/>
          <w:b/>
        </w:rPr>
        <w:t xml:space="preserve">6.3</w:t>
      </w:r>
      <w:r>
        <w:t xml:space="preserve"> </w:t>
      </w:r>
      <w:r>
        <w:t xml:space="preserve">Naval mines excluded. The framework architecture excludes naval mines from both fairways, their approaches, and the entire Governance Area. Detection of a naval mine or mine-like contact automatically triggers the hazard sequence of Article 8, an emergency session of the Joint Technical Committee, and notification of the United Nations Secretary-General.</w:t>
      </w:r>
    </w:p>
    <w:p>
      <w:pPr>
        <w:pStyle w:val="BodyText"/>
      </w:pPr>
      <w:r>
        <w:rPr>
          <w:bCs/>
          <w:b/>
        </w:rPr>
        <w:t xml:space="preserve">6.4</w:t>
      </w:r>
      <w:r>
        <w:t xml:space="preserve"> </w:t>
      </w:r>
      <w:r>
        <w:t xml:space="preserve">No blockade architecture. The framework architecture excludes any measure amounting to blockade or quarantine of commercial traffic in the Governance Area. The reciprocal military pauses of Article 7 operate in place of coercive maritime measures, and the compliance engine of Article 11 supplies the exclusive remedy channel.</w:t>
      </w:r>
    </w:p>
    <w:p>
      <w:pPr>
        <w:pStyle w:val="BodyText"/>
      </w:pPr>
      <w:r>
        <w:rPr>
          <w:bCs/>
          <w:b/>
        </w:rPr>
        <w:t xml:space="preserve">6.5</w:t>
      </w:r>
      <w:r>
        <w:t xml:space="preserve"> </w:t>
      </w:r>
      <w:r>
        <w:t xml:space="preserve">Warship transit. Naval and state vessels transit under the movement-notice regime of Annex A: ninety-six (96) hours advance notice through the military channel, self-escorted passage through Fairway Alpha only, observation from beyond twenty (20) nautical miles, and exclusion of interception and simulated attack profiles.</w:t>
      </w:r>
    </w:p>
    <w:bookmarkEnd w:id="29"/>
    <w:bookmarkStart w:id="30" w:name="Xad84c314f35a7841519bd7b3f7f8eb693e42bfa"/>
    <w:p>
      <w:pPr>
        <w:pStyle w:val="Heading1"/>
      </w:pPr>
      <w:r>
        <w:t xml:space="preserve">Article 7. The Paired Stabilization Measures</w:t>
      </w:r>
    </w:p>
    <w:p>
      <w:pPr>
        <w:pStyle w:val="FirstParagraph"/>
      </w:pPr>
      <w:r>
        <w:rPr>
          <w:bCs/>
          <w:b/>
        </w:rPr>
        <w:t xml:space="preserve">7.1</w:t>
      </w:r>
      <w:r>
        <w:t xml:space="preserve"> </w:t>
      </w:r>
      <w:r>
        <w:t xml:space="preserve">Codification of the standing pause. The reciprocal pause in military operations between the Islamic Republic of Iran and the United States of America, in effect from July 25, 2026, converts into a standing stabilization commitment at Day 0, operating on the authority of the June Memorandum and recognized and supported by this Compact. The Islamic Republic of Iran implements a complete pause on all Interference with Commercial Vessels transiting the Strait of Hormuz and its approaches. The United States of America maintains a complete pause on all airstrikes and maritime interdiction strikes within the sovereign territory and territorial sea of Iran. Neither measure precedes the other, and each sustains only in reciprocity with the other.</w:t>
      </w:r>
    </w:p>
    <w:p>
      <w:pPr>
        <w:pStyle w:val="BodyText"/>
      </w:pPr>
      <w:r>
        <w:rPr>
          <w:bCs/>
          <w:b/>
        </w:rPr>
        <w:t xml:space="preserve">7.2</w:t>
      </w:r>
      <w:r>
        <w:t xml:space="preserve"> </w:t>
      </w:r>
      <w:r>
        <w:t xml:space="preserve">Blockade stand-down. The framework architecture phases out the maritime blockade measures in effect at signature on the schedule of Annex G: interception of Commercial Vessels ceases at Day 0; routing of Commercial Vessels ceases at Day 3; the residual enforcement posture dissolves at Day 7 upon the first corridor certification of Annex B. In parallel, the permit and routing requirements applied to Commercial Vessels by the Iranian side dissolve on the same schedule, replaced by the notification regime of Fairway Bravo and the open regime of Fairway Alpha. The United States supports this stand-down under the June Memorandum pause and, upon request of the Fairway Council under Article 4.8, provides security assistance for the dissolution in a supporting role only.</w:t>
      </w:r>
    </w:p>
    <w:p>
      <w:pPr>
        <w:pStyle w:val="BodyText"/>
      </w:pPr>
      <w:r>
        <w:rPr>
          <w:bCs/>
          <w:b/>
        </w:rPr>
        <w:t xml:space="preserve">7.3</w:t>
      </w:r>
      <w:r>
        <w:t xml:space="preserve"> </w:t>
      </w:r>
      <w:r>
        <w:t xml:space="preserve">Posture freeze. The framework architecture freezes the forward military posture of the Iranian and United States forces in the Gulf theater at the Day 0 baseline for the first twenty-one (21) days. During this window, the architecture excludes the introduction of additional strike aircraft, missile systems, or naval combatants into the Gulf theater. Rotational replacements on a one-for-one basis proceed under seventy-two (72) hours advance notice to the Verification Authority.</w:t>
      </w:r>
    </w:p>
    <w:p>
      <w:pPr>
        <w:pStyle w:val="BodyText"/>
      </w:pPr>
      <w:r>
        <w:rPr>
          <w:bCs/>
          <w:b/>
        </w:rPr>
        <w:t xml:space="preserve">7.4</w:t>
      </w:r>
      <w:r>
        <w:t xml:space="preserve"> </w:t>
      </w:r>
      <w:r>
        <w:t xml:space="preserve">Implementing orders. The Islamic Republic of Iran and the United States of America each transmit implementing orders for the measures of this Article to the Verification Authority within six (6) hours of Day 0. The Verification Authority posts both orders to the Shared Digital Registry of Annex B, where all Members read the same record.</w:t>
      </w:r>
    </w:p>
    <w:p>
      <w:pPr>
        <w:pStyle w:val="BodyText"/>
      </w:pPr>
      <w:r>
        <w:rPr>
          <w:bCs/>
          <w:b/>
        </w:rPr>
        <w:t xml:space="preserve">7.5</w:t>
      </w:r>
      <w:r>
        <w:t xml:space="preserve"> </w:t>
      </w:r>
      <w:r>
        <w:t xml:space="preserve">Early reversibility. The measures of this Article carry full reversibility within twenty-four (24) hours during the first forty-eight (48) hours. Each subsequent day of verified performance banks permanently under the no-fade continuity rule of Article 16.</w:t>
      </w:r>
    </w:p>
    <w:bookmarkEnd w:id="30"/>
    <w:bookmarkStart w:id="31" w:name="article-8.-mine-hazard-response"/>
    <w:p>
      <w:pPr>
        <w:pStyle w:val="Heading1"/>
      </w:pPr>
      <w:r>
        <w:t xml:space="preserve">Article 8. Mine Hazard Response</w:t>
      </w:r>
    </w:p>
    <w:p>
      <w:pPr>
        <w:pStyle w:val="FirstParagraph"/>
      </w:pPr>
      <w:r>
        <w:rPr>
          <w:bCs/>
          <w:b/>
        </w:rPr>
        <w:t xml:space="preserve">8.1</w:t>
      </w:r>
      <w:r>
        <w:t xml:space="preserve"> </w:t>
      </w:r>
      <w:r>
        <w:t xml:space="preserve">Automatic activation. The Mine Removal Taskforce for the Strait of Hormuz (MRT-H), chartered in Annex D, activates at Day 0 and operates continuously until the Neutral Keel Office verifies full clearance of all designated lanes. The mine strike of July 26, 2026, against a commercial tanker constitutes a declared hazard event under this Article, and the MRT-H activates its survey sequence against that event without further decision.</w:t>
      </w:r>
    </w:p>
    <w:p>
      <w:pPr>
        <w:pStyle w:val="BodyText"/>
      </w:pPr>
      <w:r>
        <w:rPr>
          <w:bCs/>
          <w:b/>
        </w:rPr>
        <w:t xml:space="preserve">8.2</w:t>
      </w:r>
      <w:r>
        <w:t xml:space="preserve"> </w:t>
      </w:r>
      <w:r>
        <w:t xml:space="preserve">Hazard declaration. At Day 0 the Meridian Operations Center issues a Notice to Mariners declaring the Governance Area a Mine Hazard Area under survey. Transit restricts to the Temporary Transit Routes of Annex A until the first Safe Route Certifications issue.</w:t>
      </w:r>
    </w:p>
    <w:p>
      <w:pPr>
        <w:pStyle w:val="BodyText"/>
      </w:pPr>
      <w:r>
        <w:rPr>
          <w:bCs/>
          <w:b/>
        </w:rPr>
        <w:t xml:space="preserve">8.3</w:t>
      </w:r>
      <w:r>
        <w:t xml:space="preserve"> </w:t>
      </w:r>
      <w:r>
        <w:t xml:space="preserve">Civilian lead, military support. The MRT-H operates as a civilian-led, multilateral, neutral, and non-kinetic architecture. Naval and coast guard units of participating states act only in defined mine countermeasure roles under civilian operational direction. The framework architecture excludes any kinetic mission, any offensive posture, and any repurposing of mine countermeasure assets for combat operations.</w:t>
      </w:r>
    </w:p>
    <w:p>
      <w:pPr>
        <w:pStyle w:val="BodyText"/>
      </w:pPr>
      <w:r>
        <w:rPr>
          <w:bCs/>
          <w:b/>
        </w:rPr>
        <w:t xml:space="preserve">8.4</w:t>
      </w:r>
      <w:r>
        <w:t xml:space="preserve"> </w:t>
      </w:r>
      <w:r>
        <w:t xml:space="preserve">Hazard transparency. Iran declares known hazard locations within seventy-two (72) hours of Day 0, and every participating state contributes hydrographic data for its territorial waters on the same schedule. All mine-related Bulletins publish to all Members, flag states, and user states simultaneously.</w:t>
      </w:r>
    </w:p>
    <w:p>
      <w:pPr>
        <w:pStyle w:val="BodyText"/>
      </w:pPr>
      <w:r>
        <w:rPr>
          <w:bCs/>
          <w:b/>
        </w:rPr>
        <w:t xml:space="preserve">8.5</w:t>
      </w:r>
      <w:r>
        <w:t xml:space="preserve"> </w:t>
      </w:r>
      <w:r>
        <w:t xml:space="preserve">Certification and publication. Cleared lanes earn certification route by route under the Convergence Standard, with International Maritime Organization and International Hydrographic Organization observers certifying technical compliance. The Meridian Operations Center publishes Safe Route Certifications with coordinates, depth, and residual risk level, and issues a Maritime Safety Information broadcast for each certified zone.</w:t>
      </w:r>
    </w:p>
    <w:p>
      <w:pPr>
        <w:pStyle w:val="BodyText"/>
      </w:pPr>
      <w:r>
        <w:rPr>
          <w:bCs/>
          <w:b/>
        </w:rPr>
        <w:t xml:space="preserve">8.6</w:t>
      </w:r>
      <w:r>
        <w:t xml:space="preserve"> </w:t>
      </w:r>
      <w:r>
        <w:t xml:space="preserve">Insurance normalization. The Verification Authority transmits every certification and clearance report to the commercial shipping insurance market, including the Lloyd’s market, so that war-risk premiums normalize on evidence. The Verification Authority tracks premium movements as a public confidence indicator and publishes them weekly.</w:t>
      </w:r>
    </w:p>
    <w:bookmarkEnd w:id="31"/>
    <w:bookmarkStart w:id="32" w:name="X8957da5529b4874351fe0d0a035c23ba8b386d7"/>
    <w:p>
      <w:pPr>
        <w:pStyle w:val="Heading1"/>
      </w:pPr>
      <w:r>
        <w:t xml:space="preserve">Article 9. The Lead-Escort Safety Service</w:t>
      </w:r>
    </w:p>
    <w:p>
      <w:pPr>
        <w:pStyle w:val="FirstParagraph"/>
      </w:pPr>
      <w:r>
        <w:rPr>
          <w:bCs/>
          <w:b/>
        </w:rPr>
        <w:t xml:space="preserve">9.1</w:t>
      </w:r>
      <w:r>
        <w:t xml:space="preserve"> </w:t>
      </w:r>
      <w:r>
        <w:t xml:space="preserve">Establishment. The Compact establishes the Lead-Escort Safety Service under the full operating protocol of Annex C. The service assigns patrol boats and fast attack craft of Iran and Oman to safety-only escort duty ahead of merchant vessels transiting the fairways, converting the highest-risk encounter vector in the Strait into a visible, symmetrical, insurance-friendly safety presence.</w:t>
      </w:r>
    </w:p>
    <w:p>
      <w:pPr>
        <w:pStyle w:val="BodyText"/>
      </w:pPr>
      <w:r>
        <w:rPr>
          <w:bCs/>
          <w:b/>
        </w:rPr>
        <w:t xml:space="preserve">9.2</w:t>
      </w:r>
      <w:r>
        <w:t xml:space="preserve"> </w:t>
      </w:r>
      <w:r>
        <w:t xml:space="preserve">Safety-only mandate. Lead-Escort Craft operate ahead of merchant vessels for hazard detection and forward scanning. The framework architecture excludes stopping, boarding, redirecting, inspecting, interrogating, or hailing any merchant vessel by any Lead-Escort Craft. Their only authority is hazard reporting to the Joint Coordination Center.</w:t>
      </w:r>
    </w:p>
    <w:p>
      <w:pPr>
        <w:pStyle w:val="BodyText"/>
      </w:pPr>
      <w:r>
        <w:rPr>
          <w:bCs/>
          <w:b/>
        </w:rPr>
        <w:t xml:space="preserve">9.3</w:t>
      </w:r>
      <w:r>
        <w:t xml:space="preserve"> </w:t>
      </w:r>
      <w:r>
        <w:t xml:space="preserve">Behavioral norms. Annex C states the binding behavioral norms: minimum standoff distances, visible identification, parallel-not-intercept approach geometry, automatic hotline notification triggers, prohibition of multi-vessel close approaches, and pre-declared drone corridors for any unmanned systems accompanying escort craft.</w:t>
      </w:r>
    </w:p>
    <w:p>
      <w:pPr>
        <w:pStyle w:val="BodyText"/>
      </w:pPr>
      <w:r>
        <w:rPr>
          <w:bCs/>
          <w:b/>
        </w:rPr>
        <w:t xml:space="preserve">9.4</w:t>
      </w:r>
      <w:r>
        <w:t xml:space="preserve"> </w:t>
      </w:r>
      <w:r>
        <w:t xml:space="preserve">Hybrid phase-in. The service activates in two stages under Annex G. Stage One, from Day 3, applies the behavioral norms of Annex C to all patrol boat and fast attack craft operations in the Governance Area. Stage Two, from Day 14, activates the full lead-escort operating protocol with Joint Coordination Center tasking, corridor assignment, and handover geometry.</w:t>
      </w:r>
    </w:p>
    <w:p>
      <w:pPr>
        <w:pStyle w:val="BodyText"/>
      </w:pPr>
      <w:r>
        <w:rPr>
          <w:bCs/>
          <w:b/>
        </w:rPr>
        <w:t xml:space="preserve">9.5</w:t>
      </w:r>
      <w:r>
        <w:t xml:space="preserve"> </w:t>
      </w:r>
      <w:r>
        <w:t xml:space="preserve">Symmetry and sovereignty optics. The service operates with Iranian and Omani craft on published rotation, with handover at pre-agreed coordinates at the corridor transition point. Both littoral states display active maritime safety roles without triggering sovereignty disputes or enforcement concerns.</w:t>
      </w:r>
    </w:p>
    <w:p>
      <w:pPr>
        <w:pStyle w:val="BodyText"/>
      </w:pPr>
      <w:r>
        <w:rPr>
          <w:bCs/>
          <w:b/>
        </w:rPr>
        <w:t xml:space="preserve">9.6</w:t>
      </w:r>
      <w:r>
        <w:t xml:space="preserve"> </w:t>
      </w:r>
      <w:r>
        <w:t xml:space="preserve">Non-political framing. The service is a safety mechanism, not an enforcement mechanism. Nothing in this Article or Annex C characterizes any state’s forces as a threat actor, grants foreign navies authority over littoral craft, or limits the sovereignty of any littoral state.</w:t>
      </w:r>
    </w:p>
    <w:bookmarkEnd w:id="32"/>
    <w:bookmarkStart w:id="33" w:name="X016271671cf88f8eb25195e71557be32b17e8b3"/>
    <w:p>
      <w:pPr>
        <w:pStyle w:val="Heading1"/>
      </w:pPr>
      <w:r>
        <w:t xml:space="preserve">Article 10. Verification and the Convergence Standard</w:t>
      </w:r>
    </w:p>
    <w:p>
      <w:pPr>
        <w:pStyle w:val="FirstParagraph"/>
      </w:pPr>
      <w:r>
        <w:rPr>
          <w:bCs/>
          <w:b/>
        </w:rPr>
        <w:t xml:space="preserve">10.1</w:t>
      </w:r>
      <w:r>
        <w:t xml:space="preserve"> </w:t>
      </w:r>
      <w:r>
        <w:t xml:space="preserve">Verification bodies. Verification under this Compact operates through the bodies specified in Annex B: the Omani Maritime Cell, the Omani Security Cell, the International Atomic Energy Agency Technical Cell, the Neutral Keel Office, and the Shared Digital Registry. Each body holds one domain, reports to all Members simultaneously, and publishes to the same screen. No private data channel exists.</w:t>
      </w:r>
    </w:p>
    <w:p>
      <w:pPr>
        <w:pStyle w:val="BodyText"/>
      </w:pPr>
      <w:r>
        <w:rPr>
          <w:bCs/>
          <w:b/>
        </w:rPr>
        <w:t xml:space="preserve">10.2</w:t>
      </w:r>
      <w:r>
        <w:t xml:space="preserve"> </w:t>
      </w:r>
      <w:r>
        <w:t xml:space="preserve">The Convergence Standard. A material finding under this Compact rests on convergent evidence from at least two independent channels from the register of Annex B. No single channel triggers or blocks a compliance determination on its own.</w:t>
      </w:r>
    </w:p>
    <w:p>
      <w:pPr>
        <w:pStyle w:val="BodyText"/>
      </w:pPr>
      <w:r>
        <w:rPr>
          <w:bCs/>
          <w:b/>
        </w:rPr>
        <w:t xml:space="preserve">10.3</w:t>
      </w:r>
      <w:r>
        <w:t xml:space="preserve"> </w:t>
      </w:r>
      <w:r>
        <w:t xml:space="preserve">Certification tiers. Compliance certification follows the three-tier standard of Annex B. Tier 1, full compliance, attaches to seven (7) consecutive days of met obligations and issues a certificate that banks permanently. Tier 2, minor deviation, attaches to a single incident resolved within twenty-four (24) hours and carries no penalty. Tier 3, material breach, attaches only to sustained non-performance of a core obligation for fourteen (14) days after written notice, confirmed by the Convergence Standard, and activates the ladder of Article 12.</w:t>
      </w:r>
    </w:p>
    <w:p>
      <w:pPr>
        <w:pStyle w:val="BodyText"/>
      </w:pPr>
      <w:r>
        <w:rPr>
          <w:bCs/>
          <w:b/>
        </w:rPr>
        <w:t xml:space="preserve">10.4</w:t>
      </w:r>
      <w:r>
        <w:t xml:space="preserve"> </w:t>
      </w:r>
      <w:r>
        <w:t xml:space="preserve">Daily public reporting. The Verification Authority issues a daily public compliance report recording transit counts, lane status, Incidents, and response times. The report replaces accusation with data and transmits simultaneously to all Members, flag states, and the insurance market.</w:t>
      </w:r>
    </w:p>
    <w:p>
      <w:pPr>
        <w:pStyle w:val="BodyText"/>
      </w:pPr>
      <w:r>
        <w:rPr>
          <w:bCs/>
          <w:b/>
        </w:rPr>
        <w:t xml:space="preserve">10.5</w:t>
      </w:r>
      <w:r>
        <w:t xml:space="preserve"> </w:t>
      </w:r>
      <w:r>
        <w:t xml:space="preserve">Human in every loop. No automated system issues a penalty. Every automated flag passes through human review within twenty-four (24) hours, and every Tier 3 determination passes through the dispute-resolution ladder before any consequence activates. An annual independent audit confirms that human judgment sits between every sensor and every consequence.</w:t>
      </w:r>
    </w:p>
    <w:bookmarkEnd w:id="33"/>
    <w:bookmarkStart w:id="34" w:name="X8092c6ec6e77b758535e5f77c98280eb5ebab57"/>
    <w:p>
      <w:pPr>
        <w:pStyle w:val="Heading1"/>
      </w:pPr>
      <w:r>
        <w:t xml:space="preserve">Article 11. The Compliance and Restoration Engine</w:t>
      </w:r>
    </w:p>
    <w:p>
      <w:pPr>
        <w:pStyle w:val="FirstParagraph"/>
      </w:pPr>
      <w:r>
        <w:rPr>
          <w:bCs/>
          <w:b/>
        </w:rPr>
        <w:t xml:space="preserve">11.1</w:t>
      </w:r>
      <w:r>
        <w:t xml:space="preserve"> </w:t>
      </w:r>
      <w:r>
        <w:t xml:space="preserve">No snapback. The Compact replaces snapback with the graduated, reversible, proportionate compliance engine of Annex K. The framework architecture does not collapse upon breach; it breathes. Discretionary benefits pause first. Core constraints survive longest. Humanitarian protections remain absolute. Sustained compliance restores full benefits. No violation creates permanent exclusion.</w:t>
      </w:r>
    </w:p>
    <w:p>
      <w:pPr>
        <w:pStyle w:val="BodyText"/>
      </w:pPr>
      <w:r>
        <w:rPr>
          <w:bCs/>
          <w:b/>
        </w:rPr>
        <w:t xml:space="preserve">11.2</w:t>
      </w:r>
      <w:r>
        <w:t xml:space="preserve"> </w:t>
      </w:r>
      <w:r>
        <w:t xml:space="preserve">Classification. Every compliance event sorts into one of three tiers under Annex K by severity, intent, and material impact. The classification, not the allegation, governs the response. Tier 1 events resolve through technical channels with no benefit reduction. Tier 2 events produce graduated reductions in non-humanitarian benefits. Tier 3 events produce elevated graduated responses with executive consultation mandatory before any penalty.</w:t>
      </w:r>
    </w:p>
    <w:p>
      <w:pPr>
        <w:pStyle w:val="BodyText"/>
      </w:pPr>
      <w:r>
        <w:rPr>
          <w:bCs/>
          <w:b/>
        </w:rPr>
        <w:t xml:space="preserve">11.3</w:t>
      </w:r>
      <w:r>
        <w:t xml:space="preserve"> </w:t>
      </w:r>
      <w:r>
        <w:t xml:space="preserve">Earn-back. Every step-back penalty carries an automatic, defined earn-back route under Annex K. Earn-back requires no admission of guilt, no payment of penalties, no political concessions, and no renegotiation of the underlying commitment. Verified compliance restores full benefits automatically upon clean certification.</w:t>
      </w:r>
    </w:p>
    <w:p>
      <w:pPr>
        <w:pStyle w:val="BodyText"/>
      </w:pPr>
      <w:r>
        <w:rPr>
          <w:bCs/>
          <w:b/>
        </w:rPr>
        <w:t xml:space="preserve">11.4</w:t>
      </w:r>
      <w:r>
        <w:t xml:space="preserve"> </w:t>
      </w:r>
      <w:r>
        <w:t xml:space="preserve">Modular firewalls. Step-back reductions apply only within the module where the violation occurred. Cross-module spillover requires certification under the Consensus Minus One rule of Annex K. The partial success doctrine binds interpretation: no single unresolved module invalidates the remainder of the Compact.</w:t>
      </w:r>
    </w:p>
    <w:p>
      <w:pPr>
        <w:pStyle w:val="BodyText"/>
      </w:pPr>
      <w:r>
        <w:rPr>
          <w:bCs/>
          <w:b/>
        </w:rPr>
        <w:t xml:space="preserve">11.5</w:t>
      </w:r>
      <w:r>
        <w:t xml:space="preserve"> </w:t>
      </w:r>
      <w:r>
        <w:t xml:space="preserve">Military decoupling. Under no circumstances does a compliance dispute, a tier classification, a step-back penalty, or a suspension under this Compact authorize, trigger, or justify the use of military force by any Party, Member, or the Security Assistance Provider. Military action requires a separate, explicit decision by the respective head of government under constitutional procedures. This separation is absolute and non-waivable.</w:t>
      </w:r>
    </w:p>
    <w:bookmarkEnd w:id="34"/>
    <w:bookmarkStart w:id="35" w:name="Xf3040beabc49d502d79725828b33d34d43b5df5"/>
    <w:p>
      <w:pPr>
        <w:pStyle w:val="Heading1"/>
      </w:pPr>
      <w:r>
        <w:t xml:space="preserve">Article 12. Dispute Resolution, Hotline, and Red Line Consultation</w:t>
      </w:r>
    </w:p>
    <w:p>
      <w:pPr>
        <w:pStyle w:val="FirstParagraph"/>
      </w:pPr>
      <w:r>
        <w:rPr>
          <w:bCs/>
          <w:b/>
        </w:rPr>
        <w:t xml:space="preserve">12.1</w:t>
      </w:r>
      <w:r>
        <w:t xml:space="preserve"> </w:t>
      </w:r>
      <w:r>
        <w:t xml:space="preserve">Hotline. The Compact operates the dedicated communication hotline of Annex I under the management of the Verification Authority, continuously, twenty-four hours a day, every day of the year. Each Party answers a hotline inquiry within two (2) hours.</w:t>
      </w:r>
    </w:p>
    <w:p>
      <w:pPr>
        <w:pStyle w:val="BodyText"/>
      </w:pPr>
      <w:r>
        <w:rPr>
          <w:bCs/>
          <w:b/>
        </w:rPr>
        <w:t xml:space="preserve">12.2</w:t>
      </w:r>
      <w:r>
        <w:t xml:space="preserve"> </w:t>
      </w:r>
      <w:r>
        <w:t xml:space="preserve">Joint Technical Committee. The Principal Parties and the Verification Authority maintain a Joint Technical Committee with equal representation from each Principal Party and a chair from the Verification Authority. The Committee convenes within seventy-two (72) hours of any reported Incident and issues technical clarifications of fact. The United States, upon request of the Joint Technical Committee, provides technical assistance to the Committee, and holds no vote and no decision authority.</w:t>
      </w:r>
    </w:p>
    <w:p>
      <w:pPr>
        <w:pStyle w:val="BodyText"/>
      </w:pPr>
      <w:r>
        <w:rPr>
          <w:bCs/>
          <w:b/>
        </w:rPr>
        <w:t xml:space="preserve">12.3</w:t>
      </w:r>
      <w:r>
        <w:t xml:space="preserve"> </w:t>
      </w:r>
      <w:r>
        <w:t xml:space="preserve">The escalation ladder. Every dispute proceeds through the five-level ladder of Annex I in sequence: hotline clarification within twenty-four (24) hours; Joint Technical Committee review within forty-eight (48) hours; formal Omani mediation within seventy-two (72) hours; principals-level consultation through the Pakistani channel within seventy-two (72) hours; and a United Nations Security Council session only upon a certified material-breach deadlock. Each rung completes within its window before the next rung activates.</w:t>
      </w:r>
    </w:p>
    <w:p>
      <w:pPr>
        <w:pStyle w:val="BodyText"/>
      </w:pPr>
      <w:r>
        <w:rPr>
          <w:bCs/>
          <w:b/>
        </w:rPr>
        <w:t xml:space="preserve">12.4</w:t>
      </w:r>
      <w:r>
        <w:t xml:space="preserve"> </w:t>
      </w:r>
      <w:r>
        <w:t xml:space="preserve">No kinetic rung. The framework architecture excludes unilateral kinetic enforcement at every rung of the ladder. Compliance restoration proceeds exclusively through the ladder of Section 12.3.</w:t>
      </w:r>
    </w:p>
    <w:p>
      <w:pPr>
        <w:pStyle w:val="BodyText"/>
      </w:pPr>
      <w:r>
        <w:rPr>
          <w:bCs/>
          <w:b/>
        </w:rPr>
        <w:t xml:space="preserve">12.5</w:t>
      </w:r>
      <w:r>
        <w:t xml:space="preserve"> </w:t>
      </w:r>
      <w:r>
        <w:t xml:space="preserve">Red Line Consultation. Where a Party perceives a registered Red Line under pressure, the Party activates the Red Line Consultation of Annex I before any other response: written activation naming the registered line and the perceived pressure; convening within twenty-four (24) hours at the leadership layer; a seventy-two (72) hour mechanism freeze limited to the implicated module; and a recorded outcome on the Shared Digital Registry.</w:t>
      </w:r>
    </w:p>
    <w:p>
      <w:pPr>
        <w:pStyle w:val="BodyText"/>
      </w:pPr>
      <w:r>
        <w:rPr>
          <w:bCs/>
          <w:b/>
        </w:rPr>
        <w:t xml:space="preserve">12.6</w:t>
      </w:r>
      <w:r>
        <w:t xml:space="preserve"> </w:t>
      </w:r>
      <w:r>
        <w:t xml:space="preserve">Errant-element pathway. When an Incident appears attributable to an errant element rather than to state direction, the sponsoring Party provides actionable intelligence, including unit identification, communications logs, and chain-of-command records, to the Joint Technical Committee within twenty-four (24) hours. The Committee certifies an errant-element finding by consensus within forty-eight (48) hours; absent certification, the Incident classifies under the standard ladder.</w:t>
      </w:r>
    </w:p>
    <w:bookmarkEnd w:id="35"/>
    <w:bookmarkStart w:id="36" w:name="Xdf6be3ea5b8f7dbdc290115c90b710cf63cfb92"/>
    <w:p>
      <w:pPr>
        <w:pStyle w:val="Heading1"/>
      </w:pPr>
      <w:r>
        <w:t xml:space="preserve">Article 13. The Return to Stability Track</w:t>
      </w:r>
    </w:p>
    <w:p>
      <w:pPr>
        <w:pStyle w:val="FirstParagraph"/>
      </w:pPr>
      <w:r>
        <w:rPr>
          <w:bCs/>
          <w:b/>
        </w:rPr>
        <w:t xml:space="preserve">13.1</w:t>
      </w:r>
      <w:r>
        <w:t xml:space="preserve"> </w:t>
      </w:r>
      <w:r>
        <w:t xml:space="preserve">Incorporation. The Compact incorporates the Return to Stability Framework v2.0 as its de-escalation and negotiation track through Annex H. The RTF’s paired measures, verification machinery, hotline architecture, escrow architecture, terminology registry, narrative symmetry note, reconstruction fund protocol, and compliance method operate as machinery of this Compact, harmonized with the bodies and schedule of this instrument.</w:t>
      </w:r>
    </w:p>
    <w:p>
      <w:pPr>
        <w:pStyle w:val="BodyText"/>
      </w:pPr>
      <w:r>
        <w:rPr>
          <w:bCs/>
          <w:b/>
        </w:rPr>
        <w:t xml:space="preserve">13.2</w:t>
      </w:r>
      <w:r>
        <w:t xml:space="preserve"> </w:t>
      </w:r>
      <w:r>
        <w:t xml:space="preserve">Reactivation of the June Memorandum. The signatories of the June Memorandum, the Islamic Republic of Iran and the United States of America, reactivate the fourteen-point instrument with all attendant rights and obligations, effective on Day 7 following the first corridor certification under Annex B. This Compact recognizes and supports the reactivation, and the negotiation track resumes through the Omani and Pakistani channels with the agenda discipline of Annex H: maritime, nuclear, economic, and regional files advance in parallel without cross-linkage, and a difficulty in one module does not suspend another.</w:t>
      </w:r>
    </w:p>
    <w:p>
      <w:pPr>
        <w:pStyle w:val="BodyText"/>
      </w:pPr>
      <w:r>
        <w:rPr>
          <w:bCs/>
          <w:b/>
        </w:rPr>
        <w:t xml:space="preserve">13.3</w:t>
      </w:r>
      <w:r>
        <w:t xml:space="preserve"> </w:t>
      </w:r>
      <w:r>
        <w:t xml:space="preserve">Economic normalization. Oil-export revenue under the restored waiver framework routes through the escrow architecture of Annex J, administered by the Qatar Central Bank as neutral agent, with transaction records mirrored on the Shared Digital Registry. A designated humanitarian sub-account funds medicines, food, and medical equipment with end-to-end traceability through the Swiss channel.</w:t>
      </w:r>
    </w:p>
    <w:p>
      <w:pPr>
        <w:pStyle w:val="BodyText"/>
      </w:pPr>
      <w:r>
        <w:rPr>
          <w:bCs/>
          <w:b/>
        </w:rPr>
        <w:t xml:space="preserve">13.4</w:t>
      </w:r>
      <w:r>
        <w:t xml:space="preserve"> </w:t>
      </w:r>
      <w:r>
        <w:t xml:space="preserve">Nuclear track. Nuclear commitments operate under the verification authority of the International Atomic Energy Agency through the phased disposition roadmap incorporated in Annex H, on the accelerated readiness schedule of Annex G. All nuclear material remains on Iranian territory under Iranian legal title at all times, and verified reductions of the stockpile never reverse.</w:t>
      </w:r>
    </w:p>
    <w:p>
      <w:pPr>
        <w:pStyle w:val="BodyText"/>
      </w:pPr>
      <w:r>
        <w:rPr>
          <w:bCs/>
          <w:b/>
        </w:rPr>
        <w:t xml:space="preserve">13.5</w:t>
      </w:r>
      <w:r>
        <w:t xml:space="preserve"> </w:t>
      </w:r>
      <w:r>
        <w:t xml:space="preserve">Reconstruction interface. The Multilateral Reconstruction Fund incorporated through Annex H operates under Iranian sovereign project selection, neutral fiduciary administration, performance-based disbursement, and the absolute no-clawback rule. The Fairway Compact’s Transit Services Fund seed draws from the Fund’s economic development window as a strait-stability investment.</w:t>
      </w:r>
    </w:p>
    <w:bookmarkEnd w:id="36"/>
    <w:bookmarkStart w:id="37" w:name="X513f9ba197ac2d012f957164c5ec05b222e656e"/>
    <w:p>
      <w:pPr>
        <w:pStyle w:val="Heading1"/>
      </w:pPr>
      <w:r>
        <w:t xml:space="preserve">Article 14. Funding and the Escrow Architecture</w:t>
      </w:r>
    </w:p>
    <w:p>
      <w:pPr>
        <w:pStyle w:val="FirstParagraph"/>
      </w:pPr>
      <w:r>
        <w:rPr>
          <w:bCs/>
          <w:b/>
        </w:rPr>
        <w:t xml:space="preserve">14.1</w:t>
      </w:r>
      <w:r>
        <w:t xml:space="preserve"> </w:t>
      </w:r>
      <w:r>
        <w:t xml:space="preserve">Transit Services Fund. The Compact finances its operations through the Transit Services Fund chartered in Annex J: corridor services, the Lead-Escort Safety Service, the MRT-H, verification bodies, the Shared Digital Registry, and the hotline. The Fund operates under the administration of the Swiss Confederation as Neutral Administrator, with the Qatar Central Bank as escrow agent and an annual independent audit published to all Members. The United States of America contributes to the Fund on the same voluntary terms as Observer Members under Annex E, and holds no governance role in the Fund, no voice in its administration, and no access to Fund accounts beyond the published transparency reports received by all Members.</w:t>
      </w:r>
    </w:p>
    <w:p>
      <w:pPr>
        <w:pStyle w:val="BodyText"/>
      </w:pPr>
      <w:r>
        <w:rPr>
          <w:bCs/>
          <w:b/>
        </w:rPr>
        <w:t xml:space="preserve">14.2</w:t>
      </w:r>
      <w:r>
        <w:t xml:space="preserve"> </w:t>
      </w:r>
      <w:r>
        <w:t xml:space="preserve">Cost sharing. Tier I and Tier II Members contribute to the Fund under the contribution schedule of Annex E, weighted by operational role and gross tonnage transited. Observer Members contribute voluntarily. The framework architecture attaches no contribution obligation to the act of transit by any Commercial Vessel.</w:t>
      </w:r>
    </w:p>
    <w:p>
      <w:pPr>
        <w:pStyle w:val="BodyText"/>
      </w:pPr>
      <w:r>
        <w:rPr>
          <w:bCs/>
          <w:b/>
        </w:rPr>
        <w:t xml:space="preserve">14.3</w:t>
      </w:r>
      <w:r>
        <w:t xml:space="preserve"> </w:t>
      </w:r>
      <w:r>
        <w:t xml:space="preserve">Sanctions-compliance firewall. All financial flows under this Compact route through the general license and firewall architecture of Annex J, so that financial institutions, contractors, insurers, and suppliers participate without sanctions exposure. The firewall covers Fund contributions, escrow operations, service reimbursements, and verification expenditures.</w:t>
      </w:r>
    </w:p>
    <w:p>
      <w:pPr>
        <w:pStyle w:val="BodyText"/>
      </w:pPr>
      <w:r>
        <w:rPr>
          <w:bCs/>
          <w:b/>
        </w:rPr>
        <w:t xml:space="preserve">14.4</w:t>
      </w:r>
      <w:r>
        <w:t xml:space="preserve"> </w:t>
      </w:r>
      <w:r>
        <w:t xml:space="preserve">No commingling. No United States government funds commingle with Fund capital. No state funds of any Principal Party pass through any financial institution controlled by another Principal Party. Neutral administration carries every flow. United States contributions to the Fund, where made, are voluntary, non-earmarked, and subject to the same neutrality rules as all other contributions.</w:t>
      </w:r>
    </w:p>
    <w:p>
      <w:pPr>
        <w:pStyle w:val="BodyText"/>
      </w:pPr>
      <w:r>
        <w:rPr>
          <w:bCs/>
          <w:b/>
        </w:rPr>
        <w:t xml:space="preserve">14.5</w:t>
      </w:r>
      <w:r>
        <w:t xml:space="preserve"> </w:t>
      </w:r>
      <w:r>
        <w:t xml:space="preserve">Continuity of funding. Fund operations continue through disputes under the Silence Clause of Annex K: a compliance event suspends no certified service, no escort rotation, no clearance operation, and no verification activity.</w:t>
      </w:r>
    </w:p>
    <w:bookmarkEnd w:id="37"/>
    <w:bookmarkStart w:id="38" w:name="article-15.-implementation"/>
    <w:p>
      <w:pPr>
        <w:pStyle w:val="Heading1"/>
      </w:pPr>
      <w:r>
        <w:t xml:space="preserve">Article 15. Implementation</w:t>
      </w:r>
    </w:p>
    <w:p>
      <w:pPr>
        <w:pStyle w:val="FirstParagraph"/>
      </w:pPr>
      <w:r>
        <w:rPr>
          <w:bCs/>
          <w:b/>
        </w:rPr>
        <w:t xml:space="preserve">15.1</w:t>
      </w:r>
      <w:r>
        <w:t xml:space="preserve"> </w:t>
      </w:r>
      <w:r>
        <w:t xml:space="preserve">Phased schedule. The Parties and Members implement this Compact on the phased schedule of Annex G: Phase Zero (standstill and signature), Phase One (Days 0 to 7, stabilization and activation), Phase Two (Days 7 to 21, survey and escort build-out), Phase Three (Days 21 to 45, clearance and certification), Phase Four (Days 45 to 75, normalization and recovery), and Phase Five (Day 75 onward, standing operations and review).</w:t>
      </w:r>
    </w:p>
    <w:p>
      <w:pPr>
        <w:pStyle w:val="BodyText"/>
      </w:pPr>
      <w:r>
        <w:rPr>
          <w:bCs/>
          <w:b/>
        </w:rPr>
        <w:t xml:space="preserve">15.2</w:t>
      </w:r>
      <w:r>
        <w:t xml:space="preserve"> </w:t>
      </w:r>
      <w:r>
        <w:t xml:space="preserve">Recovery targets. The schedule of Annex G binds transit recovery to verified objective markers: fifty (50) percent of pre-crisis daily transit volume by Day 21, seventy-five (75) percent by Day 45, and ninety (90) percent by Day 75, each measured against the pre-crisis baseline of approximately eighty-eight (88) commercial transits per day and published weekly by the Verification Authority.</w:t>
      </w:r>
    </w:p>
    <w:p>
      <w:pPr>
        <w:pStyle w:val="BodyText"/>
      </w:pPr>
      <w:r>
        <w:rPr>
          <w:bCs/>
          <w:b/>
        </w:rPr>
        <w:t xml:space="preserve">15.3</w:t>
      </w:r>
      <w:r>
        <w:t xml:space="preserve"> </w:t>
      </w:r>
      <w:r>
        <w:t xml:space="preserve">Automatic milestone activation. Each milestone in Annex G activates automatically upon certified completion of the preceding milestone. A verified delay in one milestone extends only the affected step and leaves the remaining schedule intact. A verified delay never reads as bad faith on the record.</w:t>
      </w:r>
    </w:p>
    <w:p>
      <w:pPr>
        <w:pStyle w:val="BodyText"/>
      </w:pPr>
      <w:r>
        <w:rPr>
          <w:bCs/>
          <w:b/>
        </w:rPr>
        <w:t xml:space="preserve">15.4</w:t>
      </w:r>
      <w:r>
        <w:t xml:space="preserve"> </w:t>
      </w:r>
      <w:r>
        <w:t xml:space="preserve">Phase gates. Each phase boundary carries a gate review by the Joint Technical Committee against the objective criteria of Annex G. Gate reviews publish to all Members simultaneously, and a gate holds open no longer than seventy-two (72) hours before the default continuation rule applies.</w:t>
      </w:r>
    </w:p>
    <w:bookmarkEnd w:id="38"/>
    <w:bookmarkStart w:id="39" w:name="article-16.-protective-provisions"/>
    <w:p>
      <w:pPr>
        <w:pStyle w:val="Heading1"/>
      </w:pPr>
      <w:r>
        <w:t xml:space="preserve">Article 16. Protective Provisions</w:t>
      </w:r>
    </w:p>
    <w:p>
      <w:pPr>
        <w:pStyle w:val="FirstParagraph"/>
      </w:pPr>
      <w:r>
        <w:rPr>
          <w:bCs/>
          <w:b/>
        </w:rPr>
        <w:t xml:space="preserve">16.1</w:t>
      </w:r>
      <w:r>
        <w:t xml:space="preserve"> </w:t>
      </w:r>
      <w:r>
        <w:t xml:space="preserve">Humanitarian firewall. Humanitarian flows pass a one-way firewall and never reverse: medicines, food, medical equipment, the humanitarian transit tier of Section 5.5, the hotline of Article 12, and International Atomic Energy Agency baseline monitoring continue under every classification, every suspension, and every exit scenario. Only mutual recorded consent of both Principal Parties suspends any of these measures.</w:t>
      </w:r>
    </w:p>
    <w:p>
      <w:pPr>
        <w:pStyle w:val="BodyText"/>
      </w:pPr>
      <w:r>
        <w:rPr>
          <w:bCs/>
          <w:b/>
        </w:rPr>
        <w:t xml:space="preserve">16.2</w:t>
      </w:r>
      <w:r>
        <w:t xml:space="preserve"> </w:t>
      </w:r>
      <w:r>
        <w:t xml:space="preserve">The Protection Covenant. This Compact operates as an integrated system of mutual protections. The provisions on the Humanitarian Firewall, the Convergence Standard, the No Automatic Military Escalation rule, and the firewalled annex modules are non-derogable and non-severable. An attempt by any party to implement parts of this Compact while bypassing or dismantling its protective architecture voids the invoking party’s reliance on the Compact. Any modification that diminishes these protections constitutes a material breach that immediately pauses the modifying party’s benefits under the Compact. Annex M states the full covenant text.</w:t>
      </w:r>
    </w:p>
    <w:p>
      <w:pPr>
        <w:pStyle w:val="BodyText"/>
      </w:pPr>
      <w:r>
        <w:rPr>
          <w:bCs/>
          <w:b/>
        </w:rPr>
        <w:t xml:space="preserve">16.3</w:t>
      </w:r>
      <w:r>
        <w:t xml:space="preserve"> </w:t>
      </w:r>
      <w:r>
        <w:t xml:space="preserve">Declaration of Intent. Every Party and Member invoking or implementing this Compact issues a public declaration that it acts in pursuit of de-escalation, regional stability, and the protection of civilian life, not for punitive or coercive purposes. A party that declines the declaration stands excluded from the Compact’s protections and mechanisms. A subsequent verified finding of bad-faith use renders the offending party’s prior invocations null and void under the procedure of Annex M.</w:t>
      </w:r>
    </w:p>
    <w:p>
      <w:pPr>
        <w:pStyle w:val="BodyText"/>
      </w:pPr>
      <w:r>
        <w:rPr>
          <w:bCs/>
          <w:b/>
        </w:rPr>
        <w:t xml:space="preserve">16.4</w:t>
      </w:r>
      <w:r>
        <w:t xml:space="preserve"> </w:t>
      </w:r>
      <w:r>
        <w:t xml:space="preserve">Emergency Oversight Mechanism. Where any signatory uses this Compact’s provisions in a manner inconsistent with its stated humanitarian and stabilization objectives, the Guarantor Panel, acting as the standing emergency oversight committee, suspends the offending party’s implementation rights by supermajority and refers the matter to the Independent Assurance review of Annex M. Annex M states the composition, quorum, and restoration procedure.</w:t>
      </w:r>
    </w:p>
    <w:p>
      <w:pPr>
        <w:pStyle w:val="BodyText"/>
      </w:pPr>
      <w:r>
        <w:rPr>
          <w:bCs/>
          <w:b/>
        </w:rPr>
        <w:t xml:space="preserve">16.5</w:t>
      </w:r>
      <w:r>
        <w:t xml:space="preserve"> </w:t>
      </w:r>
      <w:r>
        <w:t xml:space="preserve">No-fade continuity. No commitment of this Compact fades at any date boundary. Verified performance banks permanently. The Compact recognizes no sunset, no cliff, and no silent expiry. Every obligation persists exactly as written until the Parties amend it in writing or a Party exits through the orderly transition of Section 16.6.</w:t>
      </w:r>
    </w:p>
    <w:p>
      <w:pPr>
        <w:pStyle w:val="BodyText"/>
      </w:pPr>
      <w:r>
        <w:rPr>
          <w:bCs/>
          <w:b/>
        </w:rPr>
        <w:t xml:space="preserve">16.6</w:t>
      </w:r>
      <w:r>
        <w:t xml:space="preserve"> </w:t>
      </w:r>
      <w:r>
        <w:t xml:space="preserve">Orderly transition. A Party exits this Compact through a written notice of sixty (60) days to the Depositary. All operational protocols continue in full during the notice period, the facilitators convene repair consultations, and the notice-giving Party retains the right to retract its notice at any time before expiry. Completed milestones and banked performance remain in force under every exit scenario.</w:t>
      </w:r>
    </w:p>
    <w:p>
      <w:pPr>
        <w:pStyle w:val="BodyText"/>
      </w:pPr>
      <w:r>
        <w:rPr>
          <w:bCs/>
          <w:b/>
        </w:rPr>
        <w:t xml:space="preserve">16.7</w:t>
      </w:r>
      <w:r>
        <w:t xml:space="preserve"> </w:t>
      </w:r>
      <w:r>
        <w:t xml:space="preserve">Force majeure. A natural disruption, including a storm, seismic event, major shipping accident, or comparable environmental event, constitutes no Incident or deviation under this Compact. The Verification Authority classifies a verified natural disruption as a force majeure event and suspends the affected obligation’s compliance clock for the duration of the disruption plus a recovery window of seventy-two (72) hours.</w:t>
      </w:r>
    </w:p>
    <w:bookmarkEnd w:id="39"/>
    <w:bookmarkStart w:id="40" w:name="Xdc7409170d60e831ce7d6dc437e420314428273"/>
    <w:p>
      <w:pPr>
        <w:pStyle w:val="Heading1"/>
      </w:pPr>
      <w:r>
        <w:t xml:space="preserve">Article 17. Final Provisions and Depositary</w:t>
      </w:r>
    </w:p>
    <w:p>
      <w:pPr>
        <w:pStyle w:val="FirstParagraph"/>
      </w:pPr>
      <w:r>
        <w:rPr>
          <w:bCs/>
          <w:b/>
        </w:rPr>
        <w:t xml:space="preserve">17.1</w:t>
      </w:r>
      <w:r>
        <w:t xml:space="preserve"> </w:t>
      </w:r>
      <w:r>
        <w:t xml:space="preserve">Annexes. The Parties adopt Annexes A through N, appended to this Compact, as integral parts of this instrument. Each annex binds the Parties to the same extent as the Articles, and each annex stands alone as a technical module for purposes of reference by mediators and verification bodies.</w:t>
      </w:r>
    </w:p>
    <w:p>
      <w:pPr>
        <w:pStyle w:val="BodyText"/>
      </w:pPr>
      <w:r>
        <w:rPr>
          <w:bCs/>
          <w:b/>
        </w:rPr>
        <w:t xml:space="preserve">17.2</w:t>
      </w:r>
      <w:r>
        <w:t xml:space="preserve"> </w:t>
      </w:r>
      <w:r>
        <w:t xml:space="preserve">Amendment. Amendment of an Article occurs by written instrument of both Principal Parties with the concurrence of the Verification Authority. The United States receives notice of all amendments and submits technical comments at its discretion, and holds no veto and no vote. Amendment of an annex occurs by the technical procedure of that annex, with publication to all Members. The Red Line Register of Annex F amends only by unanimity in the Fairway Council plus written ratification by both Principal Parties.</w:t>
      </w:r>
    </w:p>
    <w:p>
      <w:pPr>
        <w:pStyle w:val="BodyText"/>
      </w:pPr>
      <w:r>
        <w:rPr>
          <w:bCs/>
          <w:b/>
        </w:rPr>
        <w:t xml:space="preserve">17.3</w:t>
      </w:r>
      <w:r>
        <w:t xml:space="preserve"> </w:t>
      </w:r>
      <w:r>
        <w:t xml:space="preserve">Depositary. The Sultanate of Oman serves as Depositary. Instruments of accession, notices, and certifications deposit with the Depositary, which publishes them to all Members on the Shared Digital Registry.</w:t>
      </w:r>
    </w:p>
    <w:p>
      <w:pPr>
        <w:pStyle w:val="BodyText"/>
      </w:pPr>
      <w:r>
        <w:rPr>
          <w:bCs/>
          <w:b/>
        </w:rPr>
        <w:t xml:space="preserve">17.4</w:t>
      </w:r>
      <w:r>
        <w:t xml:space="preserve"> </w:t>
      </w:r>
      <w:r>
        <w:t xml:space="preserve">Review. The Fairway Council reviews the Compact at each quarterly boundary, with a light review in the first year and a deep review every fourth quarter. Review points operate as administrative rhythms, never as expiries.</w:t>
      </w:r>
    </w:p>
    <w:p>
      <w:pPr>
        <w:pStyle w:val="BodyText"/>
      </w:pPr>
      <w:r>
        <w:rPr>
          <w:bCs/>
          <w:b/>
        </w:rPr>
        <w:t xml:space="preserve">17.5</w:t>
      </w:r>
      <w:r>
        <w:t xml:space="preserve"> </w:t>
      </w:r>
      <w:r>
        <w:t xml:space="preserve">Language and copies. This Compact is executed in the English language, with courtesy translations into Persian and Arabic deposited for convenience. Any conflict between a translation and the English text resolves in favor of the shared meaning the negotiators assign to the provision in question.</w:t>
      </w:r>
    </w:p>
    <w:bookmarkEnd w:id="40"/>
    <w:bookmarkStart w:id="41" w:name="signature-block"/>
    <w:p>
      <w:pPr>
        <w:pStyle w:val="Heading1"/>
      </w:pPr>
      <w:r>
        <w:t xml:space="preserve">Signature Block</w:t>
      </w:r>
    </w:p>
    <w:p>
      <w:pPr>
        <w:pStyle w:val="FirstParagraph"/>
      </w:pPr>
      <w:r>
        <w:t xml:space="preserve">Done at Muscat, Sultanate of Oman, in the English language.</w:t>
      </w:r>
    </w:p>
    <w:p>
      <w:pPr>
        <w:pStyle w:val="BodyText"/>
      </w:pPr>
      <w:r>
        <w:rPr>
          <w:bCs/>
          <w:b/>
        </w:rPr>
        <w:t xml:space="preserve">For the Islamic Republic of Iran</w:t>
      </w:r>
    </w:p>
    <w:p>
      <w:pPr>
        <w:pStyle w:val="BodyText"/>
      </w:pPr>
      <w:r>
        <w:t xml:space="preserve">Signature: __________________ Name: __________________ Date: ______________</w:t>
      </w:r>
    </w:p>
    <w:p>
      <w:pPr>
        <w:pStyle w:val="BodyText"/>
      </w:pPr>
      <w:r>
        <w:rPr>
          <w:bCs/>
          <w:b/>
        </w:rPr>
        <w:t xml:space="preserve">For the Sultanate of Oman</w:t>
      </w:r>
    </w:p>
    <w:p>
      <w:pPr>
        <w:pStyle w:val="BodyText"/>
      </w:pPr>
      <w:r>
        <w:t xml:space="preserve">Signature: __________________ Name: __________________ Date: ______________</w:t>
      </w:r>
    </w:p>
    <w:p>
      <w:pPr>
        <w:pStyle w:val="BodyText"/>
      </w:pPr>
      <w:r>
        <w:rPr>
          <w:bCs/>
          <w:b/>
        </w:rPr>
        <w:t xml:space="preserve">Acknowledged for the United States of America (Security Assistance Provider)</w:t>
      </w:r>
    </w:p>
    <w:p>
      <w:pPr>
        <w:pStyle w:val="BodyText"/>
      </w:pPr>
      <w:r>
        <w:t xml:space="preserve">Signature: __________________ Name: __________________ Date: ______________</w:t>
      </w:r>
    </w:p>
    <w:p>
      <w:pPr>
        <w:pStyle w:val="BodyText"/>
      </w:pPr>
      <w:r>
        <w:rPr>
          <w:bCs/>
          <w:b/>
        </w:rPr>
        <w:t xml:space="preserve">Witnessed for the Neutral Administrator (Swiss Confederation)</w:t>
      </w:r>
    </w:p>
    <w:p>
      <w:pPr>
        <w:pStyle w:val="BodyText"/>
      </w:pPr>
      <w:r>
        <w:t xml:space="preserve">Signature: __________________ Name: __________________ Date: ______________</w:t>
      </w:r>
    </w:p>
    <w:p>
      <w:pPr>
        <w:pStyle w:val="BodyText"/>
      </w:pPr>
      <w:r>
        <w:rPr>
          <w:bCs/>
          <w:b/>
        </w:rPr>
        <w:t xml:space="preserve">Witnessed for the Escrow Agent (State of Qatar, Qatar Central Bank)</w:t>
      </w:r>
    </w:p>
    <w:p>
      <w:pPr>
        <w:pStyle w:val="BodyText"/>
      </w:pPr>
      <w:r>
        <w:t xml:space="preserve">Signature: __________________ Name: __________________ Date: ______________</w:t>
      </w:r>
    </w:p>
    <w:bookmarkEnd w:id="41"/>
    <w:bookmarkStart w:id="50" w:name="X0c36ddd2135c63c5c4327202211330417b93f2b"/>
    <w:p>
      <w:pPr>
        <w:pStyle w:val="Heading1"/>
      </w:pPr>
      <w:r>
        <w:t xml:space="preserve">Annex A. Fairway Corridor Geometry and Transit Rules</w:t>
      </w:r>
    </w:p>
    <w:p>
      <w:pPr>
        <w:pStyle w:val="FirstParagraph"/>
      </w:pPr>
      <w:r>
        <w:t xml:space="preserve">Operative Annex for Articles 2, 5, and 6. This annex fixes the physical geometry of the fairway system in sufficient detail that a cartographer reproduces the scheme without further reference, and states the transit rules for every vessel class.</w:t>
      </w:r>
    </w:p>
    <w:bookmarkStart w:id="42" w:name="a.1-geodetic-basis"/>
    <w:p>
      <w:pPr>
        <w:pStyle w:val="Heading2"/>
      </w:pPr>
      <w:r>
        <w:t xml:space="preserve">A.1 Geodetic Basis</w:t>
      </w:r>
    </w:p>
    <w:p>
      <w:pPr>
        <w:pStyle w:val="FirstParagraph"/>
      </w:pPr>
      <w:r>
        <w:rPr>
          <w:bCs/>
          <w:b/>
        </w:rPr>
        <w:t xml:space="preserve">A.1</w:t>
      </w:r>
      <w:r>
        <w:t xml:space="preserve"> </w:t>
      </w:r>
      <w:r>
        <w:t xml:space="preserve">All coordinates use the WGS 84 datum in degrees and minutes of north latitude and east longitude. All distances use nautical miles (nm). The chart extent spans 25 degrees 00 minutes N to 27 degrees 30 minutes N and 55 degrees 00 minutes E to 58 degrees 00 minutes E, at a reproduction scale of 1:500,000, with a graticule at fifteen-minute intervals and the north arrow at true north.</w:t>
      </w:r>
    </w:p>
    <w:bookmarkEnd w:id="42"/>
    <w:bookmarkStart w:id="43" w:name="a.2-fairway-alpha-southern-open-lane"/>
    <w:p>
      <w:pPr>
        <w:pStyle w:val="Heading2"/>
      </w:pPr>
      <w:r>
        <w:t xml:space="preserve">A.2 Fairway Alpha (Southern Open Lane)</w:t>
      </w:r>
    </w:p>
    <w:p>
      <w:pPr>
        <w:pStyle w:val="FirstParagraph"/>
      </w:pPr>
      <w:r>
        <w:rPr>
          <w:bCs/>
          <w:b/>
        </w:rPr>
        <w:t xml:space="preserve">A.2</w:t>
      </w:r>
      <w:r>
        <w:t xml:space="preserve"> </w:t>
      </w:r>
      <w:r>
        <w:t xml:space="preserve">Fairway Alpha serves as the primary transit lane for Commercial Vessels. The framework architecture attaches no tolls, inspection requirements, or prior notification to this lane. The lane measures ten (10) nautical miles in width and carries two-way traffic with a median separation of one (1) nautical mile between opposing flows.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Waypoint</w:t>
            </w:r>
          </w:p>
        </w:tc>
        <w:tc>
          <w:tcPr>
            <w:shd w:val="clear" w:color="auto" w:fill="D9E2EC"/>
          </w:tcPr>
          <w:p>
            <w:pPr>
              <w:pStyle w:val="Compact"/>
              <w:jc w:val="left"/>
            </w:pPr>
            <w:r>
              <w:rPr>
                <w:bCs/>
                <w:b/>
              </w:rPr>
              <w:t xml:space="preserve">Coordinates</w:t>
            </w:r>
          </w:p>
        </w:tc>
        <w:tc>
          <w:tcPr>
            <w:shd w:val="clear" w:color="auto" w:fill="D9E2EC"/>
          </w:tcPr>
          <w:p>
            <w:pPr>
              <w:pStyle w:val="Compact"/>
              <w:jc w:val="left"/>
            </w:pPr>
            <w:r>
              <w:rPr>
                <w:bCs/>
                <w:b/>
              </w:rPr>
              <w:t xml:space="preserve">Function</w:t>
            </w:r>
          </w:p>
        </w:tc>
      </w:tr>
      <w:tr>
        <w:tc>
          <w:tcPr/>
          <w:p>
            <w:pPr>
              <w:pStyle w:val="Compact"/>
              <w:jc w:val="left"/>
            </w:pPr>
            <w:r>
              <w:t xml:space="preserve">FA-1</w:t>
            </w:r>
          </w:p>
        </w:tc>
        <w:tc>
          <w:tcPr/>
          <w:p>
            <w:pPr>
              <w:pStyle w:val="Compact"/>
              <w:jc w:val="left"/>
            </w:pPr>
            <w:r>
              <w:t xml:space="preserve">26 degrees 30 minutes N, 56 degrees 00 minutes E</w:t>
            </w:r>
          </w:p>
        </w:tc>
        <w:tc>
          <w:tcPr/>
          <w:p>
            <w:pPr>
              <w:pStyle w:val="Compact"/>
              <w:jc w:val="left"/>
            </w:pPr>
            <w:r>
              <w:t xml:space="preserve">Western entry point, open lane</w:t>
            </w:r>
          </w:p>
        </w:tc>
      </w:tr>
      <w:tr>
        <w:tc>
          <w:tcPr/>
          <w:p>
            <w:pPr>
              <w:pStyle w:val="Compact"/>
              <w:jc w:val="left"/>
            </w:pPr>
            <w:r>
              <w:t xml:space="preserve">FA-2</w:t>
            </w:r>
          </w:p>
        </w:tc>
        <w:tc>
          <w:tcPr/>
          <w:p>
            <w:pPr>
              <w:pStyle w:val="Compact"/>
              <w:jc w:val="left"/>
            </w:pPr>
            <w:r>
              <w:t xml:space="preserve">26 degrees 05 minutes N, 56 degrees 40 minutes E</w:t>
            </w:r>
          </w:p>
        </w:tc>
        <w:tc>
          <w:tcPr/>
          <w:p>
            <w:pPr>
              <w:pStyle w:val="Compact"/>
              <w:jc w:val="left"/>
            </w:pPr>
            <w:r>
              <w:t xml:space="preserve">Turning waypoint, lane axis</w:t>
            </w:r>
          </w:p>
        </w:tc>
      </w:tr>
      <w:tr>
        <w:tc>
          <w:tcPr/>
          <w:p>
            <w:pPr>
              <w:pStyle w:val="Compact"/>
              <w:jc w:val="left"/>
            </w:pPr>
            <w:r>
              <w:t xml:space="preserve">FA-3</w:t>
            </w:r>
          </w:p>
        </w:tc>
        <w:tc>
          <w:tcPr/>
          <w:p>
            <w:pPr>
              <w:pStyle w:val="Compact"/>
              <w:jc w:val="left"/>
            </w:pPr>
            <w:r>
              <w:t xml:space="preserve">25 degrees 30 minutes N, 57 degrees 30 minutes E</w:t>
            </w:r>
          </w:p>
        </w:tc>
        <w:tc>
          <w:tcPr/>
          <w:p>
            <w:pPr>
              <w:pStyle w:val="Compact"/>
              <w:jc w:val="left"/>
            </w:pPr>
            <w:r>
              <w:t xml:space="preserve">Eastern exit point, open lane</w:t>
            </w:r>
          </w:p>
        </w:tc>
      </w:tr>
    </w:tbl>
    <w:bookmarkEnd w:id="43"/>
    <w:bookmarkStart w:id="44" w:name="X455e5ff972a75a5ab129aa8f787bf55af1db2ad"/>
    <w:p>
      <w:pPr>
        <w:pStyle w:val="Heading2"/>
      </w:pPr>
      <w:r>
        <w:t xml:space="preserve">A.3 Fairway Bravo (Northern Notification Lane)</w:t>
      </w:r>
    </w:p>
    <w:p>
      <w:pPr>
        <w:pStyle w:val="FirstParagraph"/>
      </w:pPr>
      <w:r>
        <w:rPr>
          <w:bCs/>
          <w:b/>
        </w:rPr>
        <w:t xml:space="preserve">A.3</w:t>
      </w:r>
      <w:r>
        <w:t xml:space="preserve"> </w:t>
      </w:r>
      <w:r>
        <w:t xml:space="preserve">Fairway Bravo serves Commercial Vessels that provide six (6) hours advance notice under Section 5.1. The lane measures eight (8) nautical miles in width.</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Waypoint</w:t>
            </w:r>
          </w:p>
        </w:tc>
        <w:tc>
          <w:tcPr>
            <w:shd w:val="clear" w:color="auto" w:fill="D9E2EC"/>
          </w:tcPr>
          <w:p>
            <w:pPr>
              <w:pStyle w:val="Compact"/>
              <w:jc w:val="left"/>
            </w:pPr>
            <w:r>
              <w:rPr>
                <w:bCs/>
                <w:b/>
              </w:rPr>
              <w:t xml:space="preserve">Coordinates</w:t>
            </w:r>
          </w:p>
        </w:tc>
        <w:tc>
          <w:tcPr>
            <w:shd w:val="clear" w:color="auto" w:fill="D9E2EC"/>
          </w:tcPr>
          <w:p>
            <w:pPr>
              <w:pStyle w:val="Compact"/>
              <w:jc w:val="left"/>
            </w:pPr>
            <w:r>
              <w:rPr>
                <w:bCs/>
                <w:b/>
              </w:rPr>
              <w:t xml:space="preserve">Function</w:t>
            </w:r>
          </w:p>
        </w:tc>
      </w:tr>
      <w:tr>
        <w:tc>
          <w:tcPr/>
          <w:p>
            <w:pPr>
              <w:pStyle w:val="Compact"/>
              <w:jc w:val="left"/>
            </w:pPr>
            <w:r>
              <w:t xml:space="preserve">FB-1</w:t>
            </w:r>
          </w:p>
        </w:tc>
        <w:tc>
          <w:tcPr/>
          <w:p>
            <w:pPr>
              <w:pStyle w:val="Compact"/>
              <w:jc w:val="left"/>
            </w:pPr>
            <w:r>
              <w:t xml:space="preserve">26 degrees 45 minutes N, 55 degrees 45 minutes E</w:t>
            </w:r>
          </w:p>
        </w:tc>
        <w:tc>
          <w:tcPr/>
          <w:p>
            <w:pPr>
              <w:pStyle w:val="Compact"/>
              <w:jc w:val="left"/>
            </w:pPr>
            <w:r>
              <w:t xml:space="preserve">Western entry point, notification lane</w:t>
            </w:r>
          </w:p>
        </w:tc>
      </w:tr>
      <w:tr>
        <w:tc>
          <w:tcPr/>
          <w:p>
            <w:pPr>
              <w:pStyle w:val="Compact"/>
              <w:jc w:val="left"/>
            </w:pPr>
            <w:r>
              <w:t xml:space="preserve">FB-2</w:t>
            </w:r>
          </w:p>
        </w:tc>
        <w:tc>
          <w:tcPr/>
          <w:p>
            <w:pPr>
              <w:pStyle w:val="Compact"/>
              <w:jc w:val="left"/>
            </w:pPr>
            <w:r>
              <w:t xml:space="preserve">26 degrees 25 minutes N, 56 degrees 30 minutes E</w:t>
            </w:r>
          </w:p>
        </w:tc>
        <w:tc>
          <w:tcPr/>
          <w:p>
            <w:pPr>
              <w:pStyle w:val="Compact"/>
              <w:jc w:val="left"/>
            </w:pPr>
            <w:r>
              <w:t xml:space="preserve">Turning waypoint, lane axis</w:t>
            </w:r>
          </w:p>
        </w:tc>
      </w:tr>
      <w:tr>
        <w:tc>
          <w:tcPr/>
          <w:p>
            <w:pPr>
              <w:pStyle w:val="Compact"/>
              <w:jc w:val="left"/>
            </w:pPr>
            <w:r>
              <w:t xml:space="preserve">FB-3</w:t>
            </w:r>
          </w:p>
        </w:tc>
        <w:tc>
          <w:tcPr/>
          <w:p>
            <w:pPr>
              <w:pStyle w:val="Compact"/>
              <w:jc w:val="left"/>
            </w:pPr>
            <w:r>
              <w:t xml:space="preserve">26 degrees 00 minutes N, 57 degrees 15 minutes E</w:t>
            </w:r>
          </w:p>
        </w:tc>
        <w:tc>
          <w:tcPr/>
          <w:p>
            <w:pPr>
              <w:pStyle w:val="Compact"/>
              <w:jc w:val="left"/>
            </w:pPr>
            <w:r>
              <w:t xml:space="preserve">Eastern exit point, notification lane</w:t>
            </w:r>
          </w:p>
        </w:tc>
      </w:tr>
    </w:tbl>
    <w:p>
      <w:pPr>
        <w:pStyle w:val="BodyText"/>
      </w:pPr>
      <w:r>
        <w:rPr>
          <w:bCs/>
          <w:b/>
        </w:rPr>
        <w:t xml:space="preserve">A.4</w:t>
      </w:r>
      <w:r>
        <w:t xml:space="preserve"> </w:t>
      </w:r>
      <w:r>
        <w:t xml:space="preserve">Each transit notice states the vessel name, flag, IMO number, gross tonnage, cargo class, intended entry time, and destination port. The Joint Coordination Center acknowledges each notice automatically within sixty (60) minutes and logs it on the Shared Digital Registry. Notice constitutes information, never a request for permission, and acknowledgment constitutes receipt, never approval.</w:t>
      </w:r>
    </w:p>
    <w:bookmarkEnd w:id="44"/>
    <w:bookmarkStart w:id="45" w:name="a.4-separation-scheme-and-special-zones"/>
    <w:p>
      <w:pPr>
        <w:pStyle w:val="Heading2"/>
      </w:pPr>
      <w:r>
        <w:t xml:space="preserve">A.4 Separation Scheme and Special Zones</w:t>
      </w:r>
    </w:p>
    <w:p>
      <w:pPr>
        <w:pStyle w:val="FirstParagraph"/>
      </w:pPr>
      <w:r>
        <w:rPr>
          <w:bCs/>
          <w:b/>
        </w:rPr>
        <w:t xml:space="preserve">A.5</w:t>
      </w:r>
      <w:r>
        <w:t xml:space="preserve"> </w:t>
      </w:r>
      <w:r>
        <w:t xml:space="preserve">The traffic separation scheme comprises the two fairways, a buffer lane of five (5) nautical miles centered at approximately 26 degrees 10 minutes N, and an outer buffer of five (5) nautical miles at the landward edges of the corridor system. The aggregate corridor width measures approximately twenty-eight (28) nautical miles.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Element</w:t>
            </w:r>
          </w:p>
        </w:tc>
        <w:tc>
          <w:tcPr>
            <w:shd w:val="clear" w:color="auto" w:fill="D9E2EC"/>
          </w:tcPr>
          <w:p>
            <w:pPr>
              <w:pStyle w:val="Compact"/>
              <w:jc w:val="left"/>
            </w:pPr>
            <w:r>
              <w:rPr>
                <w:bCs/>
                <w:b/>
              </w:rPr>
              <w:t xml:space="preserve">Function</w:t>
            </w:r>
          </w:p>
        </w:tc>
        <w:tc>
          <w:tcPr>
            <w:shd w:val="clear" w:color="auto" w:fill="D9E2EC"/>
          </w:tcPr>
          <w:p>
            <w:pPr>
              <w:pStyle w:val="Compact"/>
              <w:jc w:val="left"/>
            </w:pPr>
            <w:r>
              <w:rPr>
                <w:bCs/>
                <w:b/>
              </w:rPr>
              <w:t xml:space="preserve">Width</w:t>
            </w:r>
          </w:p>
        </w:tc>
        <w:tc>
          <w:tcPr>
            <w:shd w:val="clear" w:color="auto" w:fill="D9E2EC"/>
          </w:tcPr>
          <w:p>
            <w:pPr>
              <w:pStyle w:val="Compact"/>
              <w:jc w:val="left"/>
            </w:pPr>
            <w:r>
              <w:rPr>
                <w:bCs/>
                <w:b/>
              </w:rPr>
              <w:t xml:space="preserve">Reference</w:t>
            </w:r>
          </w:p>
        </w:tc>
      </w:tr>
      <w:tr>
        <w:tc>
          <w:tcPr/>
          <w:p>
            <w:pPr>
              <w:pStyle w:val="Compact"/>
              <w:jc w:val="left"/>
            </w:pPr>
            <w:r>
              <w:t xml:space="preserve">Fairway Alpha</w:t>
            </w:r>
          </w:p>
        </w:tc>
        <w:tc>
          <w:tcPr/>
          <w:p>
            <w:pPr>
              <w:pStyle w:val="Compact"/>
              <w:jc w:val="left"/>
            </w:pPr>
            <w:r>
              <w:t xml:space="preserve">Southbound-weighted open transit lane</w:t>
            </w:r>
          </w:p>
        </w:tc>
        <w:tc>
          <w:tcPr/>
          <w:p>
            <w:pPr>
              <w:pStyle w:val="Compact"/>
              <w:jc w:val="left"/>
            </w:pPr>
            <w:r>
              <w:t xml:space="preserve">10 nm</w:t>
            </w:r>
          </w:p>
        </w:tc>
        <w:tc>
          <w:tcPr/>
          <w:p>
            <w:pPr>
              <w:pStyle w:val="Compact"/>
              <w:jc w:val="left"/>
            </w:pPr>
            <w:r>
              <w:t xml:space="preserve">Axis through FA-1, FA-2, FA-3</w:t>
            </w:r>
          </w:p>
        </w:tc>
      </w:tr>
      <w:tr>
        <w:tc>
          <w:tcPr/>
          <w:p>
            <w:pPr>
              <w:pStyle w:val="Compact"/>
              <w:jc w:val="left"/>
            </w:pPr>
            <w:r>
              <w:t xml:space="preserve">Buffer lane</w:t>
            </w:r>
          </w:p>
        </w:tc>
        <w:tc>
          <w:tcPr/>
          <w:p>
            <w:pPr>
              <w:pStyle w:val="Compact"/>
              <w:jc w:val="left"/>
            </w:pPr>
            <w:r>
              <w:t xml:space="preserve">Separation between fairways</w:t>
            </w:r>
          </w:p>
        </w:tc>
        <w:tc>
          <w:tcPr/>
          <w:p>
            <w:pPr>
              <w:pStyle w:val="Compact"/>
              <w:jc w:val="left"/>
            </w:pPr>
            <w:r>
              <w:t xml:space="preserve">5 nm</w:t>
            </w:r>
          </w:p>
        </w:tc>
        <w:tc>
          <w:tcPr/>
          <w:p>
            <w:pPr>
              <w:pStyle w:val="Compact"/>
              <w:jc w:val="left"/>
            </w:pPr>
            <w:r>
              <w:t xml:space="preserve">Centerline at approximately 26 degrees 10 minutes N</w:t>
            </w:r>
          </w:p>
        </w:tc>
      </w:tr>
      <w:tr>
        <w:tc>
          <w:tcPr/>
          <w:p>
            <w:pPr>
              <w:pStyle w:val="Compact"/>
              <w:jc w:val="left"/>
            </w:pPr>
            <w:r>
              <w:t xml:space="preserve">Fairway Bravo</w:t>
            </w:r>
          </w:p>
        </w:tc>
        <w:tc>
          <w:tcPr/>
          <w:p>
            <w:pPr>
              <w:pStyle w:val="Compact"/>
              <w:jc w:val="left"/>
            </w:pPr>
            <w:r>
              <w:t xml:space="preserve">Northbound-weighted notification lane</w:t>
            </w:r>
          </w:p>
        </w:tc>
        <w:tc>
          <w:tcPr/>
          <w:p>
            <w:pPr>
              <w:pStyle w:val="Compact"/>
              <w:jc w:val="left"/>
            </w:pPr>
            <w:r>
              <w:t xml:space="preserve">8 nm</w:t>
            </w:r>
          </w:p>
        </w:tc>
        <w:tc>
          <w:tcPr/>
          <w:p>
            <w:pPr>
              <w:pStyle w:val="Compact"/>
              <w:jc w:val="left"/>
            </w:pPr>
            <w:r>
              <w:t xml:space="preserve">Axis through FB-1, FB-2, FB-3</w:t>
            </w:r>
          </w:p>
        </w:tc>
      </w:tr>
      <w:tr>
        <w:tc>
          <w:tcPr/>
          <w:p>
            <w:pPr>
              <w:pStyle w:val="Compact"/>
              <w:jc w:val="left"/>
            </w:pPr>
            <w:r>
              <w:t xml:space="preserve">Outer buffer</w:t>
            </w:r>
          </w:p>
        </w:tc>
        <w:tc>
          <w:tcPr/>
          <w:p>
            <w:pPr>
              <w:pStyle w:val="Compact"/>
              <w:jc w:val="left"/>
            </w:pPr>
            <w:r>
              <w:t xml:space="preserve">Separation from coastal precautionary areas</w:t>
            </w:r>
          </w:p>
        </w:tc>
        <w:tc>
          <w:tcPr/>
          <w:p>
            <w:pPr>
              <w:pStyle w:val="Compact"/>
              <w:jc w:val="left"/>
            </w:pPr>
            <w:r>
              <w:t xml:space="preserve">5 nm</w:t>
            </w:r>
          </w:p>
        </w:tc>
        <w:tc>
          <w:tcPr/>
          <w:p>
            <w:pPr>
              <w:pStyle w:val="Compact"/>
              <w:jc w:val="left"/>
            </w:pPr>
            <w:r>
              <w:t xml:space="preserve">Landward edge of the corridor system</w:t>
            </w:r>
          </w:p>
        </w:tc>
      </w:tr>
    </w:tbl>
    <w:p>
      <w:pPr>
        <w:pStyle w:val="BodyText"/>
      </w:pPr>
      <w:r>
        <w:rPr>
          <w:bCs/>
          <w:b/>
        </w:rPr>
        <w:t xml:space="preserve">A.6</w:t>
      </w:r>
      <w:r>
        <w:t xml:space="preserve"> </w:t>
      </w:r>
      <w:r>
        <w:t xml:space="preserve">Precautionary areas extend three (3) nautical miles from the Iranian coast and three (3) nautical miles from the Musandam coast. Commercial Vessels avoid the precautionary areas except under the coastal state’s published safety routing. The international waters zone comprises the remainder of the Governance Area, and the full protocol of Article 5 applies throughout it.</w:t>
      </w:r>
    </w:p>
    <w:p>
      <w:pPr>
        <w:pStyle w:val="BodyText"/>
      </w:pPr>
      <w:r>
        <w:rPr>
          <w:bCs/>
          <w:b/>
        </w:rPr>
        <w:t xml:space="preserve">A.7</w:t>
      </w:r>
      <w:r>
        <w:t xml:space="preserve"> </w:t>
      </w:r>
      <w:r>
        <w:t xml:space="preserve">Holding anchorages. Two designated waiting zones operate outside the fairway system: Anchorage West at 26 degrees 20 minutes N, 55 degrees 30 minutes E, and Anchorage East at 25 degrees 40 minutes N, 57 degrees 40 minutes E. Vessels awaiting certification windows, convoy slots, or clearance of a hazard declaration hold at these anchorages under the forty-eight (48) hour maximum of the vessels-of-concern protocol of Annex B.</w:t>
      </w:r>
    </w:p>
    <w:bookmarkEnd w:id="45"/>
    <w:bookmarkStart w:id="46" w:name="a.5-temporary-transit-routes"/>
    <w:p>
      <w:pPr>
        <w:pStyle w:val="Heading2"/>
      </w:pPr>
      <w:r>
        <w:t xml:space="preserve">A.5 Temporary Transit Routes</w:t>
      </w:r>
    </w:p>
    <w:p>
      <w:pPr>
        <w:pStyle w:val="FirstParagraph"/>
      </w:pPr>
      <w:r>
        <w:rPr>
          <w:bCs/>
          <w:b/>
        </w:rPr>
        <w:t xml:space="preserve">A.8</w:t>
      </w:r>
      <w:r>
        <w:t xml:space="preserve"> </w:t>
      </w:r>
      <w:r>
        <w:t xml:space="preserve">Pending the first Safe Route Certifications of Annex D, transit operates on two Temporary Transit Routes coincident with the Fairway Alpha and Fairway Bravo axes, with the following interim adjustments: convoy windows twice daily in each direction, mandatory automatic identification system carriage, Lead-Escort coverage where available under Annex C, and speed limited to twelve (12) knots. Temporary Transit Route status ends for each lane automatically upon publication of that lane’s Safe Route Certification.</w:t>
      </w:r>
    </w:p>
    <w:bookmarkEnd w:id="46"/>
    <w:bookmarkStart w:id="47" w:name="Xc74de0197ef543e72fee8bf2c6ca481e1a44c6f"/>
    <w:p>
      <w:pPr>
        <w:pStyle w:val="Heading2"/>
      </w:pPr>
      <w:r>
        <w:t xml:space="preserve">A.6 Vessel Classes and Transit Parameters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584"/>
        <w:gridCol w:w="1584"/>
        <w:gridCol w:w="1584"/>
        <w:gridCol w:w="1584"/>
        <w:gridCol w:w="1584"/>
      </w:tblGrid>
      <w:tr>
        <w:trPr>
          <w:tblHeader w:val="true"/>
        </w:trPr>
        <w:tc>
          <w:tcPr>
            <w:shd w:val="clear" w:color="auto" w:fill="D9E2EC"/>
          </w:tcPr>
          <w:p>
            <w:pPr>
              <w:pStyle w:val="Compact"/>
              <w:jc w:val="left"/>
            </w:pPr>
            <w:r>
              <w:rPr>
                <w:bCs/>
                <w:b/>
              </w:rPr>
              <w:t xml:space="preserve">Parameter</w:t>
            </w:r>
          </w:p>
        </w:tc>
        <w:tc>
          <w:tcPr>
            <w:shd w:val="clear" w:color="auto" w:fill="D9E2EC"/>
          </w:tcPr>
          <w:p>
            <w:pPr>
              <w:pStyle w:val="Compact"/>
              <w:jc w:val="left"/>
            </w:pPr>
            <w:r>
              <w:rPr>
                <w:bCs/>
                <w:b/>
              </w:rPr>
              <w:t xml:space="preserve">Class 1 Cargo</w:t>
            </w:r>
          </w:p>
        </w:tc>
        <w:tc>
          <w:tcPr>
            <w:shd w:val="clear" w:color="auto" w:fill="D9E2EC"/>
          </w:tcPr>
          <w:p>
            <w:pPr>
              <w:pStyle w:val="Compact"/>
              <w:jc w:val="left"/>
            </w:pPr>
            <w:r>
              <w:rPr>
                <w:bCs/>
                <w:b/>
              </w:rPr>
              <w:t xml:space="preserve">Class 2 Energy (tanker, LNG, LPG)</w:t>
            </w:r>
          </w:p>
        </w:tc>
        <w:tc>
          <w:tcPr>
            <w:shd w:val="clear" w:color="auto" w:fill="D9E2EC"/>
          </w:tcPr>
          <w:p>
            <w:pPr>
              <w:pStyle w:val="Compact"/>
              <w:jc w:val="left"/>
            </w:pPr>
            <w:r>
              <w:rPr>
                <w:bCs/>
                <w:b/>
              </w:rPr>
              <w:t xml:space="preserve">Class 3 Passenger</w:t>
            </w:r>
          </w:p>
        </w:tc>
        <w:tc>
          <w:tcPr>
            <w:shd w:val="clear" w:color="auto" w:fill="D9E2EC"/>
          </w:tcPr>
          <w:p>
            <w:pPr>
              <w:pStyle w:val="Compact"/>
              <w:jc w:val="left"/>
            </w:pPr>
            <w:r>
              <w:rPr>
                <w:bCs/>
                <w:b/>
              </w:rPr>
              <w:t xml:space="preserve">Class 4 Small craft</w:t>
            </w:r>
          </w:p>
        </w:tc>
      </w:tr>
      <w:tr>
        <w:tc>
          <w:tcPr/>
          <w:p>
            <w:pPr>
              <w:pStyle w:val="Compact"/>
              <w:jc w:val="left"/>
            </w:pPr>
            <w:r>
              <w:t xml:space="preserve">Fairway access</w:t>
            </w:r>
          </w:p>
        </w:tc>
        <w:tc>
          <w:tcPr/>
          <w:p>
            <w:pPr>
              <w:pStyle w:val="Compact"/>
              <w:jc w:val="left"/>
            </w:pPr>
            <w:r>
              <w:t xml:space="preserve">Both; Alpha default</w:t>
            </w:r>
          </w:p>
        </w:tc>
        <w:tc>
          <w:tcPr/>
          <w:p>
            <w:pPr>
              <w:pStyle w:val="Compact"/>
              <w:jc w:val="left"/>
            </w:pPr>
            <w:r>
              <w:t xml:space="preserve">Both; terminal integration via Bravo</w:t>
            </w:r>
          </w:p>
        </w:tc>
        <w:tc>
          <w:tcPr/>
          <w:p>
            <w:pPr>
              <w:pStyle w:val="Compact"/>
              <w:jc w:val="left"/>
            </w:pPr>
            <w:r>
              <w:t xml:space="preserve">Both; daylight recommended</w:t>
            </w:r>
          </w:p>
        </w:tc>
        <w:tc>
          <w:tcPr/>
          <w:p>
            <w:pPr>
              <w:pStyle w:val="Compact"/>
              <w:jc w:val="left"/>
            </w:pPr>
            <w:r>
              <w:t xml:space="preserve">Inshore zones; fairway transit in convoy windows</w:t>
            </w:r>
          </w:p>
        </w:tc>
      </w:tr>
      <w:tr>
        <w:tc>
          <w:tcPr/>
          <w:p>
            <w:pPr>
              <w:pStyle w:val="Compact"/>
              <w:jc w:val="left"/>
            </w:pPr>
            <w:r>
              <w:t xml:space="preserve">Notice (Bravo)</w:t>
            </w:r>
          </w:p>
        </w:tc>
        <w:tc>
          <w:tcPr/>
          <w:p>
            <w:pPr>
              <w:pStyle w:val="Compact"/>
              <w:jc w:val="left"/>
            </w:pPr>
            <w:r>
              <w:t xml:space="preserve">6 hours before entry</w:t>
            </w:r>
          </w:p>
        </w:tc>
        <w:tc>
          <w:tcPr/>
          <w:p>
            <w:pPr>
              <w:pStyle w:val="Compact"/>
              <w:jc w:val="left"/>
            </w:pPr>
            <w:r>
              <w:t xml:space="preserve">6 hours; expedited acknowledgment in 30 minutes</w:t>
            </w:r>
          </w:p>
        </w:tc>
        <w:tc>
          <w:tcPr/>
          <w:p>
            <w:pPr>
              <w:pStyle w:val="Compact"/>
              <w:jc w:val="left"/>
            </w:pPr>
            <w:r>
              <w:t xml:space="preserve">6 hours; manifest attached</w:t>
            </w:r>
          </w:p>
        </w:tc>
        <w:tc>
          <w:tcPr/>
          <w:p>
            <w:pPr>
              <w:pStyle w:val="Compact"/>
              <w:jc w:val="left"/>
            </w:pPr>
            <w:r>
              <w:t xml:space="preserve">Coastal registration as today</w:t>
            </w:r>
          </w:p>
        </w:tc>
      </w:tr>
      <w:tr>
        <w:tc>
          <w:tcPr/>
          <w:p>
            <w:pPr>
              <w:pStyle w:val="Compact"/>
              <w:jc w:val="left"/>
            </w:pPr>
            <w:r>
              <w:t xml:space="preserve">Notice (Alpha)</w:t>
            </w:r>
          </w:p>
        </w:tc>
        <w:tc>
          <w:tcPr/>
          <w:p>
            <w:pPr>
              <w:pStyle w:val="Compact"/>
              <w:jc w:val="left"/>
            </w:pPr>
            <w:r>
              <w:t xml:space="preserve">None beyond AIS carriage</w:t>
            </w:r>
          </w:p>
        </w:tc>
        <w:tc>
          <w:tcPr/>
          <w:p>
            <w:pPr>
              <w:pStyle w:val="Compact"/>
              <w:jc w:val="left"/>
            </w:pPr>
            <w:r>
              <w:t xml:space="preserve">None beyond AIS carriage</w:t>
            </w:r>
          </w:p>
        </w:tc>
        <w:tc>
          <w:tcPr/>
          <w:p>
            <w:pPr>
              <w:pStyle w:val="Compact"/>
              <w:jc w:val="left"/>
            </w:pPr>
            <w:r>
              <w:t xml:space="preserve">None beyond AIS carriage</w:t>
            </w:r>
          </w:p>
        </w:tc>
        <w:tc>
          <w:tcPr/>
          <w:p>
            <w:pPr>
              <w:pStyle w:val="Compact"/>
              <w:jc w:val="left"/>
            </w:pPr>
            <w:r>
              <w:t xml:space="preserve">None</w:t>
            </w:r>
          </w:p>
        </w:tc>
      </w:tr>
      <w:tr>
        <w:tc>
          <w:tcPr/>
          <w:p>
            <w:pPr>
              <w:pStyle w:val="Compact"/>
              <w:jc w:val="left"/>
            </w:pPr>
            <w:r>
              <w:t xml:space="preserve">Speed band</w:t>
            </w:r>
          </w:p>
        </w:tc>
        <w:tc>
          <w:tcPr/>
          <w:p>
            <w:pPr>
              <w:pStyle w:val="Compact"/>
              <w:jc w:val="left"/>
            </w:pPr>
            <w:r>
              <w:t xml:space="preserve">8 to 14 knots</w:t>
            </w:r>
          </w:p>
        </w:tc>
        <w:tc>
          <w:tcPr/>
          <w:p>
            <w:pPr>
              <w:pStyle w:val="Compact"/>
              <w:jc w:val="left"/>
            </w:pPr>
            <w:r>
              <w:t xml:space="preserve">8 to 12 knots</w:t>
            </w:r>
          </w:p>
        </w:tc>
        <w:tc>
          <w:tcPr/>
          <w:p>
            <w:pPr>
              <w:pStyle w:val="Compact"/>
              <w:jc w:val="left"/>
            </w:pPr>
            <w:r>
              <w:t xml:space="preserve">10 to 14 knots</w:t>
            </w:r>
          </w:p>
        </w:tc>
        <w:tc>
          <w:tcPr/>
          <w:p>
            <w:pPr>
              <w:pStyle w:val="Compact"/>
              <w:jc w:val="left"/>
            </w:pPr>
            <w:r>
              <w:t xml:space="preserve">Per coastal rules</w:t>
            </w:r>
          </w:p>
        </w:tc>
      </w:tr>
      <w:tr>
        <w:tc>
          <w:tcPr/>
          <w:p>
            <w:pPr>
              <w:pStyle w:val="Compact"/>
              <w:jc w:val="left"/>
            </w:pPr>
            <w:r>
              <w:t xml:space="preserve">Spacing</w:t>
            </w:r>
          </w:p>
        </w:tc>
        <w:tc>
          <w:tcPr/>
          <w:p>
            <w:pPr>
              <w:pStyle w:val="Compact"/>
              <w:jc w:val="left"/>
            </w:pPr>
            <w:r>
              <w:t xml:space="preserve">1 nautical mile</w:t>
            </w:r>
          </w:p>
        </w:tc>
        <w:tc>
          <w:tcPr/>
          <w:p>
            <w:pPr>
              <w:pStyle w:val="Compact"/>
              <w:jc w:val="left"/>
            </w:pPr>
            <w:r>
              <w:t xml:space="preserve">3 nautical miles laden</w:t>
            </w:r>
          </w:p>
        </w:tc>
        <w:tc>
          <w:tcPr/>
          <w:p>
            <w:pPr>
              <w:pStyle w:val="Compact"/>
              <w:jc w:val="left"/>
            </w:pPr>
            <w:r>
              <w:t xml:space="preserve">2 nautical miles</w:t>
            </w:r>
          </w:p>
        </w:tc>
        <w:tc>
          <w:tcPr/>
          <w:p>
            <w:pPr>
              <w:pStyle w:val="Compact"/>
              <w:jc w:val="left"/>
            </w:pPr>
            <w:r>
              <w:t xml:space="preserve">Outside lanes</w:t>
            </w:r>
          </w:p>
        </w:tc>
      </w:tr>
      <w:tr>
        <w:tc>
          <w:tcPr/>
          <w:p>
            <w:pPr>
              <w:pStyle w:val="Compact"/>
              <w:jc w:val="left"/>
            </w:pPr>
            <w:r>
              <w:t xml:space="preserve">Lead-Escort coverage</w:t>
            </w:r>
          </w:p>
        </w:tc>
        <w:tc>
          <w:tcPr/>
          <w:p>
            <w:pPr>
              <w:pStyle w:val="Compact"/>
              <w:jc w:val="left"/>
            </w:pPr>
            <w:r>
              <w:t xml:space="preserve">On request</w:t>
            </w:r>
          </w:p>
        </w:tc>
        <w:tc>
          <w:tcPr/>
          <w:p>
            <w:pPr>
              <w:pStyle w:val="Compact"/>
              <w:jc w:val="left"/>
            </w:pPr>
            <w:r>
              <w:t xml:space="preserve">Priority in every window</w:t>
            </w:r>
          </w:p>
        </w:tc>
        <w:tc>
          <w:tcPr/>
          <w:p>
            <w:pPr>
              <w:pStyle w:val="Compact"/>
              <w:jc w:val="left"/>
            </w:pPr>
            <w:r>
              <w:t xml:space="preserve">Priority in every window</w:t>
            </w:r>
          </w:p>
        </w:tc>
        <w:tc>
          <w:tcPr/>
          <w:p>
            <w:pPr>
              <w:pStyle w:val="Compact"/>
              <w:jc w:val="left"/>
            </w:pPr>
            <w:r>
              <w:t xml:space="preserve">Not applicable</w:t>
            </w:r>
          </w:p>
        </w:tc>
      </w:tr>
      <w:tr>
        <w:tc>
          <w:tcPr/>
          <w:p>
            <w:pPr>
              <w:pStyle w:val="Compact"/>
              <w:jc w:val="left"/>
            </w:pPr>
            <w:r>
              <w:t xml:space="preserve">Charges</w:t>
            </w:r>
          </w:p>
        </w:tc>
        <w:tc>
          <w:tcPr/>
          <w:p>
            <w:pPr>
              <w:pStyle w:val="Compact"/>
              <w:jc w:val="left"/>
            </w:pPr>
            <w:r>
              <w:t xml:space="preserve">Zero-Toll Rule</w:t>
            </w:r>
          </w:p>
        </w:tc>
        <w:tc>
          <w:tcPr/>
          <w:p>
            <w:pPr>
              <w:pStyle w:val="Compact"/>
              <w:jc w:val="left"/>
            </w:pPr>
            <w:r>
              <w:t xml:space="preserve">Zero-Toll Rule</w:t>
            </w:r>
          </w:p>
        </w:tc>
        <w:tc>
          <w:tcPr/>
          <w:p>
            <w:pPr>
              <w:pStyle w:val="Compact"/>
              <w:jc w:val="left"/>
            </w:pPr>
            <w:r>
              <w:t xml:space="preserve">Zero-Toll Rule</w:t>
            </w:r>
          </w:p>
        </w:tc>
        <w:tc>
          <w:tcPr/>
          <w:p>
            <w:pPr>
              <w:pStyle w:val="Compact"/>
              <w:jc w:val="left"/>
            </w:pPr>
            <w:r>
              <w:t xml:space="preserve">Zero-Toll Rule</w:t>
            </w:r>
          </w:p>
        </w:tc>
      </w:tr>
    </w:tbl>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584"/>
        <w:gridCol w:w="1584"/>
        <w:gridCol w:w="1584"/>
        <w:gridCol w:w="1584"/>
        <w:gridCol w:w="1584"/>
      </w:tblGrid>
      <w:tr>
        <w:trPr>
          <w:tblHeader w:val="true"/>
        </w:trPr>
        <w:tc>
          <w:tcPr>
            <w:shd w:val="clear" w:color="auto" w:fill="D9E2EC"/>
          </w:tcPr>
          <w:p>
            <w:pPr>
              <w:pStyle w:val="Compact"/>
              <w:jc w:val="left"/>
            </w:pPr>
            <w:r>
              <w:rPr>
                <w:bCs/>
                <w:b/>
              </w:rPr>
              <w:t xml:space="preserve">Parameter</w:t>
            </w:r>
          </w:p>
        </w:tc>
        <w:tc>
          <w:tcPr>
            <w:shd w:val="clear" w:color="auto" w:fill="D9E2EC"/>
          </w:tcPr>
          <w:p>
            <w:pPr>
              <w:pStyle w:val="Compact"/>
              <w:jc w:val="left"/>
            </w:pPr>
            <w:r>
              <w:rPr>
                <w:bCs/>
                <w:b/>
              </w:rPr>
              <w:t xml:space="preserve">Class 5 Humanitarian</w:t>
            </w:r>
          </w:p>
        </w:tc>
        <w:tc>
          <w:tcPr>
            <w:shd w:val="clear" w:color="auto" w:fill="D9E2EC"/>
          </w:tcPr>
          <w:p>
            <w:pPr>
              <w:pStyle w:val="Compact"/>
              <w:jc w:val="left"/>
            </w:pPr>
            <w:r>
              <w:rPr>
                <w:bCs/>
                <w:b/>
              </w:rPr>
              <w:t xml:space="preserve">Class 6 Government non-naval</w:t>
            </w:r>
          </w:p>
        </w:tc>
        <w:tc>
          <w:tcPr>
            <w:shd w:val="clear" w:color="auto" w:fill="D9E2EC"/>
          </w:tcPr>
          <w:p>
            <w:pPr>
              <w:pStyle w:val="Compact"/>
              <w:jc w:val="left"/>
            </w:pPr>
            <w:r>
              <w:rPr>
                <w:bCs/>
                <w:b/>
              </w:rPr>
              <w:t xml:space="preserve">Class 7 Naval and state</w:t>
            </w:r>
          </w:p>
        </w:tc>
        <w:tc>
          <w:tcPr>
            <w:shd w:val="clear" w:color="auto" w:fill="D9E2EC"/>
          </w:tcPr>
          <w:p>
            <w:pPr>
              <w:pStyle w:val="Compact"/>
              <w:jc w:val="left"/>
            </w:pPr>
            <w:r>
              <w:rPr>
                <w:bCs/>
                <w:b/>
              </w:rPr>
              <w:t xml:space="preserve">Class 8 Vessels of concern</w:t>
            </w:r>
          </w:p>
        </w:tc>
      </w:tr>
      <w:tr>
        <w:tc>
          <w:tcPr/>
          <w:p>
            <w:pPr>
              <w:pStyle w:val="Compact"/>
              <w:jc w:val="left"/>
            </w:pPr>
            <w:r>
              <w:t xml:space="preserve">Fairway access</w:t>
            </w:r>
          </w:p>
        </w:tc>
        <w:tc>
          <w:tcPr/>
          <w:p>
            <w:pPr>
              <w:pStyle w:val="Compact"/>
              <w:jc w:val="left"/>
            </w:pPr>
            <w:r>
              <w:t xml:space="preserve">Both; fastest available route</w:t>
            </w:r>
          </w:p>
        </w:tc>
        <w:tc>
          <w:tcPr/>
          <w:p>
            <w:pPr>
              <w:pStyle w:val="Compact"/>
              <w:jc w:val="left"/>
            </w:pPr>
            <w:r>
              <w:t xml:space="preserve">Both</w:t>
            </w:r>
          </w:p>
        </w:tc>
        <w:tc>
          <w:tcPr/>
          <w:p>
            <w:pPr>
              <w:pStyle w:val="Compact"/>
              <w:jc w:val="left"/>
            </w:pPr>
            <w:r>
              <w:t xml:space="preserve">Fairway Alpha only</w:t>
            </w:r>
          </w:p>
        </w:tc>
        <w:tc>
          <w:tcPr/>
          <w:p>
            <w:pPr>
              <w:pStyle w:val="Compact"/>
              <w:jc w:val="left"/>
            </w:pPr>
            <w:r>
              <w:t xml:space="preserve">To designated anchorage or continue pending documents</w:t>
            </w:r>
          </w:p>
        </w:tc>
      </w:tr>
      <w:tr>
        <w:tc>
          <w:tcPr/>
          <w:p>
            <w:pPr>
              <w:pStyle w:val="Compact"/>
              <w:jc w:val="left"/>
            </w:pPr>
            <w:r>
              <w:t xml:space="preserve">Notice regime</w:t>
            </w:r>
          </w:p>
        </w:tc>
        <w:tc>
          <w:tcPr/>
          <w:p>
            <w:pPr>
              <w:pStyle w:val="Compact"/>
              <w:jc w:val="left"/>
            </w:pPr>
            <w:r>
              <w:t xml:space="preserve">Immediate acknowledgment; no waiting period</w:t>
            </w:r>
          </w:p>
        </w:tc>
        <w:tc>
          <w:tcPr/>
          <w:p>
            <w:pPr>
              <w:pStyle w:val="Compact"/>
              <w:jc w:val="left"/>
            </w:pPr>
            <w:r>
              <w:t xml:space="preserve">6 to 72 hours; mission description</w:t>
            </w:r>
          </w:p>
        </w:tc>
        <w:tc>
          <w:tcPr/>
          <w:p>
            <w:pPr>
              <w:pStyle w:val="Compact"/>
              <w:jc w:val="left"/>
            </w:pPr>
            <w:r>
              <w:t xml:space="preserve">96-hour movement notice, military channel</w:t>
            </w:r>
          </w:p>
        </w:tc>
        <w:tc>
          <w:tcPr/>
          <w:p>
            <w:pPr>
              <w:pStyle w:val="Compact"/>
              <w:jc w:val="left"/>
            </w:pPr>
            <w:r>
              <w:t xml:space="preserve">Referral notice per Annex B</w:t>
            </w:r>
          </w:p>
        </w:tc>
      </w:tr>
      <w:tr>
        <w:tc>
          <w:tcPr/>
          <w:p>
            <w:pPr>
              <w:pStyle w:val="Compact"/>
              <w:jc w:val="left"/>
            </w:pPr>
            <w:r>
              <w:t xml:space="preserve">Escort and protection</w:t>
            </w:r>
          </w:p>
        </w:tc>
        <w:tc>
          <w:tcPr/>
          <w:p>
            <w:pPr>
              <w:pStyle w:val="Compact"/>
              <w:jc w:val="left"/>
            </w:pPr>
            <w:r>
              <w:t xml:space="preserve">Highest priority; dedicated protection review for every transit</w:t>
            </w:r>
          </w:p>
        </w:tc>
        <w:tc>
          <w:tcPr/>
          <w:p>
            <w:pPr>
              <w:pStyle w:val="Compact"/>
              <w:jc w:val="left"/>
            </w:pPr>
            <w:r>
              <w:t xml:space="preserve">Standard</w:t>
            </w:r>
          </w:p>
        </w:tc>
        <w:tc>
          <w:tcPr/>
          <w:p>
            <w:pPr>
              <w:pStyle w:val="Compact"/>
              <w:jc w:val="left"/>
            </w:pPr>
            <w:r>
              <w:t xml:space="preserve">Self-escorted; no foreign escort inside fairways</w:t>
            </w:r>
          </w:p>
        </w:tc>
        <w:tc>
          <w:tcPr/>
          <w:p>
            <w:pPr>
              <w:pStyle w:val="Compact"/>
              <w:jc w:val="left"/>
            </w:pPr>
            <w:r>
              <w:t xml:space="preserve">Verification team at anchorage</w:t>
            </w:r>
          </w:p>
        </w:tc>
      </w:tr>
      <w:tr>
        <w:tc>
          <w:tcPr/>
          <w:p>
            <w:pPr>
              <w:pStyle w:val="Compact"/>
              <w:jc w:val="left"/>
            </w:pPr>
            <w:r>
              <w:t xml:space="preserve">Inspection</w:t>
            </w:r>
          </w:p>
        </w:tc>
        <w:tc>
          <w:tcPr/>
          <w:p>
            <w:pPr>
              <w:pStyle w:val="Compact"/>
              <w:jc w:val="left"/>
            </w:pPr>
            <w:r>
              <w:t xml:space="preserve">None; documentation pre-cleared through the humanitarian window</w:t>
            </w:r>
          </w:p>
        </w:tc>
        <w:tc>
          <w:tcPr/>
          <w:p>
            <w:pPr>
              <w:pStyle w:val="Compact"/>
              <w:jc w:val="left"/>
            </w:pPr>
            <w:r>
              <w:t xml:space="preserve">None at sea</w:t>
            </w:r>
          </w:p>
        </w:tc>
        <w:tc>
          <w:tcPr/>
          <w:p>
            <w:pPr>
              <w:pStyle w:val="Compact"/>
              <w:jc w:val="left"/>
            </w:pPr>
            <w:r>
              <w:t xml:space="preserve">No embarkation of inspection teams against merchant vessels in the Governance Area</w:t>
            </w:r>
          </w:p>
        </w:tc>
        <w:tc>
          <w:tcPr/>
          <w:p>
            <w:pPr>
              <w:pStyle w:val="Compact"/>
              <w:jc w:val="left"/>
            </w:pPr>
            <w:r>
              <w:t xml:space="preserve">48-hour joint verification at anchorage; 96-hour outer limit</w:t>
            </w:r>
          </w:p>
        </w:tc>
      </w:tr>
      <w:tr>
        <w:tc>
          <w:tcPr/>
          <w:p>
            <w:pPr>
              <w:pStyle w:val="Compact"/>
              <w:jc w:val="left"/>
            </w:pPr>
            <w:r>
              <w:t xml:space="preserve">Delays permitted</w:t>
            </w:r>
          </w:p>
        </w:tc>
        <w:tc>
          <w:tcPr/>
          <w:p>
            <w:pPr>
              <w:pStyle w:val="Compact"/>
              <w:jc w:val="left"/>
            </w:pPr>
            <w:r>
              <w:t xml:space="preserve">None</w:t>
            </w:r>
          </w:p>
        </w:tc>
        <w:tc>
          <w:tcPr/>
          <w:p>
            <w:pPr>
              <w:pStyle w:val="Compact"/>
              <w:jc w:val="left"/>
            </w:pPr>
            <w:r>
              <w:t xml:space="preserve">Operational only</w:t>
            </w:r>
          </w:p>
        </w:tc>
        <w:tc>
          <w:tcPr/>
          <w:p>
            <w:pPr>
              <w:pStyle w:val="Compact"/>
              <w:jc w:val="left"/>
            </w:pPr>
            <w:r>
              <w:t xml:space="preserve">None for merchant traffic</w:t>
            </w:r>
          </w:p>
        </w:tc>
        <w:tc>
          <w:tcPr/>
          <w:p>
            <w:pPr>
              <w:pStyle w:val="Compact"/>
              <w:jc w:val="left"/>
            </w:pPr>
            <w:r>
              <w:t xml:space="preserve">72 hours at anchor maximum before Joint Technical Committee routing</w:t>
            </w:r>
          </w:p>
        </w:tc>
      </w:tr>
      <w:tr>
        <w:tc>
          <w:tcPr/>
          <w:p>
            <w:pPr>
              <w:pStyle w:val="Compact"/>
              <w:jc w:val="left"/>
            </w:pPr>
            <w:r>
              <w:t xml:space="preserve">Charges</w:t>
            </w:r>
          </w:p>
        </w:tc>
        <w:tc>
          <w:tcPr/>
          <w:p>
            <w:pPr>
              <w:pStyle w:val="Compact"/>
              <w:jc w:val="left"/>
            </w:pPr>
            <w:r>
              <w:t xml:space="preserve">Zero-Toll Rule</w:t>
            </w:r>
          </w:p>
        </w:tc>
        <w:tc>
          <w:tcPr/>
          <w:p>
            <w:pPr>
              <w:pStyle w:val="Compact"/>
              <w:jc w:val="left"/>
            </w:pPr>
            <w:r>
              <w:t xml:space="preserve">Zero-Toll Rule</w:t>
            </w:r>
          </w:p>
        </w:tc>
        <w:tc>
          <w:tcPr/>
          <w:p>
            <w:pPr>
              <w:pStyle w:val="Compact"/>
              <w:jc w:val="left"/>
            </w:pPr>
            <w:r>
              <w:t xml:space="preserve">Zero-Toll Rule</w:t>
            </w:r>
          </w:p>
        </w:tc>
        <w:tc>
          <w:tcPr/>
          <w:p>
            <w:pPr>
              <w:pStyle w:val="Compact"/>
              <w:jc w:val="left"/>
            </w:pPr>
            <w:r>
              <w:t xml:space="preserve">Zero-Toll Rule; verification costs to the Fund</w:t>
            </w:r>
          </w:p>
        </w:tc>
      </w:tr>
    </w:tbl>
    <w:bookmarkEnd w:id="47"/>
    <w:bookmarkStart w:id="48" w:name="a.7-flow-states"/>
    <w:p>
      <w:pPr>
        <w:pStyle w:val="Heading2"/>
      </w:pPr>
      <w:r>
        <w:t xml:space="preserve">A.7 Flow States</w:t>
      </w:r>
    </w:p>
    <w:p>
      <w:pPr>
        <w:pStyle w:val="FirstParagraph"/>
      </w:pPr>
      <w:r>
        <w:rPr>
          <w:bCs/>
          <w:b/>
        </w:rPr>
        <w:t xml:space="preserve">A.9</w:t>
      </w:r>
      <w:r>
        <w:t xml:space="preserve"> </w:t>
      </w:r>
      <w:r>
        <w:t xml:space="preserve">The Joint Coordination Center declares flow states against objective criteria. Normal: both fairways certified, no active hazard bulletin, Lead-Escort coverage at published strength. Managed: one fairway under survey or temporary restriction, convoy windows active, escort coverage surged. Restricted: active hazard bulletin affecting both fairways, transit limited to Temporary Transit Routes under escort, anchorage protocol active. Every declaration publishes simultaneously to all Members, flag states, and the insurance market, and reverses automatically when the triggering condition clears.</w:t>
      </w:r>
    </w:p>
    <w:bookmarkEnd w:id="48"/>
    <w:bookmarkStart w:id="49" w:name="Xe99a10fe7e9c85cb69ed389fa9e4903ee062dd2"/>
    <w:p>
      <w:pPr>
        <w:pStyle w:val="Heading2"/>
      </w:pPr>
      <w:r>
        <w:t xml:space="preserve">A.8 Distance Markers and Monitoring Stations</w:t>
      </w:r>
    </w:p>
    <w:p>
      <w:pPr>
        <w:pStyle w:val="FirstParagraph"/>
      </w:pPr>
      <w:r>
        <w:rPr>
          <w:bCs/>
          <w:b/>
        </w:rPr>
        <w:t xml:space="preserve">A.10</w:t>
      </w:r>
      <w:r>
        <w:t xml:space="preserve"> </w:t>
      </w:r>
      <w:r>
        <w:t xml:space="preserve">Distance markers sit at five (5) nautical mile intervals along each lane axis, labeled M1 through M12 west to east. Monitoring stations operate as follows.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Station</w:t>
            </w:r>
          </w:p>
        </w:tc>
        <w:tc>
          <w:tcPr>
            <w:shd w:val="clear" w:color="auto" w:fill="D9E2EC"/>
          </w:tcPr>
          <w:p>
            <w:pPr>
              <w:pStyle w:val="Compact"/>
              <w:jc w:val="left"/>
            </w:pPr>
            <w:r>
              <w:rPr>
                <w:bCs/>
                <w:b/>
              </w:rPr>
              <w:t xml:space="preserve">Approximate Position</w:t>
            </w:r>
          </w:p>
        </w:tc>
        <w:tc>
          <w:tcPr>
            <w:shd w:val="clear" w:color="auto" w:fill="D9E2EC"/>
          </w:tcPr>
          <w:p>
            <w:pPr>
              <w:pStyle w:val="Compact"/>
              <w:jc w:val="left"/>
            </w:pPr>
            <w:r>
              <w:rPr>
                <w:bCs/>
                <w:b/>
              </w:rPr>
              <w:t xml:space="preserve">Operator</w:t>
            </w:r>
          </w:p>
        </w:tc>
        <w:tc>
          <w:tcPr>
            <w:shd w:val="clear" w:color="auto" w:fill="D9E2EC"/>
          </w:tcPr>
          <w:p>
            <w:pPr>
              <w:pStyle w:val="Compact"/>
              <w:jc w:val="left"/>
            </w:pPr>
            <w:r>
              <w:rPr>
                <w:bCs/>
                <w:b/>
              </w:rPr>
              <w:t xml:space="preserve">Function</w:t>
            </w:r>
          </w:p>
        </w:tc>
      </w:tr>
      <w:tr>
        <w:tc>
          <w:tcPr/>
          <w:p>
            <w:pPr>
              <w:pStyle w:val="Compact"/>
              <w:jc w:val="left"/>
            </w:pPr>
            <w:r>
              <w:t xml:space="preserve">Musandam Peninsula observation post</w:t>
            </w:r>
          </w:p>
        </w:tc>
        <w:tc>
          <w:tcPr/>
          <w:p>
            <w:pPr>
              <w:pStyle w:val="Compact"/>
              <w:jc w:val="left"/>
            </w:pPr>
            <w:r>
              <w:t xml:space="preserve">26 degrees 15 minutes N, 56 degrees 20 minutes E</w:t>
            </w:r>
          </w:p>
        </w:tc>
        <w:tc>
          <w:tcPr/>
          <w:p>
            <w:pPr>
              <w:pStyle w:val="Compact"/>
              <w:jc w:val="left"/>
            </w:pPr>
            <w:r>
              <w:t xml:space="preserve">Omani Maritime Cell</w:t>
            </w:r>
          </w:p>
        </w:tc>
        <w:tc>
          <w:tcPr/>
          <w:p>
            <w:pPr>
              <w:pStyle w:val="Compact"/>
              <w:jc w:val="left"/>
            </w:pPr>
            <w:r>
              <w:t xml:space="preserve">Radar, visual, and AIS observation; continuous staffing</w:t>
            </w:r>
          </w:p>
        </w:tc>
      </w:tr>
      <w:tr>
        <w:tc>
          <w:tcPr/>
          <w:p>
            <w:pPr>
              <w:pStyle w:val="Compact"/>
              <w:jc w:val="left"/>
            </w:pPr>
            <w:r>
              <w:t xml:space="preserve">Qeshm Island neutral-zone observer post</w:t>
            </w:r>
          </w:p>
        </w:tc>
        <w:tc>
          <w:tcPr/>
          <w:p>
            <w:pPr>
              <w:pStyle w:val="Compact"/>
              <w:jc w:val="left"/>
            </w:pPr>
            <w:r>
              <w:t xml:space="preserve">26 degrees 45 minutes N, 55 degrees 55 minutes E</w:t>
            </w:r>
          </w:p>
        </w:tc>
        <w:tc>
          <w:tcPr/>
          <w:p>
            <w:pPr>
              <w:pStyle w:val="Compact"/>
              <w:jc w:val="left"/>
            </w:pPr>
            <w:r>
              <w:t xml:space="preserve">Omani Maritime Cell with observer status</w:t>
            </w:r>
          </w:p>
        </w:tc>
        <w:tc>
          <w:tcPr/>
          <w:p>
            <w:pPr>
              <w:pStyle w:val="Compact"/>
              <w:jc w:val="left"/>
            </w:pPr>
            <w:r>
              <w:t xml:space="preserve">Neutral-zone observation and AIS relay</w:t>
            </w:r>
          </w:p>
        </w:tc>
      </w:tr>
      <w:tr>
        <w:tc>
          <w:tcPr/>
          <w:p>
            <w:pPr>
              <w:pStyle w:val="Compact"/>
              <w:jc w:val="left"/>
            </w:pPr>
            <w:r>
              <w:t xml:space="preserve">Floating station, eastern exit</w:t>
            </w:r>
          </w:p>
        </w:tc>
        <w:tc>
          <w:tcPr/>
          <w:p>
            <w:pPr>
              <w:pStyle w:val="Compact"/>
              <w:jc w:val="left"/>
            </w:pPr>
            <w:r>
              <w:t xml:space="preserve">25 degrees 45 minutes N, 57 degrees 25 minutes E</w:t>
            </w:r>
          </w:p>
        </w:tc>
        <w:tc>
          <w:tcPr/>
          <w:p>
            <w:pPr>
              <w:pStyle w:val="Compact"/>
              <w:jc w:val="left"/>
            </w:pPr>
            <w:r>
              <w:t xml:space="preserve">Omani Maritime Cell</w:t>
            </w:r>
          </w:p>
        </w:tc>
        <w:tc>
          <w:tcPr/>
          <w:p>
            <w:pPr>
              <w:pStyle w:val="Compact"/>
              <w:jc w:val="left"/>
            </w:pPr>
            <w:r>
              <w:t xml:space="preserve">Transit counting and corridor certification support</w:t>
            </w:r>
          </w:p>
        </w:tc>
      </w:tr>
      <w:tr>
        <w:tc>
          <w:tcPr/>
          <w:p>
            <w:pPr>
              <w:pStyle w:val="Compact"/>
              <w:jc w:val="left"/>
            </w:pPr>
            <w:r>
              <w:t xml:space="preserve">IAEA maritime monitoring buoy</w:t>
            </w:r>
          </w:p>
        </w:tc>
        <w:tc>
          <w:tcPr/>
          <w:p>
            <w:pPr>
              <w:pStyle w:val="Compact"/>
              <w:jc w:val="left"/>
            </w:pPr>
            <w:r>
              <w:t xml:space="preserve">26 degrees 10 minutes N, 56 degrees 35 minutes E</w:t>
            </w:r>
          </w:p>
        </w:tc>
        <w:tc>
          <w:tcPr/>
          <w:p>
            <w:pPr>
              <w:pStyle w:val="Compact"/>
              <w:jc w:val="left"/>
            </w:pPr>
            <w:r>
              <w:t xml:space="preserve">IAEA Technical Cell</w:t>
            </w:r>
          </w:p>
        </w:tc>
        <w:tc>
          <w:tcPr/>
          <w:p>
            <w:pPr>
              <w:pStyle w:val="Compact"/>
              <w:jc w:val="left"/>
            </w:pPr>
            <w:r>
              <w:t xml:space="preserve">Environmental and nuclear-material tracking; telemetry to Vienna and the Shared Digital Registry</w:t>
            </w:r>
          </w:p>
        </w:tc>
      </w:tr>
      <w:tr>
        <w:tc>
          <w:tcPr/>
          <w:p>
            <w:pPr>
              <w:pStyle w:val="Compact"/>
              <w:jc w:val="left"/>
            </w:pPr>
            <w:r>
              <w:t xml:space="preserve">Meridian buoy array (B1 to B4)</w:t>
            </w:r>
          </w:p>
        </w:tc>
        <w:tc>
          <w:tcPr/>
          <w:p>
            <w:pPr>
              <w:pStyle w:val="Compact"/>
              <w:jc w:val="left"/>
            </w:pPr>
            <w:r>
              <w:t xml:space="preserve">Along the buffer lane centerline</w:t>
            </w:r>
          </w:p>
        </w:tc>
        <w:tc>
          <w:tcPr/>
          <w:p>
            <w:pPr>
              <w:pStyle w:val="Compact"/>
              <w:jc w:val="left"/>
            </w:pPr>
            <w:r>
              <w:t xml:space="preserve">Joint Coordination Center</w:t>
            </w:r>
          </w:p>
        </w:tc>
        <w:tc>
          <w:tcPr/>
          <w:p>
            <w:pPr>
              <w:pStyle w:val="Compact"/>
              <w:jc w:val="left"/>
            </w:pPr>
            <w:r>
              <w:t xml:space="preserve">Lane-status telemetry, hazard beacon relay</w:t>
            </w:r>
          </w:p>
        </w:tc>
      </w:tr>
    </w:tbl>
    <w:bookmarkEnd w:id="49"/>
    <w:bookmarkEnd w:id="50"/>
    <w:bookmarkStart w:id="60" w:name="Xbf0a12975d04f87983f3e00fb509df2d361d86f"/>
    <w:p>
      <w:pPr>
        <w:pStyle w:val="Heading1"/>
      </w:pPr>
      <w:r>
        <w:t xml:space="preserve">Annex B. Verification and Convergence Protocol</w:t>
      </w:r>
    </w:p>
    <w:p>
      <w:pPr>
        <w:pStyle w:val="FirstParagraph"/>
      </w:pPr>
      <w:r>
        <w:t xml:space="preserve">Operative Annex for Articles 5, 8, 10, and 12. This annex states the monitoring procedures, verification bodies, multi-source corroboration standard, certification tiers, incident reporting rules, and procedural checklists for the maritime and security commitments of this Compact.</w:t>
      </w:r>
    </w:p>
    <w:bookmarkStart w:id="51" w:name="b.1-verification-architecture"/>
    <w:p>
      <w:pPr>
        <w:pStyle w:val="Heading2"/>
      </w:pPr>
      <w:r>
        <w:t xml:space="preserve">B.1 Verification Architecture</w:t>
      </w:r>
    </w:p>
    <w:p>
      <w:pPr>
        <w:pStyle w:val="FirstParagraph"/>
      </w:pPr>
      <w:r>
        <w:rPr>
          <w:bCs/>
          <w:b/>
        </w:rPr>
        <w:t xml:space="preserve">B.1</w:t>
      </w:r>
      <w:r>
        <w:t xml:space="preserve"> </w:t>
      </w:r>
      <w:r>
        <w:t xml:space="preserve">The verification architecture comprises five bodies. Each body holds one domain, reports to all Members simultaneously, and publishes to the same screen. No joint commission with voting politics exists, and no private data channel exists.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Body</w:t>
            </w:r>
          </w:p>
        </w:tc>
        <w:tc>
          <w:tcPr>
            <w:shd w:val="clear" w:color="auto" w:fill="D9E2EC"/>
          </w:tcPr>
          <w:p>
            <w:pPr>
              <w:pStyle w:val="Compact"/>
              <w:jc w:val="left"/>
            </w:pPr>
            <w:r>
              <w:rPr>
                <w:bCs/>
                <w:b/>
              </w:rPr>
              <w:t xml:space="preserve">Seat</w:t>
            </w:r>
          </w:p>
        </w:tc>
        <w:tc>
          <w:tcPr>
            <w:shd w:val="clear" w:color="auto" w:fill="D9E2EC"/>
          </w:tcPr>
          <w:p>
            <w:pPr>
              <w:pStyle w:val="Compact"/>
              <w:jc w:val="left"/>
            </w:pPr>
            <w:r>
              <w:rPr>
                <w:bCs/>
                <w:b/>
              </w:rPr>
              <w:t xml:space="preserve">Domain</w:t>
            </w:r>
          </w:p>
        </w:tc>
        <w:tc>
          <w:tcPr>
            <w:shd w:val="clear" w:color="auto" w:fill="D9E2EC"/>
          </w:tcPr>
          <w:p>
            <w:pPr>
              <w:pStyle w:val="Compact"/>
              <w:jc w:val="left"/>
            </w:pPr>
            <w:r>
              <w:rPr>
                <w:bCs/>
                <w:b/>
              </w:rPr>
              <w:t xml:space="preserve">Function</w:t>
            </w:r>
          </w:p>
        </w:tc>
      </w:tr>
      <w:tr>
        <w:tc>
          <w:tcPr/>
          <w:p>
            <w:pPr>
              <w:pStyle w:val="Compact"/>
              <w:jc w:val="left"/>
            </w:pPr>
            <w:r>
              <w:t xml:space="preserve">Omani Maritime Cell</w:t>
            </w:r>
          </w:p>
        </w:tc>
        <w:tc>
          <w:tcPr/>
          <w:p>
            <w:pPr>
              <w:pStyle w:val="Compact"/>
              <w:jc w:val="left"/>
            </w:pPr>
            <w:r>
              <w:t xml:space="preserve">Muscat</w:t>
            </w:r>
          </w:p>
        </w:tc>
        <w:tc>
          <w:tcPr/>
          <w:p>
            <w:pPr>
              <w:pStyle w:val="Compact"/>
              <w:jc w:val="left"/>
            </w:pPr>
            <w:r>
              <w:t xml:space="preserve">Maritime</w:t>
            </w:r>
          </w:p>
        </w:tc>
        <w:tc>
          <w:tcPr/>
          <w:p>
            <w:pPr>
              <w:pStyle w:val="Compact"/>
              <w:jc w:val="left"/>
            </w:pPr>
            <w:r>
              <w:t xml:space="preserve">Patrol and transit observation, observer corps, bulletin board operations, fairway certification support</w:t>
            </w:r>
          </w:p>
        </w:tc>
      </w:tr>
      <w:tr>
        <w:tc>
          <w:tcPr/>
          <w:p>
            <w:pPr>
              <w:pStyle w:val="Compact"/>
              <w:jc w:val="left"/>
            </w:pPr>
            <w:r>
              <w:t xml:space="preserve">Omani Security Cell</w:t>
            </w:r>
          </w:p>
        </w:tc>
        <w:tc>
          <w:tcPr/>
          <w:p>
            <w:pPr>
              <w:pStyle w:val="Compact"/>
              <w:jc w:val="left"/>
            </w:pPr>
            <w:r>
              <w:t xml:space="preserve">Muscat</w:t>
            </w:r>
          </w:p>
        </w:tc>
        <w:tc>
          <w:tcPr/>
          <w:p>
            <w:pPr>
              <w:pStyle w:val="Compact"/>
              <w:jc w:val="left"/>
            </w:pPr>
            <w:r>
              <w:t xml:space="preserve">Security</w:t>
            </w:r>
          </w:p>
        </w:tc>
        <w:tc>
          <w:tcPr/>
          <w:p>
            <w:pPr>
              <w:pStyle w:val="Compact"/>
              <w:jc w:val="left"/>
            </w:pPr>
            <w:r>
              <w:t xml:space="preserve">Pause verification under Article 7, posture monitoring, hotline operations under Annex I</w:t>
            </w:r>
          </w:p>
        </w:tc>
      </w:tr>
      <w:tr>
        <w:tc>
          <w:tcPr/>
          <w:p>
            <w:pPr>
              <w:pStyle w:val="Compact"/>
              <w:jc w:val="left"/>
            </w:pPr>
            <w:r>
              <w:t xml:space="preserve">IAEA Technical Cell</w:t>
            </w:r>
          </w:p>
        </w:tc>
        <w:tc>
          <w:tcPr/>
          <w:p>
            <w:pPr>
              <w:pStyle w:val="Compact"/>
              <w:jc w:val="left"/>
            </w:pPr>
            <w:r>
              <w:t xml:space="preserve">Vienna and on-site</w:t>
            </w:r>
          </w:p>
        </w:tc>
        <w:tc>
          <w:tcPr/>
          <w:p>
            <w:pPr>
              <w:pStyle w:val="Compact"/>
              <w:jc w:val="left"/>
            </w:pPr>
            <w:r>
              <w:t xml:space="preserve">Nuclear</w:t>
            </w:r>
          </w:p>
        </w:tc>
        <w:tc>
          <w:tcPr/>
          <w:p>
            <w:pPr>
              <w:pStyle w:val="Compact"/>
              <w:jc w:val="left"/>
            </w:pPr>
            <w:r>
              <w:t xml:space="preserve">Nuclear verification per Annex H: cameras, seals, mass spectrometry, down-blend certification</w:t>
            </w:r>
          </w:p>
        </w:tc>
      </w:tr>
      <w:tr>
        <w:tc>
          <w:tcPr/>
          <w:p>
            <w:pPr>
              <w:pStyle w:val="Compact"/>
              <w:jc w:val="left"/>
            </w:pPr>
            <w:r>
              <w:t xml:space="preserve">Neutral Keel Office</w:t>
            </w:r>
          </w:p>
        </w:tc>
        <w:tc>
          <w:tcPr/>
          <w:p>
            <w:pPr>
              <w:pStyle w:val="Compact"/>
              <w:jc w:val="left"/>
            </w:pPr>
            <w:r>
              <w:t xml:space="preserve">Geneva, with Muscat cell</w:t>
            </w:r>
          </w:p>
        </w:tc>
        <w:tc>
          <w:tcPr/>
          <w:p>
            <w:pPr>
              <w:pStyle w:val="Compact"/>
              <w:jc w:val="left"/>
            </w:pPr>
            <w:r>
              <w:t xml:space="preserve">Certification</w:t>
            </w:r>
          </w:p>
        </w:tc>
        <w:tc>
          <w:tcPr/>
          <w:p>
            <w:pPr>
              <w:pStyle w:val="Compact"/>
              <w:jc w:val="left"/>
            </w:pPr>
            <w:r>
              <w:t xml:space="preserve">Independent verification of cleared routes, Convergence Standard determinations, Safe Route Certifications</w:t>
            </w:r>
          </w:p>
        </w:tc>
      </w:tr>
      <w:tr>
        <w:tc>
          <w:tcPr/>
          <w:p>
            <w:pPr>
              <w:pStyle w:val="Compact"/>
              <w:jc w:val="left"/>
            </w:pPr>
            <w:r>
              <w:t xml:space="preserve">Shared Digital Registry</w:t>
            </w:r>
          </w:p>
        </w:tc>
        <w:tc>
          <w:tcPr/>
          <w:p>
            <w:pPr>
              <w:pStyle w:val="Compact"/>
              <w:jc w:val="left"/>
            </w:pPr>
            <w:r>
              <w:t xml:space="preserve">Swiss-hosted, mirrored in Muscat</w:t>
            </w:r>
          </w:p>
        </w:tc>
        <w:tc>
          <w:tcPr/>
          <w:p>
            <w:pPr>
              <w:pStyle w:val="Compact"/>
              <w:jc w:val="left"/>
            </w:pPr>
            <w:r>
              <w:t xml:space="preserve">All domains</w:t>
            </w:r>
          </w:p>
        </w:tc>
        <w:tc>
          <w:tcPr/>
          <w:p>
            <w:pPr>
              <w:pStyle w:val="Compact"/>
              <w:jc w:val="left"/>
            </w:pPr>
            <w:r>
              <w:t xml:space="preserve">Displays every telemetry stream to all Members simultaneously; every side sees the same screen</w:t>
            </w:r>
          </w:p>
        </w:tc>
      </w:tr>
    </w:tbl>
    <w:p>
      <w:pPr>
        <w:pStyle w:val="BodyText"/>
      </w:pPr>
      <w:r>
        <w:rPr>
          <w:bCs/>
          <w:b/>
        </w:rPr>
        <w:t xml:space="preserve">B.1a</w:t>
      </w:r>
      <w:r>
        <w:t xml:space="preserve"> </w:t>
      </w:r>
      <w:r>
        <w:t xml:space="preserve">The United States of America does not sit on any verification body. The Neutral Keel Office requests technical assistance from the United States under Article 4.8 where it judges support necessary, and such assistance proceeds only upon request and only in a supporting, non-voting capacity.</w:t>
      </w:r>
    </w:p>
    <w:bookmarkEnd w:id="51"/>
    <w:bookmarkStart w:id="52" w:name="X236a53cb2106818c206e6bf858817a905cda9ac"/>
    <w:p>
      <w:pPr>
        <w:pStyle w:val="Heading2"/>
      </w:pPr>
      <w:r>
        <w:t xml:space="preserve">B.2 The Convergence Standard and Source Register</w:t>
      </w:r>
    </w:p>
    <w:p>
      <w:pPr>
        <w:pStyle w:val="FirstParagraph"/>
      </w:pPr>
      <w:r>
        <w:rPr>
          <w:bCs/>
          <w:b/>
        </w:rPr>
        <w:t xml:space="preserve">B.2</w:t>
      </w:r>
      <w:r>
        <w:t xml:space="preserve"> </w:t>
      </w:r>
      <w:r>
        <w:t xml:space="preserve">No single source establishes a fact. An adverse finding activates only upon corroboration by at least two independent sources from the following register.</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Source</w:t>
            </w:r>
          </w:p>
        </w:tc>
        <w:tc>
          <w:tcPr>
            <w:shd w:val="clear" w:color="auto" w:fill="D9E2EC"/>
          </w:tcPr>
          <w:p>
            <w:pPr>
              <w:pStyle w:val="Compact"/>
              <w:jc w:val="left"/>
            </w:pPr>
            <w:r>
              <w:rPr>
                <w:bCs/>
                <w:b/>
              </w:rPr>
              <w:t xml:space="preserve">Coverage</w:t>
            </w:r>
          </w:p>
        </w:tc>
        <w:tc>
          <w:tcPr>
            <w:shd w:val="clear" w:color="auto" w:fill="D9E2EC"/>
          </w:tcPr>
          <w:p>
            <w:pPr>
              <w:pStyle w:val="Compact"/>
              <w:jc w:val="left"/>
            </w:pPr>
            <w:r>
              <w:rPr>
                <w:bCs/>
                <w:b/>
              </w:rPr>
              <w:t xml:space="preserve">Reporting Cadence</w:t>
            </w:r>
          </w:p>
        </w:tc>
      </w:tr>
      <w:tr>
        <w:tc>
          <w:tcPr/>
          <w:p>
            <w:pPr>
              <w:pStyle w:val="Compact"/>
              <w:jc w:val="left"/>
            </w:pPr>
            <w:r>
              <w:t xml:space="preserve">United Nations-facilitated bulletin board</w:t>
            </w:r>
          </w:p>
        </w:tc>
        <w:tc>
          <w:tcPr/>
          <w:p>
            <w:pPr>
              <w:pStyle w:val="Compact"/>
              <w:jc w:val="left"/>
            </w:pPr>
            <w:r>
              <w:t xml:space="preserve">Transit logs and notices to mariners</w:t>
            </w:r>
          </w:p>
        </w:tc>
        <w:tc>
          <w:tcPr/>
          <w:p>
            <w:pPr>
              <w:pStyle w:val="Compact"/>
              <w:jc w:val="left"/>
            </w:pPr>
            <w:r>
              <w:t xml:space="preserve">Real time</w:t>
            </w:r>
          </w:p>
        </w:tc>
      </w:tr>
      <w:tr>
        <w:tc>
          <w:tcPr/>
          <w:p>
            <w:pPr>
              <w:pStyle w:val="Compact"/>
              <w:jc w:val="left"/>
            </w:pPr>
            <w:r>
              <w:t xml:space="preserve">Commercial shipping insurer reporting (Lloyd’s market)</w:t>
            </w:r>
          </w:p>
        </w:tc>
        <w:tc>
          <w:tcPr/>
          <w:p>
            <w:pPr>
              <w:pStyle w:val="Compact"/>
              <w:jc w:val="left"/>
            </w:pPr>
            <w:r>
              <w:t xml:space="preserve">Interference events, war-risk exposure</w:t>
            </w:r>
          </w:p>
        </w:tc>
        <w:tc>
          <w:tcPr/>
          <w:p>
            <w:pPr>
              <w:pStyle w:val="Compact"/>
              <w:jc w:val="left"/>
            </w:pPr>
            <w:r>
              <w:t xml:space="preserve">Within six (6) hours of an event</w:t>
            </w:r>
          </w:p>
        </w:tc>
      </w:tr>
      <w:tr>
        <w:tc>
          <w:tcPr/>
          <w:p>
            <w:pPr>
              <w:pStyle w:val="Compact"/>
              <w:jc w:val="left"/>
            </w:pPr>
            <w:r>
              <w:t xml:space="preserve">Commercial satellite imagery (SAR and optical)</w:t>
            </w:r>
          </w:p>
        </w:tc>
        <w:tc>
          <w:tcPr/>
          <w:p>
            <w:pPr>
              <w:pStyle w:val="Compact"/>
              <w:jc w:val="left"/>
            </w:pPr>
            <w:r>
              <w:t xml:space="preserve">Corridor activity, strike attribution, posture</w:t>
            </w:r>
          </w:p>
        </w:tc>
        <w:tc>
          <w:tcPr/>
          <w:p>
            <w:pPr>
              <w:pStyle w:val="Compact"/>
              <w:jc w:val="left"/>
            </w:pPr>
            <w:r>
              <w:t xml:space="preserve">Tasked daily; surge on flag</w:t>
            </w:r>
          </w:p>
        </w:tc>
      </w:tr>
      <w:tr>
        <w:tc>
          <w:tcPr/>
          <w:p>
            <w:pPr>
              <w:pStyle w:val="Compact"/>
              <w:jc w:val="left"/>
            </w:pPr>
            <w:r>
              <w:t xml:space="preserve">Omani observer reports</w:t>
            </w:r>
          </w:p>
        </w:tc>
        <w:tc>
          <w:tcPr/>
          <w:p>
            <w:pPr>
              <w:pStyle w:val="Compact"/>
              <w:jc w:val="left"/>
            </w:pPr>
            <w:r>
              <w:t xml:space="preserve">Embarked observers and monitoring stations</w:t>
            </w:r>
          </w:p>
        </w:tc>
        <w:tc>
          <w:tcPr/>
          <w:p>
            <w:pPr>
              <w:pStyle w:val="Compact"/>
              <w:jc w:val="left"/>
            </w:pPr>
            <w:r>
              <w:t xml:space="preserve">Weekly joint reports; immediate on event</w:t>
            </w:r>
          </w:p>
        </w:tc>
      </w:tr>
      <w:tr>
        <w:tc>
          <w:tcPr/>
          <w:p>
            <w:pPr>
              <w:pStyle w:val="Compact"/>
              <w:jc w:val="left"/>
            </w:pPr>
            <w:r>
              <w:t xml:space="preserve">Lead-Escort hazard logs (Annex C)</w:t>
            </w:r>
          </w:p>
        </w:tc>
        <w:tc>
          <w:tcPr/>
          <w:p>
            <w:pPr>
              <w:pStyle w:val="Compact"/>
              <w:jc w:val="left"/>
            </w:pPr>
            <w:r>
              <w:t xml:space="preserve">Corridor hazards, geometry deviations</w:t>
            </w:r>
          </w:p>
        </w:tc>
        <w:tc>
          <w:tcPr/>
          <w:p>
            <w:pPr>
              <w:pStyle w:val="Compact"/>
              <w:jc w:val="left"/>
            </w:pPr>
            <w:r>
              <w:t xml:space="preserve">Every transit; archived by the Joint Coordination Center</w:t>
            </w:r>
          </w:p>
        </w:tc>
      </w:tr>
      <w:tr>
        <w:tc>
          <w:tcPr/>
          <w:p>
            <w:pPr>
              <w:pStyle w:val="Compact"/>
              <w:jc w:val="left"/>
            </w:pPr>
            <w:r>
              <w:t xml:space="preserve">MRT-H survey data (Annex D)</w:t>
            </w:r>
          </w:p>
        </w:tc>
        <w:tc>
          <w:tcPr/>
          <w:p>
            <w:pPr>
              <w:pStyle w:val="Compact"/>
              <w:jc w:val="left"/>
            </w:pPr>
            <w:r>
              <w:t xml:space="preserve">Mine-like contacts, clearance progress</w:t>
            </w:r>
          </w:p>
        </w:tc>
        <w:tc>
          <w:tcPr/>
          <w:p>
            <w:pPr>
              <w:pStyle w:val="Compact"/>
              <w:jc w:val="left"/>
            </w:pPr>
            <w:r>
              <w:t xml:space="preserve">Continuous during operations</w:t>
            </w:r>
          </w:p>
        </w:tc>
      </w:tr>
      <w:tr>
        <w:tc>
          <w:tcPr/>
          <w:p>
            <w:pPr>
              <w:pStyle w:val="Compact"/>
              <w:jc w:val="left"/>
            </w:pPr>
            <w:r>
              <w:t xml:space="preserve">IAEA camera streams and data-integrity reports</w:t>
            </w:r>
          </w:p>
        </w:tc>
        <w:tc>
          <w:tcPr/>
          <w:p>
            <w:pPr>
              <w:pStyle w:val="Compact"/>
              <w:jc w:val="left"/>
            </w:pPr>
            <w:r>
              <w:t xml:space="preserve">Nuclear commitments under Annex H</w:t>
            </w:r>
          </w:p>
        </w:tc>
        <w:tc>
          <w:tcPr/>
          <w:p>
            <w:pPr>
              <w:pStyle w:val="Compact"/>
              <w:jc w:val="left"/>
            </w:pPr>
            <w:r>
              <w:t xml:space="preserve">Continuous; integrity report every seventy-two (72) hours</w:t>
            </w:r>
          </w:p>
        </w:tc>
      </w:tr>
      <w:tr>
        <w:tc>
          <w:tcPr/>
          <w:p>
            <w:pPr>
              <w:pStyle w:val="Compact"/>
              <w:jc w:val="left"/>
            </w:pPr>
            <w:r>
              <w:t xml:space="preserve">Hotline reporting and response-time tracking</w:t>
            </w:r>
          </w:p>
        </w:tc>
        <w:tc>
          <w:tcPr/>
          <w:p>
            <w:pPr>
              <w:pStyle w:val="Compact"/>
              <w:jc w:val="left"/>
            </w:pPr>
            <w:r>
              <w:t xml:space="preserve">Incident notifications and acknowledgments</w:t>
            </w:r>
          </w:p>
        </w:tc>
        <w:tc>
          <w:tcPr/>
          <w:p>
            <w:pPr>
              <w:pStyle w:val="Compact"/>
              <w:jc w:val="left"/>
            </w:pPr>
            <w:r>
              <w:t xml:space="preserve">Continuous; logged on the registry</w:t>
            </w:r>
          </w:p>
        </w:tc>
      </w:tr>
    </w:tbl>
    <w:bookmarkEnd w:id="52"/>
    <w:bookmarkStart w:id="53" w:name="b.3-omani-maritime-cell-protocols"/>
    <w:p>
      <w:pPr>
        <w:pStyle w:val="Heading2"/>
      </w:pPr>
      <w:r>
        <w:t xml:space="preserve">B.3 Omani Maritime Cell Protocols</w:t>
      </w:r>
    </w:p>
    <w:p>
      <w:pPr>
        <w:pStyle w:val="FirstParagraph"/>
      </w:pPr>
      <w:r>
        <w:rPr>
          <w:bCs/>
          <w:b/>
        </w:rPr>
        <w:t xml:space="preserve">•</w:t>
      </w:r>
      <w:r>
        <w:t xml:space="preserve"> </w:t>
      </w:r>
      <w:r>
        <w:t xml:space="preserve">The Omani Maritime Cell publishes daily patrol schedules to the Shared Digital Registry.</w:t>
      </w:r>
    </w:p>
    <w:p>
      <w:pPr>
        <w:pStyle w:val="BodyText"/>
      </w:pPr>
      <w:r>
        <w:rPr>
          <w:bCs/>
          <w:b/>
        </w:rPr>
        <w:t xml:space="preserve">•</w:t>
      </w:r>
      <w:r>
        <w:t xml:space="preserve"> </w:t>
      </w:r>
      <w:r>
        <w:t xml:space="preserve">The Omani Maritime Cell issues weekly joint reports to all Members through the bulletin board.</w:t>
      </w:r>
    </w:p>
    <w:p>
      <w:pPr>
        <w:pStyle w:val="BodyText"/>
      </w:pPr>
      <w:r>
        <w:rPr>
          <w:bCs/>
          <w:b/>
        </w:rPr>
        <w:t xml:space="preserve">•</w:t>
      </w:r>
      <w:r>
        <w:t xml:space="preserve"> </w:t>
      </w:r>
      <w:r>
        <w:t xml:space="preserve">Observer embarkation: one neutral Omani inspector serves aboard Iranian patrol craft operating in the Strait, one aboard Omani escort craft, and, where the Security Assistance Provider operates a vessel in the Governance Area under a Compact request, one aboard that designated vessel, all in observer status only, with no command authority, no weapon system contact, and no enforcement function.</w:t>
      </w:r>
    </w:p>
    <w:p>
      <w:pPr>
        <w:pStyle w:val="BodyText"/>
      </w:pPr>
      <w:r>
        <w:rPr>
          <w:bCs/>
          <w:b/>
        </w:rPr>
        <w:t xml:space="preserve">•</w:t>
      </w:r>
      <w:r>
        <w:t xml:space="preserve"> </w:t>
      </w:r>
      <w:r>
        <w:t xml:space="preserve">Fairway certification: the Omani Maritime Cell issues a daily certification of lane status, graded open, managed, or restricted, based on the previous twenty-four (24) hours of data, and posts the certification to the registry and the insurance market.</w:t>
      </w:r>
    </w:p>
    <w:bookmarkEnd w:id="53"/>
    <w:bookmarkStart w:id="54" w:name="b.4-omani-security-cell-protocols"/>
    <w:p>
      <w:pPr>
        <w:pStyle w:val="Heading2"/>
      </w:pPr>
      <w:r>
        <w:t xml:space="preserve">B.4 Omani Security Cell Protocols</w:t>
      </w:r>
    </w:p>
    <w:p>
      <w:pPr>
        <w:pStyle w:val="FirstParagraph"/>
      </w:pPr>
      <w:r>
        <w:rPr>
          <w:bCs/>
          <w:b/>
        </w:rPr>
        <w:t xml:space="preserve">•</w:t>
      </w:r>
      <w:r>
        <w:t xml:space="preserve"> </w:t>
      </w:r>
      <w:r>
        <w:t xml:space="preserve">The Omani Security Cell verifies the paired pauses of Article 7 through satellite tasking review, radar track correlation, and the weekly force-posture summaries of the Parties.</w:t>
      </w:r>
    </w:p>
    <w:p>
      <w:pPr>
        <w:pStyle w:val="BodyText"/>
      </w:pPr>
      <w:r>
        <w:rPr>
          <w:bCs/>
          <w:b/>
        </w:rPr>
        <w:t xml:space="preserve">•</w:t>
      </w:r>
      <w:r>
        <w:t xml:space="preserve"> </w:t>
      </w:r>
      <w:r>
        <w:t xml:space="preserve">The Omani Security Cell monitors the posture freeze of Section 7.3 against the sealed Day 0 baseline and audits posture quarterly.</w:t>
      </w:r>
    </w:p>
    <w:p>
      <w:pPr>
        <w:pStyle w:val="BodyText"/>
      </w:pPr>
      <w:r>
        <w:rPr>
          <w:bCs/>
          <w:b/>
        </w:rPr>
        <w:t xml:space="preserve">•</w:t>
      </w:r>
      <w:r>
        <w:t xml:space="preserve"> </w:t>
      </w:r>
      <w:r>
        <w:t xml:space="preserve">The Omani Security Cell operates the hotline of Annex I and tracks every response time against the standards of that annex.</w:t>
      </w:r>
    </w:p>
    <w:bookmarkEnd w:id="54"/>
    <w:bookmarkStart w:id="55" w:name="b.5-shared-digital-registry"/>
    <w:p>
      <w:pPr>
        <w:pStyle w:val="Heading2"/>
      </w:pPr>
      <w:r>
        <w:t xml:space="preserve">B.5 Shared Digital Registry</w:t>
      </w:r>
    </w:p>
    <w:p>
      <w:pPr>
        <w:pStyle w:val="FirstParagraph"/>
      </w:pPr>
      <w:r>
        <w:rPr>
          <w:bCs/>
          <w:b/>
        </w:rPr>
        <w:t xml:space="preserve">B.3</w:t>
      </w:r>
      <w:r>
        <w:t xml:space="preserve"> </w:t>
      </w:r>
      <w:r>
        <w:t xml:space="preserve">The Shared Digital Registry operates under Swiss hosting with a failover mirror in Muscat. The registry displays every telemetry stream to all Members simultaneously. Every entry carries a cryptographic timestamp. Any Member flags a concern directly on the registry; the flag appears to all sides instantly and opens a seventy-two (72) hour technical consultation, not a political negotiation. The registry retains all logged data for a minimum of five (5) years, and any Principal Party requests an independent forensic audit of any segment.</w:t>
      </w:r>
    </w:p>
    <w:p>
      <w:pPr>
        <w:pStyle w:val="BodyText"/>
      </w:pPr>
      <w:r>
        <w:rPr>
          <w:bCs/>
          <w:b/>
        </w:rPr>
        <w:t xml:space="preserve">B.4</w:t>
      </w:r>
      <w:r>
        <w:t xml:space="preserve"> </w:t>
      </w:r>
      <w:r>
        <w:t xml:space="preserve">Data standards. All registry data conforms to four standards. Simultaneous: the framework transmits all data to all Members with identical latency. Unalterable: the registry logs all data with cryptographic chain-of-custody. Transparent: all data is accessible to every Member and the verification bodies. Non-imputable: participation in data collection constitutes no endorsement of any political or legal position.</w:t>
      </w:r>
    </w:p>
    <w:bookmarkEnd w:id="55"/>
    <w:bookmarkStart w:id="56" w:name="b.6-compliance-certification-tiers"/>
    <w:p>
      <w:pPr>
        <w:pStyle w:val="Heading2"/>
      </w:pPr>
      <w:r>
        <w:t xml:space="preserve">B.6 Compliance Certification Tiers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Tier</w:t>
            </w:r>
          </w:p>
        </w:tc>
        <w:tc>
          <w:tcPr>
            <w:shd w:val="clear" w:color="auto" w:fill="D9E2EC"/>
          </w:tcPr>
          <w:p>
            <w:pPr>
              <w:pStyle w:val="Compact"/>
              <w:jc w:val="left"/>
            </w:pPr>
            <w:r>
              <w:rPr>
                <w:bCs/>
                <w:b/>
              </w:rPr>
              <w:t xml:space="preserve">Standard</w:t>
            </w:r>
          </w:p>
        </w:tc>
        <w:tc>
          <w:tcPr>
            <w:shd w:val="clear" w:color="auto" w:fill="D9E2EC"/>
          </w:tcPr>
          <w:p>
            <w:pPr>
              <w:pStyle w:val="Compact"/>
              <w:jc w:val="left"/>
            </w:pPr>
            <w:r>
              <w:rPr>
                <w:bCs/>
                <w:b/>
              </w:rPr>
              <w:t xml:space="preserve">Consequence</w:t>
            </w:r>
          </w:p>
        </w:tc>
      </w:tr>
      <w:tr>
        <w:tc>
          <w:tcPr/>
          <w:p>
            <w:pPr>
              <w:pStyle w:val="Compact"/>
              <w:jc w:val="left"/>
            </w:pPr>
            <w:r>
              <w:t xml:space="preserve">Tier 1: Full Compliance</w:t>
            </w:r>
          </w:p>
        </w:tc>
        <w:tc>
          <w:tcPr/>
          <w:p>
            <w:pPr>
              <w:pStyle w:val="Compact"/>
              <w:jc w:val="left"/>
            </w:pPr>
            <w:r>
              <w:t xml:space="preserve">All obligations met for seven (7) consecutive days</w:t>
            </w:r>
          </w:p>
        </w:tc>
        <w:tc>
          <w:tcPr/>
          <w:p>
            <w:pPr>
              <w:pStyle w:val="Compact"/>
              <w:jc w:val="left"/>
            </w:pPr>
            <w:r>
              <w:t xml:space="preserve">The Verification Authority issues a compliance certificate; performance banks permanently under Article 16</w:t>
            </w:r>
          </w:p>
        </w:tc>
      </w:tr>
      <w:tr>
        <w:tc>
          <w:tcPr/>
          <w:p>
            <w:pPr>
              <w:pStyle w:val="Compact"/>
              <w:jc w:val="left"/>
            </w:pPr>
            <w:r>
              <w:t xml:space="preserve">Tier 2: Minor Deviation</w:t>
            </w:r>
          </w:p>
        </w:tc>
        <w:tc>
          <w:tcPr/>
          <w:p>
            <w:pPr>
              <w:pStyle w:val="Compact"/>
              <w:jc w:val="left"/>
            </w:pPr>
            <w:r>
              <w:t xml:space="preserve">Single incident resolved within twenty-four (24) hours</w:t>
            </w:r>
          </w:p>
        </w:tc>
        <w:tc>
          <w:tcPr/>
          <w:p>
            <w:pPr>
              <w:pStyle w:val="Compact"/>
              <w:jc w:val="left"/>
            </w:pPr>
            <w:r>
              <w:t xml:space="preserve">No penalty attaches; recalibration dialogue opens through the hotline</w:t>
            </w:r>
          </w:p>
        </w:tc>
      </w:tr>
      <w:tr>
        <w:tc>
          <w:tcPr/>
          <w:p>
            <w:pPr>
              <w:pStyle w:val="Compact"/>
              <w:jc w:val="left"/>
            </w:pPr>
            <w:r>
              <w:t xml:space="preserve">Tier 3: Material Breach</w:t>
            </w:r>
          </w:p>
        </w:tc>
        <w:tc>
          <w:tcPr/>
          <w:p>
            <w:pPr>
              <w:pStyle w:val="Compact"/>
              <w:jc w:val="left"/>
            </w:pPr>
            <w:r>
              <w:t xml:space="preserve">Sustained non-performance of a core obligation for fourteen (14) days after written notice, confirmed by the Convergence Standard</w:t>
            </w:r>
          </w:p>
        </w:tc>
        <w:tc>
          <w:tcPr/>
          <w:p>
            <w:pPr>
              <w:pStyle w:val="Compact"/>
              <w:jc w:val="left"/>
            </w:pPr>
            <w:r>
              <w:t xml:space="preserve">Activates the ladder of Article 12 and the engine of Annex K</w:t>
            </w:r>
          </w:p>
        </w:tc>
      </w:tr>
    </w:tbl>
    <w:p>
      <w:pPr>
        <w:pStyle w:val="BodyText"/>
      </w:pPr>
      <w:r>
        <w:rPr>
          <w:bCs/>
          <w:b/>
        </w:rPr>
        <w:t xml:space="preserve">B.5</w:t>
      </w:r>
      <w:r>
        <w:t xml:space="preserve"> </w:t>
      </w:r>
      <w:r>
        <w:t xml:space="preserve">Relationship to Annex K. The certification tiers of this Section record performance status. Every consequence that follows a compliance event operates exclusively through the graduated step-back and earn-back engine of Annex K. This Compact recognizes no snapback.</w:t>
      </w:r>
    </w:p>
    <w:bookmarkEnd w:id="56"/>
    <w:bookmarkStart w:id="57" w:name="b.7-incident-reporting"/>
    <w:p>
      <w:pPr>
        <w:pStyle w:val="Heading2"/>
      </w:pPr>
      <w:r>
        <w:t xml:space="preserve">B.7 Incident Reporting</w:t>
      </w:r>
    </w:p>
    <w:p>
      <w:pPr>
        <w:pStyle w:val="FirstParagraph"/>
      </w:pPr>
      <w:r>
        <w:rPr>
          <w:bCs/>
          <w:b/>
        </w:rPr>
        <w:t xml:space="preserve">•</w:t>
      </w:r>
      <w:r>
        <w:t xml:space="preserve"> </w:t>
      </w:r>
      <w:r>
        <w:t xml:space="preserve">Any Member flags a concern directly on the Shared Digital Registry. The flag appears to all Members instantly and opens a seventy-two (72) hour technical consultation.</w:t>
      </w:r>
    </w:p>
    <w:p>
      <w:pPr>
        <w:pStyle w:val="BodyText"/>
      </w:pPr>
      <w:r>
        <w:rPr>
          <w:bCs/>
          <w:b/>
        </w:rPr>
        <w:t xml:space="preserve">•</w:t>
      </w:r>
      <w:r>
        <w:t xml:space="preserve"> </w:t>
      </w:r>
      <w:r>
        <w:t xml:space="preserve">Every incident report carries time-stamped evidence appropriate to the incident type: automatic identification system tracks for naval events, satellite imagery for strike events, escort hazard logs for corridor events, transaction logs for financial events.</w:t>
      </w:r>
    </w:p>
    <w:p>
      <w:pPr>
        <w:pStyle w:val="BodyText"/>
      </w:pPr>
      <w:r>
        <w:rPr>
          <w:bCs/>
          <w:b/>
        </w:rPr>
        <w:t xml:space="preserve">•</w:t>
      </w:r>
      <w:r>
        <w:t xml:space="preserve"> </w:t>
      </w:r>
      <w:r>
        <w:t xml:space="preserve">A report lacking the required evidence enters the log without triggering any consultation clock, and the Omani Security Cell notifies the reporting Member of the deficiency within two (2) hours.</w:t>
      </w:r>
    </w:p>
    <w:bookmarkEnd w:id="57"/>
    <w:bookmarkStart w:id="58" w:name="X2c3ceb202d94c7b3dab338af9da1687f3814971"/>
    <w:p>
      <w:pPr>
        <w:pStyle w:val="Heading2"/>
      </w:pPr>
      <w:r>
        <w:t xml:space="preserve">B.8 Vessels-of-Concern Verification Protocol</w:t>
      </w:r>
    </w:p>
    <w:p>
      <w:pPr>
        <w:pStyle w:val="FirstParagraph"/>
      </w:pPr>
      <w:r>
        <w:rPr>
          <w:bCs/>
          <w:b/>
        </w:rPr>
        <w:t xml:space="preserve">B.6</w:t>
      </w:r>
      <w:r>
        <w:t xml:space="preserve"> </w:t>
      </w:r>
      <w:r>
        <w:t xml:space="preserve">A Commercial Vessel whose documentation, flag status, or automatic identification system behavior raises a bona fide concern routes to the Anchorage protocol of Section A.7: referral notice to the Joint Coordination Center, forty-eight (48) hour joint verification at anchor by a team including one Omani inspector and one inspector of the flag state or its designee, and a ninety-six (96) hour outer limit on the verification window. The protocol excludes at-sea boarding and diversion inside the fairways. Verification costs route to the Transit Services Fund.</w:t>
      </w:r>
    </w:p>
    <w:bookmarkEnd w:id="58"/>
    <w:bookmarkStart w:id="59" w:name="b.9-procedural-checklists"/>
    <w:p>
      <w:pPr>
        <w:pStyle w:val="Heading2"/>
      </w:pPr>
      <w:r>
        <w:t xml:space="preserve">B.9 Procedural Checklists</w:t>
      </w:r>
    </w:p>
    <w:p>
      <w:pPr>
        <w:pStyle w:val="FirstParagraph"/>
      </w:pPr>
      <w:r>
        <w:t xml:space="preserve">Daily operations checklist (Omani Maritime Cell):</w:t>
      </w:r>
    </w:p>
    <w:p>
      <w:pPr>
        <w:pStyle w:val="BodyText"/>
      </w:pPr>
      <w:r>
        <w:rPr>
          <w:bCs/>
          <w:b/>
        </w:rPr>
        <w:t xml:space="preserve">1.</w:t>
      </w:r>
      <w:r>
        <w:t xml:space="preserve"> </w:t>
      </w:r>
      <w:r>
        <w:t xml:space="preserve">Publish the patrol schedule for the coming twenty-four (24) hours to the Shared Digital Registry.</w:t>
      </w:r>
    </w:p>
    <w:p>
      <w:pPr>
        <w:pStyle w:val="BodyText"/>
      </w:pPr>
      <w:r>
        <w:rPr>
          <w:bCs/>
          <w:b/>
        </w:rPr>
        <w:t xml:space="preserve">2.</w:t>
      </w:r>
      <w:r>
        <w:t xml:space="preserve"> </w:t>
      </w:r>
      <w:r>
        <w:t xml:space="preserve">Compile transit counts, lane-status observations, escort coverage logs, and Incident logs from the previous twenty-four (24) hours.</w:t>
      </w:r>
    </w:p>
    <w:p>
      <w:pPr>
        <w:pStyle w:val="BodyText"/>
      </w:pPr>
      <w:r>
        <w:rPr>
          <w:bCs/>
          <w:b/>
        </w:rPr>
        <w:t xml:space="preserve">3.</w:t>
      </w:r>
      <w:r>
        <w:t xml:space="preserve"> </w:t>
      </w:r>
      <w:r>
        <w:t xml:space="preserve">Issue the daily lane certification (open, managed, or restricted) and post it to the registry and the insurance market.</w:t>
      </w:r>
    </w:p>
    <w:p>
      <w:pPr>
        <w:pStyle w:val="BodyText"/>
      </w:pPr>
      <w:r>
        <w:rPr>
          <w:bCs/>
          <w:b/>
        </w:rPr>
        <w:t xml:space="preserve">4.</w:t>
      </w:r>
      <w:r>
        <w:t xml:space="preserve"> </w:t>
      </w:r>
      <w:r>
        <w:t xml:space="preserve">Confirm observer embarkation status aboard the designated vessels.</w:t>
      </w:r>
    </w:p>
    <w:p>
      <w:pPr>
        <w:pStyle w:val="BodyText"/>
      </w:pPr>
      <w:r>
        <w:rPr>
          <w:bCs/>
          <w:b/>
        </w:rPr>
        <w:t xml:space="preserve">5.</w:t>
      </w:r>
      <w:r>
        <w:t xml:space="preserve"> </w:t>
      </w:r>
      <w:r>
        <w:t xml:space="preserve">Log all hotline traffic and response times.</w:t>
      </w:r>
    </w:p>
    <w:p>
      <w:pPr>
        <w:pStyle w:val="BodyText"/>
      </w:pPr>
      <w:r>
        <w:t xml:space="preserve">Weekly checklist (Verification Authority):</w:t>
      </w:r>
    </w:p>
    <w:p>
      <w:pPr>
        <w:pStyle w:val="BodyText"/>
      </w:pPr>
      <w:r>
        <w:rPr>
          <w:bCs/>
          <w:b/>
        </w:rPr>
        <w:t xml:space="preserve">1.</w:t>
      </w:r>
      <w:r>
        <w:t xml:space="preserve"> </w:t>
      </w:r>
      <w:r>
        <w:t xml:space="preserve">Issue the joint weekly report to all Members through the bulletin board.</w:t>
      </w:r>
    </w:p>
    <w:p>
      <w:pPr>
        <w:pStyle w:val="BodyText"/>
      </w:pPr>
      <w:r>
        <w:rPr>
          <w:bCs/>
          <w:b/>
        </w:rPr>
        <w:t xml:space="preserve">2.</w:t>
      </w:r>
      <w:r>
        <w:t xml:space="preserve"> </w:t>
      </w:r>
      <w:r>
        <w:t xml:space="preserve">Publish the consolidated compliance summary covering maritime transit, airspace activity, escort operations, and hotline traffic.</w:t>
      </w:r>
    </w:p>
    <w:p>
      <w:pPr>
        <w:pStyle w:val="BodyText"/>
      </w:pPr>
      <w:r>
        <w:rPr>
          <w:bCs/>
          <w:b/>
        </w:rPr>
        <w:t xml:space="preserve">3.</w:t>
      </w:r>
      <w:r>
        <w:t xml:space="preserve"> </w:t>
      </w:r>
      <w:r>
        <w:t xml:space="preserve">Publish the war-risk premium confidence indicator of Section 8.6.</w:t>
      </w:r>
    </w:p>
    <w:p>
      <w:pPr>
        <w:pStyle w:val="BodyText"/>
      </w:pPr>
      <w:r>
        <w:rPr>
          <w:bCs/>
          <w:b/>
        </w:rPr>
        <w:t xml:space="preserve">4.</w:t>
      </w:r>
      <w:r>
        <w:t xml:space="preserve"> </w:t>
      </w:r>
      <w:r>
        <w:t xml:space="preserve">Review open flags and confirm each sits inside its seventy-two (72) hour consultation window.</w:t>
      </w:r>
    </w:p>
    <w:p>
      <w:pPr>
        <w:pStyle w:val="BodyText"/>
      </w:pPr>
      <w:r>
        <w:t xml:space="preserve">Certification checklist (Tier 1 compliance certificate):</w:t>
      </w:r>
    </w:p>
    <w:p>
      <w:pPr>
        <w:pStyle w:val="BodyText"/>
      </w:pPr>
      <w:r>
        <w:rPr>
          <w:bCs/>
          <w:b/>
        </w:rPr>
        <w:t xml:space="preserve">1.</w:t>
      </w:r>
      <w:r>
        <w:t xml:space="preserve"> </w:t>
      </w:r>
      <w:r>
        <w:t xml:space="preserve">Confirm seven (7) consecutive days of met obligations across every source in Section B.2.</w:t>
      </w:r>
    </w:p>
    <w:p>
      <w:pPr>
        <w:pStyle w:val="BodyText"/>
      </w:pPr>
      <w:r>
        <w:rPr>
          <w:bCs/>
          <w:b/>
        </w:rPr>
        <w:t xml:space="preserve">2.</w:t>
      </w:r>
      <w:r>
        <w:t xml:space="preserve"> </w:t>
      </w:r>
      <w:r>
        <w:t xml:space="preserve">Confirm zero unresolved flags older than seventy-two (72) hours.</w:t>
      </w:r>
    </w:p>
    <w:p>
      <w:pPr>
        <w:pStyle w:val="BodyText"/>
      </w:pPr>
      <w:r>
        <w:rPr>
          <w:bCs/>
          <w:b/>
        </w:rPr>
        <w:t xml:space="preserve">3.</w:t>
      </w:r>
      <w:r>
        <w:t xml:space="preserve"> </w:t>
      </w:r>
      <w:r>
        <w:t xml:space="preserve">Record the certificate on the Shared Digital Registry with cryptographic timestamp.</w:t>
      </w:r>
    </w:p>
    <w:p>
      <w:pPr>
        <w:pStyle w:val="BodyText"/>
      </w:pPr>
      <w:r>
        <w:rPr>
          <w:bCs/>
          <w:b/>
        </w:rPr>
        <w:t xml:space="preserve">4.</w:t>
      </w:r>
      <w:r>
        <w:t xml:space="preserve"> </w:t>
      </w:r>
      <w:r>
        <w:t xml:space="preserve">Bank the certified period permanently under the no-fade rule of Article 16.</w:t>
      </w:r>
    </w:p>
    <w:bookmarkEnd w:id="59"/>
    <w:bookmarkEnd w:id="60"/>
    <w:bookmarkStart w:id="76" w:name="X2c749b82ce5cea0b77121797ed9e59519f88229"/>
    <w:p>
      <w:pPr>
        <w:pStyle w:val="Heading1"/>
      </w:pPr>
      <w:r>
        <w:t xml:space="preserve">Annex C. Lead-Escort Speedboat Operating Protocol</w:t>
      </w:r>
    </w:p>
    <w:p>
      <w:pPr>
        <w:pStyle w:val="FirstParagraph"/>
      </w:pPr>
      <w:r>
        <w:t xml:space="preserve">Operative Annex for Article 9. This annex converts the patrol boat and fast attack craft fleets of the littoral states into a safety-only lead-escort service. It belongs to the security de-confliction module of this Compact, not to the navigation or economic modules, and it states the behavioral norms, distance rules, identification protocols, notification triggers, and incident escalation ladders that govern every small craft interaction in the Governance Area. The protocol is non-political, framed entirely as safety, limits no state’s sovereignty, grants no foreign navy authority, and characterizes no state’s forces as a threat actor.</w:t>
      </w:r>
    </w:p>
    <w:bookmarkStart w:id="61" w:name="c.1-design-rationale"/>
    <w:p>
      <w:pPr>
        <w:pStyle w:val="Heading2"/>
      </w:pPr>
      <w:r>
        <w:t xml:space="preserve">C.1 Design Rationale</w:t>
      </w:r>
    </w:p>
    <w:p>
      <w:pPr>
        <w:pStyle w:val="FirstParagraph"/>
      </w:pPr>
      <w:r>
        <w:rPr>
          <w:bCs/>
          <w:b/>
        </w:rPr>
        <w:t xml:space="preserve">C.1</w:t>
      </w:r>
      <w:r>
        <w:t xml:space="preserve"> </w:t>
      </w:r>
      <w:r>
        <w:t xml:space="preserve">Fast attack craft serve the Islamic Revolutionary Guard Corps Navy and the regular Iranian Navy for patrol, interdiction, and signaling, and commercial vessels frequently misinterpret close approaches as hostile. Naval forces of external states treat swarm behavior as potential escalation. Drone interactions complicate the picture further. Small craft interactions constitute the single highest-risk escalation vector in the Strait outside of drones. This annex exists to remove that vector by design: it gives every small craft encounter a published geometry, a published identification rule, a published notification trigger, and a published escalation ladder.</w:t>
      </w:r>
    </w:p>
    <w:p>
      <w:pPr>
        <w:pStyle w:val="BodyText"/>
      </w:pPr>
      <w:r>
        <w:rPr>
          <w:bCs/>
          <w:b/>
        </w:rPr>
        <w:t xml:space="preserve">C.2</w:t>
      </w:r>
      <w:r>
        <w:t xml:space="preserve"> </w:t>
      </w:r>
      <w:r>
        <w:t xml:space="preserve">Placement. This annex operates inside the security de-confliction module and cross-references Annex A (geometry), Annex B (verification), and Annex I (escalation ladder). Its confidential operational annex, held by the Joint Coordination Center under Section C.14, carries the unit-level rosters and patrol patterns; the published text carries every rule that merchant shipping, insurers, and external navies need.</w:t>
      </w:r>
    </w:p>
    <w:bookmarkEnd w:id="61"/>
    <w:bookmarkStart w:id="62" w:name="X5184558a908b0a32518af94a659dff7303642f2"/>
    <w:p>
      <w:pPr>
        <w:pStyle w:val="Heading2"/>
      </w:pPr>
      <w:r>
        <w:t xml:space="preserve">C.2 Stage One: Binding Behavioral Norms (All Small Craft)</w:t>
      </w:r>
    </w:p>
    <w:p>
      <w:pPr>
        <w:pStyle w:val="FirstParagraph"/>
      </w:pPr>
      <w:r>
        <w:rPr>
          <w:bCs/>
          <w:b/>
        </w:rPr>
        <w:t xml:space="preserve">C.3</w:t>
      </w:r>
      <w:r>
        <w:t xml:space="preserve"> </w:t>
      </w:r>
      <w:r>
        <w:t xml:space="preserve">From Day 3, the following norms bind every patrol boat and fast attack craft of every Member operating in the Governance Area, whether or not assigned to the Lead-Escort Safety Service.</w:t>
      </w:r>
    </w:p>
    <w:p>
      <w:pPr>
        <w:pStyle w:val="BodyText"/>
      </w:pPr>
      <w:r>
        <w:rPr>
          <w:bCs/>
          <w:b/>
        </w:rPr>
        <w:t xml:space="preserve">C.3.1</w:t>
      </w:r>
      <w:r>
        <w:t xml:space="preserve"> </w:t>
      </w:r>
      <w:r>
        <w:t xml:space="preserve">Minimum safe distance. Littoral force craft maintain five hundred (500) meters from Commercial Vessels at all times, except during a lawful search-and-rescue action or a pre-notified escort assignment under this annex.</w:t>
      </w:r>
    </w:p>
    <w:p>
      <w:pPr>
        <w:pStyle w:val="BodyText"/>
      </w:pPr>
      <w:r>
        <w:rPr>
          <w:bCs/>
          <w:b/>
        </w:rPr>
        <w:t xml:space="preserve">C.3.2</w:t>
      </w:r>
      <w:r>
        <w:t xml:space="preserve"> </w:t>
      </w:r>
      <w:r>
        <w:t xml:space="preserve">Identification. Craft display visible hull numbers and, during hours of darkness, the published light signal sequence of the Joint Coordination Center when operating within two (2) nautical miles of any Commercial Vessel.</w:t>
      </w:r>
    </w:p>
    <w:p>
      <w:pPr>
        <w:pStyle w:val="BodyText"/>
      </w:pPr>
      <w:r>
        <w:rPr>
          <w:bCs/>
          <w:b/>
        </w:rPr>
        <w:t xml:space="preserve">C.3.3</w:t>
      </w:r>
      <w:r>
        <w:t xml:space="preserve"> </w:t>
      </w:r>
      <w:r>
        <w:t xml:space="preserve">Approach protocol. Approaches to Commercial Vessels run parallel, never on an intercept angle, except during search-and-rescue action. Parallel track offset holds at no less than five hundred (500) meters.</w:t>
      </w:r>
    </w:p>
    <w:p>
      <w:pPr>
        <w:pStyle w:val="BodyText"/>
      </w:pPr>
      <w:r>
        <w:rPr>
          <w:bCs/>
          <w:b/>
        </w:rPr>
        <w:t xml:space="preserve">C.3.4</w:t>
      </w:r>
      <w:r>
        <w:t xml:space="preserve"> </w:t>
      </w:r>
      <w:r>
        <w:t xml:space="preserve">Notification trigger. Any approach closing to one thousand (1,000) meters of a Commercial Vessel triggers an automatic hotline notification to the liaison group of Annex I, logged on the Shared Digital Registry with time, position, and craft identifier.</w:t>
      </w:r>
    </w:p>
    <w:p>
      <w:pPr>
        <w:pStyle w:val="BodyText"/>
      </w:pPr>
      <w:r>
        <w:rPr>
          <w:bCs/>
          <w:b/>
        </w:rPr>
        <w:t xml:space="preserve">C.3.5</w:t>
      </w:r>
      <w:r>
        <w:t xml:space="preserve"> </w:t>
      </w:r>
      <w:r>
        <w:t xml:space="preserve">Swarm prohibition. Multi-vessel close approaches to a Commercial Vessel are prohibited except during search-and-rescue action, a pre-notified escort assignment, or a pre-declared operation published to the Joint Coordination Center no less than twelve (12) hours in advance.</w:t>
      </w:r>
    </w:p>
    <w:p>
      <w:pPr>
        <w:pStyle w:val="BodyText"/>
      </w:pPr>
      <w:r>
        <w:rPr>
          <w:bCs/>
          <w:b/>
        </w:rPr>
        <w:t xml:space="preserve">C.3.6</w:t>
      </w:r>
      <w:r>
        <w:t xml:space="preserve"> </w:t>
      </w:r>
      <w:r>
        <w:t xml:space="preserve">Drone coordination. Unmanned aerial systems accompanying small craft follow pre-declared flight corridors published to the Joint Coordination Center, hold a minimum altitude of five hundred (500) feet outside declared corridors, and never overfly a Commercial Vessel below one thousand (1,000) feet.</w:t>
      </w:r>
    </w:p>
    <w:p>
      <w:pPr>
        <w:pStyle w:val="BodyText"/>
      </w:pPr>
      <w:r>
        <w:rPr>
          <w:bCs/>
          <w:b/>
        </w:rPr>
        <w:t xml:space="preserve">C.3.7</w:t>
      </w:r>
      <w:r>
        <w:t xml:space="preserve"> </w:t>
      </w:r>
      <w:r>
        <w:t xml:space="preserve">Radar discipline. Fire-control radar illumination of any Commercial Vessel is prohibited at all times. Navigation radar operates in standard mode only.</w:t>
      </w:r>
    </w:p>
    <w:bookmarkEnd w:id="62"/>
    <w:bookmarkStart w:id="63" w:name="Xb53b59f86d41dfdba98271e752fabdf8c1d1955"/>
    <w:p>
      <w:pPr>
        <w:pStyle w:val="Heading2"/>
      </w:pPr>
      <w:r>
        <w:t xml:space="preserve">C.3 Mission Definition: The Lead-Escort Role</w:t>
      </w:r>
    </w:p>
    <w:p>
      <w:pPr>
        <w:pStyle w:val="FirstParagraph"/>
      </w:pPr>
      <w:r>
        <w:rPr>
          <w:bCs/>
          <w:b/>
        </w:rPr>
        <w:t xml:space="preserve">C.4</w:t>
      </w:r>
      <w:r>
        <w:t xml:space="preserve"> </w:t>
      </w:r>
      <w:r>
        <w:t xml:space="preserve">Lead-Escort Craft operate ahead of merchant vessels transiting designated fairways. Their mission is hazard detection, situational awareness, and forward-cone scanning. They scan the corridor, not the vessel. They provide hazard detection, not control.</w:t>
      </w:r>
    </w:p>
    <w:p>
      <w:pPr>
        <w:pStyle w:val="BodyText"/>
      </w:pPr>
      <w:r>
        <w:rPr>
          <w:bCs/>
          <w:b/>
        </w:rPr>
        <w:t xml:space="preserve">C.5</w:t>
      </w:r>
      <w:r>
        <w:t xml:space="preserve"> </w:t>
      </w:r>
      <w:r>
        <w:t xml:space="preserve">The framework architecture excludes the following from the Lead-Escort role at all times: stopping any vessel; boarding any vessel; redirecting any vessel; interrogating any vessel; requesting identification from any vessel; requesting course or speed changes from any vessel; inspecting any vessel; activating any enforcement protocol; shadowing or flanking any vessel; entering a vessel’s standoff zone; transmitting any message implying control or permission. The only authority of a Lead-Escort Craft is hazard reporting to the Joint Coordination Center.</w:t>
      </w:r>
    </w:p>
    <w:bookmarkEnd w:id="63"/>
    <w:bookmarkStart w:id="64" w:name="c.4-activation-criteria"/>
    <w:p>
      <w:pPr>
        <w:pStyle w:val="Heading2"/>
      </w:pPr>
      <w:r>
        <w:t xml:space="preserve">C.4 Activation Criteria</w:t>
      </w:r>
    </w:p>
    <w:p>
      <w:pPr>
        <w:pStyle w:val="FirstParagraph"/>
      </w:pPr>
      <w:r>
        <w:rPr>
          <w:bCs/>
          <w:b/>
        </w:rPr>
        <w:t xml:space="preserve">C.6</w:t>
      </w:r>
      <w:r>
        <w:t xml:space="preserve"> </w:t>
      </w:r>
      <w:r>
        <w:t xml:space="preserve">Lead-escort deployment occurs only when all of the following conditions hold: a vessel files a Transit Notification with the Joint Coordination Center or enters Fairway Alpha under open-lane rules; corridor assignment (Alpha or Bravo) is confirmed; weather and visibility meet the minimum safety thresholds of Section C.13; no enforcement or inspection activity is underway in the vicinity; and escort craft are available and cleared for non-interdiction duty.</w:t>
      </w:r>
    </w:p>
    <w:bookmarkEnd w:id="64"/>
    <w:bookmarkStart w:id="65" w:name="c.5-pre-departure-checklist"/>
    <w:p>
      <w:pPr>
        <w:pStyle w:val="Heading2"/>
      </w:pPr>
      <w:r>
        <w:t xml:space="preserve">C.5 Pre-Departure Checklist</w:t>
      </w:r>
    </w:p>
    <w:p>
      <w:pPr>
        <w:pStyle w:val="FirstParagraph"/>
      </w:pPr>
      <w:r>
        <w:t xml:space="preserve">Each Lead-Escort Craft completes, before every assignment:</w:t>
      </w:r>
    </w:p>
    <w:p>
      <w:pPr>
        <w:pStyle w:val="BodyText"/>
      </w:pPr>
      <w:r>
        <w:rPr>
          <w:bCs/>
          <w:b/>
        </w:rPr>
        <w:t xml:space="preserve">1.</w:t>
      </w:r>
      <w:r>
        <w:t xml:space="preserve"> </w:t>
      </w:r>
      <w:r>
        <w:t xml:space="preserve">Automatic identification system Class B activation.</w:t>
      </w:r>
    </w:p>
    <w:p>
      <w:pPr>
        <w:pStyle w:val="BodyText"/>
      </w:pPr>
      <w:r>
        <w:rPr>
          <w:bCs/>
          <w:b/>
        </w:rPr>
        <w:t xml:space="preserve">2.</w:t>
      </w:r>
      <w:r>
        <w:t xml:space="preserve"> </w:t>
      </w:r>
      <w:r>
        <w:t xml:space="preserve">VHF Channel 16 monitoring check.</w:t>
      </w:r>
    </w:p>
    <w:p>
      <w:pPr>
        <w:pStyle w:val="BodyText"/>
      </w:pPr>
      <w:r>
        <w:rPr>
          <w:bCs/>
          <w:b/>
        </w:rPr>
        <w:t xml:space="preserve">3.</w:t>
      </w:r>
      <w:r>
        <w:t xml:space="preserve"> </w:t>
      </w:r>
      <w:r>
        <w:t xml:space="preserve">Dedicated corridor channel monitoring check.</w:t>
      </w:r>
    </w:p>
    <w:p>
      <w:pPr>
        <w:pStyle w:val="BodyText"/>
      </w:pPr>
      <w:r>
        <w:rPr>
          <w:bCs/>
          <w:b/>
        </w:rPr>
        <w:t xml:space="preserve">4.</w:t>
      </w:r>
      <w:r>
        <w:t xml:space="preserve"> </w:t>
      </w:r>
      <w:r>
        <w:t xml:space="preserve">Fuel and propulsion check.</w:t>
      </w:r>
    </w:p>
    <w:p>
      <w:pPr>
        <w:pStyle w:val="BodyText"/>
      </w:pPr>
      <w:r>
        <w:rPr>
          <w:bCs/>
          <w:b/>
        </w:rPr>
        <w:t xml:space="preserve">5.</w:t>
      </w:r>
      <w:r>
        <w:t xml:space="preserve"> </w:t>
      </w:r>
      <w:r>
        <w:t xml:space="preserve">Navigation lights check.</w:t>
      </w:r>
    </w:p>
    <w:p>
      <w:pPr>
        <w:pStyle w:val="BodyText"/>
      </w:pPr>
      <w:r>
        <w:rPr>
          <w:bCs/>
          <w:b/>
        </w:rPr>
        <w:t xml:space="preserve">6.</w:t>
      </w:r>
      <w:r>
        <w:t xml:space="preserve"> </w:t>
      </w:r>
      <w:r>
        <w:t xml:space="preserve">Radar and optical systems check.</w:t>
      </w:r>
    </w:p>
    <w:p>
      <w:pPr>
        <w:pStyle w:val="BodyText"/>
      </w:pPr>
      <w:r>
        <w:rPr>
          <w:bCs/>
          <w:b/>
        </w:rPr>
        <w:t xml:space="preserve">7.</w:t>
      </w:r>
      <w:r>
        <w:t xml:space="preserve"> </w:t>
      </w:r>
      <w:r>
        <w:t xml:space="preserve">Emergency beacon readiness check.</w:t>
      </w:r>
    </w:p>
    <w:p>
      <w:pPr>
        <w:pStyle w:val="BodyText"/>
      </w:pPr>
      <w:r>
        <w:rPr>
          <w:bCs/>
          <w:b/>
        </w:rPr>
        <w:t xml:space="preserve">8.</w:t>
      </w:r>
      <w:r>
        <w:t xml:space="preserve"> </w:t>
      </w:r>
      <w:r>
        <w:t xml:space="preserve">Crew briefing on the non-interdiction rules of Section C.5.</w:t>
      </w:r>
    </w:p>
    <w:p>
      <w:pPr>
        <w:pStyle w:val="BodyText"/>
      </w:pPr>
      <w:r>
        <w:rPr>
          <w:bCs/>
          <w:b/>
        </w:rPr>
        <w:t xml:space="preserve">9.</w:t>
      </w:r>
      <w:r>
        <w:t xml:space="preserve"> </w:t>
      </w:r>
      <w:r>
        <w:t xml:space="preserve">Confirmation of standoff geometry parameters for the assignment.</w:t>
      </w:r>
    </w:p>
    <w:bookmarkEnd w:id="65"/>
    <w:bookmarkStart w:id="66" w:name="c.6-operating-geometry"/>
    <w:p>
      <w:pPr>
        <w:pStyle w:val="Heading2"/>
      </w:pPr>
      <w:r>
        <w:t xml:space="preserve">C.6 Operating Geometry</w:t>
      </w:r>
    </w:p>
    <w:p>
      <w:pPr>
        <w:pStyle w:val="FirstParagraph"/>
      </w:pPr>
      <w:r>
        <w:rPr>
          <w:bCs/>
          <w:b/>
        </w:rPr>
        <w:t xml:space="preserve">C.7</w:t>
      </w:r>
      <w:r>
        <w:t xml:space="preserve"> </w:t>
      </w:r>
      <w:r>
        <w:t xml:space="preserve">Lead-Escort Craft maintain the following geometry at all times:</w:t>
      </w:r>
    </w:p>
    <w:p>
      <w:pPr>
        <w:pStyle w:val="BodyText"/>
      </w:pPr>
      <w:r>
        <w:rPr>
          <w:bCs/>
          <w:b/>
        </w:rPr>
        <w:t xml:space="preserve">•</w:t>
      </w:r>
      <w:r>
        <w:t xml:space="preserve"> </w:t>
      </w:r>
      <w:r>
        <w:t xml:space="preserve">One (1) to two (2) nautical miles ahead of the merchant vessel.</w:t>
      </w:r>
    </w:p>
    <w:p>
      <w:pPr>
        <w:pStyle w:val="BodyText"/>
      </w:pPr>
      <w:r>
        <w:rPr>
          <w:bCs/>
          <w:b/>
        </w:rPr>
        <w:t xml:space="preserve">•</w:t>
      </w:r>
      <w:r>
        <w:t xml:space="preserve"> </w:t>
      </w:r>
      <w:r>
        <w:t xml:space="preserve">A forward observation cone of twenty (20) to thirty (30) degrees.</w:t>
      </w:r>
    </w:p>
    <w:p>
      <w:pPr>
        <w:pStyle w:val="BodyText"/>
      </w:pPr>
      <w:r>
        <w:rPr>
          <w:bCs/>
          <w:b/>
        </w:rPr>
        <w:t xml:space="preserve">•</w:t>
      </w:r>
      <w:r>
        <w:t xml:space="preserve"> </w:t>
      </w:r>
      <w:r>
        <w:t xml:space="preserve">No lateral encroachment into the vessel’s standoff zone.</w:t>
      </w:r>
    </w:p>
    <w:p>
      <w:pPr>
        <w:pStyle w:val="BodyText"/>
      </w:pPr>
      <w:r>
        <w:rPr>
          <w:bCs/>
          <w:b/>
        </w:rPr>
        <w:t xml:space="preserve">•</w:t>
      </w:r>
      <w:r>
        <w:t xml:space="preserve"> </w:t>
      </w:r>
      <w:r>
        <w:t xml:space="preserve">No approach within one half (0.5) nautical mile of the merchant vessel.</w:t>
      </w:r>
    </w:p>
    <w:p>
      <w:pPr>
        <w:pStyle w:val="BodyText"/>
      </w:pPr>
      <w:r>
        <w:rPr>
          <w:bCs/>
          <w:b/>
        </w:rPr>
        <w:t xml:space="preserve">•</w:t>
      </w:r>
      <w:r>
        <w:t xml:space="preserve"> </w:t>
      </w:r>
      <w:r>
        <w:t xml:space="preserve">No trailing behind the vessel at any time.</w:t>
      </w:r>
    </w:p>
    <w:p>
      <w:pPr>
        <w:pStyle w:val="BodyText"/>
      </w:pPr>
      <w:r>
        <w:rPr>
          <w:bCs/>
          <w:b/>
        </w:rPr>
        <w:t xml:space="preserve">C.8</w:t>
      </w:r>
      <w:r>
        <w:t xml:space="preserve"> </w:t>
      </w:r>
      <w:r>
        <w:t xml:space="preserve">Escort craft never cross into the vessel’s lateral standoff zone, never fall behind the vessel, and never close the geometry of this Section except under the emergency protocol of Section C.11.</w:t>
      </w:r>
    </w:p>
    <w:bookmarkEnd w:id="66"/>
    <w:bookmarkStart w:id="67" w:name="c.7-communications-protocol"/>
    <w:p>
      <w:pPr>
        <w:pStyle w:val="Heading2"/>
      </w:pPr>
      <w:r>
        <w:t xml:space="preserve">C.7 Communications Protocol</w:t>
      </w:r>
    </w:p>
    <w:p>
      <w:pPr>
        <w:pStyle w:val="FirstParagraph"/>
      </w:pPr>
      <w:r>
        <w:rPr>
          <w:bCs/>
          <w:b/>
        </w:rPr>
        <w:t xml:space="preserve">C.9</w:t>
      </w:r>
      <w:r>
        <w:t xml:space="preserve"> </w:t>
      </w:r>
      <w:r>
        <w:t xml:space="preserve">Lead-Escort Craft use: VHF Channel 16 for emergency broadcast; the dedicated corridor channel for routine updates; the Joint Coordination Center link for hazard reporting; and automatic identification system Class B for visibility to merchant vessels.</w:t>
      </w:r>
    </w:p>
    <w:p>
      <w:pPr>
        <w:pStyle w:val="BodyText"/>
      </w:pPr>
      <w:r>
        <w:rPr>
          <w:bCs/>
          <w:b/>
        </w:rPr>
        <w:t xml:space="preserve">C.10</w:t>
      </w:r>
      <w:r>
        <w:t xml:space="preserve"> </w:t>
      </w:r>
      <w:r>
        <w:t xml:space="preserve">Lead-Escort Craft issue no commands. They issue hazard advisories only, and they transmit those advisories to the Joint Coordination Center, never directly to the merchant vessel. Direct communication with a merchant vessel occurs only in an emergency under Section C.11.</w:t>
      </w:r>
    </w:p>
    <w:bookmarkEnd w:id="67"/>
    <w:bookmarkStart w:id="68" w:name="X1a6ed5944e7a91b1b2a1d3ef632db7c9f9a4472"/>
    <w:p>
      <w:pPr>
        <w:pStyle w:val="Heading2"/>
      </w:pPr>
      <w:r>
        <w:t xml:space="preserve">C.8 Hazard Detection Duties and Reporting Flow</w:t>
      </w:r>
    </w:p>
    <w:p>
      <w:pPr>
        <w:pStyle w:val="FirstParagraph"/>
      </w:pPr>
      <w:r>
        <w:rPr>
          <w:bCs/>
          <w:b/>
        </w:rPr>
        <w:t xml:space="preserve">C.11</w:t>
      </w:r>
      <w:r>
        <w:t xml:space="preserve"> </w:t>
      </w:r>
      <w:r>
        <w:t xml:space="preserve">Lead-Escort Craft scan for: small craft crossing the corridor; unlit or drifting vessels; debris or floating objects; fishing nets or gear; abnormal automatic identification system behavior; wake interference risks; sudden weather changes; visibility drops; navigation hazards; mine-like contacts (reported simultaneously to the MRT-H under Annex D); and any vessel deviating from expected corridor geometry.</w:t>
      </w:r>
    </w:p>
    <w:p>
      <w:pPr>
        <w:pStyle w:val="BodyText"/>
      </w:pPr>
      <w:r>
        <w:rPr>
          <w:bCs/>
          <w:b/>
        </w:rPr>
        <w:t xml:space="preserve">C.12</w:t>
      </w:r>
      <w:r>
        <w:t xml:space="preserve"> </w:t>
      </w:r>
      <w:r>
        <w:t xml:space="preserve">Hazard reporting flow:</w:t>
      </w:r>
    </w:p>
    <w:p>
      <w:pPr>
        <w:pStyle w:val="BodyText"/>
      </w:pPr>
      <w:r>
        <w:rPr>
          <w:bCs/>
          <w:b/>
        </w:rPr>
        <w:t xml:space="preserve">1.</w:t>
      </w:r>
      <w:r>
        <w:t xml:space="preserve"> </w:t>
      </w:r>
      <w:r>
        <w:t xml:space="preserve">The escort craft logs the hazard.</w:t>
      </w:r>
    </w:p>
    <w:p>
      <w:pPr>
        <w:pStyle w:val="BodyText"/>
      </w:pPr>
      <w:r>
        <w:rPr>
          <w:bCs/>
          <w:b/>
        </w:rPr>
        <w:t xml:space="preserve">2.</w:t>
      </w:r>
      <w:r>
        <w:t xml:space="preserve"> </w:t>
      </w:r>
      <w:r>
        <w:t xml:space="preserve">The escort craft transmits a Hazard Advisory to the Joint Coordination Center.</w:t>
      </w:r>
    </w:p>
    <w:p>
      <w:pPr>
        <w:pStyle w:val="BodyText"/>
      </w:pPr>
      <w:r>
        <w:rPr>
          <w:bCs/>
          <w:b/>
        </w:rPr>
        <w:t xml:space="preserve">3.</w:t>
      </w:r>
      <w:r>
        <w:t xml:space="preserve"> </w:t>
      </w:r>
      <w:r>
        <w:t xml:space="preserve">The Joint Coordination Center evaluates the advisory and determines whether a Corridor Advisory issues.</w:t>
      </w:r>
    </w:p>
    <w:p>
      <w:pPr>
        <w:pStyle w:val="BodyText"/>
      </w:pPr>
      <w:r>
        <w:rPr>
          <w:bCs/>
          <w:b/>
        </w:rPr>
        <w:t xml:space="preserve">4.</w:t>
      </w:r>
      <w:r>
        <w:t xml:space="preserve"> </w:t>
      </w:r>
      <w:r>
        <w:t xml:space="preserve">The merchant vessel receives the advisory from the Joint Coordination Center, never from the escort craft.</w:t>
      </w:r>
    </w:p>
    <w:p>
      <w:pPr>
        <w:pStyle w:val="BodyText"/>
      </w:pPr>
      <w:r>
        <w:rPr>
          <w:bCs/>
          <w:b/>
        </w:rPr>
        <w:t xml:space="preserve">5.</w:t>
      </w:r>
      <w:r>
        <w:t xml:space="preserve"> </w:t>
      </w:r>
      <w:r>
        <w:t xml:space="preserve">The escort craft continues forward scanning.</w:t>
      </w:r>
    </w:p>
    <w:bookmarkEnd w:id="68"/>
    <w:bookmarkStart w:id="69" w:name="Xef4dad01b597a1e4c42407b8967f33f84ddccd7"/>
    <w:p>
      <w:pPr>
        <w:pStyle w:val="Heading2"/>
      </w:pPr>
      <w:r>
        <w:t xml:space="preserve">C.9 Handover Protocol (Iran to Oman, Oman to Iran)</w:t>
      </w:r>
    </w:p>
    <w:p>
      <w:pPr>
        <w:pStyle w:val="FirstParagraph"/>
      </w:pPr>
      <w:r>
        <w:rPr>
          <w:bCs/>
          <w:b/>
        </w:rPr>
        <w:t xml:space="preserve">C.13</w:t>
      </w:r>
      <w:r>
        <w:t xml:space="preserve"> </w:t>
      </w:r>
      <w:r>
        <w:t xml:space="preserve">At the corridor transition point: the outgoing escort hands off to the incoming escort at the pre-agreed coordinate published by the Joint Coordination Center; both escorts maintain forward geometry during the handover; the merchant vessel is never approached; and the Joint Coordination Center logs the handover event. This geometry maintains sovereignty symmetry and operational continuity, and both littoral states display equivalent, visible safety roles.</w:t>
      </w:r>
    </w:p>
    <w:bookmarkEnd w:id="69"/>
    <w:bookmarkStart w:id="70" w:name="c.10-disengagement-protocol"/>
    <w:p>
      <w:pPr>
        <w:pStyle w:val="Heading2"/>
      </w:pPr>
      <w:r>
        <w:t xml:space="preserve">C.10 Disengagement Protocol</w:t>
      </w:r>
    </w:p>
    <w:p>
      <w:pPr>
        <w:pStyle w:val="FirstParagraph"/>
      </w:pPr>
      <w:r>
        <w:rPr>
          <w:bCs/>
          <w:b/>
        </w:rPr>
        <w:t xml:space="preserve">C.14</w:t>
      </w:r>
      <w:r>
        <w:t xml:space="preserve"> </w:t>
      </w:r>
      <w:r>
        <w:t xml:space="preserve">Lead-Escort Craft disengage when: the vessel exits the corridor; weather drops below the safety thresholds of Section C.13; another escort craft takes over; the Joint Coordination Center issues a disengagement notice; or the craft is reassigned to another safety task. Disengagement is silent: no hail, no signal, no approach.</w:t>
      </w:r>
    </w:p>
    <w:bookmarkEnd w:id="70"/>
    <w:bookmarkStart w:id="71" w:name="c.11-emergency-protocol"/>
    <w:p>
      <w:pPr>
        <w:pStyle w:val="Heading2"/>
      </w:pPr>
      <w:r>
        <w:t xml:space="preserve">C.11 Emergency Protocol</w:t>
      </w:r>
    </w:p>
    <w:p>
      <w:pPr>
        <w:pStyle w:val="FirstParagraph"/>
      </w:pPr>
      <w:r>
        <w:rPr>
          <w:bCs/>
          <w:b/>
        </w:rPr>
        <w:t xml:space="preserve">C.15</w:t>
      </w:r>
      <w:r>
        <w:t xml:space="preserve"> </w:t>
      </w:r>
      <w:r>
        <w:t xml:space="preserve">Lead-Escort Craft break forward geometry only when: a vessel issues a distress call; a collision risk is imminent; a life-saving intervention is required; or the Joint Coordination Center authorizes emergency deviation. Even in emergencies, escort craft do not board, do not inspect, do not interrogate, and do not enforce. The role remains safety-only in every condition.</w:t>
      </w:r>
    </w:p>
    <w:bookmarkEnd w:id="71"/>
    <w:bookmarkStart w:id="72" w:name="c.12-post-transit-reporting"/>
    <w:p>
      <w:pPr>
        <w:pStyle w:val="Heading2"/>
      </w:pPr>
      <w:r>
        <w:t xml:space="preserve">C.12 Post-Transit Reporting</w:t>
      </w:r>
    </w:p>
    <w:p>
      <w:pPr>
        <w:pStyle w:val="FirstParagraph"/>
      </w:pPr>
      <w:r>
        <w:rPr>
          <w:bCs/>
          <w:b/>
        </w:rPr>
        <w:t xml:space="preserve">C.16</w:t>
      </w:r>
      <w:r>
        <w:t xml:space="preserve"> </w:t>
      </w:r>
      <w:r>
        <w:t xml:space="preserve">After disengagement, each Lead-Escort Craft files with the Joint Coordination Center: the hazard log; the weather log; the visibility log; the corridor conditions report; any deviations from protocol; any emergency actions taken; fuel and propulsion status; and crew observations. The Joint Coordination Center archives all reports for corridor optimization and posts summaries to the Shared Digital Registry. A violation of the non-interdiction rules of Section C.5 triggers immediate Joint Coordination Center review and classification under Annex B.</w:t>
      </w:r>
    </w:p>
    <w:bookmarkEnd w:id="72"/>
    <w:bookmarkStart w:id="73" w:name="c.13-environmental-thresholds"/>
    <w:p>
      <w:pPr>
        <w:pStyle w:val="Heading2"/>
      </w:pPr>
      <w:r>
        <w:t xml:space="preserve">C.13 Environmental Thresholds</w:t>
      </w:r>
    </w:p>
    <w:p>
      <w:pPr>
        <w:pStyle w:val="FirstParagraph"/>
      </w:pPr>
      <w:r>
        <w:rPr>
          <w:bCs/>
          <w:b/>
        </w:rPr>
        <w:t xml:space="preserve">C.17</w:t>
      </w:r>
      <w:r>
        <w:t xml:space="preserve"> </w:t>
      </w:r>
      <w:r>
        <w:t xml:space="preserve">Lead-escort operations activate and continue only when visibility holds at or above two (2) nautical miles, sea state holds at or below four (4) on the Douglas scale, and sustained wind holds at or below twenty-five (25) knots. The Joint Coordination Center publishes threshold status hourly during managed and restricted flow states.</w:t>
      </w:r>
    </w:p>
    <w:bookmarkEnd w:id="73"/>
    <w:bookmarkStart w:id="74" w:name="X1d51bcf781e745244b224ef9023da55618a9124"/>
    <w:p>
      <w:pPr>
        <w:pStyle w:val="Heading2"/>
      </w:pPr>
      <w:r>
        <w:t xml:space="preserve">C.14 Escalation Ladder for Small Craft Incidents</w:t>
      </w:r>
    </w:p>
    <w:p>
      <w:pPr>
        <w:pStyle w:val="FirstParagraph"/>
      </w:pPr>
      <w:r>
        <w:rPr>
          <w:bCs/>
          <w:b/>
        </w:rPr>
        <w:t xml:space="preserve">C.18</w:t>
      </w:r>
      <w:r>
        <w:t xml:space="preserve"> </w:t>
      </w:r>
      <w:r>
        <w:t xml:space="preserve">Every small craft incident follows one ladder, harmonized with Annex I:</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Level</w:t>
            </w:r>
          </w:p>
        </w:tc>
        <w:tc>
          <w:tcPr>
            <w:shd w:val="clear" w:color="auto" w:fill="D9E2EC"/>
          </w:tcPr>
          <w:p>
            <w:pPr>
              <w:pStyle w:val="Compact"/>
              <w:jc w:val="left"/>
            </w:pPr>
            <w:r>
              <w:rPr>
                <w:bCs/>
                <w:b/>
              </w:rPr>
              <w:t xml:space="preserve">Trigger</w:t>
            </w:r>
          </w:p>
        </w:tc>
        <w:tc>
          <w:tcPr>
            <w:shd w:val="clear" w:color="auto" w:fill="D9E2EC"/>
          </w:tcPr>
          <w:p>
            <w:pPr>
              <w:pStyle w:val="Compact"/>
              <w:jc w:val="left"/>
            </w:pPr>
            <w:r>
              <w:rPr>
                <w:bCs/>
                <w:b/>
              </w:rPr>
              <w:t xml:space="preserve">Mechanism</w:t>
            </w:r>
          </w:p>
        </w:tc>
        <w:tc>
          <w:tcPr>
            <w:shd w:val="clear" w:color="auto" w:fill="D9E2EC"/>
          </w:tcPr>
          <w:p>
            <w:pPr>
              <w:pStyle w:val="Compact"/>
              <w:jc w:val="left"/>
            </w:pPr>
            <w:r>
              <w:rPr>
                <w:bCs/>
                <w:b/>
              </w:rPr>
              <w:t xml:space="preserve">Window</w:t>
            </w:r>
          </w:p>
        </w:tc>
      </w:tr>
      <w:tr>
        <w:tc>
          <w:tcPr/>
          <w:p>
            <w:pPr>
              <w:pStyle w:val="Compact"/>
              <w:jc w:val="left"/>
            </w:pPr>
            <w:r>
              <w:t xml:space="preserve">1</w:t>
            </w:r>
          </w:p>
        </w:tc>
        <w:tc>
          <w:tcPr/>
          <w:p>
            <w:pPr>
              <w:pStyle w:val="Compact"/>
              <w:jc w:val="left"/>
            </w:pPr>
            <w:r>
              <w:t xml:space="preserve">Norm breach of Section C.2 without contact</w:t>
            </w:r>
          </w:p>
        </w:tc>
        <w:tc>
          <w:tcPr/>
          <w:p>
            <w:pPr>
              <w:pStyle w:val="Compact"/>
              <w:jc w:val="left"/>
            </w:pPr>
            <w:r>
              <w:t xml:space="preserve">Automatic hotline notification; craft commander report</w:t>
            </w:r>
          </w:p>
        </w:tc>
        <w:tc>
          <w:tcPr/>
          <w:p>
            <w:pPr>
              <w:pStyle w:val="Compact"/>
              <w:jc w:val="left"/>
            </w:pPr>
            <w:r>
              <w:t xml:space="preserve">15 minutes notification; 2 hours report</w:t>
            </w:r>
          </w:p>
        </w:tc>
      </w:tr>
      <w:tr>
        <w:tc>
          <w:tcPr/>
          <w:p>
            <w:pPr>
              <w:pStyle w:val="Compact"/>
              <w:jc w:val="left"/>
            </w:pPr>
            <w:r>
              <w:t xml:space="preserve">2</w:t>
            </w:r>
          </w:p>
        </w:tc>
        <w:tc>
          <w:tcPr/>
          <w:p>
            <w:pPr>
              <w:pStyle w:val="Compact"/>
              <w:jc w:val="left"/>
            </w:pPr>
            <w:r>
              <w:t xml:space="preserve">Close approach inside 500 meters without distress justification</w:t>
            </w:r>
          </w:p>
        </w:tc>
        <w:tc>
          <w:tcPr/>
          <w:p>
            <w:pPr>
              <w:pStyle w:val="Compact"/>
              <w:jc w:val="left"/>
            </w:pPr>
            <w:r>
              <w:t xml:space="preserve">On-scene de-escalation by Joint Coordination Center direction; incident form MF-1</w:t>
            </w:r>
          </w:p>
        </w:tc>
        <w:tc>
          <w:tcPr/>
          <w:p>
            <w:pPr>
              <w:pStyle w:val="Compact"/>
              <w:jc w:val="left"/>
            </w:pPr>
            <w:r>
              <w:t xml:space="preserve">30 minutes de-escalation; 24 hours review</w:t>
            </w:r>
          </w:p>
        </w:tc>
      </w:tr>
      <w:tr>
        <w:tc>
          <w:tcPr/>
          <w:p>
            <w:pPr>
              <w:pStyle w:val="Compact"/>
              <w:jc w:val="left"/>
            </w:pPr>
            <w:r>
              <w:t xml:space="preserve">3</w:t>
            </w:r>
          </w:p>
        </w:tc>
        <w:tc>
          <w:tcPr/>
          <w:p>
            <w:pPr>
              <w:pStyle w:val="Compact"/>
              <w:jc w:val="left"/>
            </w:pPr>
            <w:r>
              <w:t xml:space="preserve">Swarm behavior or intercept-angle approach outside exceptions</w:t>
            </w:r>
          </w:p>
        </w:tc>
        <w:tc>
          <w:tcPr/>
          <w:p>
            <w:pPr>
              <w:pStyle w:val="Compact"/>
              <w:jc w:val="left"/>
            </w:pPr>
            <w:r>
              <w:t xml:space="preserve">Joint Technical Committee convenes; escort assignment suspension for the unit</w:t>
            </w:r>
          </w:p>
        </w:tc>
        <w:tc>
          <w:tcPr/>
          <w:p>
            <w:pPr>
              <w:pStyle w:val="Compact"/>
              <w:jc w:val="left"/>
            </w:pPr>
            <w:r>
              <w:t xml:space="preserve">48 hours review</w:t>
            </w:r>
          </w:p>
        </w:tc>
      </w:tr>
      <w:tr>
        <w:tc>
          <w:tcPr/>
          <w:p>
            <w:pPr>
              <w:pStyle w:val="Compact"/>
              <w:jc w:val="left"/>
            </w:pPr>
            <w:r>
              <w:t xml:space="preserve">4</w:t>
            </w:r>
          </w:p>
        </w:tc>
        <w:tc>
          <w:tcPr/>
          <w:p>
            <w:pPr>
              <w:pStyle w:val="Compact"/>
              <w:jc w:val="left"/>
            </w:pPr>
            <w:r>
              <w:t xml:space="preserve">Interdiction act by any small craft (boarding, seizure, weapons use)</w:t>
            </w:r>
          </w:p>
        </w:tc>
        <w:tc>
          <w:tcPr/>
          <w:p>
            <w:pPr>
              <w:pStyle w:val="Compact"/>
              <w:jc w:val="left"/>
            </w:pPr>
            <w:r>
              <w:t xml:space="preserve">Tier classification under Annex B; Guarantor Panel notification; ladder of Article 12</w:t>
            </w:r>
          </w:p>
        </w:tc>
        <w:tc>
          <w:tcPr/>
          <w:p>
            <w:pPr>
              <w:pStyle w:val="Compact"/>
              <w:jc w:val="left"/>
            </w:pPr>
            <w:r>
              <w:t xml:space="preserve">Immediate notification; 72 hours committee finding</w:t>
            </w:r>
          </w:p>
        </w:tc>
      </w:tr>
    </w:tbl>
    <w:p>
      <w:pPr>
        <w:pStyle w:val="BodyText"/>
      </w:pPr>
      <w:r>
        <w:rPr>
          <w:bCs/>
          <w:b/>
        </w:rPr>
        <w:t xml:space="preserve">C.19</w:t>
      </w:r>
      <w:r>
        <w:t xml:space="preserve"> </w:t>
      </w:r>
      <w:r>
        <w:t xml:space="preserve">Rogue actor pathway. Where a Party attributes a small craft incident to a rogue or errant element rather than state direction, the errant-element pathway of Section 12.6 applies: actionable intelligence within twenty-four (24) hours, committee certification within forty-eight (48) hours, and exclusion from bilateral penalties upon certification.</w:t>
      </w:r>
    </w:p>
    <w:bookmarkEnd w:id="74"/>
    <w:bookmarkStart w:id="75" w:name="X3614a6794998ae9e8f49f0e571069fe9cb2ccb8"/>
    <w:p>
      <w:pPr>
        <w:pStyle w:val="Heading2"/>
      </w:pPr>
      <w:r>
        <w:t xml:space="preserve">C.15 Integration With the Broader Architecture</w:t>
      </w:r>
    </w:p>
    <w:p>
      <w:pPr>
        <w:pStyle w:val="FirstParagraph"/>
      </w:pPr>
      <w:r>
        <w:rPr>
          <w:bCs/>
          <w:b/>
        </w:rPr>
        <w:t xml:space="preserve">C.20</w:t>
      </w:r>
      <w:r>
        <w:t xml:space="preserve"> </w:t>
      </w:r>
      <w:r>
        <w:t xml:space="preserve">The Lead-Escort Safety Service reinforces the non-interdiction architecture: safety without control, presence without pressure, monitoring without interference. It strengthens corridor geometry through predictable movement, hazard clearance, forward scanning, and standoff zones. It reduces insurance risk through hazard detection, predictable routing, reduced collision risk, and reduced ambiguity, and the Market Confidence Interface of Annex B reports escort coverage statistics to insurers weekly. It satisfies domestic optics in both littoral states through active, visible, equivalent maritime safety roles. It integrates with the rest of this Compact because it uses notification, not permission; operates ahead, not alongside; reports hazards, not vessels; maintains symmetry; avoids enforcement triggers; and avoids political signaling.</w:t>
      </w:r>
    </w:p>
    <w:bookmarkEnd w:id="75"/>
    <w:bookmarkEnd w:id="76"/>
    <w:bookmarkStart w:id="85" w:name="Xed23400982807ca0c2b04831d7735e5d2595fec"/>
    <w:p>
      <w:pPr>
        <w:pStyle w:val="Heading1"/>
      </w:pPr>
      <w:r>
        <w:t xml:space="preserve">Annex D. Mine Removal Taskforce Charter (MRT-H)</w:t>
      </w:r>
    </w:p>
    <w:p>
      <w:pPr>
        <w:pStyle w:val="FirstParagraph"/>
      </w:pPr>
      <w:r>
        <w:t xml:space="preserve">Operative Annex for Article 8. An operational instrument for survey, clearance, and certification of mine hazards in the Strait of Hormuz Governance Area.</w:t>
      </w:r>
    </w:p>
    <w:bookmarkStart w:id="77" w:name="d.1-establishment-and-mandate"/>
    <w:p>
      <w:pPr>
        <w:pStyle w:val="Heading2"/>
      </w:pPr>
      <w:r>
        <w:t xml:space="preserve">D.1 Establishment and Mandate</w:t>
      </w:r>
    </w:p>
    <w:p>
      <w:pPr>
        <w:pStyle w:val="FirstParagraph"/>
      </w:pPr>
      <w:r>
        <w:rPr>
          <w:bCs/>
          <w:b/>
        </w:rPr>
        <w:t xml:space="preserve">D.1</w:t>
      </w:r>
      <w:r>
        <w:t xml:space="preserve"> </w:t>
      </w:r>
      <w:r>
        <w:t xml:space="preserve">The Mine Removal Taskforce for the Strait of Hormuz (MRT-H) operates as the standing mine-hazard survey, clearance, and certification body of this Compact. MRT-H activates automatically at Day 0 and upon any mine-hazard declaration under Article 8, and continues until the Neutral Keel Office verifies full clearance of all designated lanes. MRT-H functions as a civilian-led, multilateral, neutral, and non-kinetic architecture.</w:t>
      </w:r>
    </w:p>
    <w:p>
      <w:pPr>
        <w:pStyle w:val="BodyText"/>
      </w:pPr>
      <w:r>
        <w:rPr>
          <w:bCs/>
          <w:b/>
        </w:rPr>
        <w:t xml:space="preserve">D.2</w:t>
      </w:r>
      <w:r>
        <w:t xml:space="preserve"> </w:t>
      </w:r>
      <w:r>
        <w:t xml:space="preserve">MRT-H governs: hazard survey; mine-like contact identification; disposal of confirmed mines; clearance of transit lanes; hydrographic charting; certification of safe routes; and publication of mine-related Bulletins.</w:t>
      </w:r>
    </w:p>
    <w:p>
      <w:pPr>
        <w:pStyle w:val="BodyText"/>
      </w:pPr>
      <w:r>
        <w:rPr>
          <w:bCs/>
          <w:b/>
        </w:rPr>
        <w:t xml:space="preserve">D.3</w:t>
      </w:r>
      <w:r>
        <w:t xml:space="preserve"> </w:t>
      </w:r>
      <w:r>
        <w:t xml:space="preserve">MRT-H excludes: any kinetic action; any offensive military posture; any activity outside mine countermeasures; and any operation inconsistent with the Red Line Register of Annex F. Mine countermeasure assets never repurpose for offensive operations under any circumstances.</w:t>
      </w:r>
    </w:p>
    <w:bookmarkEnd w:id="77"/>
    <w:bookmarkStart w:id="78" w:name="d.2-structure-of-mrt-h"/>
    <w:p>
      <w:pPr>
        <w:pStyle w:val="Heading2"/>
      </w:pPr>
      <w:r>
        <w:t xml:space="preserve">D.2 Structure of MRT-H</w:t>
      </w:r>
    </w:p>
    <w:p>
      <w:pPr>
        <w:pStyle w:val="FirstParagraph"/>
      </w:pPr>
      <w:r>
        <w:t xml:space="preserve">MRT-H comprises four operational pillars.</w:t>
      </w:r>
    </w:p>
    <w:p>
      <w:pPr>
        <w:pStyle w:val="BodyText"/>
      </w:pPr>
      <w:r>
        <w:rPr>
          <w:bCs/>
          <w:b/>
        </w:rPr>
        <w:t xml:space="preserve">D.4</w:t>
      </w:r>
      <w:r>
        <w:t xml:space="preserve"> </w:t>
      </w:r>
      <w:r>
        <w:t xml:space="preserve">Mine Countermeasures Group (MCM Group). The MCM Group conducts minehunting, sweeping, disposal, and lane clearance. It operates specialized mine countermeasure vessels, unmanned surface and underwater vehicles, explosive ordnance disposal diver teams, and hydrographic survey units. The MCM Group functions under civilian operational direction from the Mines Cell.</w:t>
      </w:r>
    </w:p>
    <w:p>
      <w:pPr>
        <w:pStyle w:val="BodyText"/>
      </w:pPr>
      <w:r>
        <w:rPr>
          <w:bCs/>
          <w:b/>
        </w:rPr>
        <w:t xml:space="preserve">D.5</w:t>
      </w:r>
      <w:r>
        <w:t xml:space="preserve"> </w:t>
      </w:r>
      <w:r>
        <w:t xml:space="preserve">Meridian Operations Center, Mines Cell (MOC Mines Cell). The Mines Cell plans, sequences, and deconflicts all mine-related operations. It maintains the operational picture, issues mine Bulletins, and manages traffic around active clearance zones. The duty officer pair comprises one officer from each of the two largest contributing Littoral Parties to the Transit Services Fund, rotating annually. A neutral operations coordinator and liaison officers from participating navies and coast guards staff the Cell.</w:t>
      </w:r>
    </w:p>
    <w:p>
      <w:pPr>
        <w:pStyle w:val="BodyText"/>
      </w:pPr>
      <w:r>
        <w:rPr>
          <w:bCs/>
          <w:b/>
        </w:rPr>
        <w:t xml:space="preserve">D.6</w:t>
      </w:r>
      <w:r>
        <w:t xml:space="preserve"> </w:t>
      </w:r>
      <w:r>
        <w:t xml:space="preserve">Neutral Keel Office, Verification Team (NKO-VT). The Verification Team certifies every cleared lane under the Convergence Standard. It verifies disposal events, confirms hazard removal, and publishes Safe Route Certifications. Its composition comprises civilian maritime surveyors, hydrographers, data analysts, and International Maritime Organization and International Hydrographic Organization technical observers as standing participants.</w:t>
      </w:r>
    </w:p>
    <w:p>
      <w:pPr>
        <w:pStyle w:val="BodyText"/>
      </w:pPr>
      <w:r>
        <w:rPr>
          <w:bCs/>
          <w:b/>
        </w:rPr>
        <w:t xml:space="preserve">D.7</w:t>
      </w:r>
      <w:r>
        <w:t xml:space="preserve"> </w:t>
      </w:r>
      <w:r>
        <w:t xml:space="preserve">Assurance Board. The Assurance Board comprises the Fairway Council, the Neutral Administrator, and the Guarantor Panel. It holds the political mandate, approves rules of engagement for clearance operations, reviews disputes, and interfaces with user states, insurers, and shipping interests.</w:t>
      </w:r>
    </w:p>
    <w:bookmarkEnd w:id="78"/>
    <w:bookmarkStart w:id="79" w:name="d.3-participation"/>
    <w:p>
      <w:pPr>
        <w:pStyle w:val="Heading2"/>
      </w:pPr>
      <w:r>
        <w:t xml:space="preserve">D.3 Participation</w:t>
      </w:r>
    </w:p>
    <w:p>
      <w:pPr>
        <w:pStyle w:val="FirstParagraph"/>
      </w:pPr>
      <w:r>
        <w:rPr>
          <w:bCs/>
          <w:b/>
        </w:rPr>
        <w:t xml:space="preserve">D.8</w:t>
      </w:r>
      <w:r>
        <w:t xml:space="preserve"> </w:t>
      </w:r>
      <w:r>
        <w:t xml:space="preserve">Founding Members (Core Participants):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3960"/>
        <w:gridCol w:w="3960"/>
      </w:tblGrid>
      <w:tr>
        <w:trPr>
          <w:tblHeader w:val="true"/>
        </w:trPr>
        <w:tc>
          <w:tcPr>
            <w:shd w:val="clear" w:color="auto" w:fill="D9E2EC"/>
          </w:tcPr>
          <w:p>
            <w:pPr>
              <w:pStyle w:val="Compact"/>
              <w:jc w:val="left"/>
            </w:pPr>
            <w:r>
              <w:rPr>
                <w:bCs/>
                <w:b/>
              </w:rPr>
              <w:t xml:space="preserve">Member</w:t>
            </w:r>
          </w:p>
        </w:tc>
        <w:tc>
          <w:tcPr>
            <w:shd w:val="clear" w:color="auto" w:fill="D9E2EC"/>
          </w:tcPr>
          <w:p>
            <w:pPr>
              <w:pStyle w:val="Compact"/>
              <w:jc w:val="left"/>
            </w:pPr>
            <w:r>
              <w:rPr>
                <w:bCs/>
                <w:b/>
              </w:rPr>
              <w:t xml:space="preserve">Operational Contribution</w:t>
            </w:r>
          </w:p>
        </w:tc>
      </w:tr>
      <w:tr>
        <w:tc>
          <w:tcPr/>
          <w:p>
            <w:pPr>
              <w:pStyle w:val="Compact"/>
              <w:jc w:val="left"/>
            </w:pPr>
            <w:r>
              <w:t xml:space="preserve">Islamic Republic of Iran</w:t>
            </w:r>
          </w:p>
        </w:tc>
        <w:tc>
          <w:tcPr/>
          <w:p>
            <w:pPr>
              <w:pStyle w:val="Compact"/>
              <w:jc w:val="left"/>
            </w:pPr>
            <w:r>
              <w:t xml:space="preserve">Northern corridor survey and clearance, coastal mine countermeasure units, hydrographic data for Iranian waters, explosive ordnance disposal teams, port access at Bandar Abbas for staging and logistics</w:t>
            </w:r>
          </w:p>
        </w:tc>
      </w:tr>
      <w:tr>
        <w:tc>
          <w:tcPr/>
          <w:p>
            <w:pPr>
              <w:pStyle w:val="Compact"/>
              <w:jc w:val="left"/>
            </w:pPr>
            <w:r>
              <w:t xml:space="preserve">Sultanate of Oman</w:t>
            </w:r>
          </w:p>
        </w:tc>
        <w:tc>
          <w:tcPr/>
          <w:p>
            <w:pPr>
              <w:pStyle w:val="Compact"/>
              <w:jc w:val="left"/>
            </w:pPr>
            <w:r>
              <w:t xml:space="preserve">Southern corridor survey and clearance, mine countermeasure vessels, search-and-rescue integration, hydrographic data for Omani waters, port access at Muscat, Sohar, and Duqm</w:t>
            </w:r>
          </w:p>
        </w:tc>
      </w:tr>
      <w:tr>
        <w:tc>
          <w:tcPr/>
          <w:p>
            <w:pPr>
              <w:pStyle w:val="Compact"/>
              <w:jc w:val="left"/>
            </w:pPr>
            <w:r>
              <w:t xml:space="preserve">United Arab Emirates (upon Tier II accession)</w:t>
            </w:r>
          </w:p>
        </w:tc>
        <w:tc>
          <w:tcPr/>
          <w:p>
            <w:pPr>
              <w:pStyle w:val="Compact"/>
              <w:jc w:val="left"/>
            </w:pPr>
            <w:r>
              <w:t xml:space="preserve">Additional mine countermeasure vessels and unmanned underwater vehicles, high-resolution hydrographic survey teams, explosive ordnance disposal teams for joint operations, logistics and maintenance support, port access at Fujairah and Jebel Ali</w:t>
            </w:r>
          </w:p>
        </w:tc>
      </w:tr>
    </w:tbl>
    <w:p>
      <w:pPr>
        <w:pStyle w:val="BodyText"/>
      </w:pPr>
      <w:r>
        <w:rPr>
          <w:bCs/>
          <w:b/>
        </w:rPr>
        <w:t xml:space="preserve">D.9</w:t>
      </w:r>
      <w:r>
        <w:t xml:space="preserve"> </w:t>
      </w:r>
      <w:r>
        <w:t xml:space="preserve">Acceding Members (Tier II, encouraged): the Kingdom of Saudi Arabia, the State of Qatar, the Kingdom of Bahrain, the State of Kuwait, and the Republic of Iraq contribute mine countermeasure units, funding, liaison officers, hydrographic data, and regional legitimacy under the accession instruments of Annex E.</w:t>
      </w:r>
    </w:p>
    <w:p>
      <w:pPr>
        <w:pStyle w:val="BodyText"/>
      </w:pPr>
      <w:r>
        <w:rPr>
          <w:bCs/>
          <w:b/>
        </w:rPr>
        <w:t xml:space="preserve">D.10</w:t>
      </w:r>
      <w:r>
        <w:t xml:space="preserve"> </w:t>
      </w:r>
      <w:r>
        <w:t xml:space="preserve">Neutral and Technical Participants: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3960"/>
        <w:gridCol w:w="3960"/>
      </w:tblGrid>
      <w:tr>
        <w:trPr>
          <w:tblHeader w:val="true"/>
        </w:trPr>
        <w:tc>
          <w:tcPr>
            <w:shd w:val="clear" w:color="auto" w:fill="D9E2EC"/>
          </w:tcPr>
          <w:p>
            <w:pPr>
              <w:pStyle w:val="Compact"/>
              <w:jc w:val="left"/>
            </w:pPr>
            <w:r>
              <w:rPr>
                <w:bCs/>
                <w:b/>
              </w:rPr>
              <w:t xml:space="preserve">Participant</w:t>
            </w:r>
          </w:p>
        </w:tc>
        <w:tc>
          <w:tcPr>
            <w:shd w:val="clear" w:color="auto" w:fill="D9E2EC"/>
          </w:tcPr>
          <w:p>
            <w:pPr>
              <w:pStyle w:val="Compact"/>
              <w:jc w:val="left"/>
            </w:pPr>
            <w:r>
              <w:rPr>
                <w:bCs/>
                <w:b/>
              </w:rPr>
              <w:t xml:space="preserve">Function</w:t>
            </w:r>
          </w:p>
        </w:tc>
      </w:tr>
      <w:tr>
        <w:tc>
          <w:tcPr/>
          <w:p>
            <w:pPr>
              <w:pStyle w:val="Compact"/>
              <w:jc w:val="left"/>
            </w:pPr>
            <w:r>
              <w:t xml:space="preserve">Swiss Confederation (Neutral Administrator)</w:t>
            </w:r>
          </w:p>
        </w:tc>
        <w:tc>
          <w:tcPr/>
          <w:p>
            <w:pPr>
              <w:pStyle w:val="Compact"/>
              <w:jc w:val="left"/>
            </w:pPr>
            <w:r>
              <w:t xml:space="preserve">Financial oversight, taskforce budget, contracting of commercial mine-clearance providers, audit of mine-clearance expenditures</w:t>
            </w:r>
          </w:p>
        </w:tc>
      </w:tr>
      <w:tr>
        <w:tc>
          <w:tcPr/>
          <w:p>
            <w:pPr>
              <w:pStyle w:val="Compact"/>
              <w:jc w:val="left"/>
            </w:pPr>
            <w:r>
              <w:t xml:space="preserve">International Maritime Organization</w:t>
            </w:r>
          </w:p>
        </w:tc>
        <w:tc>
          <w:tcPr/>
          <w:p>
            <w:pPr>
              <w:pStyle w:val="Compact"/>
              <w:jc w:val="left"/>
            </w:pPr>
            <w:r>
              <w:t xml:space="preserve">Technical standards for mine-clearance safety, certification of cleared transit routes, observer presence during verification</w:t>
            </w:r>
          </w:p>
        </w:tc>
      </w:tr>
      <w:tr>
        <w:tc>
          <w:tcPr/>
          <w:p>
            <w:pPr>
              <w:pStyle w:val="Compact"/>
              <w:jc w:val="left"/>
            </w:pPr>
            <w:r>
              <w:t xml:space="preserve">International Hydrographic Organization</w:t>
            </w:r>
          </w:p>
        </w:tc>
        <w:tc>
          <w:tcPr/>
          <w:p>
            <w:pPr>
              <w:pStyle w:val="Compact"/>
              <w:jc w:val="left"/>
            </w:pPr>
            <w:r>
              <w:t xml:space="preserve">Charting and survey standards, updating of navigational charts after clearance, verification of hydrographic accuracy</w:t>
            </w:r>
          </w:p>
        </w:tc>
      </w:tr>
      <w:tr>
        <w:tc>
          <w:tcPr/>
          <w:p>
            <w:pPr>
              <w:pStyle w:val="Compact"/>
              <w:jc w:val="left"/>
            </w:pPr>
            <w:r>
              <w:t xml:space="preserve">Invited neutral MCM-capable states (Observer Members: Japan, Norway, Netherlands, United Kingdom, France, India)</w:t>
            </w:r>
          </w:p>
        </w:tc>
        <w:tc>
          <w:tcPr/>
          <w:p>
            <w:pPr>
              <w:pStyle w:val="Compact"/>
              <w:jc w:val="left"/>
            </w:pPr>
            <w:r>
              <w:t xml:space="preserve">High-end mine countermeasure assets, unmanned system operators, explosive ordnance specialists, under strictly non-combat, time-bounded, civilian-directed participation</w:t>
            </w:r>
          </w:p>
        </w:tc>
      </w:tr>
    </w:tbl>
    <w:p>
      <w:pPr>
        <w:pStyle w:val="BodyText"/>
      </w:pPr>
      <w:r>
        <w:rPr>
          <w:bCs/>
          <w:b/>
        </w:rPr>
        <w:t xml:space="preserve">D.11</w:t>
      </w:r>
      <w:r>
        <w:t xml:space="preserve"> </w:t>
      </w:r>
      <w:r>
        <w:t xml:space="preserve">Non-operational Stakeholders: protection and indemnity clubs, major insurers, shipping associations, and tanker and liquefied natural gas operators provide advisory input on data requirements for premium normalization, route feedback, timing constraints, and vessel-specific constraints. They hold no operational role.</w:t>
      </w:r>
    </w:p>
    <w:bookmarkEnd w:id="79"/>
    <w:bookmarkStart w:id="80" w:name="d.4-operating-sequence"/>
    <w:p>
      <w:pPr>
        <w:pStyle w:val="Heading2"/>
      </w:pPr>
      <w:r>
        <w:t xml:space="preserve">D.4 Operating Sequence</w:t>
      </w:r>
    </w:p>
    <w:p>
      <w:pPr>
        <w:pStyle w:val="FirstParagraph"/>
      </w:pPr>
      <w:r>
        <w:rPr>
          <w:bCs/>
          <w:b/>
        </w:rPr>
        <w:t xml:space="preserve">D.12</w:t>
      </w:r>
      <w:r>
        <w:t xml:space="preserve"> </w:t>
      </w:r>
      <w:r>
        <w:t xml:space="preserve">Phase 1, Hazard Declaration (Day 0). Upon entry into force, and upon any detection of mine hazards, the MOC Mines Cell issues a Notice to Mariners declaring the Governance Area a Mine Hazard Area under survey. Transit restricts to the Temporary Transit Routes of Annex A. The mine strike of July 26, 2026, enters the survey plan as the first priority contact cluster.</w:t>
      </w:r>
    </w:p>
    <w:p>
      <w:pPr>
        <w:pStyle w:val="BodyText"/>
      </w:pPr>
      <w:r>
        <w:rPr>
          <w:bCs/>
          <w:b/>
        </w:rPr>
        <w:t xml:space="preserve">D.13</w:t>
      </w:r>
      <w:r>
        <w:t xml:space="preserve"> </w:t>
      </w:r>
      <w:r>
        <w:t xml:space="preserve">Phase 2, Survey and Identification (Day 3 onward). The MCM Group conducts systematic side-scan sonar sweeps, unmanned underwater vehicle runs, diver inspections, and hydrographic mapping, prioritized by the lane criticality matrix of this annex: Fairway Alpha axis first, Fairway Bravo axis second, anchorages and approaches third, remainder of the Governance Area fourth. Mine-like contacts receive immediate marking and publication.</w:t>
      </w:r>
    </w:p>
    <w:p>
      <w:pPr>
        <w:pStyle w:val="BodyText"/>
      </w:pPr>
      <w:r>
        <w:rPr>
          <w:bCs/>
          <w:b/>
        </w:rPr>
        <w:t xml:space="preserve">D.14</w:t>
      </w:r>
      <w:r>
        <w:t xml:space="preserve"> </w:t>
      </w:r>
      <w:r>
        <w:t xml:space="preserve">Phase 3, Clearance and Disposal (Day 10 onward, zone by zone). Confirmed mines are neutralized by explosive ordnance disposal teams using render-safe procedures published to the Assurance Board. Cleared lanes reopen sequentially as certification completes.</w:t>
      </w:r>
    </w:p>
    <w:p>
      <w:pPr>
        <w:pStyle w:val="BodyText"/>
      </w:pPr>
      <w:r>
        <w:rPr>
          <w:bCs/>
          <w:b/>
        </w:rPr>
        <w:t xml:space="preserve">D.15</w:t>
      </w:r>
      <w:r>
        <w:t xml:space="preserve"> </w:t>
      </w:r>
      <w:r>
        <w:t xml:space="preserve">Phase 4, Verification and Certification (rolling). The NKO-VT verifies each cleared lane under the Convergence Standard, with convergent evidence from survey data, diver records, unmanned vehicle telemetry, and observer reports. International Maritime Organization and International Hydrographic Organization observers certify technical compliance. The MOC Mines Cell publishes Safe Route Certifications with coordinates, depth, and residual risk level, and issues a Maritime Safety Information broadcast for each certified zone.</w:t>
      </w:r>
    </w:p>
    <w:p>
      <w:pPr>
        <w:pStyle w:val="BodyText"/>
      </w:pPr>
      <w:r>
        <w:rPr>
          <w:bCs/>
          <w:b/>
        </w:rPr>
        <w:t xml:space="preserve">D.16</w:t>
      </w:r>
      <w:r>
        <w:t xml:space="preserve"> </w:t>
      </w:r>
      <w:r>
        <w:t xml:space="preserve">Phase 5, Normalization. Cleared lanes become standard fairways under Annex A. Navigational charts update through the International Hydrographic Organization channel. Insurance markets normalize premiums based on verified clearance and published performance, tracked through the Market Confidence Interface of Annex B.</w:t>
      </w:r>
    </w:p>
    <w:bookmarkEnd w:id="80"/>
    <w:bookmarkStart w:id="81" w:name="d.5-operating-principles"/>
    <w:p>
      <w:pPr>
        <w:pStyle w:val="Heading2"/>
      </w:pPr>
      <w:r>
        <w:t xml:space="preserve">D.5 Operating Principles</w:t>
      </w:r>
    </w:p>
    <w:p>
      <w:pPr>
        <w:pStyle w:val="FirstParagraph"/>
      </w:pPr>
      <w:r>
        <w:rPr>
          <w:bCs/>
          <w:b/>
        </w:rPr>
        <w:t xml:space="preserve">D.17</w:t>
      </w:r>
      <w:r>
        <w:t xml:space="preserve"> </w:t>
      </w:r>
      <w:r>
        <w:t xml:space="preserve">MRT-H operates under the following principles:</w:t>
      </w:r>
    </w:p>
    <w:p>
      <w:pPr>
        <w:pStyle w:val="BodyText"/>
      </w:pPr>
      <w:r>
        <w:rPr>
          <w:bCs/>
          <w:b/>
        </w:rPr>
        <w:t xml:space="preserve">•</w:t>
      </w:r>
      <w:r>
        <w:t xml:space="preserve"> </w:t>
      </w:r>
      <w:r>
        <w:t xml:space="preserve">Civilian lead. All operational direction is civilian; military units act only in mine countermeasure roles.</w:t>
      </w:r>
    </w:p>
    <w:p>
      <w:pPr>
        <w:pStyle w:val="BodyText"/>
      </w:pPr>
      <w:r>
        <w:rPr>
          <w:bCs/>
          <w:b/>
        </w:rPr>
        <w:t xml:space="preserve">•</w:t>
      </w:r>
      <w:r>
        <w:t xml:space="preserve"> </w:t>
      </w:r>
      <w:r>
        <w:t xml:space="preserve">Neutrality. All verification is independent; all certifications are public.</w:t>
      </w:r>
    </w:p>
    <w:p>
      <w:pPr>
        <w:pStyle w:val="BodyText"/>
      </w:pPr>
      <w:r>
        <w:rPr>
          <w:bCs/>
          <w:b/>
        </w:rPr>
        <w:t xml:space="preserve">•</w:t>
      </w:r>
      <w:r>
        <w:t xml:space="preserve"> </w:t>
      </w:r>
      <w:r>
        <w:t xml:space="preserve">Transparency. Every mine-related Bulletin publishes to all Members and user states simultaneously; user states see the same data as littoral states.</w:t>
      </w:r>
    </w:p>
    <w:p>
      <w:pPr>
        <w:pStyle w:val="BodyText"/>
      </w:pPr>
      <w:r>
        <w:rPr>
          <w:bCs/>
          <w:b/>
        </w:rPr>
        <w:t xml:space="preserve">•</w:t>
      </w:r>
      <w:r>
        <w:t xml:space="preserve"> </w:t>
      </w:r>
      <w:r>
        <w:t xml:space="preserve">Symmetry. Iran, Oman, and acceding littoral states hold visible, balanced roles; no single state dominates, and no participant appears subordinate to another.</w:t>
      </w:r>
    </w:p>
    <w:p>
      <w:pPr>
        <w:pStyle w:val="BodyText"/>
      </w:pPr>
      <w:r>
        <w:rPr>
          <w:bCs/>
          <w:b/>
        </w:rPr>
        <w:t xml:space="preserve">•</w:t>
      </w:r>
      <w:r>
        <w:t xml:space="preserve"> </w:t>
      </w:r>
      <w:r>
        <w:t xml:space="preserve">Non-kinetic. No MRT-H asset supports offensive operations; the Red Line Register governs every action.</w:t>
      </w:r>
    </w:p>
    <w:p>
      <w:pPr>
        <w:pStyle w:val="BodyText"/>
      </w:pPr>
      <w:r>
        <w:rPr>
          <w:bCs/>
          <w:b/>
        </w:rPr>
        <w:t xml:space="preserve">•</w:t>
      </w:r>
      <w:r>
        <w:t xml:space="preserve"> </w:t>
      </w:r>
      <w:r>
        <w:t xml:space="preserve">Continuity. Mine-clearance operations continue through disputes under the Silence Clause of Annex K.</w:t>
      </w:r>
    </w:p>
    <w:bookmarkEnd w:id="81"/>
    <w:bookmarkStart w:id="82" w:name="d.6-funding-and-logistics"/>
    <w:p>
      <w:pPr>
        <w:pStyle w:val="Heading2"/>
      </w:pPr>
      <w:r>
        <w:t xml:space="preserve">D.6 Funding and Logistics</w:t>
      </w:r>
    </w:p>
    <w:p>
      <w:pPr>
        <w:pStyle w:val="FirstParagraph"/>
      </w:pPr>
      <w:r>
        <w:rPr>
          <w:bCs/>
          <w:b/>
        </w:rPr>
        <w:t xml:space="preserve">D.18</w:t>
      </w:r>
      <w:r>
        <w:t xml:space="preserve"> </w:t>
      </w:r>
      <w:r>
        <w:t xml:space="preserve">The Transit Services Fund of Annex J finances MRT-H operations, including: mine countermeasure vessel deployment; unmanned underwater vehicle procurement; hydrographic survey contracts; neutral verification teams; International Maritime Organization and International Hydrographic Organization technical participation; and commercial mine-clearance providers. The sanctions-compliance firewall of Article 14 governs all financial flows.</w:t>
      </w:r>
    </w:p>
    <w:bookmarkEnd w:id="82"/>
    <w:bookmarkStart w:id="83" w:name="d.7-reporting-and-publication"/>
    <w:p>
      <w:pPr>
        <w:pStyle w:val="Heading2"/>
      </w:pPr>
      <w:r>
        <w:t xml:space="preserve">D.7 Reporting and Publication</w:t>
      </w:r>
    </w:p>
    <w:p>
      <w:pPr>
        <w:pStyle w:val="FirstParagraph"/>
      </w:pPr>
      <w:r>
        <w:rPr>
          <w:bCs/>
          <w:b/>
        </w:rPr>
        <w:t xml:space="preserve">D.19</w:t>
      </w:r>
      <w:r>
        <w:t xml:space="preserve"> </w:t>
      </w:r>
      <w:r>
        <w:t xml:space="preserve">The MOC Mines Cell publishes: Mine Hazard Bulletins; Clearance Progress Reports on a seventy-two (72) hour cadence during active operations; Safe Route Certifications; and an annual State of the Strait chapter on mine safety.</w:t>
      </w:r>
    </w:p>
    <w:p>
      <w:pPr>
        <w:pStyle w:val="BodyText"/>
      </w:pPr>
      <w:r>
        <w:rPr>
          <w:bCs/>
          <w:b/>
        </w:rPr>
        <w:t xml:space="preserve">D.20</w:t>
      </w:r>
      <w:r>
        <w:t xml:space="preserve"> </w:t>
      </w:r>
      <w:r>
        <w:t xml:space="preserve">The Neutral Keel Office publishes: verification records; disposal logs; convergent evidence summaries; and certification decisions. All publications post simultaneously to the Shared Digital Registry, all Members, flag states, and the insurance market.</w:t>
      </w:r>
    </w:p>
    <w:bookmarkEnd w:id="83"/>
    <w:bookmarkStart w:id="84" w:name="X4d5f6eb6cf34f8902f28f3da2e9cb17a4a5878b"/>
    <w:p>
      <w:pPr>
        <w:pStyle w:val="Heading2"/>
      </w:pPr>
      <w:r>
        <w:t xml:space="preserve">D.8 Lane Criticality Matrix and Clearance Targets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Priority</w:t>
            </w:r>
          </w:p>
        </w:tc>
        <w:tc>
          <w:tcPr>
            <w:shd w:val="clear" w:color="auto" w:fill="D9E2EC"/>
          </w:tcPr>
          <w:p>
            <w:pPr>
              <w:pStyle w:val="Compact"/>
              <w:jc w:val="left"/>
            </w:pPr>
            <w:r>
              <w:rPr>
                <w:bCs/>
                <w:b/>
              </w:rPr>
              <w:t xml:space="preserve">Zone</w:t>
            </w:r>
          </w:p>
        </w:tc>
        <w:tc>
          <w:tcPr>
            <w:shd w:val="clear" w:color="auto" w:fill="D9E2EC"/>
          </w:tcPr>
          <w:p>
            <w:pPr>
              <w:pStyle w:val="Compact"/>
              <w:jc w:val="left"/>
            </w:pPr>
            <w:r>
              <w:rPr>
                <w:bCs/>
                <w:b/>
              </w:rPr>
              <w:t xml:space="preserve">Survey Start</w:t>
            </w:r>
          </w:p>
        </w:tc>
        <w:tc>
          <w:tcPr>
            <w:shd w:val="clear" w:color="auto" w:fill="D9E2EC"/>
          </w:tcPr>
          <w:p>
            <w:pPr>
              <w:pStyle w:val="Compact"/>
              <w:jc w:val="left"/>
            </w:pPr>
            <w:r>
              <w:rPr>
                <w:bCs/>
                <w:b/>
              </w:rPr>
              <w:t xml:space="preserve">Certification Target</w:t>
            </w:r>
          </w:p>
        </w:tc>
      </w:tr>
      <w:tr>
        <w:tc>
          <w:tcPr/>
          <w:p>
            <w:pPr>
              <w:pStyle w:val="Compact"/>
              <w:jc w:val="left"/>
            </w:pPr>
            <w:r>
              <w:t xml:space="preserve">1</w:t>
            </w:r>
          </w:p>
        </w:tc>
        <w:tc>
          <w:tcPr/>
          <w:p>
            <w:pPr>
              <w:pStyle w:val="Compact"/>
              <w:jc w:val="left"/>
            </w:pPr>
            <w:r>
              <w:t xml:space="preserve">July 26 contact cluster and Fairway Alpha axis</w:t>
            </w:r>
          </w:p>
        </w:tc>
        <w:tc>
          <w:tcPr/>
          <w:p>
            <w:pPr>
              <w:pStyle w:val="Compact"/>
              <w:jc w:val="left"/>
            </w:pPr>
            <w:r>
              <w:t xml:space="preserve">Day 3</w:t>
            </w:r>
          </w:p>
        </w:tc>
        <w:tc>
          <w:tcPr/>
          <w:p>
            <w:pPr>
              <w:pStyle w:val="Compact"/>
              <w:jc w:val="left"/>
            </w:pPr>
            <w:r>
              <w:t xml:space="preserve">Day 21</w:t>
            </w:r>
          </w:p>
        </w:tc>
      </w:tr>
      <w:tr>
        <w:tc>
          <w:tcPr/>
          <w:p>
            <w:pPr>
              <w:pStyle w:val="Compact"/>
              <w:jc w:val="left"/>
            </w:pPr>
            <w:r>
              <w:t xml:space="preserve">2</w:t>
            </w:r>
          </w:p>
        </w:tc>
        <w:tc>
          <w:tcPr/>
          <w:p>
            <w:pPr>
              <w:pStyle w:val="Compact"/>
              <w:jc w:val="left"/>
            </w:pPr>
            <w:r>
              <w:t xml:space="preserve">Fairway Bravo axis</w:t>
            </w:r>
          </w:p>
        </w:tc>
        <w:tc>
          <w:tcPr/>
          <w:p>
            <w:pPr>
              <w:pStyle w:val="Compact"/>
              <w:jc w:val="left"/>
            </w:pPr>
            <w:r>
              <w:t xml:space="preserve">Day 7</w:t>
            </w:r>
          </w:p>
        </w:tc>
        <w:tc>
          <w:tcPr/>
          <w:p>
            <w:pPr>
              <w:pStyle w:val="Compact"/>
              <w:jc w:val="left"/>
            </w:pPr>
            <w:r>
              <w:t xml:space="preserve">Day 35</w:t>
            </w:r>
          </w:p>
        </w:tc>
      </w:tr>
      <w:tr>
        <w:tc>
          <w:tcPr/>
          <w:p>
            <w:pPr>
              <w:pStyle w:val="Compact"/>
              <w:jc w:val="left"/>
            </w:pPr>
            <w:r>
              <w:t xml:space="preserve">3</w:t>
            </w:r>
          </w:p>
        </w:tc>
        <w:tc>
          <w:tcPr/>
          <w:p>
            <w:pPr>
              <w:pStyle w:val="Compact"/>
              <w:jc w:val="left"/>
            </w:pPr>
            <w:r>
              <w:t xml:space="preserve">Anchorages West and East, corridor approaches</w:t>
            </w:r>
          </w:p>
        </w:tc>
        <w:tc>
          <w:tcPr/>
          <w:p>
            <w:pPr>
              <w:pStyle w:val="Compact"/>
              <w:jc w:val="left"/>
            </w:pPr>
            <w:r>
              <w:t xml:space="preserve">Day 14</w:t>
            </w:r>
          </w:p>
        </w:tc>
        <w:tc>
          <w:tcPr/>
          <w:p>
            <w:pPr>
              <w:pStyle w:val="Compact"/>
              <w:jc w:val="left"/>
            </w:pPr>
            <w:r>
              <w:t xml:space="preserve">Day 45</w:t>
            </w:r>
          </w:p>
        </w:tc>
      </w:tr>
      <w:tr>
        <w:tc>
          <w:tcPr/>
          <w:p>
            <w:pPr>
              <w:pStyle w:val="Compact"/>
              <w:jc w:val="left"/>
            </w:pPr>
            <w:r>
              <w:t xml:space="preserve">4</w:t>
            </w:r>
          </w:p>
        </w:tc>
        <w:tc>
          <w:tcPr/>
          <w:p>
            <w:pPr>
              <w:pStyle w:val="Compact"/>
              <w:jc w:val="left"/>
            </w:pPr>
            <w:r>
              <w:t xml:space="preserve">Remainder of Governance Area</w:t>
            </w:r>
          </w:p>
        </w:tc>
        <w:tc>
          <w:tcPr/>
          <w:p>
            <w:pPr>
              <w:pStyle w:val="Compact"/>
              <w:jc w:val="left"/>
            </w:pPr>
            <w:r>
              <w:t xml:space="preserve">Day 21</w:t>
            </w:r>
          </w:p>
        </w:tc>
        <w:tc>
          <w:tcPr/>
          <w:p>
            <w:pPr>
              <w:pStyle w:val="Compact"/>
              <w:jc w:val="left"/>
            </w:pPr>
            <w:r>
              <w:t xml:space="preserve">Day 75</w:t>
            </w:r>
          </w:p>
        </w:tc>
      </w:tr>
    </w:tbl>
    <w:p>
      <w:pPr>
        <w:pStyle w:val="BodyText"/>
      </w:pPr>
      <w:r>
        <w:rPr>
          <w:bCs/>
          <w:b/>
        </w:rPr>
        <w:t xml:space="preserve">D.21</w:t>
      </w:r>
      <w:r>
        <w:t xml:space="preserve"> </w:t>
      </w:r>
      <w:r>
        <w:t xml:space="preserve">The targets of this Section operate as planning commitments verified at the phase gates of Annex G. A verified delay extends only the affected zone and leaves the remaining matrix intact.</w:t>
      </w:r>
    </w:p>
    <w:bookmarkEnd w:id="84"/>
    <w:bookmarkEnd w:id="85"/>
    <w:bookmarkStart w:id="94" w:name="X04dcf5b29c9408df6446d799b569881bcd69bc5"/>
    <w:p>
      <w:pPr>
        <w:pStyle w:val="Heading1"/>
      </w:pPr>
      <w:r>
        <w:t xml:space="preserve">Annex E. Membership Tiers and Accession Protocol</w:t>
      </w:r>
    </w:p>
    <w:p>
      <w:pPr>
        <w:pStyle w:val="FirstParagraph"/>
      </w:pPr>
      <w:r>
        <w:t xml:space="preserve">Operative Annex for Article 4. This annex states the composition, rights, obligations, accession procedures, and graduation pathways of the Compact’s four-tier multilateral membership architecture.</w:t>
      </w:r>
    </w:p>
    <w:bookmarkStart w:id="86" w:name="e.1-the-four-tiers-at-a-glance"/>
    <w:p>
      <w:pPr>
        <w:pStyle w:val="Heading2"/>
      </w:pPr>
      <w:r>
        <w:t xml:space="preserve">E.1 The Four Tiers at a Glance</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584"/>
        <w:gridCol w:w="1584"/>
        <w:gridCol w:w="1584"/>
        <w:gridCol w:w="1584"/>
        <w:gridCol w:w="1584"/>
      </w:tblGrid>
      <w:tr>
        <w:trPr>
          <w:tblHeader w:val="true"/>
        </w:trPr>
        <w:tc>
          <w:tcPr>
            <w:shd w:val="clear" w:color="auto" w:fill="D9E2EC"/>
          </w:tcPr>
          <w:p>
            <w:pPr>
              <w:pStyle w:val="Compact"/>
              <w:jc w:val="left"/>
            </w:pPr>
            <w:r>
              <w:rPr>
                <w:bCs/>
                <w:b/>
              </w:rPr>
              <w:t xml:space="preserve">Tier</w:t>
            </w:r>
          </w:p>
        </w:tc>
        <w:tc>
          <w:tcPr>
            <w:shd w:val="clear" w:color="auto" w:fill="D9E2EC"/>
          </w:tcPr>
          <w:p>
            <w:pPr>
              <w:pStyle w:val="Compact"/>
              <w:jc w:val="left"/>
            </w:pPr>
            <w:r>
              <w:rPr>
                <w:bCs/>
                <w:b/>
              </w:rPr>
              <w:t xml:space="preserve">Designation</w:t>
            </w:r>
          </w:p>
        </w:tc>
        <w:tc>
          <w:tcPr>
            <w:shd w:val="clear" w:color="auto" w:fill="D9E2EC"/>
          </w:tcPr>
          <w:p>
            <w:pPr>
              <w:pStyle w:val="Compact"/>
              <w:jc w:val="left"/>
            </w:pPr>
            <w:r>
              <w:rPr>
                <w:bCs/>
                <w:b/>
              </w:rPr>
              <w:t xml:space="preserve">Initial Composition</w:t>
            </w:r>
          </w:p>
        </w:tc>
        <w:tc>
          <w:tcPr>
            <w:shd w:val="clear" w:color="auto" w:fill="D9E2EC"/>
          </w:tcPr>
          <w:p>
            <w:pPr>
              <w:pStyle w:val="Compact"/>
              <w:jc w:val="left"/>
            </w:pPr>
            <w:r>
              <w:rPr>
                <w:bCs/>
                <w:b/>
              </w:rPr>
              <w:t xml:space="preserve">Vote</w:t>
            </w:r>
          </w:p>
        </w:tc>
        <w:tc>
          <w:tcPr>
            <w:shd w:val="clear" w:color="auto" w:fill="D9E2EC"/>
          </w:tcPr>
          <w:p>
            <w:pPr>
              <w:pStyle w:val="Compact"/>
              <w:jc w:val="left"/>
            </w:pPr>
            <w:r>
              <w:rPr>
                <w:bCs/>
                <w:b/>
              </w:rPr>
              <w:t xml:space="preserve">Operational Role</w:t>
            </w:r>
          </w:p>
        </w:tc>
      </w:tr>
      <w:tr>
        <w:tc>
          <w:tcPr/>
          <w:p>
            <w:pPr>
              <w:pStyle w:val="Compact"/>
              <w:jc w:val="left"/>
            </w:pPr>
            <w:r>
              <w:t xml:space="preserve">Tier I</w:t>
            </w:r>
          </w:p>
        </w:tc>
        <w:tc>
          <w:tcPr/>
          <w:p>
            <w:pPr>
              <w:pStyle w:val="Compact"/>
              <w:jc w:val="left"/>
            </w:pPr>
            <w:r>
              <w:t xml:space="preserve">Principal Members</w:t>
            </w:r>
          </w:p>
        </w:tc>
        <w:tc>
          <w:tcPr/>
          <w:p>
            <w:pPr>
              <w:pStyle w:val="Compact"/>
              <w:jc w:val="left"/>
            </w:pPr>
            <w:r>
              <w:t xml:space="preserve">Islamic Republic of Iran; Sultanate of Oman</w:t>
            </w:r>
          </w:p>
        </w:tc>
        <w:tc>
          <w:tcPr/>
          <w:p>
            <w:pPr>
              <w:pStyle w:val="Compact"/>
              <w:jc w:val="left"/>
            </w:pPr>
            <w:r>
              <w:t xml:space="preserve">Full vote in the Fairway Council; consensus required on Articles</w:t>
            </w:r>
          </w:p>
        </w:tc>
        <w:tc>
          <w:tcPr/>
          <w:p>
            <w:pPr>
              <w:pStyle w:val="Compact"/>
              <w:jc w:val="left"/>
            </w:pPr>
            <w:r>
              <w:t xml:space="preserve">Full: corridors, escorts, clearance, verification, funding</w:t>
            </w:r>
          </w:p>
        </w:tc>
      </w:tr>
      <w:tr>
        <w:tc>
          <w:tcPr/>
          <w:p>
            <w:pPr>
              <w:pStyle w:val="Compact"/>
              <w:jc w:val="left"/>
            </w:pPr>
            <w:r>
              <w:t xml:space="preserve">Tier II</w:t>
            </w:r>
          </w:p>
        </w:tc>
        <w:tc>
          <w:tcPr/>
          <w:p>
            <w:pPr>
              <w:pStyle w:val="Compact"/>
              <w:jc w:val="left"/>
            </w:pPr>
            <w:r>
              <w:t xml:space="preserve">Operational Members</w:t>
            </w:r>
          </w:p>
        </w:tc>
        <w:tc>
          <w:tcPr/>
          <w:p>
            <w:pPr>
              <w:pStyle w:val="Compact"/>
              <w:jc w:val="left"/>
            </w:pPr>
            <w:r>
              <w:t xml:space="preserve">United Arab Emirates; State of Qatar; Kingdom of Saudi Arabia; Kingdom of Bahrain; State of Kuwait; Republic of Iraq (upon accession)</w:t>
            </w:r>
          </w:p>
        </w:tc>
        <w:tc>
          <w:tcPr/>
          <w:p>
            <w:pPr>
              <w:pStyle w:val="Compact"/>
              <w:jc w:val="left"/>
            </w:pPr>
            <w:r>
              <w:t xml:space="preserve">Vote in joined operational modules; Council observer seat</w:t>
            </w:r>
          </w:p>
        </w:tc>
        <w:tc>
          <w:tcPr/>
          <w:p>
            <w:pPr>
              <w:pStyle w:val="Compact"/>
              <w:jc w:val="left"/>
            </w:pPr>
            <w:r>
              <w:t xml:space="preserve">Module-specific: MCM units, survey, funding, liaison officers, port access</w:t>
            </w:r>
          </w:p>
        </w:tc>
      </w:tr>
      <w:tr>
        <w:tc>
          <w:tcPr/>
          <w:p>
            <w:pPr>
              <w:pStyle w:val="Compact"/>
              <w:jc w:val="left"/>
            </w:pPr>
            <w:r>
              <w:t xml:space="preserve">Tier III</w:t>
            </w:r>
          </w:p>
        </w:tc>
        <w:tc>
          <w:tcPr/>
          <w:p>
            <w:pPr>
              <w:pStyle w:val="Compact"/>
              <w:jc w:val="left"/>
            </w:pPr>
            <w:r>
              <w:t xml:space="preserve">Technical Participants</w:t>
            </w:r>
          </w:p>
        </w:tc>
        <w:tc>
          <w:tcPr/>
          <w:p>
            <w:pPr>
              <w:pStyle w:val="Compact"/>
              <w:jc w:val="left"/>
            </w:pPr>
            <w:r>
              <w:t xml:space="preserve">International Maritime Organization; International Hydrographic Organization; International Atomic Energy Agency</w:t>
            </w:r>
          </w:p>
        </w:tc>
        <w:tc>
          <w:tcPr/>
          <w:p>
            <w:pPr>
              <w:pStyle w:val="Compact"/>
              <w:jc w:val="left"/>
            </w:pPr>
            <w:r>
              <w:t xml:space="preserve">No political vote; technical certification authority</w:t>
            </w:r>
          </w:p>
        </w:tc>
        <w:tc>
          <w:tcPr/>
          <w:p>
            <w:pPr>
              <w:pStyle w:val="Compact"/>
              <w:jc w:val="left"/>
            </w:pPr>
            <w:r>
              <w:t xml:space="preserve">Standards, certification, charting, nuclear verification</w:t>
            </w:r>
          </w:p>
        </w:tc>
      </w:tr>
      <w:tr>
        <w:tc>
          <w:tcPr/>
          <w:p>
            <w:pPr>
              <w:pStyle w:val="Compact"/>
              <w:jc w:val="left"/>
            </w:pPr>
            <w:r>
              <w:t xml:space="preserve">Observer</w:t>
            </w:r>
          </w:p>
        </w:tc>
        <w:tc>
          <w:tcPr/>
          <w:p>
            <w:pPr>
              <w:pStyle w:val="Compact"/>
              <w:jc w:val="left"/>
            </w:pPr>
            <w:r>
              <w:t xml:space="preserve">Observer Members</w:t>
            </w:r>
          </w:p>
        </w:tc>
        <w:tc>
          <w:tcPr/>
          <w:p>
            <w:pPr>
              <w:pStyle w:val="Compact"/>
              <w:jc w:val="left"/>
            </w:pPr>
            <w:r>
              <w:t xml:space="preserve">Swiss Confederation; Islamic Republic of Pakistan; Japan; Norway; Netherlands; United Kingdom; France; India; Singapore</w:t>
            </w:r>
          </w:p>
        </w:tc>
        <w:tc>
          <w:tcPr/>
          <w:p>
            <w:pPr>
              <w:pStyle w:val="Compact"/>
              <w:jc w:val="left"/>
            </w:pPr>
            <w:r>
              <w:t xml:space="preserve">No vote; full data access</w:t>
            </w:r>
          </w:p>
        </w:tc>
        <w:tc>
          <w:tcPr/>
          <w:p>
            <w:pPr>
              <w:pStyle w:val="Compact"/>
              <w:jc w:val="left"/>
            </w:pPr>
            <w:r>
              <w:t xml:space="preserve">Invited asset contributions; rotating Guarantor Panel eligibility</w:t>
            </w:r>
          </w:p>
        </w:tc>
      </w:tr>
      <w:tr>
        <w:tc>
          <w:tcPr/>
          <w:p>
            <w:pPr>
              <w:pStyle w:val="Compact"/>
              <w:jc w:val="left"/>
            </w:pPr>
            <w:r>
              <w:t xml:space="preserve">Non-tier</w:t>
            </w:r>
          </w:p>
        </w:tc>
        <w:tc>
          <w:tcPr/>
          <w:p>
            <w:pPr>
              <w:pStyle w:val="Compact"/>
              <w:jc w:val="left"/>
            </w:pPr>
            <w:r>
              <w:t xml:space="preserve">Security Assistance Provider</w:t>
            </w:r>
          </w:p>
        </w:tc>
        <w:tc>
          <w:tcPr/>
          <w:p>
            <w:pPr>
              <w:pStyle w:val="Compact"/>
              <w:jc w:val="left"/>
            </w:pPr>
            <w:r>
              <w:t xml:space="preserve">United States of America</w:t>
            </w:r>
          </w:p>
        </w:tc>
        <w:tc>
          <w:tcPr/>
          <w:p>
            <w:pPr>
              <w:pStyle w:val="Compact"/>
              <w:jc w:val="left"/>
            </w:pPr>
            <w:r>
              <w:t xml:space="preserve">No vote in any Compact body</w:t>
            </w:r>
          </w:p>
        </w:tc>
        <w:tc>
          <w:tcPr/>
          <w:p>
            <w:pPr>
              <w:pStyle w:val="Compact"/>
              <w:jc w:val="left"/>
            </w:pPr>
            <w:r>
              <w:t xml:space="preserve">Requested security assistance only, under Article 4.8</w:t>
            </w:r>
          </w:p>
        </w:tc>
      </w:tr>
    </w:tbl>
    <w:bookmarkEnd w:id="86"/>
    <w:bookmarkStart w:id="87" w:name="e.2-tier-i-principal-members"/>
    <w:p>
      <w:pPr>
        <w:pStyle w:val="Heading2"/>
      </w:pPr>
      <w:r>
        <w:t xml:space="preserve">E.2 Tier I: Principal Members</w:t>
      </w:r>
    </w:p>
    <w:p>
      <w:pPr>
        <w:pStyle w:val="FirstParagraph"/>
      </w:pPr>
      <w:r>
        <w:rPr>
          <w:bCs/>
          <w:b/>
        </w:rPr>
        <w:t xml:space="preserve">E.1</w:t>
      </w:r>
      <w:r>
        <w:t xml:space="preserve"> </w:t>
      </w:r>
      <w:r>
        <w:t xml:space="preserve">Tier I Members hold the constitutive rights and obligations of this Compact: membership in the Fairway Council with full voting rights; operational responsibility for the fairway system within their jurisdictions; escort and clearance contributions under Annexes C and D; contribution to the Transit Services Fund under Section E.7; and standing representation at the Joint Coordination Center and on the Joint Technical Committee.</w:t>
      </w:r>
    </w:p>
    <w:p>
      <w:pPr>
        <w:pStyle w:val="BodyText"/>
      </w:pPr>
      <w:r>
        <w:rPr>
          <w:bCs/>
          <w:b/>
        </w:rPr>
        <w:t xml:space="preserve">E.2</w:t>
      </w:r>
      <w:r>
        <w:t xml:space="preserve"> </w:t>
      </w:r>
      <w:r>
        <w:t xml:space="preserve">Tier I status is closed to the two constitutive Members for the duration of this Compact. No accession creates a new Tier I Member; a fundamental restructuring of the Compact through the amendment procedure of Article 17 constitutes the sole pathway. The United States of America, as Security Assistance Provider, holds no voting rights in the Fairway Council or any Compact body. The Council invites a Security Assistance Provider representative to address the Council on technical matters at the Council’s discretion.</w:t>
      </w:r>
    </w:p>
    <w:bookmarkEnd w:id="87"/>
    <w:bookmarkStart w:id="88" w:name="e.3-tier-ii-operational-members"/>
    <w:p>
      <w:pPr>
        <w:pStyle w:val="Heading2"/>
      </w:pPr>
      <w:r>
        <w:t xml:space="preserve">E.3 Tier II: Operational Members</w:t>
      </w:r>
    </w:p>
    <w:p>
      <w:pPr>
        <w:pStyle w:val="FirstParagraph"/>
      </w:pPr>
      <w:r>
        <w:rPr>
          <w:bCs/>
          <w:b/>
        </w:rPr>
        <w:t xml:space="preserve">E.3</w:t>
      </w:r>
      <w:r>
        <w:t xml:space="preserve"> </w:t>
      </w:r>
      <w:r>
        <w:t xml:space="preserve">Tier II Members accede to one or more operational modules and hold voting rights inside each module they join: the Mine Countermeasures module of Annex D; the Hydrographic and Survey module of Annexes A and D; the Funding module of Annex J; and the Liaison module of Annex I. Tier II Members hold one collective observer seat in the Fairway Council, rotating among Tier II Members quarterly.</w:t>
      </w:r>
    </w:p>
    <w:p>
      <w:pPr>
        <w:pStyle w:val="BodyText"/>
      </w:pPr>
      <w:r>
        <w:rPr>
          <w:bCs/>
          <w:b/>
        </w:rPr>
        <w:t xml:space="preserve">E.4</w:t>
      </w:r>
      <w:r>
        <w:t xml:space="preserve"> </w:t>
      </w:r>
      <w:r>
        <w:t xml:space="preserve">Tier II obligations scale with the modules joined: contribution of mine countermeasure units, survey teams, unmanned systems, explosive ordnance disposal teams, or port access under Annex D; liaison officers under Annex I; and Fund contributions under Section E.7. Tier II Members accept the behavioral norms of Annex C for any of their small craft operating in the Governance Area.</w:t>
      </w:r>
    </w:p>
    <w:p>
      <w:pPr>
        <w:pStyle w:val="BodyText"/>
      </w:pPr>
      <w:r>
        <w:rPr>
          <w:bCs/>
          <w:b/>
        </w:rPr>
        <w:t xml:space="preserve">E.5</w:t>
      </w:r>
      <w:r>
        <w:t xml:space="preserve"> </w:t>
      </w:r>
      <w:r>
        <w:t xml:space="preserve">Accession procedure. A state accedes to Tier II by depositing an instrument of accession with the Depositary naming the modules joined, the contributions pledged, and the liaison roster. Accession takes effect thirty (30) days after deposit. Accession requires no vote and no renegotiation: the Depositary verifies completeness of the instrument, publishes it to all Members, and records the effective date. A Tier II Member adjusts its module portfolio by the same procedure, with effect thirty (30) days after deposit.</w:t>
      </w:r>
    </w:p>
    <w:bookmarkEnd w:id="88"/>
    <w:bookmarkStart w:id="89" w:name="e.4-tier-iii-technical-participants"/>
    <w:p>
      <w:pPr>
        <w:pStyle w:val="Heading2"/>
      </w:pPr>
      <w:r>
        <w:t xml:space="preserve">E.4 Tier III: Technical Participants</w:t>
      </w:r>
    </w:p>
    <w:p>
      <w:pPr>
        <w:pStyle w:val="FirstParagraph"/>
      </w:pPr>
      <w:r>
        <w:rPr>
          <w:bCs/>
          <w:b/>
        </w:rPr>
        <w:t xml:space="preserve">E.6</w:t>
      </w:r>
      <w:r>
        <w:t xml:space="preserve"> </w:t>
      </w:r>
      <w:r>
        <w:t xml:space="preserve">The International Maritime Organization, the International Hydrographic Organization, and the International Atomic Energy Agency participate as standing technical authorities. Their participation is technical and non-political: standards setting, certification of cleared routes, charting, and nuclear verification under their respective mandates. Tier III Participants receive all operational data relevant to their mandates, seat observers under Annexes B and D, and issue certifications that bind the operational modules they address. They hold no political vote and bear no funding obligation.</w:t>
      </w:r>
    </w:p>
    <w:bookmarkEnd w:id="89"/>
    <w:bookmarkStart w:id="90" w:name="e.5-observer-members"/>
    <w:p>
      <w:pPr>
        <w:pStyle w:val="Heading2"/>
      </w:pPr>
      <w:r>
        <w:t xml:space="preserve">E.5 Observer Members</w:t>
      </w:r>
    </w:p>
    <w:p>
      <w:pPr>
        <w:pStyle w:val="FirstParagraph"/>
      </w:pPr>
      <w:r>
        <w:rPr>
          <w:bCs/>
          <w:b/>
        </w:rPr>
        <w:t xml:space="preserve">E.7</w:t>
      </w:r>
      <w:r>
        <w:t xml:space="preserve"> </w:t>
      </w:r>
      <w:r>
        <w:t xml:space="preserve">Observer Members attend all open sessions of the Fairway Council and its committees; receive every published Bulletin, certification, compliance report, and registry view simultaneously with Tier I Members; contribute assets by invitation under the time-bounded, civilian-directed rules of Annex D; and hold eligibility for the rotating seats of the Guarantor Panel. Observers hold no vote and bear no funding obligation, and voluntary contributions are welcome under Annex J.</w:t>
      </w:r>
    </w:p>
    <w:p>
      <w:pPr>
        <w:pStyle w:val="BodyText"/>
      </w:pPr>
      <w:r>
        <w:rPr>
          <w:bCs/>
          <w:b/>
        </w:rPr>
        <w:t xml:space="preserve">E.8</w:t>
      </w:r>
      <w:r>
        <w:t xml:space="preserve"> </w:t>
      </w:r>
      <w:r>
        <w:t xml:space="preserve">Observer designation carries the non-imputation rule of Annex B: observer participation constitutes no endorsement of any political or legal position of any Party, and no Party characterizes observer status as alignment.</w:t>
      </w:r>
    </w:p>
    <w:p>
      <w:pPr>
        <w:pStyle w:val="BodyText"/>
      </w:pPr>
      <w:r>
        <w:rPr>
          <w:bCs/>
          <w:b/>
        </w:rPr>
        <w:t xml:space="preserve">E.9</w:t>
      </w:r>
      <w:r>
        <w:t xml:space="preserve"> </w:t>
      </w:r>
      <w:r>
        <w:t xml:space="preserve">Invitation and acceptance. The Fairway Council issues observer invitations by consensus. A state or organization accepts by written notice to the Depositary, with effect seven (7) days after deposit. Withdrawal from observer status occurs by written notice with immediate effect and carries no penalty.</w:t>
      </w:r>
    </w:p>
    <w:bookmarkEnd w:id="90"/>
    <w:bookmarkStart w:id="91" w:name="Xa040b94d6f02b75cbf167cb11adab4e9876720f"/>
    <w:p>
      <w:pPr>
        <w:pStyle w:val="Heading2"/>
      </w:pPr>
      <w:r>
        <w:t xml:space="preserve">E.6 Graduation and Movement Between Tiers</w:t>
      </w:r>
    </w:p>
    <w:p>
      <w:pPr>
        <w:pStyle w:val="FirstParagraph"/>
      </w:pPr>
      <w:r>
        <w:rPr>
          <w:bCs/>
          <w:b/>
        </w:rPr>
        <w:t xml:space="preserve">E.10</w:t>
      </w:r>
      <w:r>
        <w:t xml:space="preserve"> </w:t>
      </w:r>
      <w:r>
        <w:t xml:space="preserve">An Observer Member graduates to Tier II through the accession instrument of Section E.5 at any time. Graduation requires no renegotiation and no consent beyond the completeness verification of that Section.</w:t>
      </w:r>
    </w:p>
    <w:p>
      <w:pPr>
        <w:pStyle w:val="BodyText"/>
      </w:pPr>
      <w:r>
        <w:rPr>
          <w:bCs/>
          <w:b/>
        </w:rPr>
        <w:t xml:space="preserve">E.11</w:t>
      </w:r>
      <w:r>
        <w:t xml:space="preserve"> </w:t>
      </w:r>
      <w:r>
        <w:t xml:space="preserve">A Tier II Member suspends its participation in any module through thirty (30) days written notice to the Depositary, with its funded obligations for the current quarter honored. Suspension of module participation never constitutes a compliance event and triggers no classification under Annex K.</w:t>
      </w:r>
    </w:p>
    <w:p>
      <w:pPr>
        <w:pStyle w:val="BodyText"/>
      </w:pPr>
      <w:r>
        <w:rPr>
          <w:bCs/>
          <w:b/>
        </w:rPr>
        <w:t xml:space="preserve">E.12</w:t>
      </w:r>
      <w:r>
        <w:t xml:space="preserve"> </w:t>
      </w:r>
      <w:r>
        <w:t xml:space="preserve">A Member that breaches the behavioral norms of Annex C or the Zero-Toll Rule faces the classification ladder of Annex B like any Party, applied to its module participation. The Emergency Oversight Mechanism of Annex M governs suspension of membership rights for bad-faith use.</w:t>
      </w:r>
    </w:p>
    <w:bookmarkEnd w:id="91"/>
    <w:bookmarkStart w:id="92" w:name="e.7-contribution-schedule"/>
    <w:p>
      <w:pPr>
        <w:pStyle w:val="Heading2"/>
      </w:pPr>
      <w:r>
        <w:t xml:space="preserve">E.7 Contribution Schedule</w:t>
      </w:r>
    </w:p>
    <w:p>
      <w:pPr>
        <w:pStyle w:val="FirstParagraph"/>
      </w:pPr>
      <w:r>
        <w:rPr>
          <w:bCs/>
          <w:b/>
        </w:rPr>
        <w:t xml:space="preserve">E.13</w:t>
      </w:r>
      <w:r>
        <w:t xml:space="preserve"> </w:t>
      </w:r>
      <w:r>
        <w:t xml:space="preserve">The Transit Services Fund operates on the following contribution architecture, stated as annual shares of the operating budget of Annex J:</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Contributor</w:t>
            </w:r>
          </w:p>
        </w:tc>
        <w:tc>
          <w:tcPr>
            <w:shd w:val="clear" w:color="auto" w:fill="D9E2EC"/>
          </w:tcPr>
          <w:p>
            <w:pPr>
              <w:pStyle w:val="Compact"/>
              <w:jc w:val="left"/>
            </w:pPr>
            <w:r>
              <w:rPr>
                <w:bCs/>
                <w:b/>
              </w:rPr>
              <w:t xml:space="preserve">Share Basis</w:t>
            </w:r>
          </w:p>
        </w:tc>
        <w:tc>
          <w:tcPr>
            <w:shd w:val="clear" w:color="auto" w:fill="D9E2EC"/>
          </w:tcPr>
          <w:p>
            <w:pPr>
              <w:pStyle w:val="Compact"/>
              <w:jc w:val="left"/>
            </w:pPr>
            <w:r>
              <w:rPr>
                <w:bCs/>
                <w:b/>
              </w:rPr>
              <w:t xml:space="preserve">Initial Share</w:t>
            </w:r>
          </w:p>
        </w:tc>
      </w:tr>
      <w:tr>
        <w:tc>
          <w:tcPr/>
          <w:p>
            <w:pPr>
              <w:pStyle w:val="Compact"/>
              <w:jc w:val="left"/>
            </w:pPr>
            <w:r>
              <w:t xml:space="preserve">Islamic Republic of Iran</w:t>
            </w:r>
          </w:p>
        </w:tc>
        <w:tc>
          <w:tcPr/>
          <w:p>
            <w:pPr>
              <w:pStyle w:val="Compact"/>
              <w:jc w:val="left"/>
            </w:pPr>
            <w:r>
              <w:t xml:space="preserve">Operational role, northern corridor</w:t>
            </w:r>
          </w:p>
        </w:tc>
        <w:tc>
          <w:tcPr/>
          <w:p>
            <w:pPr>
              <w:pStyle w:val="Compact"/>
              <w:jc w:val="left"/>
            </w:pPr>
            <w:r>
              <w:t xml:space="preserve">20 percent, creditable against in-kind escort and port contributions at audited cost</w:t>
            </w:r>
          </w:p>
        </w:tc>
      </w:tr>
      <w:tr>
        <w:tc>
          <w:tcPr/>
          <w:p>
            <w:pPr>
              <w:pStyle w:val="Compact"/>
              <w:jc w:val="left"/>
            </w:pPr>
            <w:r>
              <w:t xml:space="preserve">Sultanate of Oman</w:t>
            </w:r>
          </w:p>
        </w:tc>
        <w:tc>
          <w:tcPr/>
          <w:p>
            <w:pPr>
              <w:pStyle w:val="Compact"/>
              <w:jc w:val="left"/>
            </w:pPr>
            <w:r>
              <w:t xml:space="preserve">Operational role, southern corridor, Convening Authority</w:t>
            </w:r>
          </w:p>
        </w:tc>
        <w:tc>
          <w:tcPr/>
          <w:p>
            <w:pPr>
              <w:pStyle w:val="Compact"/>
              <w:jc w:val="left"/>
            </w:pPr>
            <w:r>
              <w:t xml:space="preserve">15 percent, creditable against in-kind verification and port contributions at audited cost</w:t>
            </w:r>
          </w:p>
        </w:tc>
      </w:tr>
      <w:tr>
        <w:tc>
          <w:tcPr/>
          <w:p>
            <w:pPr>
              <w:pStyle w:val="Compact"/>
              <w:jc w:val="left"/>
            </w:pPr>
            <w:r>
              <w:t xml:space="preserve">Tier II Members (aggregate)</w:t>
            </w:r>
          </w:p>
        </w:tc>
        <w:tc>
          <w:tcPr/>
          <w:p>
            <w:pPr>
              <w:pStyle w:val="Compact"/>
              <w:jc w:val="left"/>
            </w:pPr>
            <w:r>
              <w:t xml:space="preserve">Module participation, weighted by gross tonnage transited</w:t>
            </w:r>
          </w:p>
        </w:tc>
        <w:tc>
          <w:tcPr/>
          <w:p>
            <w:pPr>
              <w:pStyle w:val="Compact"/>
              <w:jc w:val="left"/>
            </w:pPr>
            <w:r>
              <w:t xml:space="preserve">25 percent, allocated among Tier II Members by the Funding module</w:t>
            </w:r>
          </w:p>
        </w:tc>
      </w:tr>
      <w:tr>
        <w:tc>
          <w:tcPr/>
          <w:p>
            <w:pPr>
              <w:pStyle w:val="Compact"/>
              <w:jc w:val="left"/>
            </w:pPr>
            <w:r>
              <w:t xml:space="preserve">Voluntary and market contributions</w:t>
            </w:r>
          </w:p>
        </w:tc>
        <w:tc>
          <w:tcPr/>
          <w:p>
            <w:pPr>
              <w:pStyle w:val="Compact"/>
              <w:jc w:val="left"/>
            </w:pPr>
            <w:r>
              <w:t xml:space="preserve">Insurers, shipping associations, observers, international financial institutions</w:t>
            </w:r>
          </w:p>
        </w:tc>
        <w:tc>
          <w:tcPr/>
          <w:p>
            <w:pPr>
              <w:pStyle w:val="Compact"/>
              <w:jc w:val="left"/>
            </w:pPr>
            <w:r>
              <w:t xml:space="preserve">40 percent target, through the voluntary window of Annex J</w:t>
            </w:r>
          </w:p>
        </w:tc>
      </w:tr>
      <w:tr>
        <w:tc>
          <w:tcPr/>
          <w:p>
            <w:pPr>
              <w:pStyle w:val="Compact"/>
              <w:jc w:val="left"/>
            </w:pPr>
            <w:r>
              <w:t xml:space="preserve">United States of America (Security Assistance Provider)</w:t>
            </w:r>
          </w:p>
        </w:tc>
        <w:tc>
          <w:tcPr/>
          <w:p>
            <w:pPr>
              <w:pStyle w:val="Compact"/>
              <w:jc w:val="left"/>
            </w:pPr>
            <w:r>
              <w:t xml:space="preserve">Voluntary window only</w:t>
            </w:r>
          </w:p>
        </w:tc>
        <w:tc>
          <w:tcPr/>
          <w:p>
            <w:pPr>
              <w:pStyle w:val="Compact"/>
              <w:jc w:val="left"/>
            </w:pPr>
            <w:r>
              <w:t xml:space="preserve">No fixed share; every contribution is voluntary, non-earmarked, and carries no governance rights</w:t>
            </w:r>
          </w:p>
        </w:tc>
      </w:tr>
    </w:tbl>
    <w:p>
      <w:pPr>
        <w:pStyle w:val="BodyText"/>
      </w:pPr>
      <w:r>
        <w:rPr>
          <w:bCs/>
          <w:b/>
        </w:rPr>
        <w:t xml:space="preserve">E.14</w:t>
      </w:r>
      <w:r>
        <w:t xml:space="preserve"> </w:t>
      </w:r>
      <w:r>
        <w:t xml:space="preserve">In-kind contributions receive credit at independently audited cost, certified by the Neutral Administrator. No contribution attaches to the act of transit by any Commercial Vessel: the Zero-Toll Rule governs passage, and Fund contributions finance the system, never the ship.</w:t>
      </w:r>
    </w:p>
    <w:bookmarkEnd w:id="92"/>
    <w:bookmarkStart w:id="93" w:name="e.8-fairway-council-sessions"/>
    <w:p>
      <w:pPr>
        <w:pStyle w:val="Heading2"/>
      </w:pPr>
      <w:r>
        <w:t xml:space="preserve">E.8 Fairway Council Sessions</w:t>
      </w:r>
    </w:p>
    <w:p>
      <w:pPr>
        <w:pStyle w:val="FirstParagraph"/>
      </w:pPr>
      <w:r>
        <w:rPr>
          <w:bCs/>
          <w:b/>
        </w:rPr>
        <w:t xml:space="preserve">E.15</w:t>
      </w:r>
      <w:r>
        <w:t xml:space="preserve"> </w:t>
      </w:r>
      <w:r>
        <w:t xml:space="preserve">The Fairway Council convenes monthly in Muscat and in extraordinary session within forty-eight (48) hours at the request of any Tier I Member or of the Guarantor Panel. Quorum is all Tier I Members (the Islamic Republic of Iran and the Sultanate of Oman). A Security Assistance Provider representative attends Council sessions by invitation only and speaks only when recognized by the co-chairs. Council decisions on Articles require consensus of Tier I Members; decisions inside operational modules require a two-thirds majority of the module’s members, with the Consensus Minus One rule of Annex K applying to any determination directed at a member’s conduct. Every decision records in the decision register on the Shared Digital Registry.</w:t>
      </w:r>
    </w:p>
    <w:bookmarkEnd w:id="93"/>
    <w:bookmarkEnd w:id="94"/>
    <w:bookmarkStart w:id="101" w:name="annex-f.-red-line-register"/>
    <w:p>
      <w:pPr>
        <w:pStyle w:val="Heading1"/>
      </w:pPr>
      <w:r>
        <w:t xml:space="preserve">Annex F. Red Line Register</w:t>
      </w:r>
    </w:p>
    <w:p>
      <w:pPr>
        <w:pStyle w:val="FirstParagraph"/>
      </w:pPr>
      <w:r>
        <w:t xml:space="preserve">Operative Annex for Article 3. This Register records the Red Lines of the Principal Parties, the Islamic Republic of Iran and the Sultanate of Oman, together with the shared lines binding the architecture itself, and states the structural feature of this Compact that prevents each crossing. The United States of America, as Security Assistance Provider, registers its own lines in Section F.3 solely to guide its decisions on whether to accept or decline requests for assistance under Article 4.8. The Security Assistance Provider lines bind no other participant, no participant respects them as a condition of participation, and the Compact architecture does not enforce them. The Register does not rank, judge, or merge the columns; it holds them side by side inside one architecture.</w:t>
      </w:r>
    </w:p>
    <w:bookmarkStart w:id="95" w:name="X67d915d4b249265f148cd9833bdf3a36bc8cb0c"/>
    <w:p>
      <w:pPr>
        <w:pStyle w:val="Heading2"/>
      </w:pPr>
      <w:r>
        <w:t xml:space="preserve">F.1 Registered Red Lines: Islamic Republic of Iran (Principal Party)</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Ref</w:t>
            </w:r>
          </w:p>
        </w:tc>
        <w:tc>
          <w:tcPr>
            <w:shd w:val="clear" w:color="auto" w:fill="D9E2EC"/>
          </w:tcPr>
          <w:p>
            <w:pPr>
              <w:pStyle w:val="Compact"/>
              <w:jc w:val="left"/>
            </w:pPr>
            <w:r>
              <w:rPr>
                <w:bCs/>
                <w:b/>
              </w:rPr>
              <w:t xml:space="preserve">Registered Red Line</w:t>
            </w:r>
          </w:p>
        </w:tc>
        <w:tc>
          <w:tcPr>
            <w:shd w:val="clear" w:color="auto" w:fill="D9E2EC"/>
          </w:tcPr>
          <w:p>
            <w:pPr>
              <w:pStyle w:val="Compact"/>
              <w:jc w:val="left"/>
            </w:pPr>
            <w:r>
              <w:rPr>
                <w:bCs/>
                <w:b/>
              </w:rPr>
              <w:t xml:space="preserve">Structural Prevention Feature</w:t>
            </w:r>
          </w:p>
        </w:tc>
      </w:tr>
      <w:tr>
        <w:tc>
          <w:tcPr/>
          <w:p>
            <w:pPr>
              <w:pStyle w:val="Compact"/>
              <w:jc w:val="left"/>
            </w:pPr>
            <w:r>
              <w:t xml:space="preserve">IR-RL-1</w:t>
            </w:r>
          </w:p>
        </w:tc>
        <w:tc>
          <w:tcPr/>
          <w:p>
            <w:pPr>
              <w:pStyle w:val="Compact"/>
              <w:jc w:val="left"/>
            </w:pPr>
            <w:r>
              <w:t xml:space="preserve">No military strikes on Iranian territory, airspace, or territorial sea</w:t>
            </w:r>
          </w:p>
        </w:tc>
        <w:tc>
          <w:tcPr/>
          <w:p>
            <w:pPr>
              <w:pStyle w:val="Compact"/>
              <w:jc w:val="left"/>
            </w:pPr>
            <w:r>
              <w:t xml:space="preserve">The paired pauses of Article 7, the posture freeze, and the verification and classification machinery of Annexes B and K</w:t>
            </w:r>
          </w:p>
        </w:tc>
      </w:tr>
      <w:tr>
        <w:tc>
          <w:tcPr/>
          <w:p>
            <w:pPr>
              <w:pStyle w:val="Compact"/>
              <w:jc w:val="left"/>
            </w:pPr>
            <w:r>
              <w:t xml:space="preserve">IR-RL-2</w:t>
            </w:r>
          </w:p>
        </w:tc>
        <w:tc>
          <w:tcPr/>
          <w:p>
            <w:pPr>
              <w:pStyle w:val="Compact"/>
              <w:jc w:val="left"/>
            </w:pPr>
            <w:r>
              <w:t xml:space="preserve">Nuclear material never leaves Iranian soil and never enters foreign custody; Iranian legal title persists</w:t>
            </w:r>
          </w:p>
        </w:tc>
        <w:tc>
          <w:tcPr/>
          <w:p>
            <w:pPr>
              <w:pStyle w:val="Compact"/>
              <w:jc w:val="left"/>
            </w:pPr>
            <w:r>
              <w:t xml:space="preserve">The in-place disposition architecture of Annex H: down-blending on site, joint seals at Iranian facilities, IAEA custody of data, and the sovereignty safeguards of the disposition roadmap</w:t>
            </w:r>
          </w:p>
        </w:tc>
      </w:tr>
      <w:tr>
        <w:tc>
          <w:tcPr/>
          <w:p>
            <w:pPr>
              <w:pStyle w:val="Compact"/>
              <w:jc w:val="left"/>
            </w:pPr>
            <w:r>
              <w:t xml:space="preserve">IR-RL-3</w:t>
            </w:r>
          </w:p>
        </w:tc>
        <w:tc>
          <w:tcPr/>
          <w:p>
            <w:pPr>
              <w:pStyle w:val="Compact"/>
              <w:jc w:val="left"/>
            </w:pPr>
            <w:r>
              <w:t xml:space="preserve">No regime-change agenda and no interference in Iran’s internal affairs</w:t>
            </w:r>
          </w:p>
        </w:tc>
        <w:tc>
          <w:tcPr/>
          <w:p>
            <w:pPr>
              <w:pStyle w:val="Compact"/>
              <w:jc w:val="left"/>
            </w:pPr>
            <w:r>
              <w:t xml:space="preserve">The non-interference clause of Section 3.3, the non-recognition and non-prejudice clauses of Article 3, and the scope limitation of this Compact to maritime safety, de-escalation, and verification</w:t>
            </w:r>
          </w:p>
        </w:tc>
      </w:tr>
      <w:tr>
        <w:tc>
          <w:tcPr/>
          <w:p>
            <w:pPr>
              <w:pStyle w:val="Compact"/>
              <w:jc w:val="left"/>
            </w:pPr>
            <w:r>
              <w:t xml:space="preserve">IR-RL-4</w:t>
            </w:r>
          </w:p>
        </w:tc>
        <w:tc>
          <w:tcPr/>
          <w:p>
            <w:pPr>
              <w:pStyle w:val="Compact"/>
              <w:jc w:val="left"/>
            </w:pPr>
            <w:r>
              <w:t xml:space="preserve">Sanctions relief is real, bankable, and irreversible in its banked portions</w:t>
            </w:r>
          </w:p>
        </w:tc>
        <w:tc>
          <w:tcPr/>
          <w:p>
            <w:pPr>
              <w:pStyle w:val="Compact"/>
              <w:jc w:val="left"/>
            </w:pPr>
            <w:r>
              <w:t xml:space="preserve">The escrow architecture of Annex J, the no-clawback rule incorporated through Annex H, the earn-back structure of Annex K, and the no-fade continuity rule of Article 16</w:t>
            </w:r>
          </w:p>
        </w:tc>
      </w:tr>
      <w:tr>
        <w:tc>
          <w:tcPr/>
          <w:p>
            <w:pPr>
              <w:pStyle w:val="Compact"/>
              <w:jc w:val="left"/>
            </w:pPr>
            <w:r>
              <w:t xml:space="preserve">IR-RL-5</w:t>
            </w:r>
          </w:p>
        </w:tc>
        <w:tc>
          <w:tcPr/>
          <w:p>
            <w:pPr>
              <w:pStyle w:val="Compact"/>
              <w:jc w:val="left"/>
            </w:pPr>
            <w:r>
              <w:t xml:space="preserve">Iran’s sovereign role and authority in the Strait receives respect; no foreign enforcement inside Iranian waters</w:t>
            </w:r>
          </w:p>
        </w:tc>
        <w:tc>
          <w:tcPr/>
          <w:p>
            <w:pPr>
              <w:pStyle w:val="Compact"/>
              <w:jc w:val="left"/>
            </w:pPr>
            <w:r>
              <w:t xml:space="preserve">The littoral symmetry of Annexes C and D, the observer-status limitations of Annex B, the notification-not-permission regime of Fairway Bravo, and the exclusion of foreign enforcement functions throughout this Compact, including Section 4.8(g)</w:t>
            </w:r>
          </w:p>
        </w:tc>
      </w:tr>
    </w:tbl>
    <w:bookmarkEnd w:id="95"/>
    <w:bookmarkStart w:id="96" w:name="X40c660d005dad40e11b222d9246887a0c8f1b71"/>
    <w:p>
      <w:pPr>
        <w:pStyle w:val="Heading2"/>
      </w:pPr>
      <w:r>
        <w:t xml:space="preserve">F.2 Registered Red Lines: Sultanate of Oman (Principal Party)</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Ref</w:t>
            </w:r>
          </w:p>
        </w:tc>
        <w:tc>
          <w:tcPr>
            <w:shd w:val="clear" w:color="auto" w:fill="D9E2EC"/>
          </w:tcPr>
          <w:p>
            <w:pPr>
              <w:pStyle w:val="Compact"/>
              <w:jc w:val="left"/>
            </w:pPr>
            <w:r>
              <w:rPr>
                <w:bCs/>
                <w:b/>
              </w:rPr>
              <w:t xml:space="preserve">Registered Red Line</w:t>
            </w:r>
          </w:p>
        </w:tc>
        <w:tc>
          <w:tcPr>
            <w:shd w:val="clear" w:color="auto" w:fill="D9E2EC"/>
          </w:tcPr>
          <w:p>
            <w:pPr>
              <w:pStyle w:val="Compact"/>
              <w:jc w:val="left"/>
            </w:pPr>
            <w:r>
              <w:rPr>
                <w:bCs/>
                <w:b/>
              </w:rPr>
              <w:t xml:space="preserve">Structural Prevention Feature</w:t>
            </w:r>
          </w:p>
        </w:tc>
      </w:tr>
      <w:tr>
        <w:tc>
          <w:tcPr/>
          <w:p>
            <w:pPr>
              <w:pStyle w:val="Compact"/>
              <w:jc w:val="left"/>
            </w:pPr>
            <w:r>
              <w:t xml:space="preserve">OM-RL-1</w:t>
            </w:r>
          </w:p>
        </w:tc>
        <w:tc>
          <w:tcPr/>
          <w:p>
            <w:pPr>
              <w:pStyle w:val="Compact"/>
              <w:jc w:val="left"/>
            </w:pPr>
            <w:r>
              <w:t xml:space="preserve">Equal sovereignty and standing of the two littoral states; no hierarchy between the Principal Parties</w:t>
            </w:r>
          </w:p>
        </w:tc>
        <w:tc>
          <w:tcPr/>
          <w:p>
            <w:pPr>
              <w:pStyle w:val="Compact"/>
              <w:jc w:val="left"/>
            </w:pPr>
            <w:r>
              <w:t xml:space="preserve">The dual-principal structure of Article 4, the co-chair rule of the Fairway Council, and the symmetry rule of Annexes C and D</w:t>
            </w:r>
          </w:p>
        </w:tc>
      </w:tr>
      <w:tr>
        <w:tc>
          <w:tcPr/>
          <w:p>
            <w:pPr>
              <w:pStyle w:val="Compact"/>
              <w:jc w:val="left"/>
            </w:pPr>
            <w:r>
              <w:t xml:space="preserve">OM-RL-2</w:t>
            </w:r>
          </w:p>
        </w:tc>
        <w:tc>
          <w:tcPr/>
          <w:p>
            <w:pPr>
              <w:pStyle w:val="Compact"/>
              <w:jc w:val="left"/>
            </w:pPr>
            <w:r>
              <w:t xml:space="preserve">Neutrality of the verification architecture; no foreign enforcement in Omani waters</w:t>
            </w:r>
          </w:p>
        </w:tc>
        <w:tc>
          <w:tcPr/>
          <w:p>
            <w:pPr>
              <w:pStyle w:val="Compact"/>
              <w:jc w:val="left"/>
            </w:pPr>
            <w:r>
              <w:t xml:space="preserve">The observer-status limitations of Annex B, the exclusion of foreign enforcement functions throughout this Compact, and Section 4.8(g)</w:t>
            </w:r>
          </w:p>
        </w:tc>
      </w:tr>
      <w:tr>
        <w:tc>
          <w:tcPr/>
          <w:p>
            <w:pPr>
              <w:pStyle w:val="Compact"/>
              <w:jc w:val="left"/>
            </w:pPr>
            <w:r>
              <w:t xml:space="preserve">OM-RL-3</w:t>
            </w:r>
          </w:p>
        </w:tc>
        <w:tc>
          <w:tcPr/>
          <w:p>
            <w:pPr>
              <w:pStyle w:val="Compact"/>
              <w:jc w:val="left"/>
            </w:pPr>
            <w:r>
              <w:t xml:space="preserve">Transit passage preserved and the toll-free rule permanent</w:t>
            </w:r>
          </w:p>
        </w:tc>
        <w:tc>
          <w:tcPr/>
          <w:p>
            <w:pPr>
              <w:pStyle w:val="Compact"/>
              <w:jc w:val="left"/>
            </w:pPr>
            <w:r>
              <w:t xml:space="preserve">The Zero-Toll Rule of Article 6 and the no-fade continuity rule of Article 16</w:t>
            </w:r>
          </w:p>
        </w:tc>
      </w:tr>
    </w:tbl>
    <w:bookmarkEnd w:id="96"/>
    <w:bookmarkStart w:id="97" w:name="X0093cc0f06aecf6449461051de34ae1c85ee80d"/>
    <w:p>
      <w:pPr>
        <w:pStyle w:val="Heading2"/>
      </w:pPr>
      <w:r>
        <w:t xml:space="preserve">F.3 Registered Lines: Security Assistance Provider (United States of America)</w:t>
      </w:r>
    </w:p>
    <w:p>
      <w:pPr>
        <w:pStyle w:val="FirstParagraph"/>
      </w:pPr>
      <w:r>
        <w:rPr>
          <w:bCs/>
          <w:b/>
        </w:rPr>
        <w:t xml:space="preserve">F.1</w:t>
      </w:r>
      <w:r>
        <w:t xml:space="preserve"> </w:t>
      </w:r>
      <w:r>
        <w:t xml:space="preserve">The United States registers the following lines to guide its security assistance decisions. These lines bind no other participant, and the Compact architecture does not enforce them against any Party. They state the conditions under which the United States declines, suspends, or continues requested assistance under Article 4.8.</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Ref</w:t>
            </w:r>
          </w:p>
        </w:tc>
        <w:tc>
          <w:tcPr>
            <w:shd w:val="clear" w:color="auto" w:fill="D9E2EC"/>
          </w:tcPr>
          <w:p>
            <w:pPr>
              <w:pStyle w:val="Compact"/>
              <w:jc w:val="left"/>
            </w:pPr>
            <w:r>
              <w:rPr>
                <w:bCs/>
                <w:b/>
              </w:rPr>
              <w:t xml:space="preserve">Registered Line</w:t>
            </w:r>
          </w:p>
        </w:tc>
        <w:tc>
          <w:tcPr>
            <w:shd w:val="clear" w:color="auto" w:fill="D9E2EC"/>
          </w:tcPr>
          <w:p>
            <w:pPr>
              <w:pStyle w:val="Compact"/>
              <w:jc w:val="left"/>
            </w:pPr>
            <w:r>
              <w:rPr>
                <w:bCs/>
                <w:b/>
              </w:rPr>
              <w:t xml:space="preserve">Application to Security Assistance Decisions</w:t>
            </w:r>
          </w:p>
        </w:tc>
      </w:tr>
      <w:tr>
        <w:tc>
          <w:tcPr/>
          <w:p>
            <w:pPr>
              <w:pStyle w:val="Compact"/>
              <w:jc w:val="left"/>
            </w:pPr>
            <w:r>
              <w:t xml:space="preserve">SR-RL-1</w:t>
            </w:r>
          </w:p>
        </w:tc>
        <w:tc>
          <w:tcPr/>
          <w:p>
            <w:pPr>
              <w:pStyle w:val="Compact"/>
              <w:jc w:val="left"/>
            </w:pPr>
            <w:r>
              <w:t xml:space="preserve">Iran never possesses, pursues, or acquires a nuclear weapon</w:t>
            </w:r>
          </w:p>
        </w:tc>
        <w:tc>
          <w:tcPr/>
          <w:p>
            <w:pPr>
              <w:pStyle w:val="Compact"/>
              <w:jc w:val="left"/>
            </w:pPr>
            <w:r>
              <w:t xml:space="preserve">A verified movement toward a nuclear weapon grounds the decline of every pending and future assistance request</w:t>
            </w:r>
          </w:p>
        </w:tc>
      </w:tr>
      <w:tr>
        <w:tc>
          <w:tcPr/>
          <w:p>
            <w:pPr>
              <w:pStyle w:val="Compact"/>
              <w:jc w:val="left"/>
            </w:pPr>
            <w:r>
              <w:t xml:space="preserve">SR-RL-2</w:t>
            </w:r>
          </w:p>
        </w:tc>
        <w:tc>
          <w:tcPr/>
          <w:p>
            <w:pPr>
              <w:pStyle w:val="Compact"/>
              <w:jc w:val="left"/>
            </w:pPr>
            <w:r>
              <w:t xml:space="preserve">Commercial navigation through the Strait of Hormuz remains free, open, and unimpeded</w:t>
            </w:r>
          </w:p>
        </w:tc>
        <w:tc>
          <w:tcPr/>
          <w:p>
            <w:pPr>
              <w:pStyle w:val="Compact"/>
              <w:jc w:val="left"/>
            </w:pPr>
            <w:r>
              <w:t xml:space="preserve">Assistance flows only while commercial transit operates free and unimpeded; a verified interdiction posture suspends new acceptances</w:t>
            </w:r>
          </w:p>
        </w:tc>
      </w:tr>
      <w:tr>
        <w:tc>
          <w:tcPr/>
          <w:p>
            <w:pPr>
              <w:pStyle w:val="Compact"/>
              <w:jc w:val="left"/>
            </w:pPr>
            <w:r>
              <w:t xml:space="preserve">SR-RL-3</w:t>
            </w:r>
          </w:p>
        </w:tc>
        <w:tc>
          <w:tcPr/>
          <w:p>
            <w:pPr>
              <w:pStyle w:val="Compact"/>
              <w:jc w:val="left"/>
            </w:pPr>
            <w:r>
              <w:t xml:space="preserve">No toll, fee, or payment attaches to transit, under any name</w:t>
            </w:r>
          </w:p>
        </w:tc>
        <w:tc>
          <w:tcPr/>
          <w:p>
            <w:pPr>
              <w:pStyle w:val="Compact"/>
              <w:jc w:val="left"/>
            </w:pPr>
            <w:r>
              <w:t xml:space="preserve">Assistance supports no mechanism that attaches a charge to passage</w:t>
            </w:r>
          </w:p>
        </w:tc>
      </w:tr>
      <w:tr>
        <w:tc>
          <w:tcPr/>
          <w:p>
            <w:pPr>
              <w:pStyle w:val="Compact"/>
              <w:jc w:val="left"/>
            </w:pPr>
            <w:r>
              <w:t xml:space="preserve">SR-RL-4</w:t>
            </w:r>
          </w:p>
        </w:tc>
        <w:tc>
          <w:tcPr/>
          <w:p>
            <w:pPr>
              <w:pStyle w:val="Compact"/>
              <w:jc w:val="left"/>
            </w:pPr>
            <w:r>
              <w:t xml:space="preserve">No attacks on United States forces, bases, vessels, or personnel in the region</w:t>
            </w:r>
          </w:p>
        </w:tc>
        <w:tc>
          <w:tcPr/>
          <w:p>
            <w:pPr>
              <w:pStyle w:val="Compact"/>
              <w:jc w:val="left"/>
            </w:pPr>
            <w:r>
              <w:t xml:space="preserve">A verified attack on United States forces, bases, vessels, or personnel grounds immediate suspension of assistance pending the ladder of Annex I</w:t>
            </w:r>
          </w:p>
        </w:tc>
      </w:tr>
      <w:tr>
        <w:tc>
          <w:tcPr/>
          <w:p>
            <w:pPr>
              <w:pStyle w:val="Compact"/>
              <w:jc w:val="left"/>
            </w:pPr>
            <w:r>
              <w:t xml:space="preserve">SR-RL-5</w:t>
            </w:r>
          </w:p>
        </w:tc>
        <w:tc>
          <w:tcPr/>
          <w:p>
            <w:pPr>
              <w:pStyle w:val="Compact"/>
              <w:jc w:val="left"/>
            </w:pPr>
            <w:r>
              <w:t xml:space="preserve">No blockade or closure of the Strait as an instrument of pressure</w:t>
            </w:r>
          </w:p>
        </w:tc>
        <w:tc>
          <w:tcPr/>
          <w:p>
            <w:pPr>
              <w:pStyle w:val="Compact"/>
              <w:jc w:val="left"/>
            </w:pPr>
            <w:r>
              <w:t xml:space="preserve">Assistance supports the opening and certification of the fairways and never a closure posture</w:t>
            </w:r>
          </w:p>
        </w:tc>
      </w:tr>
    </w:tbl>
    <w:bookmarkEnd w:id="97"/>
    <w:bookmarkStart w:id="98" w:name="Xa7ec4ec50b7dcfa0fd30f70fa9e1bdffb53a000"/>
    <w:p>
      <w:pPr>
        <w:pStyle w:val="Heading2"/>
      </w:pPr>
      <w:r>
        <w:t xml:space="preserve">F.4 Shared Lines Binding the Architecture</w:t>
      </w:r>
    </w:p>
    <w:p>
      <w:pPr>
        <w:pStyle w:val="FirstParagraph"/>
      </w:pPr>
      <w:r>
        <w:rPr>
          <w:bCs/>
          <w:b/>
        </w:rPr>
        <w:t xml:space="preserve">F.2</w:t>
      </w:r>
      <w:r>
        <w:t xml:space="preserve"> </w:t>
      </w:r>
      <w:r>
        <w:t xml:space="preserve">The Register further records three shared lines binding the architecture itself. Humanitarian absolutes: the humanitarian firewall of Article 16 never freezes, never pauses, and never trades. No automatic military escalation: no compliance event, classification, penalty, suspension, or security assistance request under this Compact authorizes, triggers, or justifies military force by any Party, Member, or the Security Assistance Provider. Verification integrity: no Party or Member tampers with, obstructs, or falsifies the telemetry, registries, observers, or certification bodies of this Compact. The shared lines bind the Security Assistance Provider in the same manner as every other participant, consistent with Annex M.</w:t>
      </w:r>
    </w:p>
    <w:bookmarkEnd w:id="98"/>
    <w:bookmarkStart w:id="99" w:name="f.5-the-structural-respect-test"/>
    <w:p>
      <w:pPr>
        <w:pStyle w:val="Heading2"/>
      </w:pPr>
      <w:r>
        <w:t xml:space="preserve">F.5 The Structural Respect Test</w:t>
      </w:r>
    </w:p>
    <w:p>
      <w:pPr>
        <w:pStyle w:val="FirstParagraph"/>
      </w:pPr>
      <w:r>
        <w:rPr>
          <w:bCs/>
          <w:b/>
        </w:rPr>
        <w:t xml:space="preserve">F.3</w:t>
      </w:r>
      <w:r>
        <w:t xml:space="preserve"> </w:t>
      </w:r>
      <w:r>
        <w:t xml:space="preserve">Every annex, certificate, operational decision, and amendment under this Compact passes the structural respect test: the action leaves every registered line of Sections F.1, F.2, and F.4 intact by design. A proposal that crosses a registered Principal Party line fails at the Fairway Council without a vote; the chair rules the proposal out of order against the Register, and the ruling records in the decision register. The Register binds both Principal Parties equally, and it binds every body this Compact creates. The Security Assistance Provider applies its Section F.3 lines to its own assistance decisions only.</w:t>
      </w:r>
    </w:p>
    <w:bookmarkEnd w:id="99"/>
    <w:bookmarkStart w:id="100" w:name="f.6-register-maintenance"/>
    <w:p>
      <w:pPr>
        <w:pStyle w:val="Heading2"/>
      </w:pPr>
      <w:r>
        <w:t xml:space="preserve">F.6 Register Maintenance</w:t>
      </w:r>
    </w:p>
    <w:p>
      <w:pPr>
        <w:pStyle w:val="FirstParagraph"/>
      </w:pPr>
      <w:r>
        <w:rPr>
          <w:bCs/>
          <w:b/>
        </w:rPr>
        <w:t xml:space="preserve">F.4</w:t>
      </w:r>
      <w:r>
        <w:t xml:space="preserve"> </w:t>
      </w:r>
      <w:r>
        <w:t xml:space="preserve">A Principal Party registers an additional Red Line only through a written filing to the Depositary with the other Principal Party’s acknowledgment of receipt; acknowledgment of receipt never constitutes acceptance of content. The Security Assistance Provider adjusts its Section F.3 lines by written notice to the Depositary, and such adjustments bind no participant. The annual review examines the Register’s coverage. A perceived approach to any registered Principal Party line activates the Red Line Consultation of Annex I before any other response. The Register amends only by unanimity in the Fairway Council plus written ratification by both Principal Parties. The Register’s discipline is its strength: the Parties argue inside a published boundary map instead of discovering each other’s boundaries by collision.</w:t>
      </w:r>
    </w:p>
    <w:bookmarkEnd w:id="100"/>
    <w:bookmarkEnd w:id="101"/>
    <w:bookmarkStart w:id="111" w:name="annex-g.-phased-implementation-schedule"/>
    <w:p>
      <w:pPr>
        <w:pStyle w:val="Heading1"/>
      </w:pPr>
      <w:r>
        <w:t xml:space="preserve">Annex G. Phased Implementation Schedule</w:t>
      </w:r>
    </w:p>
    <w:p>
      <w:pPr>
        <w:pStyle w:val="FirstParagraph"/>
      </w:pPr>
      <w:r>
        <w:t xml:space="preserve">Operative Annex for Article 15. This annex states the phased implementation schedule of the Compact on a realistic, accelerated timeline, with objective phase gates, recovery targets, and default continuation rules.</w:t>
      </w:r>
    </w:p>
    <w:bookmarkStart w:id="102" w:name="g.1-schedule-architecture"/>
    <w:p>
      <w:pPr>
        <w:pStyle w:val="Heading2"/>
      </w:pPr>
      <w:r>
        <w:t xml:space="preserve">G.1 Schedule Architecture</w:t>
      </w:r>
    </w:p>
    <w:p>
      <w:pPr>
        <w:pStyle w:val="FirstParagraph"/>
      </w:pPr>
      <w:r>
        <w:rPr>
          <w:bCs/>
          <w:b/>
        </w:rPr>
        <w:t xml:space="preserve">G.1</w:t>
      </w:r>
      <w:r>
        <w:t xml:space="preserve"> </w:t>
      </w:r>
      <w:r>
        <w:t xml:space="preserve">The schedule binds to events, not intentions: every milestone names an action, an actor, a verification standard, and a publication. Phase gates operate as administrative rhythms, never as expiries. A verified delay in one milestone extends only the affected step and leaves the remaining schedule intact. Where a milestone completes ahead of schedule, the dependent milestones activate early upon certification.</w:t>
      </w:r>
    </w:p>
    <w:bookmarkEnd w:id="102"/>
    <w:bookmarkStart w:id="103" w:name="X9974b057d7cb726e178c2ae5172447bf98cc98e"/>
    <w:p>
      <w:pPr>
        <w:pStyle w:val="Heading2"/>
      </w:pPr>
      <w:r>
        <w:t xml:space="preserve">G.2 Phase Zero: Standstill and Signature (Day minus 1 to Day 0)</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Day</w:t>
            </w:r>
          </w:p>
        </w:tc>
        <w:tc>
          <w:tcPr>
            <w:shd w:val="clear" w:color="auto" w:fill="D9E2EC"/>
          </w:tcPr>
          <w:p>
            <w:pPr>
              <w:pStyle w:val="Compact"/>
              <w:jc w:val="left"/>
            </w:pPr>
            <w:r>
              <w:rPr>
                <w:bCs/>
                <w:b/>
              </w:rPr>
              <w:t xml:space="preserve">Action</w:t>
            </w:r>
          </w:p>
        </w:tc>
        <w:tc>
          <w:tcPr>
            <w:shd w:val="clear" w:color="auto" w:fill="D9E2EC"/>
          </w:tcPr>
          <w:p>
            <w:pPr>
              <w:pStyle w:val="Compact"/>
              <w:jc w:val="left"/>
            </w:pPr>
            <w:r>
              <w:rPr>
                <w:bCs/>
                <w:b/>
              </w:rPr>
              <w:t xml:space="preserve">Actor</w:t>
            </w:r>
          </w:p>
        </w:tc>
        <w:tc>
          <w:tcPr>
            <w:shd w:val="clear" w:color="auto" w:fill="D9E2EC"/>
          </w:tcPr>
          <w:p>
            <w:pPr>
              <w:pStyle w:val="Compact"/>
              <w:jc w:val="left"/>
            </w:pPr>
            <w:r>
              <w:rPr>
                <w:bCs/>
                <w:b/>
              </w:rPr>
              <w:t xml:space="preserve">Verification Standard</w:t>
            </w:r>
          </w:p>
        </w:tc>
      </w:tr>
      <w:tr>
        <w:tc>
          <w:tcPr/>
          <w:p>
            <w:pPr>
              <w:pStyle w:val="Compact"/>
              <w:jc w:val="left"/>
            </w:pPr>
            <w:r>
              <w:t xml:space="preserve">Day minus 1</w:t>
            </w:r>
          </w:p>
        </w:tc>
        <w:tc>
          <w:tcPr/>
          <w:p>
            <w:pPr>
              <w:pStyle w:val="Compact"/>
              <w:jc w:val="left"/>
            </w:pPr>
            <w:r>
              <w:t xml:space="preserve">Reciprocal pause in military operations continues and holds; hotline bridge opens through Muscat</w:t>
            </w:r>
          </w:p>
        </w:tc>
        <w:tc>
          <w:tcPr/>
          <w:p>
            <w:pPr>
              <w:pStyle w:val="Compact"/>
              <w:jc w:val="left"/>
            </w:pPr>
            <w:r>
              <w:t xml:space="preserve">Islamic Republic of Iran; United States of America; Sultanate of Oman</w:t>
            </w:r>
          </w:p>
        </w:tc>
        <w:tc>
          <w:tcPr/>
          <w:p>
            <w:pPr>
              <w:pStyle w:val="Compact"/>
              <w:jc w:val="left"/>
            </w:pPr>
            <w:r>
              <w:t xml:space="preserve">Omani Security Cell confirms zero kinetic events in the Governance Area over 24 hours</w:t>
            </w:r>
          </w:p>
        </w:tc>
      </w:tr>
      <w:tr>
        <w:tc>
          <w:tcPr/>
          <w:p>
            <w:pPr>
              <w:pStyle w:val="Compact"/>
              <w:jc w:val="left"/>
            </w:pPr>
            <w:r>
              <w:t xml:space="preserve">Day 0</w:t>
            </w:r>
          </w:p>
        </w:tc>
        <w:tc>
          <w:tcPr/>
          <w:p>
            <w:pPr>
              <w:pStyle w:val="Compact"/>
              <w:jc w:val="left"/>
            </w:pPr>
            <w:r>
              <w:t xml:space="preserve">Signature at Muscat; implementing orders transmitted within 6 hours; MRT-H activates; Mine Hazard Area Notice to Mariners issues; hotline fully activates; Shared Digital Registry opens</w:t>
            </w:r>
          </w:p>
        </w:tc>
        <w:tc>
          <w:tcPr/>
          <w:p>
            <w:pPr>
              <w:pStyle w:val="Compact"/>
              <w:jc w:val="left"/>
            </w:pPr>
            <w:r>
              <w:t xml:space="preserve">All Parties; MOC Mines Cell</w:t>
            </w:r>
          </w:p>
        </w:tc>
        <w:tc>
          <w:tcPr/>
          <w:p>
            <w:pPr>
              <w:pStyle w:val="Compact"/>
              <w:jc w:val="left"/>
            </w:pPr>
            <w:r>
              <w:t xml:space="preserve">Verification Authority confirms both pauses and registry operation within 24 hours of Day 0</w:t>
            </w:r>
          </w:p>
        </w:tc>
      </w:tr>
    </w:tbl>
    <w:bookmarkEnd w:id="103"/>
    <w:bookmarkStart w:id="104" w:name="Xecd6b83b1ce4bf8873a92d8874b087066b976b2"/>
    <w:p>
      <w:pPr>
        <w:pStyle w:val="Heading2"/>
      </w:pPr>
      <w:r>
        <w:t xml:space="preserve">G.3 Phase One: Stabilization and Activation (Day 0 to Day 7)</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Day</w:t>
            </w:r>
          </w:p>
        </w:tc>
        <w:tc>
          <w:tcPr>
            <w:shd w:val="clear" w:color="auto" w:fill="D9E2EC"/>
          </w:tcPr>
          <w:p>
            <w:pPr>
              <w:pStyle w:val="Compact"/>
              <w:jc w:val="left"/>
            </w:pPr>
            <w:r>
              <w:rPr>
                <w:bCs/>
                <w:b/>
              </w:rPr>
              <w:t xml:space="preserve">Action</w:t>
            </w:r>
          </w:p>
        </w:tc>
        <w:tc>
          <w:tcPr>
            <w:shd w:val="clear" w:color="auto" w:fill="D9E2EC"/>
          </w:tcPr>
          <w:p>
            <w:pPr>
              <w:pStyle w:val="Compact"/>
              <w:jc w:val="left"/>
            </w:pPr>
            <w:r>
              <w:rPr>
                <w:bCs/>
                <w:b/>
              </w:rPr>
              <w:t xml:space="preserve">Actor</w:t>
            </w:r>
          </w:p>
        </w:tc>
        <w:tc>
          <w:tcPr>
            <w:shd w:val="clear" w:color="auto" w:fill="D9E2EC"/>
          </w:tcPr>
          <w:p>
            <w:pPr>
              <w:pStyle w:val="Compact"/>
              <w:jc w:val="left"/>
            </w:pPr>
            <w:r>
              <w:rPr>
                <w:bCs/>
                <w:b/>
              </w:rPr>
              <w:t xml:space="preserve">Verification Standard</w:t>
            </w:r>
          </w:p>
        </w:tc>
      </w:tr>
      <w:tr>
        <w:tc>
          <w:tcPr/>
          <w:p>
            <w:pPr>
              <w:pStyle w:val="Compact"/>
              <w:jc w:val="left"/>
            </w:pPr>
            <w:r>
              <w:t xml:space="preserve">Day 0</w:t>
            </w:r>
          </w:p>
        </w:tc>
        <w:tc>
          <w:tcPr/>
          <w:p>
            <w:pPr>
              <w:pStyle w:val="Compact"/>
              <w:jc w:val="left"/>
            </w:pPr>
            <w:r>
              <w:t xml:space="preserve">Interception of Commercial Vessels ceases; permit and routing requirements on commercial transit suspend</w:t>
            </w:r>
          </w:p>
        </w:tc>
        <w:tc>
          <w:tcPr/>
          <w:p>
            <w:pPr>
              <w:pStyle w:val="Compact"/>
              <w:jc w:val="left"/>
            </w:pPr>
            <w:r>
              <w:t xml:space="preserve">United States of America (interception posture, under the June Memorandum pause); Islamic Republic of Iran (permit regime)</w:t>
            </w:r>
          </w:p>
        </w:tc>
        <w:tc>
          <w:tcPr/>
          <w:p>
            <w:pPr>
              <w:pStyle w:val="Compact"/>
              <w:jc w:val="left"/>
            </w:pPr>
            <w:r>
              <w:t xml:space="preserve">Omani Maritime Cell transit log; insurer reporting channel</w:t>
            </w:r>
          </w:p>
        </w:tc>
      </w:tr>
      <w:tr>
        <w:tc>
          <w:tcPr/>
          <w:p>
            <w:pPr>
              <w:pStyle w:val="Compact"/>
              <w:jc w:val="left"/>
            </w:pPr>
            <w:r>
              <w:t xml:space="preserve">Day 2</w:t>
            </w:r>
          </w:p>
        </w:tc>
        <w:tc>
          <w:tcPr/>
          <w:p>
            <w:pPr>
              <w:pStyle w:val="Compact"/>
              <w:jc w:val="left"/>
            </w:pPr>
            <w:r>
              <w:t xml:space="preserve">First compliance certification of the paired pauses</w:t>
            </w:r>
          </w:p>
        </w:tc>
        <w:tc>
          <w:tcPr/>
          <w:p>
            <w:pPr>
              <w:pStyle w:val="Compact"/>
              <w:jc w:val="left"/>
            </w:pPr>
            <w:r>
              <w:t xml:space="preserve">Verification Authority</w:t>
            </w:r>
          </w:p>
        </w:tc>
        <w:tc>
          <w:tcPr/>
          <w:p>
            <w:pPr>
              <w:pStyle w:val="Compact"/>
              <w:jc w:val="left"/>
            </w:pPr>
            <w:r>
              <w:t xml:space="preserve">Convergence Standard, two independent channels</w:t>
            </w:r>
          </w:p>
        </w:tc>
      </w:tr>
      <w:tr>
        <w:tc>
          <w:tcPr/>
          <w:p>
            <w:pPr>
              <w:pStyle w:val="Compact"/>
              <w:jc w:val="left"/>
            </w:pPr>
            <w:r>
              <w:t xml:space="preserve">Day 3</w:t>
            </w:r>
          </w:p>
        </w:tc>
        <w:tc>
          <w:tcPr/>
          <w:p>
            <w:pPr>
              <w:pStyle w:val="Compact"/>
              <w:jc w:val="left"/>
            </w:pPr>
            <w:r>
              <w:t xml:space="preserve">Annex C Stage One behavioral norms bind all small craft; blockade routing of Commercial Vessels ceases; MRT-H survey begins at the July 26 contact cluster; Temporary Transit Routes activate with twice-daily convoy windows</w:t>
            </w:r>
          </w:p>
        </w:tc>
        <w:tc>
          <w:tcPr/>
          <w:p>
            <w:pPr>
              <w:pStyle w:val="Compact"/>
              <w:jc w:val="left"/>
            </w:pPr>
            <w:r>
              <w:t xml:space="preserve">All Members; MCM Group</w:t>
            </w:r>
          </w:p>
        </w:tc>
        <w:tc>
          <w:tcPr/>
          <w:p>
            <w:pPr>
              <w:pStyle w:val="Compact"/>
              <w:jc w:val="left"/>
            </w:pPr>
            <w:r>
              <w:t xml:space="preserve">Escort notification logs live on registry; survey telemetry to NKO-VT</w:t>
            </w:r>
          </w:p>
        </w:tc>
      </w:tr>
      <w:tr>
        <w:tc>
          <w:tcPr/>
          <w:p>
            <w:pPr>
              <w:pStyle w:val="Compact"/>
              <w:jc w:val="left"/>
            </w:pPr>
            <w:r>
              <w:t xml:space="preserve">Day 7</w:t>
            </w:r>
          </w:p>
        </w:tc>
        <w:tc>
          <w:tcPr/>
          <w:p>
            <w:pPr>
              <w:pStyle w:val="Compact"/>
              <w:jc w:val="left"/>
            </w:pPr>
            <w:r>
              <w:t xml:space="preserve">Residual blockade posture dissolves; Iranian permit regime converts to Fairway Bravo notification; first daily lane certification issues; June Memorandum reactivates; oil-export waiver framework restores and escrow opens; Tier II accession window opens. The United States, upon request of the Fairway Council under Article 4.8, provides security assistance support for the dissolution of the residual blockade posture, in a supporting role only</w:t>
            </w:r>
          </w:p>
        </w:tc>
        <w:tc>
          <w:tcPr/>
          <w:p>
            <w:pPr>
              <w:pStyle w:val="Compact"/>
              <w:jc w:val="left"/>
            </w:pPr>
            <w:r>
              <w:t xml:space="preserve">United States of America (stand-down under the June Memorandum pause); Islamic Republic of Iran; Qatar Central Bank; Depositary</w:t>
            </w:r>
          </w:p>
        </w:tc>
        <w:tc>
          <w:tcPr/>
          <w:p>
            <w:pPr>
              <w:pStyle w:val="Compact"/>
              <w:jc w:val="left"/>
            </w:pPr>
            <w:r>
              <w:t xml:space="preserve">Corridor certification under Annex B; IAEA and Verification Authority confirm reactivation; escrow first transaction logged</w:t>
            </w:r>
          </w:p>
        </w:tc>
      </w:tr>
    </w:tbl>
    <w:bookmarkEnd w:id="104"/>
    <w:bookmarkStart w:id="105" w:name="X2c6df78736ae276d270bdcaf6cf173eea3e87e9"/>
    <w:p>
      <w:pPr>
        <w:pStyle w:val="Heading2"/>
      </w:pPr>
      <w:r>
        <w:t xml:space="preserve">G.4 Phase Two: Survey and Escort Build-Out (Day 7 to Day 21)</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Day</w:t>
            </w:r>
          </w:p>
        </w:tc>
        <w:tc>
          <w:tcPr>
            <w:shd w:val="clear" w:color="auto" w:fill="D9E2EC"/>
          </w:tcPr>
          <w:p>
            <w:pPr>
              <w:pStyle w:val="Compact"/>
              <w:jc w:val="left"/>
            </w:pPr>
            <w:r>
              <w:rPr>
                <w:bCs/>
                <w:b/>
              </w:rPr>
              <w:t xml:space="preserve">Action</w:t>
            </w:r>
          </w:p>
        </w:tc>
        <w:tc>
          <w:tcPr>
            <w:shd w:val="clear" w:color="auto" w:fill="D9E2EC"/>
          </w:tcPr>
          <w:p>
            <w:pPr>
              <w:pStyle w:val="Compact"/>
              <w:jc w:val="left"/>
            </w:pPr>
            <w:r>
              <w:rPr>
                <w:bCs/>
                <w:b/>
              </w:rPr>
              <w:t xml:space="preserve">Actor</w:t>
            </w:r>
          </w:p>
        </w:tc>
        <w:tc>
          <w:tcPr>
            <w:shd w:val="clear" w:color="auto" w:fill="D9E2EC"/>
          </w:tcPr>
          <w:p>
            <w:pPr>
              <w:pStyle w:val="Compact"/>
              <w:jc w:val="left"/>
            </w:pPr>
            <w:r>
              <w:rPr>
                <w:bCs/>
                <w:b/>
              </w:rPr>
              <w:t xml:space="preserve">Verification Standard</w:t>
            </w:r>
          </w:p>
        </w:tc>
      </w:tr>
      <w:tr>
        <w:tc>
          <w:tcPr/>
          <w:p>
            <w:pPr>
              <w:pStyle w:val="Compact"/>
              <w:jc w:val="left"/>
            </w:pPr>
            <w:r>
              <w:t xml:space="preserve">Day 10</w:t>
            </w:r>
          </w:p>
        </w:tc>
        <w:tc>
          <w:tcPr/>
          <w:p>
            <w:pPr>
              <w:pStyle w:val="Compact"/>
              <w:jc w:val="left"/>
            </w:pPr>
            <w:r>
              <w:t xml:space="preserve">Iran hazard declaration complete (72-hour rule executed at Day 3); hydrographic data exchange from all littoral Members complete</w:t>
            </w:r>
          </w:p>
        </w:tc>
        <w:tc>
          <w:tcPr/>
          <w:p>
            <w:pPr>
              <w:pStyle w:val="Compact"/>
              <w:jc w:val="left"/>
            </w:pPr>
            <w:r>
              <w:t xml:space="preserve">Iran; Oman; acceding littorals</w:t>
            </w:r>
          </w:p>
        </w:tc>
        <w:tc>
          <w:tcPr/>
          <w:p>
            <w:pPr>
              <w:pStyle w:val="Compact"/>
              <w:jc w:val="left"/>
            </w:pPr>
            <w:r>
              <w:t xml:space="preserve">NKO-VT receipt certification</w:t>
            </w:r>
          </w:p>
        </w:tc>
      </w:tr>
      <w:tr>
        <w:tc>
          <w:tcPr/>
          <w:p>
            <w:pPr>
              <w:pStyle w:val="Compact"/>
              <w:jc w:val="left"/>
            </w:pPr>
            <w:r>
              <w:t xml:space="preserve">Day 14</w:t>
            </w:r>
          </w:p>
        </w:tc>
        <w:tc>
          <w:tcPr/>
          <w:p>
            <w:pPr>
              <w:pStyle w:val="Compact"/>
              <w:jc w:val="left"/>
            </w:pPr>
            <w:r>
              <w:t xml:space="preserve">Annex C Stage Two activates: full lead-escort operating protocol with Joint Coordination Center tasking and handover geometry; escort coverage reaches every convoy window</w:t>
            </w:r>
          </w:p>
        </w:tc>
        <w:tc>
          <w:tcPr/>
          <w:p>
            <w:pPr>
              <w:pStyle w:val="Compact"/>
              <w:jc w:val="left"/>
            </w:pPr>
            <w:r>
              <w:t xml:space="preserve">Joint Coordination Center; Iran; Oman</w:t>
            </w:r>
          </w:p>
        </w:tc>
        <w:tc>
          <w:tcPr/>
          <w:p>
            <w:pPr>
              <w:pStyle w:val="Compact"/>
              <w:jc w:val="left"/>
            </w:pPr>
            <w:r>
              <w:t xml:space="preserve">Coverage statistics published to Market Confidence Interface</w:t>
            </w:r>
          </w:p>
        </w:tc>
      </w:tr>
      <w:tr>
        <w:tc>
          <w:tcPr/>
          <w:p>
            <w:pPr>
              <w:pStyle w:val="Compact"/>
              <w:jc w:val="left"/>
            </w:pPr>
            <w:r>
              <w:t xml:space="preserve">Day 18</w:t>
            </w:r>
          </w:p>
        </w:tc>
        <w:tc>
          <w:tcPr/>
          <w:p>
            <w:pPr>
              <w:pStyle w:val="Compact"/>
              <w:jc w:val="left"/>
            </w:pPr>
            <w:r>
              <w:t xml:space="preserve">Nuclear track technical session convenes through the Omani channel (accelerated readiness track of Annex H)</w:t>
            </w:r>
          </w:p>
        </w:tc>
        <w:tc>
          <w:tcPr/>
          <w:p>
            <w:pPr>
              <w:pStyle w:val="Compact"/>
              <w:jc w:val="left"/>
            </w:pPr>
            <w:r>
              <w:t xml:space="preserve">June Memorandum signatories; IAEA</w:t>
            </w:r>
          </w:p>
        </w:tc>
        <w:tc>
          <w:tcPr/>
          <w:p>
            <w:pPr>
              <w:pStyle w:val="Compact"/>
              <w:jc w:val="left"/>
            </w:pPr>
            <w:r>
              <w:t xml:space="preserve">Session record on registry</w:t>
            </w:r>
          </w:p>
        </w:tc>
      </w:tr>
      <w:tr>
        <w:tc>
          <w:tcPr/>
          <w:p>
            <w:pPr>
              <w:pStyle w:val="Compact"/>
              <w:jc w:val="left"/>
            </w:pPr>
            <w:r>
              <w:t xml:space="preserve">Day 21</w:t>
            </w:r>
          </w:p>
        </w:tc>
        <w:tc>
          <w:tcPr/>
          <w:p>
            <w:pPr>
              <w:pStyle w:val="Compact"/>
              <w:jc w:val="left"/>
            </w:pPr>
            <w:r>
              <w:t xml:space="preserve">Gate One review: Fairway Alpha certification target; transit recovery target of fifty (50) percent of pre-crisis volume; posture freeze completes</w:t>
            </w:r>
          </w:p>
        </w:tc>
        <w:tc>
          <w:tcPr/>
          <w:p>
            <w:pPr>
              <w:pStyle w:val="Compact"/>
              <w:jc w:val="left"/>
            </w:pPr>
            <w:r>
              <w:t xml:space="preserve">Joint Technical Committee; NKO-VT</w:t>
            </w:r>
          </w:p>
        </w:tc>
        <w:tc>
          <w:tcPr/>
          <w:p>
            <w:pPr>
              <w:pStyle w:val="Compact"/>
              <w:jc w:val="left"/>
            </w:pPr>
            <w:r>
              <w:t xml:space="preserve">Gate review published; Safe Route Certification for Fairway Alpha issues upon Convergence Standard</w:t>
            </w:r>
          </w:p>
        </w:tc>
      </w:tr>
    </w:tbl>
    <w:bookmarkEnd w:id="105"/>
    <w:bookmarkStart w:id="106" w:name="X8db9842db99fa9909f9921c972dfe80446d28bf"/>
    <w:p>
      <w:pPr>
        <w:pStyle w:val="Heading2"/>
      </w:pPr>
      <w:r>
        <w:t xml:space="preserve">G.5 Phase Three: Clearance and Certification (Day 21 to Day 45)</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Day</w:t>
            </w:r>
          </w:p>
        </w:tc>
        <w:tc>
          <w:tcPr>
            <w:shd w:val="clear" w:color="auto" w:fill="D9E2EC"/>
          </w:tcPr>
          <w:p>
            <w:pPr>
              <w:pStyle w:val="Compact"/>
              <w:jc w:val="left"/>
            </w:pPr>
            <w:r>
              <w:rPr>
                <w:bCs/>
                <w:b/>
              </w:rPr>
              <w:t xml:space="preserve">Action</w:t>
            </w:r>
          </w:p>
        </w:tc>
        <w:tc>
          <w:tcPr>
            <w:shd w:val="clear" w:color="auto" w:fill="D9E2EC"/>
          </w:tcPr>
          <w:p>
            <w:pPr>
              <w:pStyle w:val="Compact"/>
              <w:jc w:val="left"/>
            </w:pPr>
            <w:r>
              <w:rPr>
                <w:bCs/>
                <w:b/>
              </w:rPr>
              <w:t xml:space="preserve">Actor</w:t>
            </w:r>
          </w:p>
        </w:tc>
        <w:tc>
          <w:tcPr>
            <w:shd w:val="clear" w:color="auto" w:fill="D9E2EC"/>
          </w:tcPr>
          <w:p>
            <w:pPr>
              <w:pStyle w:val="Compact"/>
              <w:jc w:val="left"/>
            </w:pPr>
            <w:r>
              <w:rPr>
                <w:bCs/>
                <w:b/>
              </w:rPr>
              <w:t xml:space="preserve">Verification Standard</w:t>
            </w:r>
          </w:p>
        </w:tc>
      </w:tr>
      <w:tr>
        <w:tc>
          <w:tcPr/>
          <w:p>
            <w:pPr>
              <w:pStyle w:val="Compact"/>
              <w:jc w:val="left"/>
            </w:pPr>
            <w:r>
              <w:t xml:space="preserve">Day 28</w:t>
            </w:r>
          </w:p>
        </w:tc>
        <w:tc>
          <w:tcPr/>
          <w:p>
            <w:pPr>
              <w:pStyle w:val="Compact"/>
              <w:jc w:val="left"/>
            </w:pPr>
            <w:r>
              <w:t xml:space="preserve">Fairway Alpha operating as certified open lane; convoy windows retire for Alpha; insurance premium indicator publishes weekly trend</w:t>
            </w:r>
          </w:p>
        </w:tc>
        <w:tc>
          <w:tcPr/>
          <w:p>
            <w:pPr>
              <w:pStyle w:val="Compact"/>
              <w:jc w:val="left"/>
            </w:pPr>
            <w:r>
              <w:t xml:space="preserve">Omani Maritime Cell</w:t>
            </w:r>
          </w:p>
        </w:tc>
        <w:tc>
          <w:tcPr/>
          <w:p>
            <w:pPr>
              <w:pStyle w:val="Compact"/>
              <w:jc w:val="left"/>
            </w:pPr>
            <w:r>
              <w:t xml:space="preserve">Daily certification chain; Lloyd’s market data</w:t>
            </w:r>
          </w:p>
        </w:tc>
      </w:tr>
      <w:tr>
        <w:tc>
          <w:tcPr/>
          <w:p>
            <w:pPr>
              <w:pStyle w:val="Compact"/>
              <w:jc w:val="left"/>
            </w:pPr>
            <w:r>
              <w:t xml:space="preserve">Day 35</w:t>
            </w:r>
          </w:p>
        </w:tc>
        <w:tc>
          <w:tcPr/>
          <w:p>
            <w:pPr>
              <w:pStyle w:val="Compact"/>
              <w:jc w:val="left"/>
            </w:pPr>
            <w:r>
              <w:t xml:space="preserve">Fairway Bravo certification target; anchorage and approaches survey complete</w:t>
            </w:r>
          </w:p>
        </w:tc>
        <w:tc>
          <w:tcPr/>
          <w:p>
            <w:pPr>
              <w:pStyle w:val="Compact"/>
              <w:jc w:val="left"/>
            </w:pPr>
            <w:r>
              <w:t xml:space="preserve">MCM Group; NKO-VT</w:t>
            </w:r>
          </w:p>
        </w:tc>
        <w:tc>
          <w:tcPr/>
          <w:p>
            <w:pPr>
              <w:pStyle w:val="Compact"/>
              <w:jc w:val="left"/>
            </w:pPr>
            <w:r>
              <w:t xml:space="preserve">Safe Route Certification for Fairway Bravo</w:t>
            </w:r>
          </w:p>
        </w:tc>
      </w:tr>
      <w:tr>
        <w:tc>
          <w:tcPr/>
          <w:p>
            <w:pPr>
              <w:pStyle w:val="Compact"/>
              <w:jc w:val="left"/>
            </w:pPr>
            <w:r>
              <w:t xml:space="preserve">Day 45</w:t>
            </w:r>
          </w:p>
        </w:tc>
        <w:tc>
          <w:tcPr/>
          <w:p>
            <w:pPr>
              <w:pStyle w:val="Compact"/>
              <w:jc w:val="left"/>
            </w:pPr>
            <w:r>
              <w:t xml:space="preserve">Gate Two review: clearance of priority zones 1 to 3 of the Annex D matrix; transit recovery target of seventy-five (75) percent; Tier II module portfolios operational</w:t>
            </w:r>
          </w:p>
        </w:tc>
        <w:tc>
          <w:tcPr/>
          <w:p>
            <w:pPr>
              <w:pStyle w:val="Compact"/>
              <w:jc w:val="left"/>
            </w:pPr>
            <w:r>
              <w:t xml:space="preserve">Joint Technical Committee</w:t>
            </w:r>
          </w:p>
        </w:tc>
        <w:tc>
          <w:tcPr/>
          <w:p>
            <w:pPr>
              <w:pStyle w:val="Compact"/>
              <w:jc w:val="left"/>
            </w:pPr>
            <w:r>
              <w:t xml:space="preserve">Gate review published to all Members</w:t>
            </w:r>
          </w:p>
        </w:tc>
      </w:tr>
    </w:tbl>
    <w:bookmarkEnd w:id="106"/>
    <w:bookmarkStart w:id="107" w:name="X8c8abac6331a30497f326c3ff694453a145b45e"/>
    <w:p>
      <w:pPr>
        <w:pStyle w:val="Heading2"/>
      </w:pPr>
      <w:r>
        <w:t xml:space="preserve">G.6 Phase Four: Normalization and Recovery (Day 45 to Day 75)</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Day</w:t>
            </w:r>
          </w:p>
        </w:tc>
        <w:tc>
          <w:tcPr>
            <w:shd w:val="clear" w:color="auto" w:fill="D9E2EC"/>
          </w:tcPr>
          <w:p>
            <w:pPr>
              <w:pStyle w:val="Compact"/>
              <w:jc w:val="left"/>
            </w:pPr>
            <w:r>
              <w:rPr>
                <w:bCs/>
                <w:b/>
              </w:rPr>
              <w:t xml:space="preserve">Action</w:t>
            </w:r>
          </w:p>
        </w:tc>
        <w:tc>
          <w:tcPr>
            <w:shd w:val="clear" w:color="auto" w:fill="D9E2EC"/>
          </w:tcPr>
          <w:p>
            <w:pPr>
              <w:pStyle w:val="Compact"/>
              <w:jc w:val="left"/>
            </w:pPr>
            <w:r>
              <w:rPr>
                <w:bCs/>
                <w:b/>
              </w:rPr>
              <w:t xml:space="preserve">Actor</w:t>
            </w:r>
          </w:p>
        </w:tc>
        <w:tc>
          <w:tcPr>
            <w:shd w:val="clear" w:color="auto" w:fill="D9E2EC"/>
          </w:tcPr>
          <w:p>
            <w:pPr>
              <w:pStyle w:val="Compact"/>
              <w:jc w:val="left"/>
            </w:pPr>
            <w:r>
              <w:rPr>
                <w:bCs/>
                <w:b/>
              </w:rPr>
              <w:t xml:space="preserve">Verification Standard</w:t>
            </w:r>
          </w:p>
        </w:tc>
      </w:tr>
      <w:tr>
        <w:tc>
          <w:tcPr/>
          <w:p>
            <w:pPr>
              <w:pStyle w:val="Compact"/>
              <w:jc w:val="left"/>
            </w:pPr>
            <w:r>
              <w:t xml:space="preserve">Day 60</w:t>
            </w:r>
          </w:p>
        </w:tc>
        <w:tc>
          <w:tcPr/>
          <w:p>
            <w:pPr>
              <w:pStyle w:val="Compact"/>
              <w:jc w:val="left"/>
            </w:pPr>
            <w:r>
              <w:t xml:space="preserve">First session cycle of the final-agreement negotiation track concludes under Annex H; nuclear disposition readiness assessment issues</w:t>
            </w:r>
          </w:p>
        </w:tc>
        <w:tc>
          <w:tcPr/>
          <w:p>
            <w:pPr>
              <w:pStyle w:val="Compact"/>
              <w:jc w:val="left"/>
            </w:pPr>
            <w:r>
              <w:t xml:space="preserve">June Memorandum signatories; mediators; IAEA</w:t>
            </w:r>
          </w:p>
        </w:tc>
        <w:tc>
          <w:tcPr/>
          <w:p>
            <w:pPr>
              <w:pStyle w:val="Compact"/>
              <w:jc w:val="left"/>
            </w:pPr>
            <w:r>
              <w:t xml:space="preserve">Joint progress statement; IAEA readiness report</w:t>
            </w:r>
          </w:p>
        </w:tc>
      </w:tr>
      <w:tr>
        <w:tc>
          <w:tcPr/>
          <w:p>
            <w:pPr>
              <w:pStyle w:val="Compact"/>
              <w:jc w:val="left"/>
            </w:pPr>
            <w:r>
              <w:t xml:space="preserve">Day 75</w:t>
            </w:r>
          </w:p>
        </w:tc>
        <w:tc>
          <w:tcPr/>
          <w:p>
            <w:pPr>
              <w:pStyle w:val="Compact"/>
              <w:jc w:val="left"/>
            </w:pPr>
            <w:r>
              <w:t xml:space="preserve">Gate Three review: Governance Area survey complete; transit recovery target of ninety (90) percent; war-risk premium trend published against the pre-crisis baseline</w:t>
            </w:r>
          </w:p>
        </w:tc>
        <w:tc>
          <w:tcPr/>
          <w:p>
            <w:pPr>
              <w:pStyle w:val="Compact"/>
              <w:jc w:val="left"/>
            </w:pPr>
            <w:r>
              <w:t xml:space="preserve">Joint Technical Committee; NKO-VT</w:t>
            </w:r>
          </w:p>
        </w:tc>
        <w:tc>
          <w:tcPr/>
          <w:p>
            <w:pPr>
              <w:pStyle w:val="Compact"/>
              <w:jc w:val="left"/>
            </w:pPr>
            <w:r>
              <w:t xml:space="preserve">Full-clearance verification of all designated lanes</w:t>
            </w:r>
          </w:p>
        </w:tc>
      </w:tr>
    </w:tbl>
    <w:bookmarkEnd w:id="107"/>
    <w:bookmarkStart w:id="108" w:name="X17ce0713e6fb5d82ecd5e6557bd608fb0501031"/>
    <w:p>
      <w:pPr>
        <w:pStyle w:val="Heading2"/>
      </w:pPr>
      <w:r>
        <w:t xml:space="preserve">G.7 Phase Five: Standing Operations and Review (Day 75 Onward)</w:t>
      </w:r>
    </w:p>
    <w:p>
      <w:pPr>
        <w:pStyle w:val="FirstParagraph"/>
      </w:pPr>
      <w:r>
        <w:rPr>
          <w:bCs/>
          <w:b/>
        </w:rPr>
        <w:t xml:space="preserve">G.2</w:t>
      </w:r>
      <w:r>
        <w:t xml:space="preserve"> </w:t>
      </w:r>
      <w:r>
        <w:t xml:space="preserve">From Day 75 the Compact operates in standing mode: daily certifications, weekly compliance summaries, quarterly architecture reviews, quarterly posture audits, and the annual review of the Red Line Register and contribution schedule. The first quarterly de-confliction review convenes at Day 90. Observer-to-Tier II graduations process on the rolling thirty (30) day track of Annex E. The nuclear disposition phases of Annex H proceed on their certified readiness schedule.</w:t>
      </w:r>
    </w:p>
    <w:bookmarkEnd w:id="108"/>
    <w:bookmarkStart w:id="109" w:name="g.8-recovery-measurement"/>
    <w:p>
      <w:pPr>
        <w:pStyle w:val="Heading2"/>
      </w:pPr>
      <w:r>
        <w:t xml:space="preserve">G.8 Recovery Measurement</w:t>
      </w:r>
    </w:p>
    <w:p>
      <w:pPr>
        <w:pStyle w:val="FirstParagraph"/>
      </w:pPr>
      <w:r>
        <w:rPr>
          <w:bCs/>
          <w:b/>
        </w:rPr>
        <w:t xml:space="preserve">G.3</w:t>
      </w:r>
      <w:r>
        <w:t xml:space="preserve"> </w:t>
      </w:r>
      <w:r>
        <w:t xml:space="preserve">Transit recovery measures against the pre-crisis baseline of approximately eighty-eight (88) commercial transits per day, counted by automatic identification system crossings and adjusted for dark-transit estimates published by the Omani Maritime Cell. The Verification Authority publishes the recovery index weekly to all Members and the insurance market.</w:t>
      </w:r>
    </w:p>
    <w:bookmarkEnd w:id="109"/>
    <w:bookmarkStart w:id="110" w:name="g.9-acceleration-and-slippage-rules"/>
    <w:p>
      <w:pPr>
        <w:pStyle w:val="Heading2"/>
      </w:pPr>
      <w:r>
        <w:t xml:space="preserve">G.9 Acceleration and Slippage Rules</w:t>
      </w:r>
    </w:p>
    <w:p>
      <w:pPr>
        <w:pStyle w:val="FirstParagraph"/>
      </w:pPr>
      <w:r>
        <w:rPr>
          <w:bCs/>
          <w:b/>
        </w:rPr>
        <w:t xml:space="preserve">G.4</w:t>
      </w:r>
      <w:r>
        <w:t xml:space="preserve"> </w:t>
      </w:r>
      <w:r>
        <w:t xml:space="preserve">Early completion of any certification activates its dependent milestones immediately upon publication. A certified slippage at a gate extends only the affected milestone chain, publishes with cause classification under Annex B, and never reads as bad faith on the record. Humanitarian milestones hold their dates under every scenario: the humanitarian firewall of Article 16 operates from Day 0 and never gates.</w:t>
      </w:r>
    </w:p>
    <w:bookmarkEnd w:id="110"/>
    <w:bookmarkEnd w:id="111"/>
    <w:bookmarkStart w:id="119" w:name="annex-h.-the-return-to-stability-track"/>
    <w:p>
      <w:pPr>
        <w:pStyle w:val="Heading1"/>
      </w:pPr>
      <w:r>
        <w:t xml:space="preserve">Annex H. The Return to Stability Track</w:t>
      </w:r>
    </w:p>
    <w:p>
      <w:pPr>
        <w:pStyle w:val="FirstParagraph"/>
      </w:pPr>
      <w:r>
        <w:t xml:space="preserve">Operative Annex for Article 13. This annex incorporates the Return to Stability Framework v2.0 of July 22, 2026, into this Compact as the de-escalation and negotiation track, harmonizes the RTF’s machinery with the bodies and schedule of this instrument, and carries forward every banked commitment of the RTF without reset.</w:t>
      </w:r>
    </w:p>
    <w:bookmarkStart w:id="112" w:name="h.1-incorporation-mechanics"/>
    <w:p>
      <w:pPr>
        <w:pStyle w:val="Heading2"/>
      </w:pPr>
      <w:r>
        <w:t xml:space="preserve">H.1 Incorporation Mechanics</w:t>
      </w:r>
    </w:p>
    <w:p>
      <w:pPr>
        <w:pStyle w:val="FirstParagraph"/>
      </w:pPr>
      <w:r>
        <w:rPr>
          <w:bCs/>
          <w:b/>
        </w:rPr>
        <w:t xml:space="preserve">H.1</w:t>
      </w:r>
      <w:r>
        <w:t xml:space="preserve"> </w:t>
      </w:r>
      <w:r>
        <w:t xml:space="preserve">The RTF operates as machinery of this Compact with the following resolutions of reference. The RTF’s Verification Authority resolves to the Verification Authority of this Compact. The RTF’s corridors resolve to the fairways of Annex A. The RTF’s hotline resolves to the hotline of Annex I. The RTF’s compliance method (the Cothrom Verification Method) resolves to the compliance and restoration engine of Annex K. The RTF’s terminology registry and narrative symmetry note resolve to Annex L. The RTF’s Reconstruction and Development Fund Protocol operates as incorporated by reference, with the interface of Section H.7.</w:t>
      </w:r>
    </w:p>
    <w:p>
      <w:pPr>
        <w:pStyle w:val="BodyText"/>
      </w:pPr>
      <w:r>
        <w:rPr>
          <w:bCs/>
          <w:b/>
        </w:rPr>
        <w:t xml:space="preserve">H.2</w:t>
      </w:r>
      <w:r>
        <w:t xml:space="preserve"> </w:t>
      </w:r>
      <w:r>
        <w:t xml:space="preserve">Continuity of banked performance. Every day of verified performance banked under the RTF between July 22, 2026, and Day 0 carries into this Compact intact. The transition from RTF to Compact resets nothing, suspends nothing, and re-verifies nothing already certified.</w:t>
      </w:r>
    </w:p>
    <w:p>
      <w:pPr>
        <w:pStyle w:val="BodyText"/>
      </w:pPr>
      <w:r>
        <w:rPr>
          <w:bCs/>
          <w:b/>
        </w:rPr>
        <w:t xml:space="preserve">H.2a</w:t>
      </w:r>
      <w:r>
        <w:t xml:space="preserve"> </w:t>
      </w:r>
      <w:r>
        <w:t xml:space="preserve">United States position in the incorporated track. Provisions of the incorporated track that bind the United States of America operate on the authority of the June Memorandum and the RTF as instruments between their signatories. This Compact recognizes and supports those provisions without making the United States a Principal Party to this Compact, consistent with Article 4.8.</w:t>
      </w:r>
    </w:p>
    <w:bookmarkEnd w:id="112"/>
    <w:bookmarkStart w:id="113" w:name="h.2-the-paired-measures-codified"/>
    <w:p>
      <w:pPr>
        <w:pStyle w:val="Heading2"/>
      </w:pPr>
      <w:r>
        <w:t xml:space="preserve">H.2 The Paired Measures, Codified</w:t>
      </w:r>
    </w:p>
    <w:p>
      <w:pPr>
        <w:pStyle w:val="FirstParagraph"/>
      </w:pPr>
      <w:r>
        <w:rPr>
          <w:bCs/>
          <w:b/>
        </w:rPr>
        <w:t xml:space="preserve">H.3</w:t>
      </w:r>
      <w:r>
        <w:t xml:space="preserve"> </w:t>
      </w:r>
      <w:r>
        <w:t xml:space="preserve">The RTF’s paired Day 0 measures operate in this Compact as Article 7: the complete pause on Interference with Commercial Vessels pairs with the complete pause on airstrikes within Iranian territory, neither preceding the other, each sustaining only in reciprocity with the other, each carrying early reversibility and permanent banking under the no-fade rule.</w:t>
      </w:r>
    </w:p>
    <w:p>
      <w:pPr>
        <w:pStyle w:val="BodyText"/>
      </w:pPr>
      <w:r>
        <w:rPr>
          <w:bCs/>
          <w:b/>
        </w:rPr>
        <w:t xml:space="preserve">H.4</w:t>
      </w:r>
      <w:r>
        <w:t xml:space="preserve"> </w:t>
      </w:r>
      <w:r>
        <w:t xml:space="preserve">The freeze disciplines of the RTF operate as follows in this Compact: the forward posture freeze of Section 7.3; the nuclear and sanctions status quo freeze of the June Memorandum track, under which the framework architecture freezes the nuclear-program status quo and excludes new sanctions and force strengthening; and the exercise notice discipline, under which the Islamic Republic of Iran and the United States of America each provide the Verification Authority seventy-two (72) hours advance notice of any live-fire military exercise within one hundred (100) nautical miles of the forces of the other, relayed within six (6) hours.</w:t>
      </w:r>
    </w:p>
    <w:p>
      <w:pPr>
        <w:pStyle w:val="BodyText"/>
      </w:pPr>
      <w:r>
        <w:rPr>
          <w:bCs/>
          <w:b/>
        </w:rPr>
        <w:t xml:space="preserve">H.5</w:t>
      </w:r>
      <w:r>
        <w:t xml:space="preserve"> </w:t>
      </w:r>
      <w:r>
        <w:t xml:space="preserve">Air de-confliction. Military aircraft of the Islamic Republic of Iran and the United States of America maintain a separation of at least twenty-five (25) nautical miles from the military aircraft of the other, operate with active transponders within the corridor airspace, and hold targeting-radar emissions silent during transit of the corridor airspace.</w:t>
      </w:r>
    </w:p>
    <w:bookmarkEnd w:id="113"/>
    <w:bookmarkStart w:id="114" w:name="h.3-reactivation-of-the-june-memorandum"/>
    <w:p>
      <w:pPr>
        <w:pStyle w:val="Heading2"/>
      </w:pPr>
      <w:r>
        <w:t xml:space="preserve">H.3 Reactivation of the June Memorandum</w:t>
      </w:r>
    </w:p>
    <w:p>
      <w:pPr>
        <w:pStyle w:val="FirstParagraph"/>
      </w:pPr>
      <w:r>
        <w:rPr>
          <w:bCs/>
          <w:b/>
        </w:rPr>
        <w:t xml:space="preserve">H.6</w:t>
      </w:r>
      <w:r>
        <w:t xml:space="preserve"> </w:t>
      </w:r>
      <w:r>
        <w:t xml:space="preserve">The signatories of the June Memorandum, the Islamic Republic of Iran and the United States of America, reactivate the fourteen-point instrument on Day 7 with all attendant rights and obligations: the sovereignty and mutual non-interference clauses operate as obligations of the June Memorandum track recognized by this Compact; the sixty (60) day final-agreement negotiation track resumes, extendable by mutual consent; and the technical teams convene through the Omani and Pakistani channels no later than Day 7.</w:t>
      </w:r>
    </w:p>
    <w:p>
      <w:pPr>
        <w:pStyle w:val="BodyText"/>
      </w:pPr>
      <w:r>
        <w:rPr>
          <w:bCs/>
          <w:b/>
        </w:rPr>
        <w:t xml:space="preserve">H.7</w:t>
      </w:r>
      <w:r>
        <w:t xml:space="preserve"> </w:t>
      </w:r>
      <w:r>
        <w:t xml:space="preserve">Negotiation architecture. The track follows a weekly session cadence alternating between Muscat and Geneva, with agendas fixed through the facilitator channel no later than forty-eight (48) hours before each session. Agenda discipline keeps each file in its own module: maritime, nuclear, economic, and regional files advance in parallel without cross-linkage, and a difficulty in one module does not suspend another.</w:t>
      </w:r>
    </w:p>
    <w:bookmarkEnd w:id="114"/>
    <w:bookmarkStart w:id="115" w:name="h.4-the-economic-track"/>
    <w:p>
      <w:pPr>
        <w:pStyle w:val="Heading2"/>
      </w:pPr>
      <w:r>
        <w:t xml:space="preserve">H.4 The Economic Track</w:t>
      </w:r>
    </w:p>
    <w:p>
      <w:pPr>
        <w:pStyle w:val="FirstParagraph"/>
      </w:pPr>
      <w:r>
        <w:rPr>
          <w:bCs/>
          <w:b/>
        </w:rPr>
        <w:t xml:space="preserve">H.8</w:t>
      </w:r>
      <w:r>
        <w:t xml:space="preserve"> </w:t>
      </w:r>
      <w:r>
        <w:t xml:space="preserve">The June Memorandum waiver framework for exports of Iranian crude oil, petrochemical products, and related services operates through the escrow architecture of Annex J, administered by the Qatar Central Bank as neutral agent, with transaction records mirrored on the Shared Digital Registry. The United States, as Security Assistance Provider, does not participate in the economic track of this Compact. The economic track operates on the authority of the June Memorandum and the escrow architecture, independently of United States participation in this Compact. The designated humanitarian sub-account funds medicines, food, and medical equipment with end-to-end traceability through the Swiss channel.</w:t>
      </w:r>
    </w:p>
    <w:p>
      <w:pPr>
        <w:pStyle w:val="BodyText"/>
      </w:pPr>
      <w:r>
        <w:rPr>
          <w:bCs/>
          <w:b/>
        </w:rPr>
        <w:t xml:space="preserve">H.9</w:t>
      </w:r>
      <w:r>
        <w:t xml:space="preserve"> </w:t>
      </w:r>
      <w:r>
        <w:t xml:space="preserve">Frozen and restricted assets. The technical track on the sequencing of frozen and restricted assets operates through the financial verification cell of Annex B and reports progress at each phase gate of Annex G, consistent with the June Memorandum’s provision for phased release of up to twenty-five (25) billion dollars in frozen Iranian assets against verified compliance milestones.</w:t>
      </w:r>
    </w:p>
    <w:p>
      <w:pPr>
        <w:pStyle w:val="BodyText"/>
      </w:pPr>
      <w:r>
        <w:rPr>
          <w:bCs/>
          <w:b/>
        </w:rPr>
        <w:t xml:space="preserve">H.10</w:t>
      </w:r>
      <w:r>
        <w:t xml:space="preserve"> </w:t>
      </w:r>
      <w:r>
        <w:t xml:space="preserve">The framework architecture attaches no obligation, express or implied, for Iran to purchase goods or services from the United States or from any particular country, entity, or commercial channel. Iran retains the full sovereign right to procure from any country of its choosing, and neither Party, no council of this Compact, and no escrow agent holds approval authority over Iranian procurement decisions.</w:t>
      </w:r>
    </w:p>
    <w:bookmarkEnd w:id="115"/>
    <w:bookmarkStart w:id="116" w:name="Xe38044c5eee4ef4b94289dc80ac458b06158614"/>
    <w:p>
      <w:pPr>
        <w:pStyle w:val="Heading2"/>
      </w:pPr>
      <w:r>
        <w:t xml:space="preserve">H.5 The Nuclear Track (Incorporated Disposition Roadmap)</w:t>
      </w:r>
    </w:p>
    <w:p>
      <w:pPr>
        <w:pStyle w:val="FirstParagraph"/>
      </w:pPr>
      <w:r>
        <w:rPr>
          <w:bCs/>
          <w:b/>
        </w:rPr>
        <w:t xml:space="preserve">H.11</w:t>
      </w:r>
      <w:r>
        <w:t xml:space="preserve"> </w:t>
      </w:r>
      <w:r>
        <w:t xml:space="preserve">The nuclear disposition roadmap of the RTF operates in this Compact on the accelerated readiness schedule of Annex G, with the International Atomic Energy Agency exercising verification authority. The United States actions stated in this Section execute on the authority of the June Memorandum track, consistent with Section H.2a. The phases execute as follows: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Phase</w:t>
            </w:r>
          </w:p>
        </w:tc>
        <w:tc>
          <w:tcPr>
            <w:shd w:val="clear" w:color="auto" w:fill="D9E2EC"/>
          </w:tcPr>
          <w:p>
            <w:pPr>
              <w:pStyle w:val="Compact"/>
              <w:jc w:val="left"/>
            </w:pPr>
            <w:r>
              <w:rPr>
                <w:bCs/>
                <w:b/>
              </w:rPr>
              <w:t xml:space="preserve">Iranian Action</w:t>
            </w:r>
          </w:p>
        </w:tc>
        <w:tc>
          <w:tcPr>
            <w:shd w:val="clear" w:color="auto" w:fill="D9E2EC"/>
          </w:tcPr>
          <w:p>
            <w:pPr>
              <w:pStyle w:val="Compact"/>
              <w:jc w:val="left"/>
            </w:pPr>
            <w:r>
              <w:rPr>
                <w:bCs/>
                <w:b/>
              </w:rPr>
              <w:t xml:space="preserve">United States Action</w:t>
            </w:r>
          </w:p>
        </w:tc>
        <w:tc>
          <w:tcPr>
            <w:shd w:val="clear" w:color="auto" w:fill="D9E2EC"/>
          </w:tcPr>
          <w:p>
            <w:pPr>
              <w:pStyle w:val="Compact"/>
              <w:jc w:val="left"/>
            </w:pPr>
            <w:r>
              <w:rPr>
                <w:bCs/>
                <w:b/>
              </w:rPr>
              <w:t xml:space="preserve">IAEA Verification</w:t>
            </w:r>
          </w:p>
        </w:tc>
      </w:tr>
      <w:tr>
        <w:tc>
          <w:tcPr/>
          <w:p>
            <w:pPr>
              <w:pStyle w:val="Compact"/>
              <w:jc w:val="left"/>
            </w:pPr>
            <w:r>
              <w:t xml:space="preserve">Phase 1: Transparency Trial (from certified readiness, target Day 45)</w:t>
            </w:r>
          </w:p>
        </w:tc>
        <w:tc>
          <w:tcPr/>
          <w:p>
            <w:pPr>
              <w:pStyle w:val="Compact"/>
              <w:jc w:val="left"/>
            </w:pPr>
            <w:r>
              <w:t xml:space="preserve">Grants IAEA installation of continuous monitoring cameras at two enrichment facilities</w:t>
            </w:r>
          </w:p>
        </w:tc>
        <w:tc>
          <w:tcPr/>
          <w:p>
            <w:pPr>
              <w:pStyle w:val="Compact"/>
              <w:jc w:val="left"/>
            </w:pPr>
            <w:r>
              <w:t xml:space="preserve">Receives the live feed through the Shared Digital Registry</w:t>
            </w:r>
          </w:p>
        </w:tc>
        <w:tc>
          <w:tcPr/>
          <w:p>
            <w:pPr>
              <w:pStyle w:val="Compact"/>
              <w:jc w:val="left"/>
            </w:pPr>
            <w:r>
              <w:t xml:space="preserve">Data housed in Vienna; feed mirrored in real time; IAEA certifies clean telemetry</w:t>
            </w:r>
          </w:p>
        </w:tc>
      </w:tr>
      <w:tr>
        <w:tc>
          <w:tcPr/>
          <w:p>
            <w:pPr>
              <w:pStyle w:val="Compact"/>
              <w:jc w:val="left"/>
            </w:pPr>
            <w:r>
              <w:t xml:space="preserve">Phase 2: Down-blend (target Days 90 to 180)</w:t>
            </w:r>
          </w:p>
        </w:tc>
        <w:tc>
          <w:tcPr/>
          <w:p>
            <w:pPr>
              <w:pStyle w:val="Compact"/>
              <w:jc w:val="left"/>
            </w:pPr>
            <w:r>
              <w:t xml:space="preserve">Down-blends fifty (50) percent of the sixty (60) percent stockpile to no more than 19.75 percent U-235</w:t>
            </w:r>
          </w:p>
        </w:tc>
        <w:tc>
          <w:tcPr/>
          <w:p>
            <w:pPr>
              <w:pStyle w:val="Compact"/>
              <w:jc w:val="left"/>
            </w:pPr>
            <w:r>
              <w:t xml:space="preserve">Sustains the oil waiver and escrow architecture of Annex J</w:t>
            </w:r>
          </w:p>
        </w:tc>
        <w:tc>
          <w:tcPr/>
          <w:p>
            <w:pPr>
              <w:pStyle w:val="Compact"/>
              <w:jc w:val="left"/>
            </w:pPr>
            <w:r>
              <w:t xml:space="preserve">Continuous cameras, mass spectrometry, seventy-two (72) hour isotopic sampling</w:t>
            </w:r>
          </w:p>
        </w:tc>
      </w:tr>
      <w:tr>
        <w:tc>
          <w:tcPr/>
          <w:p>
            <w:pPr>
              <w:pStyle w:val="Compact"/>
              <w:jc w:val="left"/>
            </w:pPr>
            <w:r>
              <w:t xml:space="preserve">Phase 3: Joint Seals (concurrent with Phase 2)</w:t>
            </w:r>
          </w:p>
        </w:tc>
        <w:tc>
          <w:tcPr/>
          <w:p>
            <w:pPr>
              <w:pStyle w:val="Compact"/>
              <w:jc w:val="left"/>
            </w:pPr>
            <w:r>
              <w:t xml:space="preserve">Consolidates the remaining fifty (50) percent into a sealed Natanz storage area; mixed seal teams apply and replace seals at each phase boundary</w:t>
            </w:r>
          </w:p>
        </w:tc>
        <w:tc>
          <w:tcPr/>
          <w:p>
            <w:pPr>
              <w:pStyle w:val="Compact"/>
              <w:jc w:val="left"/>
            </w:pPr>
            <w:r>
              <w:t xml:space="preserve">Participates in roster consultations through the IAEA Director General</w:t>
            </w:r>
          </w:p>
        </w:tc>
        <w:tc>
          <w:tcPr/>
          <w:p>
            <w:pPr>
              <w:pStyle w:val="Compact"/>
              <w:jc w:val="left"/>
            </w:pPr>
            <w:r>
              <w:t xml:space="preserve">Seal recertification at every phase boundary; registry publication</w:t>
            </w:r>
          </w:p>
        </w:tc>
      </w:tr>
      <w:tr>
        <w:tc>
          <w:tcPr/>
          <w:p>
            <w:pPr>
              <w:pStyle w:val="Compact"/>
              <w:jc w:val="left"/>
            </w:pPr>
            <w:r>
              <w:t xml:space="preserve">Phase 4: Baseline Transfer (from Day 180)</w:t>
            </w:r>
          </w:p>
        </w:tc>
        <w:tc>
          <w:tcPr/>
          <w:p>
            <w:pPr>
              <w:pStyle w:val="Compact"/>
              <w:jc w:val="left"/>
            </w:pPr>
            <w:r>
              <w:t xml:space="preserve">Delivers twelve (12) months of centrifuge performance logs through the IAEA</w:t>
            </w:r>
          </w:p>
        </w:tc>
        <w:tc>
          <w:tcPr/>
          <w:p>
            <w:pPr>
              <w:pStyle w:val="Compact"/>
              <w:jc w:val="left"/>
            </w:pPr>
            <w:r>
              <w:t xml:space="preserve">Receives the logs through the IAEA, not bilaterally</w:t>
            </w:r>
          </w:p>
        </w:tc>
        <w:tc>
          <w:tcPr/>
          <w:p>
            <w:pPr>
              <w:pStyle w:val="Compact"/>
              <w:jc w:val="left"/>
            </w:pPr>
            <w:r>
              <w:t xml:space="preserve">IAEA chain-of-custody documentation</w:t>
            </w:r>
          </w:p>
        </w:tc>
      </w:tr>
    </w:tbl>
    <w:p>
      <w:pPr>
        <w:pStyle w:val="BodyText"/>
      </w:pPr>
      <w:r>
        <w:rPr>
          <w:bCs/>
          <w:b/>
        </w:rPr>
        <w:t xml:space="preserve">H.12</w:t>
      </w:r>
      <w:r>
        <w:t xml:space="preserve"> </w:t>
      </w:r>
      <w:r>
        <w:t xml:space="preserve">Technical definitions. Highly enriched uranium: uranium enriched to twenty (20) percent U-235 or above, in any chemical form. Down-blend: the verified reduction of enrichment level to no more than 19.75 percent U-235, certified by mass spectrometry. Joint seal: a tamper-evident seal applied and replaced by mixed IAEA and Iranian teams, with no unilateral access by either Party. The working baseline figure stands at approximately 440 kilograms at sixty (60) percent U-235, per the most recent IAEA reporting, subject to update by the IAEA Technical Cell without amendment to this annex.</w:t>
      </w:r>
    </w:p>
    <w:p>
      <w:pPr>
        <w:pStyle w:val="BodyText"/>
      </w:pPr>
      <w:r>
        <w:rPr>
          <w:bCs/>
          <w:b/>
        </w:rPr>
        <w:t xml:space="preserve">H.13</w:t>
      </w:r>
      <w:r>
        <w:t xml:space="preserve"> </w:t>
      </w:r>
      <w:r>
        <w:t xml:space="preserve">Sovereignty safeguards. All nuclear material remains on Iranian territory under Iranian legal title at all times. The material never enters United States custody and never leaves Iranian soil. The IAEA holds the monitoring role; the seal teams hold the physical control role; neither Party holds unilateral access. Experts on seal teams wear IAEA vests and report to Vienna first.</w:t>
      </w:r>
    </w:p>
    <w:p>
      <w:pPr>
        <w:pStyle w:val="BodyText"/>
      </w:pPr>
      <w:r>
        <w:rPr>
          <w:bCs/>
          <w:b/>
        </w:rPr>
        <w:t xml:space="preserve">H.14</w:t>
      </w:r>
      <w:r>
        <w:t xml:space="preserve"> </w:t>
      </w:r>
      <w:r>
        <w:t xml:space="preserve">Rolling condition. The seal arrangement operates as a rolling condition, not a final surrender. At each phase boundary, mixed teams recertify the seals and the Shared Digital Registry publishes the recertification. Access follows continuation; exit follows exit. Verified reductions of the stockpile never reverse, and down-blended material stays down-blended under every scenario, including withdrawal, under the humanitarian firewall of Article 16.</w:t>
      </w:r>
    </w:p>
    <w:bookmarkEnd w:id="116"/>
    <w:bookmarkStart w:id="117" w:name="h.6-regional-de-confliction-incorporated"/>
    <w:p>
      <w:pPr>
        <w:pStyle w:val="Heading2"/>
      </w:pPr>
      <w:r>
        <w:t xml:space="preserve">H.6 Regional De-confliction (Incorporated)</w:t>
      </w:r>
    </w:p>
    <w:p>
      <w:pPr>
        <w:pStyle w:val="FirstParagraph"/>
      </w:pPr>
      <w:r>
        <w:rPr>
          <w:bCs/>
          <w:b/>
        </w:rPr>
        <w:t xml:space="preserve">H.15</w:t>
      </w:r>
      <w:r>
        <w:t xml:space="preserve"> </w:t>
      </w:r>
      <w:r>
        <w:t xml:space="preserve">Under the June Memorandum track recognized by this Compact, the United States maintains a reduced operational posture at its regional bases consistent with the RTF baseline of June 17, 2026, covering personnel numbers, combat sortie rates, and pre-positioned strike munitions. The Verification Authority holds the baseline data under seal and audits posture quarterly. The framework architecture excludes targeting, surveillance, and hostile approach directed at those bases. Carrier group transits of the Strait proceed under the warship transit regime of Section 6.5 and Annex A.</w:t>
      </w:r>
    </w:p>
    <w:bookmarkEnd w:id="117"/>
    <w:bookmarkStart w:id="118" w:name="h.7-reconstruction-interface"/>
    <w:p>
      <w:pPr>
        <w:pStyle w:val="Heading2"/>
      </w:pPr>
      <w:r>
        <w:t xml:space="preserve">H.7 Reconstruction Interface</w:t>
      </w:r>
    </w:p>
    <w:p>
      <w:pPr>
        <w:pStyle w:val="FirstParagraph"/>
      </w:pPr>
      <w:r>
        <w:rPr>
          <w:bCs/>
          <w:b/>
        </w:rPr>
        <w:t xml:space="preserve">H.16</w:t>
      </w:r>
      <w:r>
        <w:t xml:space="preserve"> </w:t>
      </w:r>
      <w:r>
        <w:t xml:space="preserve">The Multilateral Reconstruction Fund of the RTF operates as incorporated by reference: seven sector sub-funds toward the ten-year capitalization horizon, Iranian sovereign project selection, neutral escrow at the Qatar Central Bank with World Bank technical fiduciary administration, performance-based disbursement, the absolute no-clawback rule, the sovereign procurement protection, and the political risk insurance and convertibility facilities. United States participation proceeds exclusively through technical assistance, capacity building, regulatory facilitation, and the in-kind contribution window; the framework architecture excludes direct United States government cash contributions. The Transit Services Fund seed of Annex J draws from the Fund’s economic development window as a strait-stability investment.</w:t>
      </w:r>
    </w:p>
    <w:bookmarkEnd w:id="118"/>
    <w:bookmarkEnd w:id="119"/>
    <w:bookmarkStart w:id="128" w:name="Xe6b5d34dcae3baf082ea5d6d0c6b5fca825723b"/>
    <w:p>
      <w:pPr>
        <w:pStyle w:val="Heading1"/>
      </w:pPr>
      <w:r>
        <w:t xml:space="preserve">Annex I. Hotline, Communications, and Escalation Protocol</w:t>
      </w:r>
    </w:p>
    <w:p>
      <w:pPr>
        <w:pStyle w:val="FirstParagraph"/>
      </w:pPr>
      <w:r>
        <w:t xml:space="preserve">Operative Annex for Articles 3 and 12. This annex states the hotline architecture, contact points, staffing, security procedures, response-time standards, incident reporting forms, the five-level escalation ladder, and the Red Line Consultation procedure.</w:t>
      </w:r>
    </w:p>
    <w:bookmarkStart w:id="120" w:name="i.1-hotline-architecture"/>
    <w:p>
      <w:pPr>
        <w:pStyle w:val="Heading2"/>
      </w:pPr>
      <w:r>
        <w:t xml:space="preserve">I.1 Hotline Architecture</w:t>
      </w:r>
    </w:p>
    <w:p>
      <w:pPr>
        <w:pStyle w:val="FirstParagraph"/>
      </w:pPr>
      <w:r>
        <w:rPr>
          <w:bCs/>
          <w:b/>
        </w:rPr>
        <w:t xml:space="preserve">I.1</w:t>
      </w:r>
      <w:r>
        <w:t xml:space="preserve"> </w:t>
      </w:r>
      <w:r>
        <w:t xml:space="preserve">The hotline operates under the management of the Verification Authority and runs continuously, twenty-four hours a day, seven days a week, every day of the year.</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Channel</w:t>
            </w:r>
          </w:p>
        </w:tc>
        <w:tc>
          <w:tcPr>
            <w:shd w:val="clear" w:color="auto" w:fill="D9E2EC"/>
          </w:tcPr>
          <w:p>
            <w:pPr>
              <w:pStyle w:val="Compact"/>
              <w:jc w:val="left"/>
            </w:pPr>
            <w:r>
              <w:rPr>
                <w:bCs/>
                <w:b/>
              </w:rPr>
              <w:t xml:space="preserve">Description</w:t>
            </w:r>
          </w:p>
        </w:tc>
        <w:tc>
          <w:tcPr>
            <w:shd w:val="clear" w:color="auto" w:fill="D9E2EC"/>
          </w:tcPr>
          <w:p>
            <w:pPr>
              <w:pStyle w:val="Compact"/>
              <w:jc w:val="left"/>
            </w:pPr>
            <w:r>
              <w:rPr>
                <w:bCs/>
                <w:b/>
              </w:rPr>
              <w:t xml:space="preserve">Role</w:t>
            </w:r>
          </w:p>
        </w:tc>
      </w:tr>
      <w:tr>
        <w:tc>
          <w:tcPr/>
          <w:p>
            <w:pPr>
              <w:pStyle w:val="Compact"/>
              <w:jc w:val="left"/>
            </w:pPr>
            <w:r>
              <w:t xml:space="preserve">Primary channel</w:t>
            </w:r>
          </w:p>
        </w:tc>
        <w:tc>
          <w:tcPr/>
          <w:p>
            <w:pPr>
              <w:pStyle w:val="Compact"/>
              <w:jc w:val="left"/>
            </w:pPr>
            <w:r>
              <w:t xml:space="preserve">Secure satellite link with voice and text capability</w:t>
            </w:r>
          </w:p>
        </w:tc>
        <w:tc>
          <w:tcPr/>
          <w:p>
            <w:pPr>
              <w:pStyle w:val="Compact"/>
              <w:jc w:val="left"/>
            </w:pPr>
            <w:r>
              <w:t xml:space="preserve">Routine and urgent traffic</w:t>
            </w:r>
          </w:p>
        </w:tc>
      </w:tr>
      <w:tr>
        <w:tc>
          <w:tcPr/>
          <w:p>
            <w:pPr>
              <w:pStyle w:val="Compact"/>
              <w:jc w:val="left"/>
            </w:pPr>
            <w:r>
              <w:t xml:space="preserve">Backup channel</w:t>
            </w:r>
          </w:p>
        </w:tc>
        <w:tc>
          <w:tcPr/>
          <w:p>
            <w:pPr>
              <w:pStyle w:val="Compact"/>
              <w:jc w:val="left"/>
            </w:pPr>
            <w:r>
              <w:t xml:space="preserve">Encrypted diplomatic cable through the Swiss channel</w:t>
            </w:r>
          </w:p>
        </w:tc>
        <w:tc>
          <w:tcPr/>
          <w:p>
            <w:pPr>
              <w:pStyle w:val="Compact"/>
              <w:jc w:val="left"/>
            </w:pPr>
            <w:r>
              <w:t xml:space="preserve">Failover and escalation traffic</w:t>
            </w:r>
          </w:p>
        </w:tc>
      </w:tr>
      <w:tr>
        <w:tc>
          <w:tcPr/>
          <w:p>
            <w:pPr>
              <w:pStyle w:val="Compact"/>
              <w:jc w:val="left"/>
            </w:pPr>
            <w:r>
              <w:t xml:space="preserve">Military channel</w:t>
            </w:r>
          </w:p>
        </w:tc>
        <w:tc>
          <w:tcPr/>
          <w:p>
            <w:pPr>
              <w:pStyle w:val="Compact"/>
              <w:jc w:val="left"/>
            </w:pPr>
            <w:r>
              <w:t xml:space="preserve">Dedicated de-confliction link for Class 7 movement notices and exercise notices</w:t>
            </w:r>
          </w:p>
        </w:tc>
        <w:tc>
          <w:tcPr/>
          <w:p>
            <w:pPr>
              <w:pStyle w:val="Compact"/>
              <w:jc w:val="left"/>
            </w:pPr>
            <w:r>
              <w:t xml:space="preserve">Ninety-six (96) hour notices, seventy-two (72) hour exercise notices</w:t>
            </w:r>
          </w:p>
        </w:tc>
      </w:tr>
      <w:tr>
        <w:tc>
          <w:tcPr/>
          <w:p>
            <w:pPr>
              <w:pStyle w:val="Compact"/>
              <w:jc w:val="left"/>
            </w:pPr>
            <w:r>
              <w:t xml:space="preserve">Leader channel</w:t>
            </w:r>
          </w:p>
        </w:tc>
        <w:tc>
          <w:tcPr/>
          <w:p>
            <w:pPr>
              <w:pStyle w:val="Compact"/>
              <w:jc w:val="left"/>
            </w:pPr>
            <w:r>
              <w:t xml:space="preserve">Standing leader-to-leader path through the Mediator of Record</w:t>
            </w:r>
          </w:p>
        </w:tc>
        <w:tc>
          <w:tcPr/>
          <w:p>
            <w:pPr>
              <w:pStyle w:val="Compact"/>
              <w:jc w:val="left"/>
            </w:pPr>
            <w:r>
              <w:t xml:space="preserve">Red Line Consultations; tested contact paths within one (1) hour at all times</w:t>
            </w:r>
          </w:p>
        </w:tc>
      </w:tr>
    </w:tbl>
    <w:bookmarkEnd w:id="120"/>
    <w:bookmarkStart w:id="121" w:name="i.2-contact-points"/>
    <w:p>
      <w:pPr>
        <w:pStyle w:val="Heading2"/>
      </w:pPr>
      <w:r>
        <w:t xml:space="preserve">I.2 Contact Points</w:t>
      </w:r>
    </w:p>
    <w:p>
      <w:pPr>
        <w:pStyle w:val="FirstParagraph"/>
      </w:pPr>
      <w:r>
        <w:rPr>
          <w:bCs/>
          <w:b/>
        </w:rPr>
        <w:t xml:space="preserve">I.2</w:t>
      </w:r>
      <w:r>
        <w:t xml:space="preserve"> </w:t>
      </w:r>
      <w:r>
        <w:t xml:space="preserve">Each Principal Party designates a Primary Crisis Contact, a Secondary Crisis Contact, and a Technical Contact, and each Tier II Member designates a Technical Contact. The United States, as Security Assistance Provider, designates a Security Assistance Liaison for coordination of requested assistance, reachable through the hotline on the same response standards as any Technical Contact. Rosters transmit to the Verification Authority under separate cover within twenty-four (24) hours of Day 0 and update immediately upon any change. The Verification Authority tests primary contacts monthly; three consecutive failed tests log as a Tier 2 event under Annex B. The daily channel test runs at 06:00 UTC.</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Role</w:t>
            </w:r>
          </w:p>
        </w:tc>
        <w:tc>
          <w:tcPr>
            <w:shd w:val="clear" w:color="auto" w:fill="D9E2EC"/>
          </w:tcPr>
          <w:p>
            <w:pPr>
              <w:pStyle w:val="Compact"/>
              <w:jc w:val="left"/>
            </w:pPr>
            <w:r>
              <w:rPr>
                <w:bCs/>
                <w:b/>
              </w:rPr>
              <w:t xml:space="preserve">Function</w:t>
            </w:r>
          </w:p>
        </w:tc>
        <w:tc>
          <w:tcPr>
            <w:shd w:val="clear" w:color="auto" w:fill="D9E2EC"/>
          </w:tcPr>
          <w:p>
            <w:pPr>
              <w:pStyle w:val="Compact"/>
              <w:jc w:val="left"/>
            </w:pPr>
            <w:r>
              <w:rPr>
                <w:bCs/>
                <w:b/>
              </w:rPr>
              <w:t xml:space="preserve">Availability</w:t>
            </w:r>
          </w:p>
        </w:tc>
      </w:tr>
      <w:tr>
        <w:tc>
          <w:tcPr/>
          <w:p>
            <w:pPr>
              <w:pStyle w:val="Compact"/>
              <w:jc w:val="left"/>
            </w:pPr>
            <w:r>
              <w:t xml:space="preserve">Primary Crisis Contact</w:t>
            </w:r>
          </w:p>
        </w:tc>
        <w:tc>
          <w:tcPr/>
          <w:p>
            <w:pPr>
              <w:pStyle w:val="Compact"/>
              <w:jc w:val="left"/>
            </w:pPr>
            <w:r>
              <w:t xml:space="preserve">First point of contact for any Incident; holds authority to engage Level 1 clarification</w:t>
            </w:r>
          </w:p>
        </w:tc>
        <w:tc>
          <w:tcPr/>
          <w:p>
            <w:pPr>
              <w:pStyle w:val="Compact"/>
              <w:jc w:val="left"/>
            </w:pPr>
            <w:r>
              <w:t xml:space="preserve">Continuous</w:t>
            </w:r>
          </w:p>
        </w:tc>
      </w:tr>
      <w:tr>
        <w:tc>
          <w:tcPr/>
          <w:p>
            <w:pPr>
              <w:pStyle w:val="Compact"/>
              <w:jc w:val="left"/>
            </w:pPr>
            <w:r>
              <w:t xml:space="preserve">Secondary Crisis Contact</w:t>
            </w:r>
          </w:p>
        </w:tc>
        <w:tc>
          <w:tcPr/>
          <w:p>
            <w:pPr>
              <w:pStyle w:val="Compact"/>
              <w:jc w:val="left"/>
            </w:pPr>
            <w:r>
              <w:t xml:space="preserve">Automatic failover after thirty (30) minutes of non-answer at the primary</w:t>
            </w:r>
          </w:p>
        </w:tc>
        <w:tc>
          <w:tcPr/>
          <w:p>
            <w:pPr>
              <w:pStyle w:val="Compact"/>
              <w:jc w:val="left"/>
            </w:pPr>
            <w:r>
              <w:t xml:space="preserve">Continuous</w:t>
            </w:r>
          </w:p>
        </w:tc>
      </w:tr>
      <w:tr>
        <w:tc>
          <w:tcPr/>
          <w:p>
            <w:pPr>
              <w:pStyle w:val="Compact"/>
              <w:jc w:val="left"/>
            </w:pPr>
            <w:r>
              <w:t xml:space="preserve">Technical Contact</w:t>
            </w:r>
          </w:p>
        </w:tc>
        <w:tc>
          <w:tcPr/>
          <w:p>
            <w:pPr>
              <w:pStyle w:val="Compact"/>
              <w:jc w:val="left"/>
            </w:pPr>
            <w:r>
              <w:t xml:space="preserve">Handles evidence packages, form processing, and Annex B telemetry questions</w:t>
            </w:r>
          </w:p>
        </w:tc>
        <w:tc>
          <w:tcPr/>
          <w:p>
            <w:pPr>
              <w:pStyle w:val="Compact"/>
              <w:jc w:val="left"/>
            </w:pPr>
            <w:r>
              <w:t xml:space="preserve">Continuous</w:t>
            </w:r>
          </w:p>
        </w:tc>
      </w:tr>
    </w:tbl>
    <w:bookmarkEnd w:id="121"/>
    <w:bookmarkStart w:id="122" w:name="i.3-staffing"/>
    <w:p>
      <w:pPr>
        <w:pStyle w:val="Heading2"/>
      </w:pPr>
      <w:r>
        <w:t xml:space="preserve">I.3 Staffing</w:t>
      </w:r>
    </w:p>
    <w:p>
      <w:pPr>
        <w:pStyle w:val="FirstParagraph"/>
      </w:pPr>
      <w:r>
        <w:rPr>
          <w:bCs/>
          <w:b/>
        </w:rPr>
        <w:t xml:space="preserve">•</w:t>
      </w:r>
      <w:r>
        <w:t xml:space="preserve"> </w:t>
      </w:r>
      <w:r>
        <w:t xml:space="preserve">Omani hotline operators staff the center in continuous rotation, trained in English and Persian.</w:t>
      </w:r>
    </w:p>
    <w:p>
      <w:pPr>
        <w:pStyle w:val="BodyText"/>
      </w:pPr>
      <w:r>
        <w:rPr>
          <w:bCs/>
          <w:b/>
        </w:rPr>
        <w:t xml:space="preserve">•</w:t>
      </w:r>
      <w:r>
        <w:t xml:space="preserve"> </w:t>
      </w:r>
      <w:r>
        <w:t xml:space="preserve">Iranian, Omani, and Security Assistance Provider liaison officers maintain presence at the Omani hotline center in Muscat, in separate rooms, with no direct interaction; all communication passes through the Omani operators.</w:t>
      </w:r>
    </w:p>
    <w:p>
      <w:pPr>
        <w:pStyle w:val="BodyText"/>
      </w:pPr>
      <w:r>
        <w:rPr>
          <w:bCs/>
          <w:b/>
        </w:rPr>
        <w:t xml:space="preserve">•</w:t>
      </w:r>
      <w:r>
        <w:t xml:space="preserve"> </w:t>
      </w:r>
      <w:r>
        <w:t xml:space="preserve">Tier II liaison officers join the center upon accession under the same separation discipline.</w:t>
      </w:r>
    </w:p>
    <w:p>
      <w:pPr>
        <w:pStyle w:val="BodyText"/>
      </w:pPr>
      <w:r>
        <w:rPr>
          <w:bCs/>
          <w:b/>
        </w:rPr>
        <w:t xml:space="preserve">•</w:t>
      </w:r>
      <w:r>
        <w:t xml:space="preserve"> </w:t>
      </w:r>
      <w:r>
        <w:t xml:space="preserve">Swiss backup operators stand available for escalation through the backup channel.</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Shift</w:t>
            </w:r>
          </w:p>
        </w:tc>
        <w:tc>
          <w:tcPr>
            <w:shd w:val="clear" w:color="auto" w:fill="D9E2EC"/>
          </w:tcPr>
          <w:p>
            <w:pPr>
              <w:pStyle w:val="Compact"/>
              <w:jc w:val="left"/>
            </w:pPr>
            <w:r>
              <w:rPr>
                <w:bCs/>
                <w:b/>
              </w:rPr>
              <w:t xml:space="preserve">Staffing</w:t>
            </w:r>
          </w:p>
        </w:tc>
        <w:tc>
          <w:tcPr>
            <w:shd w:val="clear" w:color="auto" w:fill="D9E2EC"/>
          </w:tcPr>
          <w:p>
            <w:pPr>
              <w:pStyle w:val="Compact"/>
              <w:jc w:val="left"/>
            </w:pPr>
            <w:r>
              <w:rPr>
                <w:bCs/>
                <w:b/>
              </w:rPr>
              <w:t xml:space="preserve">Coverage</w:t>
            </w:r>
          </w:p>
        </w:tc>
      </w:tr>
      <w:tr>
        <w:tc>
          <w:tcPr/>
          <w:p>
            <w:pPr>
              <w:pStyle w:val="Compact"/>
              <w:jc w:val="left"/>
            </w:pPr>
            <w:r>
              <w:t xml:space="preserve">Day shift</w:t>
            </w:r>
          </w:p>
        </w:tc>
        <w:tc>
          <w:tcPr/>
          <w:p>
            <w:pPr>
              <w:pStyle w:val="Compact"/>
              <w:jc w:val="left"/>
            </w:pPr>
            <w:r>
              <w:t xml:space="preserve">Two Omani operators, one liaison officer per Principal Party</w:t>
            </w:r>
          </w:p>
        </w:tc>
        <w:tc>
          <w:tcPr/>
          <w:p>
            <w:pPr>
              <w:pStyle w:val="Compact"/>
              <w:jc w:val="left"/>
            </w:pPr>
            <w:r>
              <w:t xml:space="preserve">08:00 to 20:00 Gulf Standard Time</w:t>
            </w:r>
          </w:p>
        </w:tc>
      </w:tr>
      <w:tr>
        <w:tc>
          <w:tcPr/>
          <w:p>
            <w:pPr>
              <w:pStyle w:val="Compact"/>
              <w:jc w:val="left"/>
            </w:pPr>
            <w:r>
              <w:t xml:space="preserve">Night shift</w:t>
            </w:r>
          </w:p>
        </w:tc>
        <w:tc>
          <w:tcPr/>
          <w:p>
            <w:pPr>
              <w:pStyle w:val="Compact"/>
              <w:jc w:val="left"/>
            </w:pPr>
            <w:r>
              <w:t xml:space="preserve">Two Omani operators, on-call liaison officers</w:t>
            </w:r>
          </w:p>
        </w:tc>
        <w:tc>
          <w:tcPr/>
          <w:p>
            <w:pPr>
              <w:pStyle w:val="Compact"/>
              <w:jc w:val="left"/>
            </w:pPr>
            <w:r>
              <w:t xml:space="preserve">20:00 to 08:00 Gulf Standard Time</w:t>
            </w:r>
          </w:p>
        </w:tc>
      </w:tr>
      <w:tr>
        <w:tc>
          <w:tcPr/>
          <w:p>
            <w:pPr>
              <w:pStyle w:val="Compact"/>
              <w:jc w:val="left"/>
            </w:pPr>
            <w:r>
              <w:t xml:space="preserve">Surge</w:t>
            </w:r>
          </w:p>
        </w:tc>
        <w:tc>
          <w:tcPr/>
          <w:p>
            <w:pPr>
              <w:pStyle w:val="Compact"/>
              <w:jc w:val="left"/>
            </w:pPr>
            <w:r>
              <w:t xml:space="preserve">Full staffing within sixty (60) minutes of any Level 2 or higher activation</w:t>
            </w:r>
          </w:p>
        </w:tc>
        <w:tc>
          <w:tcPr/>
          <w:p>
            <w:pPr>
              <w:pStyle w:val="Compact"/>
              <w:jc w:val="left"/>
            </w:pPr>
            <w:r>
              <w:t xml:space="preserve">Event-driven</w:t>
            </w:r>
          </w:p>
        </w:tc>
      </w:tr>
    </w:tbl>
    <w:bookmarkEnd w:id="122"/>
    <w:bookmarkStart w:id="123" w:name="i.4-security-procedures"/>
    <w:p>
      <w:pPr>
        <w:pStyle w:val="Heading2"/>
      </w:pPr>
      <w:r>
        <w:t xml:space="preserve">I.4 Security Procedures</w:t>
      </w:r>
    </w:p>
    <w:p>
      <w:pPr>
        <w:pStyle w:val="FirstParagraph"/>
      </w:pPr>
      <w:r>
        <w:rPr>
          <w:bCs/>
          <w:b/>
        </w:rPr>
        <w:t xml:space="preserve">•</w:t>
      </w:r>
      <w:r>
        <w:t xml:space="preserve"> </w:t>
      </w:r>
      <w:r>
        <w:t xml:space="preserve">End-to-end encryption protects every voice and text transmission on all channels.</w:t>
      </w:r>
    </w:p>
    <w:p>
      <w:pPr>
        <w:pStyle w:val="BodyText"/>
      </w:pPr>
      <w:r>
        <w:rPr>
          <w:bCs/>
          <w:b/>
        </w:rPr>
        <w:t xml:space="preserve">•</w:t>
      </w:r>
      <w:r>
        <w:t xml:space="preserve"> </w:t>
      </w:r>
      <w:r>
        <w:t xml:space="preserve">Authentication protocol: each Party provides a daily code word through the facilitator channel, and operators authenticate every session against it.</w:t>
      </w:r>
    </w:p>
    <w:p>
      <w:pPr>
        <w:pStyle w:val="BodyText"/>
      </w:pPr>
      <w:r>
        <w:rPr>
          <w:bCs/>
          <w:b/>
        </w:rPr>
        <w:t xml:space="preserve">•</w:t>
      </w:r>
      <w:r>
        <w:t xml:space="preserve"> </w:t>
      </w:r>
      <w:r>
        <w:t xml:space="preserve">No recording of sensitive conversations takes place unless both Principal Parties consent in writing in advance.</w:t>
      </w:r>
    </w:p>
    <w:p>
      <w:pPr>
        <w:pStyle w:val="BodyText"/>
      </w:pPr>
      <w:r>
        <w:rPr>
          <w:bCs/>
          <w:b/>
        </w:rPr>
        <w:t xml:space="preserve">•</w:t>
      </w:r>
      <w:r>
        <w:t xml:space="preserve"> </w:t>
      </w:r>
      <w:r>
        <w:t xml:space="preserve">Operator logs record session times, parties, and authentication outcomes, never content, and post to the Shared Digital Registry daily.</w:t>
      </w:r>
    </w:p>
    <w:bookmarkEnd w:id="123"/>
    <w:bookmarkStart w:id="124" w:name="i.5-response-time-standards"/>
    <w:p>
      <w:pPr>
        <w:pStyle w:val="Heading2"/>
      </w:pPr>
      <w:r>
        <w:t xml:space="preserve">I.5 Response-Time Standards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3960"/>
        <w:gridCol w:w="3960"/>
      </w:tblGrid>
      <w:tr>
        <w:trPr>
          <w:tblHeader w:val="true"/>
        </w:trPr>
        <w:tc>
          <w:tcPr>
            <w:shd w:val="clear" w:color="auto" w:fill="D9E2EC"/>
          </w:tcPr>
          <w:p>
            <w:pPr>
              <w:pStyle w:val="Compact"/>
              <w:jc w:val="left"/>
            </w:pPr>
            <w:r>
              <w:rPr>
                <w:bCs/>
                <w:b/>
              </w:rPr>
              <w:t xml:space="preserve">Action</w:t>
            </w:r>
          </w:p>
        </w:tc>
        <w:tc>
          <w:tcPr>
            <w:shd w:val="clear" w:color="auto" w:fill="D9E2EC"/>
          </w:tcPr>
          <w:p>
            <w:pPr>
              <w:pStyle w:val="Compact"/>
              <w:jc w:val="left"/>
            </w:pPr>
            <w:r>
              <w:rPr>
                <w:bCs/>
                <w:b/>
              </w:rPr>
              <w:t xml:space="preserve">Standard</w:t>
            </w:r>
          </w:p>
        </w:tc>
      </w:tr>
      <w:tr>
        <w:tc>
          <w:tcPr/>
          <w:p>
            <w:pPr>
              <w:pStyle w:val="Compact"/>
              <w:jc w:val="left"/>
            </w:pPr>
            <w:r>
              <w:t xml:space="preserve">Hotline inquiry</w:t>
            </w:r>
          </w:p>
        </w:tc>
        <w:tc>
          <w:tcPr/>
          <w:p>
            <w:pPr>
              <w:pStyle w:val="Compact"/>
              <w:jc w:val="left"/>
            </w:pPr>
            <w:r>
              <w:t xml:space="preserve">Each Party answers within two (2) hours</w:t>
            </w:r>
          </w:p>
        </w:tc>
      </w:tr>
      <w:tr>
        <w:tc>
          <w:tcPr/>
          <w:p>
            <w:pPr>
              <w:pStyle w:val="Compact"/>
              <w:jc w:val="left"/>
            </w:pPr>
            <w:r>
              <w:t xml:space="preserve">Small craft notification trigger (Annex C)</w:t>
            </w:r>
          </w:p>
        </w:tc>
        <w:tc>
          <w:tcPr/>
          <w:p>
            <w:pPr>
              <w:pStyle w:val="Compact"/>
              <w:jc w:val="left"/>
            </w:pPr>
            <w:r>
              <w:t xml:space="preserve">Automatic notification within fifteen (15) minutes</w:t>
            </w:r>
          </w:p>
        </w:tc>
      </w:tr>
      <w:tr>
        <w:tc>
          <w:tcPr/>
          <w:p>
            <w:pPr>
              <w:pStyle w:val="Compact"/>
              <w:jc w:val="left"/>
            </w:pPr>
            <w:r>
              <w:t xml:space="preserve">Technical clarification</w:t>
            </w:r>
          </w:p>
        </w:tc>
        <w:tc>
          <w:tcPr/>
          <w:p>
            <w:pPr>
              <w:pStyle w:val="Compact"/>
              <w:jc w:val="left"/>
            </w:pPr>
            <w:r>
              <w:t xml:space="preserve">Each Party provides the clarification within twenty-four (24) hours</w:t>
            </w:r>
          </w:p>
        </w:tc>
      </w:tr>
      <w:tr>
        <w:tc>
          <w:tcPr/>
          <w:p>
            <w:pPr>
              <w:pStyle w:val="Compact"/>
              <w:jc w:val="left"/>
            </w:pPr>
            <w:r>
              <w:t xml:space="preserve">Principals-level consultation</w:t>
            </w:r>
          </w:p>
        </w:tc>
        <w:tc>
          <w:tcPr/>
          <w:p>
            <w:pPr>
              <w:pStyle w:val="Compact"/>
              <w:jc w:val="left"/>
            </w:pPr>
            <w:r>
              <w:t xml:space="preserve">The consultation convenes within seventy-two (72) hours of the initial report</w:t>
            </w:r>
          </w:p>
        </w:tc>
      </w:tr>
      <w:tr>
        <w:tc>
          <w:tcPr/>
          <w:p>
            <w:pPr>
              <w:pStyle w:val="Compact"/>
              <w:jc w:val="left"/>
            </w:pPr>
            <w:r>
              <w:t xml:space="preserve">Failover to Secondary Crisis Contact</w:t>
            </w:r>
          </w:p>
        </w:tc>
        <w:tc>
          <w:tcPr/>
          <w:p>
            <w:pPr>
              <w:pStyle w:val="Compact"/>
              <w:jc w:val="left"/>
            </w:pPr>
            <w:r>
              <w:t xml:space="preserve">Automatic after thirty (30) minutes of non-answer</w:t>
            </w:r>
          </w:p>
        </w:tc>
      </w:tr>
    </w:tbl>
    <w:bookmarkEnd w:id="124"/>
    <w:bookmarkStart w:id="125" w:name="i.6-incident-reporting-forms"/>
    <w:p>
      <w:pPr>
        <w:pStyle w:val="Heading2"/>
      </w:pPr>
      <w:r>
        <w:t xml:space="preserve">I.6 Incident Reporting Forms</w:t>
      </w:r>
    </w:p>
    <w:p>
      <w:pPr>
        <w:pStyle w:val="FirstParagraph"/>
      </w:pPr>
      <w:r>
        <w:rPr>
          <w:bCs/>
          <w:b/>
        </w:rPr>
        <w:t xml:space="preserve">I.3</w:t>
      </w:r>
      <w:r>
        <w:t xml:space="preserve"> </w:t>
      </w:r>
      <w:r>
        <w:t xml:space="preserve">Five standardized forms govern incident reporting. Each form states: time, location, description, evidence attached, and the initial classification of the reporting Party under Annex B.</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Form</w:t>
            </w:r>
          </w:p>
        </w:tc>
        <w:tc>
          <w:tcPr>
            <w:shd w:val="clear" w:color="auto" w:fill="D9E2EC"/>
          </w:tcPr>
          <w:p>
            <w:pPr>
              <w:pStyle w:val="Compact"/>
              <w:jc w:val="left"/>
            </w:pPr>
            <w:r>
              <w:rPr>
                <w:bCs/>
                <w:b/>
              </w:rPr>
              <w:t xml:space="preserve">Incident Type</w:t>
            </w:r>
          </w:p>
        </w:tc>
        <w:tc>
          <w:tcPr>
            <w:shd w:val="clear" w:color="auto" w:fill="D9E2EC"/>
          </w:tcPr>
          <w:p>
            <w:pPr>
              <w:pStyle w:val="Compact"/>
              <w:jc w:val="left"/>
            </w:pPr>
            <w:r>
              <w:rPr>
                <w:bCs/>
                <w:b/>
              </w:rPr>
              <w:t xml:space="preserve">Coverage</w:t>
            </w:r>
          </w:p>
        </w:tc>
      </w:tr>
      <w:tr>
        <w:tc>
          <w:tcPr/>
          <w:p>
            <w:pPr>
              <w:pStyle w:val="Compact"/>
              <w:jc w:val="left"/>
            </w:pPr>
            <w:r>
              <w:t xml:space="preserve">Form MF-1</w:t>
            </w:r>
          </w:p>
        </w:tc>
        <w:tc>
          <w:tcPr/>
          <w:p>
            <w:pPr>
              <w:pStyle w:val="Compact"/>
              <w:jc w:val="left"/>
            </w:pPr>
            <w:r>
              <w:t xml:space="preserve">Maritime incident</w:t>
            </w:r>
          </w:p>
        </w:tc>
        <w:tc>
          <w:tcPr/>
          <w:p>
            <w:pPr>
              <w:pStyle w:val="Compact"/>
              <w:jc w:val="left"/>
            </w:pPr>
            <w:r>
              <w:t xml:space="preserve">Interference, boarding, seizure, diversion, harassment, close approach, targeting-radar illumination, kinetic action against a Commercial Vessel</w:t>
            </w:r>
          </w:p>
        </w:tc>
      </w:tr>
      <w:tr>
        <w:tc>
          <w:tcPr/>
          <w:p>
            <w:pPr>
              <w:pStyle w:val="Compact"/>
              <w:jc w:val="left"/>
            </w:pPr>
            <w:r>
              <w:t xml:space="preserve">Form SB-1</w:t>
            </w:r>
          </w:p>
        </w:tc>
        <w:tc>
          <w:tcPr/>
          <w:p>
            <w:pPr>
              <w:pStyle w:val="Compact"/>
              <w:jc w:val="left"/>
            </w:pPr>
            <w:r>
              <w:t xml:space="preserve">Small craft incident</w:t>
            </w:r>
          </w:p>
        </w:tc>
        <w:tc>
          <w:tcPr/>
          <w:p>
            <w:pPr>
              <w:pStyle w:val="Compact"/>
              <w:jc w:val="left"/>
            </w:pPr>
            <w:r>
              <w:t xml:space="preserve">Norm breaches, close approaches, swarm behavior, drone corridor violations under Annex C</w:t>
            </w:r>
          </w:p>
        </w:tc>
      </w:tr>
      <w:tr>
        <w:tc>
          <w:tcPr/>
          <w:p>
            <w:pPr>
              <w:pStyle w:val="Compact"/>
              <w:jc w:val="left"/>
            </w:pPr>
            <w:r>
              <w:t xml:space="preserve">Form AF-1</w:t>
            </w:r>
          </w:p>
        </w:tc>
        <w:tc>
          <w:tcPr/>
          <w:p>
            <w:pPr>
              <w:pStyle w:val="Compact"/>
              <w:jc w:val="left"/>
            </w:pPr>
            <w:r>
              <w:t xml:space="preserve">Airstrike incident</w:t>
            </w:r>
          </w:p>
        </w:tc>
        <w:tc>
          <w:tcPr/>
          <w:p>
            <w:pPr>
              <w:pStyle w:val="Compact"/>
              <w:jc w:val="left"/>
            </w:pPr>
            <w:r>
              <w:t xml:space="preserve">Kinetic operation, manned or unmanned, against military or infrastructure targets</w:t>
            </w:r>
          </w:p>
        </w:tc>
      </w:tr>
      <w:tr>
        <w:tc>
          <w:tcPr/>
          <w:p>
            <w:pPr>
              <w:pStyle w:val="Compact"/>
              <w:jc w:val="left"/>
            </w:pPr>
            <w:r>
              <w:t xml:space="preserve">Form MH-1</w:t>
            </w:r>
          </w:p>
        </w:tc>
        <w:tc>
          <w:tcPr/>
          <w:p>
            <w:pPr>
              <w:pStyle w:val="Compact"/>
              <w:jc w:val="left"/>
            </w:pPr>
            <w:r>
              <w:t xml:space="preserve">Mine hazard report</w:t>
            </w:r>
          </w:p>
        </w:tc>
        <w:tc>
          <w:tcPr/>
          <w:p>
            <w:pPr>
              <w:pStyle w:val="Compact"/>
              <w:jc w:val="left"/>
            </w:pPr>
            <w:r>
              <w:t xml:space="preserve">Mine-like contact, mine strike, or ordnance discovery, cross-posted to the MRT-H</w:t>
            </w:r>
          </w:p>
        </w:tc>
      </w:tr>
      <w:tr>
        <w:tc>
          <w:tcPr/>
          <w:p>
            <w:pPr>
              <w:pStyle w:val="Compact"/>
              <w:jc w:val="left"/>
            </w:pPr>
            <w:r>
              <w:t xml:space="preserve">Form NF-1</w:t>
            </w:r>
          </w:p>
        </w:tc>
        <w:tc>
          <w:tcPr/>
          <w:p>
            <w:pPr>
              <w:pStyle w:val="Compact"/>
              <w:jc w:val="left"/>
            </w:pPr>
            <w:r>
              <w:t xml:space="preserve">Nuclear incident</w:t>
            </w:r>
          </w:p>
        </w:tc>
        <w:tc>
          <w:tcPr/>
          <w:p>
            <w:pPr>
              <w:pStyle w:val="Compact"/>
              <w:jc w:val="left"/>
            </w:pPr>
            <w:r>
              <w:t xml:space="preserve">Processed through IAEA channels under Annex H; logged on the registry for awareness only</w:t>
            </w:r>
          </w:p>
        </w:tc>
      </w:tr>
    </w:tbl>
    <w:p>
      <w:pPr>
        <w:pStyle w:val="BodyText"/>
      </w:pPr>
      <w:r>
        <w:rPr>
          <w:bCs/>
          <w:b/>
        </w:rPr>
        <w:t xml:space="preserve">I.4</w:t>
      </w:r>
      <w:r>
        <w:t xml:space="preserve"> </w:t>
      </w:r>
      <w:r>
        <w:t xml:space="preserve">Form MF-1 fields: reporting Party; date and time (GMT); position (latitude, longitude, lane); vessel identity and flag; description of the event; automatic identification system track attached; photographic or radar evidence attached; initial classification; requested action.</w:t>
      </w:r>
    </w:p>
    <w:p>
      <w:pPr>
        <w:pStyle w:val="BodyText"/>
      </w:pPr>
      <w:r>
        <w:rPr>
          <w:bCs/>
          <w:b/>
        </w:rPr>
        <w:t xml:space="preserve">I.5</w:t>
      </w:r>
      <w:r>
        <w:t xml:space="preserve"> </w:t>
      </w:r>
      <w:r>
        <w:t xml:space="preserve">Form SB-1 fields: reporting Party; date and time (GMT); position; craft identifiers and hull numbers; geometry data (closest point of approach, angle, duration); escort log extract where applicable; initial classification; requested action.</w:t>
      </w:r>
    </w:p>
    <w:p>
      <w:pPr>
        <w:pStyle w:val="BodyText"/>
      </w:pPr>
      <w:r>
        <w:rPr>
          <w:bCs/>
          <w:b/>
        </w:rPr>
        <w:t xml:space="preserve">I.6</w:t>
      </w:r>
      <w:r>
        <w:t xml:space="preserve"> </w:t>
      </w:r>
      <w:r>
        <w:t xml:space="preserve">Form MH-1 fields: reporting Party or body; date and time (GMT); position; contact description; sensor record; marking action taken; Notice to Mariners reference; requested action.</w:t>
      </w:r>
    </w:p>
    <w:bookmarkEnd w:id="125"/>
    <w:bookmarkStart w:id="126" w:name="i.7-the-five-level-escalation-ladder"/>
    <w:p>
      <w:pPr>
        <w:pStyle w:val="Heading2"/>
      </w:pPr>
      <w:r>
        <w:t xml:space="preserve">I.7 The Five-Level Escalation Ladder</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2640"/>
        <w:gridCol w:w="2640"/>
        <w:gridCol w:w="2640"/>
      </w:tblGrid>
      <w:tr>
        <w:trPr>
          <w:tblHeader w:val="true"/>
        </w:trPr>
        <w:tc>
          <w:tcPr>
            <w:shd w:val="clear" w:color="auto" w:fill="D9E2EC"/>
          </w:tcPr>
          <w:p>
            <w:pPr>
              <w:pStyle w:val="Compact"/>
              <w:jc w:val="left"/>
            </w:pPr>
            <w:r>
              <w:rPr>
                <w:bCs/>
                <w:b/>
              </w:rPr>
              <w:t xml:space="preserve">Level</w:t>
            </w:r>
          </w:p>
        </w:tc>
        <w:tc>
          <w:tcPr>
            <w:shd w:val="clear" w:color="auto" w:fill="D9E2EC"/>
          </w:tcPr>
          <w:p>
            <w:pPr>
              <w:pStyle w:val="Compact"/>
              <w:jc w:val="left"/>
            </w:pPr>
            <w:r>
              <w:rPr>
                <w:bCs/>
                <w:b/>
              </w:rPr>
              <w:t xml:space="preserve">Mechanism</w:t>
            </w:r>
          </w:p>
        </w:tc>
        <w:tc>
          <w:tcPr>
            <w:shd w:val="clear" w:color="auto" w:fill="D9E2EC"/>
          </w:tcPr>
          <w:p>
            <w:pPr>
              <w:pStyle w:val="Compact"/>
              <w:jc w:val="left"/>
            </w:pPr>
            <w:r>
              <w:rPr>
                <w:bCs/>
                <w:b/>
              </w:rPr>
              <w:t xml:space="preserve">Window</w:t>
            </w:r>
          </w:p>
        </w:tc>
      </w:tr>
      <w:tr>
        <w:tc>
          <w:tcPr/>
          <w:p>
            <w:pPr>
              <w:pStyle w:val="Compact"/>
              <w:jc w:val="left"/>
            </w:pPr>
            <w:r>
              <w:t xml:space="preserve">Level 1</w:t>
            </w:r>
          </w:p>
        </w:tc>
        <w:tc>
          <w:tcPr/>
          <w:p>
            <w:pPr>
              <w:pStyle w:val="Compact"/>
              <w:jc w:val="left"/>
            </w:pPr>
            <w:r>
              <w:t xml:space="preserve">Hotline clarification</w:t>
            </w:r>
          </w:p>
        </w:tc>
        <w:tc>
          <w:tcPr/>
          <w:p>
            <w:pPr>
              <w:pStyle w:val="Compact"/>
              <w:jc w:val="left"/>
            </w:pPr>
            <w:r>
              <w:t xml:space="preserve">Twenty-four (24) hours</w:t>
            </w:r>
          </w:p>
        </w:tc>
      </w:tr>
      <w:tr>
        <w:tc>
          <w:tcPr/>
          <w:p>
            <w:pPr>
              <w:pStyle w:val="Compact"/>
              <w:jc w:val="left"/>
            </w:pPr>
            <w:r>
              <w:t xml:space="preserve">Level 2</w:t>
            </w:r>
          </w:p>
        </w:tc>
        <w:tc>
          <w:tcPr/>
          <w:p>
            <w:pPr>
              <w:pStyle w:val="Compact"/>
              <w:jc w:val="left"/>
            </w:pPr>
            <w:r>
              <w:t xml:space="preserve">Joint Technical Committee review</w:t>
            </w:r>
          </w:p>
        </w:tc>
        <w:tc>
          <w:tcPr/>
          <w:p>
            <w:pPr>
              <w:pStyle w:val="Compact"/>
              <w:jc w:val="left"/>
            </w:pPr>
            <w:r>
              <w:t xml:space="preserve">Forty-eight (48) hours</w:t>
            </w:r>
          </w:p>
        </w:tc>
      </w:tr>
      <w:tr>
        <w:tc>
          <w:tcPr/>
          <w:p>
            <w:pPr>
              <w:pStyle w:val="Compact"/>
              <w:jc w:val="left"/>
            </w:pPr>
            <w:r>
              <w:t xml:space="preserve">Level 3</w:t>
            </w:r>
          </w:p>
        </w:tc>
        <w:tc>
          <w:tcPr/>
          <w:p>
            <w:pPr>
              <w:pStyle w:val="Compact"/>
              <w:jc w:val="left"/>
            </w:pPr>
            <w:r>
              <w:t xml:space="preserve">Formal Omani mediation</w:t>
            </w:r>
          </w:p>
        </w:tc>
        <w:tc>
          <w:tcPr/>
          <w:p>
            <w:pPr>
              <w:pStyle w:val="Compact"/>
              <w:jc w:val="left"/>
            </w:pPr>
            <w:r>
              <w:t xml:space="preserve">Seventy-two (72) hours</w:t>
            </w:r>
          </w:p>
        </w:tc>
      </w:tr>
      <w:tr>
        <w:tc>
          <w:tcPr/>
          <w:p>
            <w:pPr>
              <w:pStyle w:val="Compact"/>
              <w:jc w:val="left"/>
            </w:pPr>
            <w:r>
              <w:t xml:space="preserve">Level 4</w:t>
            </w:r>
          </w:p>
        </w:tc>
        <w:tc>
          <w:tcPr/>
          <w:p>
            <w:pPr>
              <w:pStyle w:val="Compact"/>
              <w:jc w:val="left"/>
            </w:pPr>
            <w:r>
              <w:t xml:space="preserve">Principals-level consultation through the Pakistani channel</w:t>
            </w:r>
          </w:p>
        </w:tc>
        <w:tc>
          <w:tcPr/>
          <w:p>
            <w:pPr>
              <w:pStyle w:val="Compact"/>
              <w:jc w:val="left"/>
            </w:pPr>
            <w:r>
              <w:t xml:space="preserve">Seventy-two (72) hours</w:t>
            </w:r>
          </w:p>
        </w:tc>
      </w:tr>
      <w:tr>
        <w:tc>
          <w:tcPr/>
          <w:p>
            <w:pPr>
              <w:pStyle w:val="Compact"/>
              <w:jc w:val="left"/>
            </w:pPr>
            <w:r>
              <w:t xml:space="preserve">Level 5</w:t>
            </w:r>
          </w:p>
        </w:tc>
        <w:tc>
          <w:tcPr/>
          <w:p>
            <w:pPr>
              <w:pStyle w:val="Compact"/>
              <w:jc w:val="left"/>
            </w:pPr>
            <w:r>
              <w:t xml:space="preserve">United Nations Security Council session</w:t>
            </w:r>
          </w:p>
        </w:tc>
        <w:tc>
          <w:tcPr/>
          <w:p>
            <w:pPr>
              <w:pStyle w:val="Compact"/>
              <w:jc w:val="left"/>
            </w:pPr>
            <w:r>
              <w:t xml:space="preserve">Only upon a certified material-breach deadlock</w:t>
            </w:r>
          </w:p>
        </w:tc>
      </w:tr>
    </w:tbl>
    <w:p>
      <w:pPr>
        <w:pStyle w:val="BodyText"/>
      </w:pPr>
      <w:r>
        <w:rPr>
          <w:bCs/>
          <w:b/>
        </w:rPr>
        <w:t xml:space="preserve">I.7</w:t>
      </w:r>
      <w:r>
        <w:t xml:space="preserve"> </w:t>
      </w:r>
      <w:r>
        <w:t xml:space="preserve">Procedural flow: report through the appropriate form with authentication; acknowledgment within two (2) hours with logged response time; classification validation by the Omani Security Cell against Annex B; consultation inside the Level 1 window; advancement through the levels, each inside its stated window; closure recorded on the Shared Digital Registry without public escalation.</w:t>
      </w:r>
    </w:p>
    <w:bookmarkEnd w:id="126"/>
    <w:bookmarkStart w:id="127" w:name="i.8-red-line-consultation-procedure"/>
    <w:p>
      <w:pPr>
        <w:pStyle w:val="Heading2"/>
      </w:pPr>
      <w:r>
        <w:t xml:space="preserve">I.8 Red Line Consultation Procedure</w:t>
      </w:r>
    </w:p>
    <w:p>
      <w:pPr>
        <w:pStyle w:val="FirstParagraph"/>
      </w:pPr>
      <w:r>
        <w:rPr>
          <w:bCs/>
          <w:b/>
        </w:rPr>
        <w:t xml:space="preserve">I.8</w:t>
      </w:r>
      <w:r>
        <w:t xml:space="preserve"> </w:t>
      </w:r>
      <w:r>
        <w:t xml:space="preserve">The Red Line Consultation of Section 3.5 executes as follows:</w:t>
      </w:r>
    </w:p>
    <w:p>
      <w:pPr>
        <w:pStyle w:val="BodyText"/>
      </w:pPr>
      <w:r>
        <w:rPr>
          <w:bCs/>
          <w:b/>
        </w:rPr>
        <w:t xml:space="preserve">1.</w:t>
      </w:r>
      <w:r>
        <w:t xml:space="preserve"> </w:t>
      </w:r>
      <w:r>
        <w:t xml:space="preserve">Written activation. The activating Party files a written activation with the Verification Authority naming the registered line of Annex F and describing the perceived pressure.</w:t>
      </w:r>
    </w:p>
    <w:p>
      <w:pPr>
        <w:pStyle w:val="BodyText"/>
      </w:pPr>
      <w:r>
        <w:rPr>
          <w:bCs/>
          <w:b/>
        </w:rPr>
        <w:t xml:space="preserve">2.</w:t>
      </w:r>
      <w:r>
        <w:t xml:space="preserve"> </w:t>
      </w:r>
      <w:r>
        <w:t xml:space="preserve">Convening. The consultation convenes within twenty-four (24) hours at the leadership layer through the leader channel, with the Mediator of Record chairing.</w:t>
      </w:r>
    </w:p>
    <w:p>
      <w:pPr>
        <w:pStyle w:val="BodyText"/>
      </w:pPr>
      <w:r>
        <w:rPr>
          <w:bCs/>
          <w:b/>
        </w:rPr>
        <w:t xml:space="preserve">3.</w:t>
      </w:r>
      <w:r>
        <w:t xml:space="preserve"> </w:t>
      </w:r>
      <w:r>
        <w:t xml:space="preserve">Mechanism freeze. The architecture freezes the implicated mechanism for seventy-two (72) hours from activation. The freeze covers only the implicated module. The humanitarian absolutes of Article 16 never freeze.</w:t>
      </w:r>
    </w:p>
    <w:p>
      <w:pPr>
        <w:pStyle w:val="BodyText"/>
      </w:pPr>
      <w:r>
        <w:rPr>
          <w:bCs/>
          <w:b/>
        </w:rPr>
        <w:t xml:space="preserve">4.</w:t>
      </w:r>
      <w:r>
        <w:t xml:space="preserve"> </w:t>
      </w:r>
      <w:r>
        <w:t xml:space="preserve">Resolution. The consultation issues a recorded outcome: structural adjustment, technical clarification, or confirmation that no crossing impends. The outcome posts to the Shared Digital Registry.</w:t>
      </w:r>
    </w:p>
    <w:p>
      <w:pPr>
        <w:pStyle w:val="BodyText"/>
      </w:pPr>
      <w:r>
        <w:rPr>
          <w:bCs/>
          <w:b/>
        </w:rPr>
        <w:t xml:space="preserve">5.</w:t>
      </w:r>
      <w:r>
        <w:t xml:space="preserve"> </w:t>
      </w:r>
      <w:r>
        <w:t xml:space="preserve">Failure. A consultation that fails to resolve inside the freeze window advances automatically to Level 4 of the ladder of Section I.7.</w:t>
      </w:r>
    </w:p>
    <w:bookmarkEnd w:id="127"/>
    <w:bookmarkEnd w:id="128"/>
    <w:bookmarkStart w:id="132" w:name="X23636fd7f8f71eaf9dd66ff41a33ed6b9881cd3"/>
    <w:p>
      <w:pPr>
        <w:pStyle w:val="Heading1"/>
      </w:pPr>
      <w:r>
        <w:t xml:space="preserve">Annex J. Transit Services Fund and Escrow Protocol</w:t>
      </w:r>
    </w:p>
    <w:p>
      <w:pPr>
        <w:pStyle w:val="FirstParagraph"/>
      </w:pPr>
      <w:r>
        <w:t xml:space="preserve">Operative Annex for Article 14. This annex charters the Transit Services Fund, states the escrow architecture, and defines the sanctions-compliance firewall.</w:t>
      </w:r>
    </w:p>
    <w:bookmarkStart w:id="129" w:name="j.1-the-transit-services-fund"/>
    <w:p>
      <w:pPr>
        <w:pStyle w:val="Heading2"/>
      </w:pPr>
      <w:r>
        <w:t xml:space="preserve">J.1 The Transit Services Fund</w:t>
      </w:r>
    </w:p>
    <w:p>
      <w:pPr>
        <w:pStyle w:val="FirstParagraph"/>
      </w:pPr>
      <w:r>
        <w:rPr>
          <w:bCs/>
          <w:b/>
        </w:rPr>
        <w:t xml:space="preserve">J.1</w:t>
      </w:r>
      <w:r>
        <w:t xml:space="preserve"> </w:t>
      </w:r>
      <w:r>
        <w:t xml:space="preserve">The Transit Services Fund (the</w:t>
      </w:r>
      <w:r>
        <w:t xml:space="preserve"> </w:t>
      </w:r>
      <w:r>
        <w:t xml:space="preserve">“</w:t>
      </w:r>
      <w:r>
        <w:t xml:space="preserve">Fund</w:t>
      </w:r>
      <w:r>
        <w:t xml:space="preserve">”</w:t>
      </w:r>
      <w:r>
        <w:t xml:space="preserve">) finances: corridor services, including channel maintenance, navigation aids, pilotage, and environmental response; the Lead-Escort Safety Service of Annex C; the MRT-H of Annex D; the verification bodies of Annex B; the Shared Digital Registry; and the hotline of Annex I. The United States does not administer or govern the Fund. The United States contributes voluntarily under the Observer Member contribution window of Annex E, and every such contribution is non-earmarked and subject to the same transparency and audit rules as all other contributions.</w:t>
      </w:r>
    </w:p>
    <w:p>
      <w:pPr>
        <w:pStyle w:val="BodyText"/>
      </w:pPr>
      <w:r>
        <w:rPr>
          <w:bCs/>
          <w:b/>
        </w:rPr>
        <w:t xml:space="preserve">J.2</w:t>
      </w:r>
      <w:r>
        <w:t xml:space="preserve"> </w:t>
      </w:r>
      <w:r>
        <w:t xml:space="preserve">Administration. The Swiss Confederation serves as Neutral Administrator: it holds the Fund budget, contracts commercial providers, audits expenditures, and reports quarterly to all Members. The Qatar Central Bank serves as escrow agent for all Fund flows. An independent audit firm selected by the Fairway Council conducts the annual audit and publishes findings on the Shared Digital Registry.</w:t>
      </w:r>
    </w:p>
    <w:p>
      <w:pPr>
        <w:pStyle w:val="BodyText"/>
      </w:pPr>
      <w:r>
        <w:rPr>
          <w:bCs/>
          <w:b/>
        </w:rPr>
        <w:t xml:space="preserve">J.3</w:t>
      </w:r>
      <w:r>
        <w:t xml:space="preserve"> </w:t>
      </w:r>
      <w:r>
        <w:t xml:space="preserve">Service reimbursement. Maritime services invoice at pre-approved unit rates benchmarked to regional markets, published annually by the Neutral Administrator. Service providers invoice the Fund, never the vessel beyond the published rate schedule, and never as a condition of passage. The framework architecture attaches no toll, transit charge, or revenue share to passage itself: the Zero-Toll Rule of Article 6 governs every transaction.</w:t>
      </w:r>
    </w:p>
    <w:p>
      <w:pPr>
        <w:pStyle w:val="BodyText"/>
      </w:pPr>
      <w:r>
        <w:rPr>
          <w:bCs/>
          <w:b/>
        </w:rPr>
        <w:t xml:space="preserve">J.4</w:t>
      </w:r>
      <w:r>
        <w:t xml:space="preserve"> </w:t>
      </w:r>
      <w:r>
        <w:t xml:space="preserve">Budget. The initial annual operating budget stands at four hundred and fifty (450) million dollars, allocated as follows: MRT-H operations, forty (40) percent; Lead-Escort Safety Service, fifteen (15) percent; verification bodies and registry, twenty (20) percent; corridor services and navigation aids, fifteen (15) percent; hotline and coordination centers, five (5) percent; contingency reserve, five (5) percent. The Fairway Council revises the budget annually by consensus, and the contribution schedule of Annex E allocates the budget among contributors.</w:t>
      </w:r>
    </w:p>
    <w:bookmarkEnd w:id="129"/>
    <w:bookmarkStart w:id="130" w:name="j.2-the-escrow-architecture"/>
    <w:p>
      <w:pPr>
        <w:pStyle w:val="Heading2"/>
      </w:pPr>
      <w:r>
        <w:t xml:space="preserve">J.2 The Escrow Architecture</w:t>
      </w:r>
    </w:p>
    <w:p>
      <w:pPr>
        <w:pStyle w:val="FirstParagraph"/>
      </w:pPr>
      <w:r>
        <w:rPr>
          <w:bCs/>
          <w:b/>
        </w:rPr>
        <w:t xml:space="preserve">J.5</w:t>
      </w:r>
      <w:r>
        <w:t xml:space="preserve"> </w:t>
      </w:r>
      <w:r>
        <w:t xml:space="preserve">Oil-export revenue under the restored waiver framework of Annex H routes through escrow administered by the Qatar Central Bank as neutral agent. Transaction records mirror on the Shared Digital Registry with cryptographic timestamps. The designated humanitarian sub-account funds medicines, food, and medical equipment with end-to-end traceability through the Swiss channel, and operates under every classification, every suspension, and every exit scenario.</w:t>
      </w:r>
    </w:p>
    <w:p>
      <w:pPr>
        <w:pStyle w:val="BodyText"/>
      </w:pPr>
      <w:r>
        <w:rPr>
          <w:bCs/>
          <w:b/>
        </w:rPr>
        <w:t xml:space="preserve">J.6</w:t>
      </w:r>
      <w:r>
        <w:t xml:space="preserve"> </w:t>
      </w:r>
      <w:r>
        <w:t xml:space="preserve">Phased asset release. The frozen-asset sequencing track of Section H.9 executes through segregated escrow sub-accounts, each tied to a certified milestone of Annex G. Release executes automatically upon certification publication; no discretionary hold attaches to a certified milestone.</w:t>
      </w:r>
    </w:p>
    <w:p>
      <w:pPr>
        <w:pStyle w:val="BodyText"/>
      </w:pPr>
      <w:r>
        <w:rPr>
          <w:bCs/>
          <w:b/>
        </w:rPr>
        <w:t xml:space="preserve">J.7</w:t>
      </w:r>
      <w:r>
        <w:t xml:space="preserve"> </w:t>
      </w:r>
      <w:r>
        <w:t xml:space="preserve">No commingling and no clawback. No United States government funds commingle with Fund or escrow capital. No Iranian state funds pass through any United States-controlled financial institution. Funds already disbursed under the escrow architecture are not subject to clawback, re-freezing, or rescission under any circumstances, including political disputes or termination of this Compact. This no-clawback rule is absolute.</w:t>
      </w:r>
    </w:p>
    <w:bookmarkEnd w:id="130"/>
    <w:bookmarkStart w:id="131" w:name="j.3-the-sanctions-compliance-firewall"/>
    <w:p>
      <w:pPr>
        <w:pStyle w:val="Heading2"/>
      </w:pPr>
      <w:r>
        <w:t xml:space="preserve">J.3 The Sanctions-Compliance Firewall</w:t>
      </w:r>
    </w:p>
    <w:p>
      <w:pPr>
        <w:pStyle w:val="FirstParagraph"/>
      </w:pPr>
      <w:r>
        <w:rPr>
          <w:bCs/>
          <w:b/>
        </w:rPr>
        <w:t xml:space="preserve">J.8</w:t>
      </w:r>
      <w:r>
        <w:t xml:space="preserve"> </w:t>
      </w:r>
      <w:r>
        <w:t xml:space="preserve">A general license architecture exempts from United States secondary sanctions every transaction of this Compact: Fund contributions, escrow operations, service reimbursements, verification expenditures, clearance contracts, escort operating costs, and humanitarian sub-account flows. Financial institutions, contractors, insurers, and suppliers participate without sanctions exposure.</w:t>
      </w:r>
    </w:p>
    <w:p>
      <w:pPr>
        <w:pStyle w:val="BodyText"/>
      </w:pPr>
      <w:r>
        <w:rPr>
          <w:bCs/>
          <w:b/>
        </w:rPr>
        <w:t xml:space="preserve">J.9</w:t>
      </w:r>
      <w:r>
        <w:t xml:space="preserve"> </w:t>
      </w:r>
      <w:r>
        <w:t xml:space="preserve">The firewall extends to the Market Confidence Interface: war-risk insurers, protection and indemnity clubs, and reinsurers receive certifications, bulletins, and telemetry under the same license cover, so that premium normalization proceeds on evidence without legal exposure.</w:t>
      </w:r>
    </w:p>
    <w:p>
      <w:pPr>
        <w:pStyle w:val="BodyText"/>
      </w:pPr>
      <w:r>
        <w:rPr>
          <w:bCs/>
          <w:b/>
        </w:rPr>
        <w:t xml:space="preserve">J.10</w:t>
      </w:r>
      <w:r>
        <w:t xml:space="preserve"> </w:t>
      </w:r>
      <w:r>
        <w:t xml:space="preserve">Firewall failure mode. Where a sanctions action overrides the general license for any flow, the affected flow reroutes through the Swiss channel within seventy-two (72) hours, the Neutral Administrator publishes the reroute, and the affected module continues under the Silence Clause of Annex K. A firewall failure classifies as a technical incident, never as a compliance breach by any Party.</w:t>
      </w:r>
    </w:p>
    <w:bookmarkEnd w:id="131"/>
    <w:bookmarkEnd w:id="132"/>
    <w:bookmarkStart w:id="140" w:name="X57df731666283886fc650a968dd604c8b087f2e"/>
    <w:p>
      <w:pPr>
        <w:pStyle w:val="Heading1"/>
      </w:pPr>
      <w:r>
        <w:t xml:space="preserve">Annex K. Compliance and Restoration Engine</w:t>
      </w:r>
    </w:p>
    <w:p>
      <w:pPr>
        <w:pStyle w:val="FirstParagraph"/>
      </w:pPr>
      <w:r>
        <w:t xml:space="preserve">Operative Annex for Article 11. This annex states the graduated, reversible, proportionate compliance engine of the Compact, consistent with the Cothrom Verification Method incorporated through Annex H: verification as a reciprocal architecture in which all Parties invest, all Parties verify, and all Parties recover.</w:t>
      </w:r>
    </w:p>
    <w:bookmarkStart w:id="133" w:name="k.1-operating-principles"/>
    <w:p>
      <w:pPr>
        <w:pStyle w:val="Heading2"/>
      </w:pPr>
      <w:r>
        <w:t xml:space="preserve">K.1 Operating Principles</w:t>
      </w:r>
    </w:p>
    <w:p>
      <w:pPr>
        <w:pStyle w:val="FirstParagraph"/>
      </w:pPr>
      <w:r>
        <w:rPr>
          <w:bCs/>
          <w:b/>
        </w:rPr>
        <w:t xml:space="preserve">1.</w:t>
      </w:r>
      <w:r>
        <w:t xml:space="preserve"> </w:t>
      </w:r>
      <w:r>
        <w:t xml:space="preserve">Proportionality governs everything. The response fits the deviation.</w:t>
      </w:r>
    </w:p>
    <w:p>
      <w:pPr>
        <w:pStyle w:val="BodyText"/>
      </w:pPr>
      <w:r>
        <w:rPr>
          <w:bCs/>
          <w:b/>
        </w:rPr>
        <w:t xml:space="preserve">2.</w:t>
      </w:r>
      <w:r>
        <w:t xml:space="preserve"> </w:t>
      </w:r>
      <w:r>
        <w:t xml:space="preserve">Human judgment sits above automation. Automated systems inform; humans decide.</w:t>
      </w:r>
    </w:p>
    <w:p>
      <w:pPr>
        <w:pStyle w:val="BodyText"/>
      </w:pPr>
      <w:r>
        <w:rPr>
          <w:bCs/>
          <w:b/>
        </w:rPr>
        <w:t xml:space="preserve">3.</w:t>
      </w:r>
      <w:r>
        <w:t xml:space="preserve"> </w:t>
      </w:r>
      <w:r>
        <w:t xml:space="preserve">Earn-back is always available. No violation creates permanent exclusion.</w:t>
      </w:r>
    </w:p>
    <w:p>
      <w:pPr>
        <w:pStyle w:val="BodyText"/>
      </w:pPr>
      <w:r>
        <w:rPr>
          <w:bCs/>
          <w:b/>
        </w:rPr>
        <w:t xml:space="preserve">4.</w:t>
      </w:r>
      <w:r>
        <w:t xml:space="preserve"> </w:t>
      </w:r>
      <w:r>
        <w:t xml:space="preserve">Humanitarian flows are sacred. No step-back touches food, medicine, medical equipment, or safety.</w:t>
      </w:r>
    </w:p>
    <w:p>
      <w:pPr>
        <w:pStyle w:val="BodyText"/>
      </w:pPr>
      <w:r>
        <w:rPr>
          <w:bCs/>
          <w:b/>
        </w:rPr>
        <w:t xml:space="preserve">5.</w:t>
      </w:r>
      <w:r>
        <w:t xml:space="preserve"> </w:t>
      </w:r>
      <w:r>
        <w:t xml:space="preserve">Modules fire independently. Failure in one does not collapse the rest.</w:t>
      </w:r>
    </w:p>
    <w:p>
      <w:pPr>
        <w:pStyle w:val="BodyText"/>
      </w:pPr>
      <w:r>
        <w:rPr>
          <w:bCs/>
          <w:b/>
        </w:rPr>
        <w:t xml:space="preserve">6.</w:t>
      </w:r>
      <w:r>
        <w:t xml:space="preserve"> </w:t>
      </w:r>
      <w:r>
        <w:t xml:space="preserve">Cooling-off prevents heat-of-moment escalation. Every penalty pauses for consultation.</w:t>
      </w:r>
    </w:p>
    <w:p>
      <w:pPr>
        <w:pStyle w:val="BodyText"/>
      </w:pPr>
      <w:r>
        <w:rPr>
          <w:bCs/>
          <w:b/>
        </w:rPr>
        <w:t xml:space="preserve">7.</w:t>
      </w:r>
      <w:r>
        <w:t xml:space="preserve"> </w:t>
      </w:r>
      <w:r>
        <w:t xml:space="preserve">Monitoring gaps trigger automatic protection. The telemetry rule has no human override.</w:t>
      </w:r>
    </w:p>
    <w:p>
      <w:pPr>
        <w:pStyle w:val="BodyText"/>
      </w:pPr>
      <w:r>
        <w:rPr>
          <w:bCs/>
          <w:b/>
        </w:rPr>
        <w:t xml:space="preserve">8.</w:t>
      </w:r>
      <w:r>
        <w:t xml:space="preserve"> </w:t>
      </w:r>
      <w:r>
        <w:t xml:space="preserve">Partial success survives. The Compact endures even when individual modules lag.</w:t>
      </w:r>
    </w:p>
    <w:p>
      <w:pPr>
        <w:pStyle w:val="BodyText"/>
      </w:pPr>
      <w:r>
        <w:rPr>
          <w:bCs/>
          <w:b/>
        </w:rPr>
        <w:t xml:space="preserve">9.</w:t>
      </w:r>
      <w:r>
        <w:t xml:space="preserve"> </w:t>
      </w:r>
      <w:r>
        <w:t xml:space="preserve">Military escalation is structurally decoupled. Economic and diplomatic measures never authorize force.</w:t>
      </w:r>
    </w:p>
    <w:p>
      <w:pPr>
        <w:pStyle w:val="BodyText"/>
      </w:pPr>
      <w:r>
        <w:rPr>
          <w:bCs/>
          <w:b/>
        </w:rPr>
        <w:t xml:space="preserve">10.</w:t>
      </w:r>
      <w:r>
        <w:t xml:space="preserve"> </w:t>
      </w:r>
      <w:r>
        <w:t xml:space="preserve">The framework presumes good faith. Attribution follows evidence; false flags are excluded.</w:t>
      </w:r>
    </w:p>
    <w:p>
      <w:pPr>
        <w:pStyle w:val="BodyText"/>
      </w:pPr>
      <w:r>
        <w:rPr>
          <w:bCs/>
          <w:b/>
        </w:rPr>
        <w:t xml:space="preserve">11.</w:t>
      </w:r>
      <w:r>
        <w:t xml:space="preserve"> </w:t>
      </w:r>
      <w:r>
        <w:t xml:space="preserve">Data is data. No political meaning attaches to its collection or sharing.</w:t>
      </w:r>
    </w:p>
    <w:p>
      <w:pPr>
        <w:pStyle w:val="BodyText"/>
      </w:pPr>
      <w:r>
        <w:rPr>
          <w:bCs/>
          <w:b/>
        </w:rPr>
        <w:t xml:space="preserve">12.</w:t>
      </w:r>
      <w:r>
        <w:t xml:space="preserve"> </w:t>
      </w:r>
      <w:r>
        <w:t xml:space="preserve">Verification is reciprocal. All Parties invest, all Parties verify, all Parties recover.</w:t>
      </w:r>
    </w:p>
    <w:bookmarkEnd w:id="133"/>
    <w:bookmarkStart w:id="134" w:name="k.2-three-tier-event-classification"/>
    <w:p>
      <w:pPr>
        <w:pStyle w:val="Heading2"/>
      </w:pPr>
      <w:r>
        <w:t xml:space="preserve">K.2 Three-Tier Event Classification</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Tier</w:t>
            </w:r>
          </w:p>
        </w:tc>
        <w:tc>
          <w:tcPr>
            <w:shd w:val="clear" w:color="auto" w:fill="D9E2EC"/>
          </w:tcPr>
          <w:p>
            <w:pPr>
              <w:pStyle w:val="Compact"/>
              <w:jc w:val="left"/>
            </w:pPr>
            <w:r>
              <w:rPr>
                <w:bCs/>
                <w:b/>
              </w:rPr>
              <w:t xml:space="preserve">Designation</w:t>
            </w:r>
          </w:p>
        </w:tc>
        <w:tc>
          <w:tcPr>
            <w:shd w:val="clear" w:color="auto" w:fill="D9E2EC"/>
          </w:tcPr>
          <w:p>
            <w:pPr>
              <w:pStyle w:val="Compact"/>
              <w:jc w:val="left"/>
            </w:pPr>
            <w:r>
              <w:rPr>
                <w:bCs/>
                <w:b/>
              </w:rPr>
              <w:t xml:space="preserve">Signature</w:t>
            </w:r>
          </w:p>
        </w:tc>
        <w:tc>
          <w:tcPr>
            <w:shd w:val="clear" w:color="auto" w:fill="D9E2EC"/>
          </w:tcPr>
          <w:p>
            <w:pPr>
              <w:pStyle w:val="Compact"/>
              <w:jc w:val="left"/>
            </w:pPr>
            <w:r>
              <w:rPr>
                <w:bCs/>
                <w:b/>
              </w:rPr>
              <w:t xml:space="preserve">Base Response</w:t>
            </w:r>
          </w:p>
        </w:tc>
      </w:tr>
      <w:tr>
        <w:tc>
          <w:tcPr/>
          <w:p>
            <w:pPr>
              <w:pStyle w:val="Compact"/>
              <w:jc w:val="left"/>
            </w:pPr>
            <w:r>
              <w:t xml:space="preserve">Tier 1</w:t>
            </w:r>
          </w:p>
        </w:tc>
        <w:tc>
          <w:tcPr/>
          <w:p>
            <w:pPr>
              <w:pStyle w:val="Compact"/>
              <w:jc w:val="left"/>
            </w:pPr>
            <w:r>
              <w:t xml:space="preserve">Technical deviation (de minimis)</w:t>
            </w:r>
          </w:p>
        </w:tc>
        <w:tc>
          <w:tcPr/>
          <w:p>
            <w:pPr>
              <w:pStyle w:val="Compact"/>
              <w:jc w:val="left"/>
            </w:pPr>
            <w:r>
              <w:t xml:space="preserve">Reporting delays of forty-eight (48) hours or less; minor documented interruptions; single norm breach under Annex C without contact</w:t>
            </w:r>
          </w:p>
        </w:tc>
        <w:tc>
          <w:tcPr/>
          <w:p>
            <w:pPr>
              <w:pStyle w:val="Compact"/>
              <w:jc w:val="left"/>
            </w:pPr>
            <w:r>
              <w:t xml:space="preserve">No benefit reduction; technical assistance within seventy-two (72) hours; fourteen (14) day resolution window; confidential handling</w:t>
            </w:r>
          </w:p>
        </w:tc>
      </w:tr>
      <w:tr>
        <w:tc>
          <w:tcPr/>
          <w:p>
            <w:pPr>
              <w:pStyle w:val="Compact"/>
              <w:jc w:val="left"/>
            </w:pPr>
            <w:r>
              <w:t xml:space="preserve">Tier 2</w:t>
            </w:r>
          </w:p>
        </w:tc>
        <w:tc>
          <w:tcPr/>
          <w:p>
            <w:pPr>
              <w:pStyle w:val="Compact"/>
              <w:jc w:val="left"/>
            </w:pPr>
            <w:r>
              <w:t xml:space="preserve">Material disruption</w:t>
            </w:r>
          </w:p>
        </w:tc>
        <w:tc>
          <w:tcPr/>
          <w:p>
            <w:pPr>
              <w:pStyle w:val="Compact"/>
              <w:jc w:val="left"/>
            </w:pPr>
            <w:r>
              <w:t xml:space="preserve">Pattern of norm breaches; escort geometry violations; notice-system obstruction; flow-state abuse; sensor tampering indication</w:t>
            </w:r>
          </w:p>
        </w:tc>
        <w:tc>
          <w:tcPr/>
          <w:p>
            <w:pPr>
              <w:pStyle w:val="Compact"/>
              <w:jc w:val="left"/>
            </w:pPr>
            <w:r>
              <w:t xml:space="preserve">Graduated reduction in non-humanitarian benefits: 10% (days 1 to 7), 15% (days 7 to 14), 25% (days 15 to 30); humanitarian flows fully protected</w:t>
            </w:r>
          </w:p>
        </w:tc>
      </w:tr>
      <w:tr>
        <w:tc>
          <w:tcPr/>
          <w:p>
            <w:pPr>
              <w:pStyle w:val="Compact"/>
              <w:jc w:val="left"/>
            </w:pPr>
            <w:r>
              <w:t xml:space="preserve">Tier 3</w:t>
            </w:r>
          </w:p>
        </w:tc>
        <w:tc>
          <w:tcPr/>
          <w:p>
            <w:pPr>
              <w:pStyle w:val="Compact"/>
              <w:jc w:val="left"/>
            </w:pPr>
            <w:r>
              <w:t xml:space="preserve">Deliberate hostile deviation</w:t>
            </w:r>
          </w:p>
        </w:tc>
        <w:tc>
          <w:tcPr/>
          <w:p>
            <w:pPr>
              <w:pStyle w:val="Compact"/>
              <w:jc w:val="left"/>
            </w:pPr>
            <w:r>
              <w:t xml:space="preserve">Interdiction of commercial transit; toll demand or collection; mine or ordnance deployment; blockade reimposition; attack on inspectors; deliberate compromise of the verification architecture</w:t>
            </w:r>
          </w:p>
        </w:tc>
        <w:tc>
          <w:tcPr/>
          <w:p>
            <w:pPr>
              <w:pStyle w:val="Compact"/>
              <w:jc w:val="left"/>
            </w:pPr>
            <w:r>
              <w:t xml:space="preserve">Reduction in benefits graduated by response speed: 25% (remediation within 72 hours), 35% (after 72 hours), 50% (after 30 days); ninety (90) day remediation window; Guarantor Panel convenes</w:t>
            </w:r>
          </w:p>
        </w:tc>
      </w:tr>
    </w:tbl>
    <w:p>
      <w:pPr>
        <w:pStyle w:val="BodyText"/>
      </w:pPr>
      <w:r>
        <w:rPr>
          <w:bCs/>
          <w:b/>
        </w:rPr>
        <w:t xml:space="preserve">K.1</w:t>
      </w:r>
      <w:r>
        <w:t xml:space="preserve"> </w:t>
      </w:r>
      <w:r>
        <w:t xml:space="preserve">De minimis rule. Tier 1 events do not accumulate toward Tier 2, and each Tier 1 event resolves independently. Humanitarian tranches remain fully protected at every tier.</w:t>
      </w:r>
    </w:p>
    <w:bookmarkEnd w:id="134"/>
    <w:bookmarkStart w:id="135" w:name="Xa9e9c22743976cab7073ef06fec371653240481"/>
    <w:p>
      <w:pPr>
        <w:pStyle w:val="Heading2"/>
      </w:pPr>
      <w:r>
        <w:t xml:space="preserve">K.3 Deviation Reference Table (Maritime Module)</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1980"/>
        <w:gridCol w:w="1980"/>
        <w:gridCol w:w="1980"/>
        <w:gridCol w:w="1980"/>
      </w:tblGrid>
      <w:tr>
        <w:trPr>
          <w:tblHeader w:val="true"/>
        </w:trPr>
        <w:tc>
          <w:tcPr>
            <w:shd w:val="clear" w:color="auto" w:fill="D9E2EC"/>
          </w:tcPr>
          <w:p>
            <w:pPr>
              <w:pStyle w:val="Compact"/>
              <w:jc w:val="left"/>
            </w:pPr>
            <w:r>
              <w:rPr>
                <w:bCs/>
                <w:b/>
              </w:rPr>
              <w:t xml:space="preserve">Ref</w:t>
            </w:r>
          </w:p>
        </w:tc>
        <w:tc>
          <w:tcPr>
            <w:shd w:val="clear" w:color="auto" w:fill="D9E2EC"/>
          </w:tcPr>
          <w:p>
            <w:pPr>
              <w:pStyle w:val="Compact"/>
              <w:jc w:val="left"/>
            </w:pPr>
            <w:r>
              <w:rPr>
                <w:bCs/>
                <w:b/>
              </w:rPr>
              <w:t xml:space="preserve">Deviation</w:t>
            </w:r>
          </w:p>
        </w:tc>
        <w:tc>
          <w:tcPr>
            <w:shd w:val="clear" w:color="auto" w:fill="D9E2EC"/>
          </w:tcPr>
          <w:p>
            <w:pPr>
              <w:pStyle w:val="Compact"/>
              <w:jc w:val="left"/>
            </w:pPr>
            <w:r>
              <w:rPr>
                <w:bCs/>
                <w:b/>
              </w:rPr>
              <w:t xml:space="preserve">Technical Threshold</w:t>
            </w:r>
          </w:p>
        </w:tc>
        <w:tc>
          <w:tcPr>
            <w:shd w:val="clear" w:color="auto" w:fill="D9E2EC"/>
          </w:tcPr>
          <w:p>
            <w:pPr>
              <w:pStyle w:val="Compact"/>
              <w:jc w:val="left"/>
            </w:pPr>
            <w:r>
              <w:rPr>
                <w:bCs/>
                <w:b/>
              </w:rPr>
              <w:t xml:space="preserve">Class</w:t>
            </w:r>
          </w:p>
        </w:tc>
      </w:tr>
      <w:tr>
        <w:tc>
          <w:tcPr/>
          <w:p>
            <w:pPr>
              <w:pStyle w:val="Compact"/>
              <w:jc w:val="left"/>
            </w:pPr>
            <w:r>
              <w:t xml:space="preserve">M-1</w:t>
            </w:r>
          </w:p>
        </w:tc>
        <w:tc>
          <w:tcPr/>
          <w:p>
            <w:pPr>
              <w:pStyle w:val="Compact"/>
              <w:jc w:val="left"/>
            </w:pPr>
            <w:r>
              <w:t xml:space="preserve">Toll demand or collection</w:t>
            </w:r>
          </w:p>
        </w:tc>
        <w:tc>
          <w:tcPr/>
          <w:p>
            <w:pPr>
              <w:pStyle w:val="Compact"/>
              <w:jc w:val="left"/>
            </w:pPr>
            <w:r>
              <w:t xml:space="preserve">Any charge demanded or collected on passage, any name, any amount</w:t>
            </w:r>
          </w:p>
        </w:tc>
        <w:tc>
          <w:tcPr/>
          <w:p>
            <w:pPr>
              <w:pStyle w:val="Compact"/>
              <w:jc w:val="left"/>
            </w:pPr>
            <w:r>
              <w:t xml:space="preserve">Tier 2; Tier 3 on recurrence</w:t>
            </w:r>
          </w:p>
        </w:tc>
      </w:tr>
      <w:tr>
        <w:tc>
          <w:tcPr/>
          <w:p>
            <w:pPr>
              <w:pStyle w:val="Compact"/>
              <w:jc w:val="left"/>
            </w:pPr>
            <w:r>
              <w:t xml:space="preserve">M-2</w:t>
            </w:r>
          </w:p>
        </w:tc>
        <w:tc>
          <w:tcPr/>
          <w:p>
            <w:pPr>
              <w:pStyle w:val="Compact"/>
              <w:jc w:val="left"/>
            </w:pPr>
            <w:r>
              <w:t xml:space="preserve">Interdiction of commercial transit</w:t>
            </w:r>
          </w:p>
        </w:tc>
        <w:tc>
          <w:tcPr/>
          <w:p>
            <w:pPr>
              <w:pStyle w:val="Compact"/>
              <w:jc w:val="left"/>
            </w:pPr>
            <w:r>
              <w:t xml:space="preserve">Attack, seizure, enforcement boarding, diversion, or detention outside the Annex B anchorage protocol</w:t>
            </w:r>
          </w:p>
        </w:tc>
        <w:tc>
          <w:tcPr/>
          <w:p>
            <w:pPr>
              <w:pStyle w:val="Compact"/>
              <w:jc w:val="left"/>
            </w:pPr>
            <w:r>
              <w:t xml:space="preserve">Tier 3</w:t>
            </w:r>
          </w:p>
        </w:tc>
      </w:tr>
      <w:tr>
        <w:tc>
          <w:tcPr/>
          <w:p>
            <w:pPr>
              <w:pStyle w:val="Compact"/>
              <w:jc w:val="left"/>
            </w:pPr>
            <w:r>
              <w:t xml:space="preserve">M-3</w:t>
            </w:r>
          </w:p>
        </w:tc>
        <w:tc>
          <w:tcPr/>
          <w:p>
            <w:pPr>
              <w:pStyle w:val="Compact"/>
              <w:jc w:val="left"/>
            </w:pPr>
            <w:r>
              <w:t xml:space="preserve">Corridor closure beyond 72 hours</w:t>
            </w:r>
          </w:p>
        </w:tc>
        <w:tc>
          <w:tcPr/>
          <w:p>
            <w:pPr>
              <w:pStyle w:val="Compact"/>
              <w:jc w:val="left"/>
            </w:pPr>
            <w:r>
              <w:t xml:space="preserve">Routing adjustment exceeding seventy-two (72) hours outside Annex A grounds</w:t>
            </w:r>
          </w:p>
        </w:tc>
        <w:tc>
          <w:tcPr/>
          <w:p>
            <w:pPr>
              <w:pStyle w:val="Compact"/>
              <w:jc w:val="left"/>
            </w:pPr>
            <w:r>
              <w:t xml:space="preserve">Tier 2</w:t>
            </w:r>
          </w:p>
        </w:tc>
      </w:tr>
      <w:tr>
        <w:tc>
          <w:tcPr/>
          <w:p>
            <w:pPr>
              <w:pStyle w:val="Compact"/>
              <w:jc w:val="left"/>
            </w:pPr>
            <w:r>
              <w:t xml:space="preserve">M-4</w:t>
            </w:r>
          </w:p>
        </w:tc>
        <w:tc>
          <w:tcPr/>
          <w:p>
            <w:pPr>
              <w:pStyle w:val="Compact"/>
              <w:jc w:val="left"/>
            </w:pPr>
            <w:r>
              <w:t xml:space="preserve">Notice-system obstruction</w:t>
            </w:r>
          </w:p>
        </w:tc>
        <w:tc>
          <w:tcPr/>
          <w:p>
            <w:pPr>
              <w:pStyle w:val="Compact"/>
              <w:jc w:val="left"/>
            </w:pPr>
            <w:r>
              <w:t xml:space="preserve">Failure to issue automatic acknowledgment within sixty (60) minutes, pattern of three (3) in thirty (30) days</w:t>
            </w:r>
          </w:p>
        </w:tc>
        <w:tc>
          <w:tcPr/>
          <w:p>
            <w:pPr>
              <w:pStyle w:val="Compact"/>
              <w:jc w:val="left"/>
            </w:pPr>
            <w:r>
              <w:t xml:space="preserve">Tier 2</w:t>
            </w:r>
          </w:p>
        </w:tc>
      </w:tr>
      <w:tr>
        <w:tc>
          <w:tcPr/>
          <w:p>
            <w:pPr>
              <w:pStyle w:val="Compact"/>
              <w:jc w:val="left"/>
            </w:pPr>
            <w:r>
              <w:t xml:space="preserve">M-5</w:t>
            </w:r>
          </w:p>
        </w:tc>
        <w:tc>
          <w:tcPr/>
          <w:p>
            <w:pPr>
              <w:pStyle w:val="Compact"/>
              <w:jc w:val="left"/>
            </w:pPr>
            <w:r>
              <w:t xml:space="preserve">Escort protocol breach</w:t>
            </w:r>
          </w:p>
        </w:tc>
        <w:tc>
          <w:tcPr/>
          <w:p>
            <w:pPr>
              <w:pStyle w:val="Compact"/>
              <w:jc w:val="left"/>
            </w:pPr>
            <w:r>
              <w:t xml:space="preserve">At-sea interdiction act by a Lead-Escort Craft; persistent geometry violation after Level 2 review</w:t>
            </w:r>
          </w:p>
        </w:tc>
        <w:tc>
          <w:tcPr/>
          <w:p>
            <w:pPr>
              <w:pStyle w:val="Compact"/>
              <w:jc w:val="left"/>
            </w:pPr>
            <w:r>
              <w:t xml:space="preserve">Tier 2; Tier 3 on recurrence</w:t>
            </w:r>
          </w:p>
        </w:tc>
      </w:tr>
      <w:tr>
        <w:tc>
          <w:tcPr/>
          <w:p>
            <w:pPr>
              <w:pStyle w:val="Compact"/>
              <w:jc w:val="left"/>
            </w:pPr>
            <w:r>
              <w:t xml:space="preserve">M-6</w:t>
            </w:r>
          </w:p>
        </w:tc>
        <w:tc>
          <w:tcPr/>
          <w:p>
            <w:pPr>
              <w:pStyle w:val="Compact"/>
              <w:jc w:val="left"/>
            </w:pPr>
            <w:r>
              <w:t xml:space="preserve">Humanitarian delay</w:t>
            </w:r>
          </w:p>
        </w:tc>
        <w:tc>
          <w:tcPr/>
          <w:p>
            <w:pPr>
              <w:pStyle w:val="Compact"/>
              <w:jc w:val="left"/>
            </w:pPr>
            <w:r>
              <w:t xml:space="preserve">Any administrative delay of a Class 5 vessel</w:t>
            </w:r>
          </w:p>
        </w:tc>
        <w:tc>
          <w:tcPr/>
          <w:p>
            <w:pPr>
              <w:pStyle w:val="Compact"/>
              <w:jc w:val="left"/>
            </w:pPr>
            <w:r>
              <w:t xml:space="preserve">Tier 2</w:t>
            </w:r>
          </w:p>
        </w:tc>
      </w:tr>
      <w:tr>
        <w:tc>
          <w:tcPr/>
          <w:p>
            <w:pPr>
              <w:pStyle w:val="Compact"/>
              <w:jc w:val="left"/>
            </w:pPr>
            <w:r>
              <w:t xml:space="preserve">M-7</w:t>
            </w:r>
          </w:p>
        </w:tc>
        <w:tc>
          <w:tcPr/>
          <w:p>
            <w:pPr>
              <w:pStyle w:val="Compact"/>
              <w:jc w:val="left"/>
            </w:pPr>
            <w:r>
              <w:t xml:space="preserve">Mine or ordnance deployment</w:t>
            </w:r>
          </w:p>
        </w:tc>
        <w:tc>
          <w:tcPr/>
          <w:p>
            <w:pPr>
              <w:pStyle w:val="Compact"/>
              <w:jc w:val="left"/>
            </w:pPr>
            <w:r>
              <w:t xml:space="preserve">Laying or tolerance of naval mines in the Governance Area</w:t>
            </w:r>
          </w:p>
        </w:tc>
        <w:tc>
          <w:tcPr/>
          <w:p>
            <w:pPr>
              <w:pStyle w:val="Compact"/>
              <w:jc w:val="left"/>
            </w:pPr>
            <w:r>
              <w:t xml:space="preserve">Tier 3</w:t>
            </w:r>
          </w:p>
        </w:tc>
      </w:tr>
      <w:tr>
        <w:tc>
          <w:tcPr/>
          <w:p>
            <w:pPr>
              <w:pStyle w:val="Compact"/>
              <w:jc w:val="left"/>
            </w:pPr>
            <w:r>
              <w:t xml:space="preserve">M-8</w:t>
            </w:r>
          </w:p>
        </w:tc>
        <w:tc>
          <w:tcPr/>
          <w:p>
            <w:pPr>
              <w:pStyle w:val="Compact"/>
              <w:jc w:val="left"/>
            </w:pPr>
            <w:r>
              <w:t xml:space="preserve">Swarm or intercept-approach event</w:t>
            </w:r>
          </w:p>
        </w:tc>
        <w:tc>
          <w:tcPr/>
          <w:p>
            <w:pPr>
              <w:pStyle w:val="Compact"/>
              <w:jc w:val="left"/>
            </w:pPr>
            <w:r>
              <w:t xml:space="preserve">Multi-craft close approach or intercept-angle approach outside Annex C exceptions</w:t>
            </w:r>
          </w:p>
        </w:tc>
        <w:tc>
          <w:tcPr/>
          <w:p>
            <w:pPr>
              <w:pStyle w:val="Compact"/>
              <w:jc w:val="left"/>
            </w:pPr>
            <w:r>
              <w:t xml:space="preserve">Tier 2</w:t>
            </w:r>
          </w:p>
        </w:tc>
      </w:tr>
      <w:tr>
        <w:tc>
          <w:tcPr/>
          <w:p>
            <w:pPr>
              <w:pStyle w:val="Compact"/>
              <w:jc w:val="left"/>
            </w:pPr>
            <w:r>
              <w:t xml:space="preserve">M-9</w:t>
            </w:r>
          </w:p>
        </w:tc>
        <w:tc>
          <w:tcPr/>
          <w:p>
            <w:pPr>
              <w:pStyle w:val="Compact"/>
              <w:jc w:val="left"/>
            </w:pPr>
            <w:r>
              <w:t xml:space="preserve">Blockade reimposition</w:t>
            </w:r>
          </w:p>
        </w:tc>
        <w:tc>
          <w:tcPr/>
          <w:p>
            <w:pPr>
              <w:pStyle w:val="Compact"/>
              <w:jc w:val="left"/>
            </w:pPr>
            <w:r>
              <w:t xml:space="preserve">Any measure amounting to blockade or quarantine of commercial traffic</w:t>
            </w:r>
          </w:p>
        </w:tc>
        <w:tc>
          <w:tcPr/>
          <w:p>
            <w:pPr>
              <w:pStyle w:val="Compact"/>
              <w:jc w:val="left"/>
            </w:pPr>
            <w:r>
              <w:t xml:space="preserve">Tier 3</w:t>
            </w:r>
          </w:p>
        </w:tc>
      </w:tr>
    </w:tbl>
    <w:bookmarkEnd w:id="135"/>
    <w:bookmarkStart w:id="136" w:name="k.4-step-back-mechanics"/>
    <w:p>
      <w:pPr>
        <w:pStyle w:val="Heading2"/>
      </w:pPr>
      <w:r>
        <w:t xml:space="preserve">K.4 Step-Back Mechanics</w:t>
      </w:r>
    </w:p>
    <w:p>
      <w:pPr>
        <w:pStyle w:val="FirstParagraph"/>
      </w:pPr>
      <w:r>
        <w:rPr>
          <w:bCs/>
          <w:b/>
        </w:rPr>
        <w:t xml:space="preserve">K.2</w:t>
      </w:r>
      <w:r>
        <w:t xml:space="preserve"> </w:t>
      </w:r>
      <w:r>
        <w:t xml:space="preserve">Step-back operates on three principles. Proportionality: reductions match severity and duration, computed as the base tier reduction multiplied by a duration factor (0.4 for correction within twenty-four hours, rising to 1.0 at expiry of the remediation window uncured) multiplied by a remediation factor (0.5 for full remediation, 0.75 for partial, 1.0 for none). Sequenced impact: benefits pause in a fixed order, discretionary measures first, then commercial financial benefits, then core relief tranches, then core constraints, and humanitarian tranches never. Human-in-the-loop: no step-back activates without the process of Section K.6.</w:t>
      </w:r>
    </w:p>
    <w:p>
      <w:pPr>
        <w:pStyle w:val="BodyText"/>
      </w:pPr>
      <w:r>
        <w:rPr>
          <w:bCs/>
          <w:b/>
        </w:rPr>
        <w:t xml:space="preserve">K.3</w:t>
      </w:r>
      <w:r>
        <w:t xml:space="preserve"> </w:t>
      </w:r>
      <w:r>
        <w:t xml:space="preserve">Cross-module spillover protection. Step-back reductions apply only within the module where the violation occurred. Cross-module spillover requires certification by a two-thirds majority under the Consensus Minus One rule of Section K.7. The partial success doctrine binds interpretation: no single unresolved module invalidates the remainder of the Compact.</w:t>
      </w:r>
    </w:p>
    <w:bookmarkEnd w:id="136"/>
    <w:bookmarkStart w:id="137" w:name="k.5-the-earn-back-pathway"/>
    <w:p>
      <w:pPr>
        <w:pStyle w:val="Heading2"/>
      </w:pPr>
      <w:r>
        <w:t xml:space="preserve">K.5 The Earn-Back Pathway</w:t>
      </w:r>
    </w:p>
    <w:p>
      <w:pPr>
        <w:pStyle w:val="FirstParagraph"/>
      </w:pPr>
      <w:r>
        <w:rPr>
          <w:bCs/>
          <w:b/>
        </w:rPr>
        <w:t xml:space="preserve">K.4</w:t>
      </w:r>
      <w:r>
        <w:t xml:space="preserve"> </w:t>
      </w:r>
      <w:r>
        <w:t xml:space="preserve">Earn-back is a structural feature, not a privilege. Tier 1 requires no earn-back: resolution within fourteen (14) days returns the Party to full status automatically. Tier 2 earn-back follows fourteen (14) days of clean compliance after remediation, with full benefits restoring automatically upon clean certification. Tier 3 earn-back follows ninety (90) days of sustained clean compliance, with full benefits restoring automatically upon clean certification and majority confirmation. Over-compliance credit reduces each monitoring period by up to twenty-five (25) percent.</w:t>
      </w:r>
    </w:p>
    <w:p>
      <w:pPr>
        <w:pStyle w:val="BodyText"/>
      </w:pPr>
      <w:r>
        <w:rPr>
          <w:bCs/>
          <w:b/>
        </w:rPr>
        <w:t xml:space="preserve">K.5</w:t>
      </w:r>
      <w:r>
        <w:t xml:space="preserve"> </w:t>
      </w:r>
      <w:r>
        <w:t xml:space="preserve">Earn-back does not entail admission of guilt, payment of penalties, political concessions, or renegotiation of the underlying commitment. Earn-back proceeds on verified compliance with the breached obligation, sustained compliance for the defined monitoring period, the applicable confirmation, and no new Tier 2 or Tier 3 violation during the monitoring period.</w:t>
      </w:r>
    </w:p>
    <w:bookmarkEnd w:id="137"/>
    <w:bookmarkStart w:id="138" w:name="k.6-human-in-the-loop-and-cooling-off"/>
    <w:p>
      <w:pPr>
        <w:pStyle w:val="Heading2"/>
      </w:pPr>
      <w:r>
        <w:t xml:space="preserve">K.6 Human-in-the-Loop and Cooling-Off</w:t>
      </w:r>
    </w:p>
    <w:p>
      <w:pPr>
        <w:pStyle w:val="FirstParagraph"/>
      </w:pPr>
      <w:r>
        <w:rPr>
          <w:bCs/>
          <w:b/>
        </w:rPr>
        <w:t xml:space="preserve">K.6</w:t>
      </w:r>
      <w:r>
        <w:t xml:space="preserve"> </w:t>
      </w:r>
      <w:r>
        <w:t xml:space="preserve">Before any step-back penalty activates: automated systems flag anomalies and present evidence packages within six (6) hours of detection; the Duty Officer reviews the package within twelve (12) hours; senior officials of the Parties concerned confer within a mandatory forty-eight (48) hour cooling-off period; and executive consultation confirms the tier classification before any penalty applies. During cooling-off, no penalties accrue, the facilitator proposes de-escalation measures, and the period extends up to seventy-two (72) hours by mutual agreement. An annual audit verifies that no automated system makes an autonomous penalty decision.</w:t>
      </w:r>
    </w:p>
    <w:p>
      <w:pPr>
        <w:pStyle w:val="BodyText"/>
      </w:pPr>
      <w:r>
        <w:rPr>
          <w:bCs/>
          <w:b/>
        </w:rPr>
        <w:t xml:space="preserve">K.7</w:t>
      </w:r>
      <w:r>
        <w:t xml:space="preserve"> </w:t>
      </w:r>
      <w:r>
        <w:t xml:space="preserve">Automatic suspension for monitoring failure, sole exception. Where telemetry from a verification-relevant facility or corridor station is unavailable for forty-eight (48) consecutive hours and the Technical Working Group certifies the unavailability is not attributable to equipment failure or maintenance, all Compact benefits related to that facility suspend automatically, with no human veto. The suspension lifts immediately upon certification that telemetry restores and verifies as authentic. This is the only penalty that activates without executive consultation.</w:t>
      </w:r>
    </w:p>
    <w:bookmarkEnd w:id="138"/>
    <w:bookmarkStart w:id="139" w:name="k.7-protective-architecture"/>
    <w:p>
      <w:pPr>
        <w:pStyle w:val="Heading2"/>
      </w:pPr>
      <w:r>
        <w:t xml:space="preserve">K.7 Protective Architecture</w:t>
      </w:r>
    </w:p>
    <w:p>
      <w:pPr>
        <w:pStyle w:val="FirstParagraph"/>
      </w:pPr>
      <w:r>
        <w:rPr>
          <w:bCs/>
          <w:b/>
        </w:rPr>
        <w:t xml:space="preserve">•</w:t>
      </w:r>
      <w:r>
        <w:t xml:space="preserve"> </w:t>
      </w:r>
      <w:r>
        <w:t xml:space="preserve">Consensus Minus One. For every Tier 2 and Tier 3 determination, cross-module spillover certification, and gaming-pattern finding, the framework excludes the vote of the Party or Member whose conduct is at issue; all other oversight members agree. Failure to achieve consensus minus one refers the matter to the Guarantor Panel for final judgment.</w:t>
      </w:r>
    </w:p>
    <w:p>
      <w:pPr>
        <w:pStyle w:val="BodyText"/>
      </w:pPr>
      <w:r>
        <w:rPr>
          <w:bCs/>
          <w:b/>
        </w:rPr>
        <w:t xml:space="preserve">•</w:t>
      </w:r>
      <w:r>
        <w:t xml:space="preserve"> </w:t>
      </w:r>
      <w:r>
        <w:t xml:space="preserve">The Silence Clause. Operational services never pause for disputes: escort rotations, clearance operations, hotline operations, verification activity, and Fund disbursements for certified services continue through every dispute, every classification, and every consultation.</w:t>
      </w:r>
    </w:p>
    <w:p>
      <w:pPr>
        <w:pStyle w:val="BodyText"/>
      </w:pPr>
      <w:r>
        <w:rPr>
          <w:bCs/>
          <w:b/>
        </w:rPr>
        <w:t xml:space="preserve">•</w:t>
      </w:r>
      <w:r>
        <w:t xml:space="preserve"> </w:t>
      </w:r>
      <w:r>
        <w:t xml:space="preserve">Temporary Operational Suspension. Either Principal Party invokes a suspension of up to fourteen (14) days per invocation, at most three (3) invocations per calendar year, as a safety valve for domestic political crisis, leadership transition, or regional spillover. Suspension freezes new obligations but preserves verification custody, the hotline, humanitarian corridors, and escrowed funds, and constitutes no breach. Step-back clocks and earn-back timelines pause during suspension.</w:t>
      </w:r>
    </w:p>
    <w:p>
      <w:pPr>
        <w:pStyle w:val="BodyText"/>
      </w:pPr>
      <w:r>
        <w:rPr>
          <w:bCs/>
          <w:b/>
        </w:rPr>
        <w:t xml:space="preserve">•</w:t>
      </w:r>
      <w:r>
        <w:t xml:space="preserve"> </w:t>
      </w:r>
      <w:r>
        <w:t xml:space="preserve">Good Faith Reset. A Party whose verification score falls to negative twenty (20) or below invokes a reset to zero once per phase, on written acknowledgment of errors and a commitment to seven (7) days of enhanced cooperation. The reset is a safety valve, not a free pass.</w:t>
      </w:r>
    </w:p>
    <w:p>
      <w:pPr>
        <w:pStyle w:val="BodyText"/>
      </w:pPr>
      <w:r>
        <w:rPr>
          <w:bCs/>
          <w:b/>
        </w:rPr>
        <w:t xml:space="preserve">•</w:t>
      </w:r>
      <w:r>
        <w:t xml:space="preserve"> </w:t>
      </w:r>
      <w:r>
        <w:t xml:space="preserve">False Flag Protocol. For attacks by unknown actors, the Parties concerned operate under a presumption of good faith, a forty-eight (48) hour attribution deferral window applies before any penalty assignment, forensic investigation precedes any breach classification, and rogue actors and false-flag operations stand excluded from bilateral penalties.</w:t>
      </w:r>
    </w:p>
    <w:p>
      <w:pPr>
        <w:pStyle w:val="BodyText"/>
      </w:pPr>
      <w:r>
        <w:rPr>
          <w:bCs/>
          <w:b/>
        </w:rPr>
        <w:t xml:space="preserve">•</w:t>
      </w:r>
      <w:r>
        <w:t xml:space="preserve"> </w:t>
      </w:r>
      <w:r>
        <w:t xml:space="preserve">No Automatic Military Escalation. Under no circumstances does a compliance dispute, a Tier 2 or Tier 3 violation, a step-back penalty, or a Compact suspension automatically authorize, trigger, or justify the use of military force by any Party or Member. The step-back architecture is purely economic and diplomatic. Military action requires a separate, explicit decision by the respective head of government under constitutional procedures. This separation is absolute and non-waivable.</w:t>
      </w:r>
    </w:p>
    <w:bookmarkEnd w:id="139"/>
    <w:bookmarkEnd w:id="140"/>
    <w:bookmarkStart w:id="146" w:name="X63dcc49624bdfec016ba1d7e46ebaa28d23fa63"/>
    <w:p>
      <w:pPr>
        <w:pStyle w:val="Heading1"/>
      </w:pPr>
      <w:r>
        <w:t xml:space="preserve">Annex L. Authorized Terminology Registry and Narrative Symmetry</w:t>
      </w:r>
    </w:p>
    <w:p>
      <w:pPr>
        <w:pStyle w:val="FirstParagraph"/>
      </w:pPr>
      <w:r>
        <w:t xml:space="preserve">Operative Annex for all Articles. This annex registers the approved public descriptors for measures under this Compact and records the accurate public characterizations available to each participant, so that every government defends the Compact domestically without contradicting another.</w:t>
      </w:r>
    </w:p>
    <w:bookmarkStart w:id="141" w:name="l.1-approved-terms"/>
    <w:p>
      <w:pPr>
        <w:pStyle w:val="Heading2"/>
      </w:pPr>
      <w:r>
        <w:t xml:space="preserve">L.1 Approved Terms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3960"/>
        <w:gridCol w:w="3960"/>
      </w:tblGrid>
      <w:tr>
        <w:trPr>
          <w:tblHeader w:val="true"/>
        </w:trPr>
        <w:tc>
          <w:tcPr>
            <w:shd w:val="clear" w:color="auto" w:fill="D9E2EC"/>
          </w:tcPr>
          <w:p>
            <w:pPr>
              <w:pStyle w:val="Compact"/>
              <w:jc w:val="left"/>
            </w:pPr>
            <w:r>
              <w:rPr>
                <w:bCs/>
                <w:b/>
              </w:rPr>
              <w:t xml:space="preserve">Approved Public Descriptor</w:t>
            </w:r>
          </w:p>
        </w:tc>
        <w:tc>
          <w:tcPr>
            <w:shd w:val="clear" w:color="auto" w:fill="D9E2EC"/>
          </w:tcPr>
          <w:p>
            <w:pPr>
              <w:pStyle w:val="Compact"/>
              <w:jc w:val="left"/>
            </w:pPr>
            <w:r>
              <w:rPr>
                <w:bCs/>
                <w:b/>
              </w:rPr>
              <w:t xml:space="preserve">Operative Equivalent</w:t>
            </w:r>
          </w:p>
        </w:tc>
      </w:tr>
      <w:tr>
        <w:tc>
          <w:tcPr/>
          <w:p>
            <w:pPr>
              <w:pStyle w:val="Compact"/>
              <w:jc w:val="left"/>
            </w:pPr>
            <w:r>
              <w:t xml:space="preserve">Technical measure</w:t>
            </w:r>
          </w:p>
        </w:tc>
        <w:tc>
          <w:tcPr/>
          <w:p>
            <w:pPr>
              <w:pStyle w:val="Compact"/>
              <w:jc w:val="left"/>
            </w:pPr>
            <w:r>
              <w:t xml:space="preserve">Any operative obligation of the Articles</w:t>
            </w:r>
          </w:p>
        </w:tc>
      </w:tr>
      <w:tr>
        <w:tc>
          <w:tcPr/>
          <w:p>
            <w:pPr>
              <w:pStyle w:val="Compact"/>
              <w:jc w:val="left"/>
            </w:pPr>
            <w:r>
              <w:t xml:space="preserve">Stabilization step</w:t>
            </w:r>
          </w:p>
        </w:tc>
        <w:tc>
          <w:tcPr/>
          <w:p>
            <w:pPr>
              <w:pStyle w:val="Compact"/>
              <w:jc w:val="left"/>
            </w:pPr>
            <w:r>
              <w:t xml:space="preserve">Any sequenced action on the Annex G schedule</w:t>
            </w:r>
          </w:p>
        </w:tc>
      </w:tr>
      <w:tr>
        <w:tc>
          <w:tcPr/>
          <w:p>
            <w:pPr>
              <w:pStyle w:val="Compact"/>
              <w:jc w:val="left"/>
            </w:pPr>
            <w:r>
              <w:t xml:space="preserve">Confidence-building action</w:t>
            </w:r>
          </w:p>
        </w:tc>
        <w:tc>
          <w:tcPr/>
          <w:p>
            <w:pPr>
              <w:pStyle w:val="Compact"/>
              <w:jc w:val="left"/>
            </w:pPr>
            <w:r>
              <w:t xml:space="preserve">Any reversible early measure, including the paired Day 0 actions</w:t>
            </w:r>
          </w:p>
        </w:tc>
      </w:tr>
      <w:tr>
        <w:tc>
          <w:tcPr/>
          <w:p>
            <w:pPr>
              <w:pStyle w:val="Compact"/>
              <w:jc w:val="left"/>
            </w:pPr>
            <w:r>
              <w:t xml:space="preserve">Reciprocal action</w:t>
            </w:r>
          </w:p>
        </w:tc>
        <w:tc>
          <w:tcPr/>
          <w:p>
            <w:pPr>
              <w:pStyle w:val="Compact"/>
              <w:jc w:val="left"/>
            </w:pPr>
            <w:r>
              <w:t xml:space="preserve">Any obligation paired with a simultaneous obligation of another Party</w:t>
            </w:r>
          </w:p>
        </w:tc>
      </w:tr>
      <w:tr>
        <w:tc>
          <w:tcPr/>
          <w:p>
            <w:pPr>
              <w:pStyle w:val="Compact"/>
              <w:jc w:val="left"/>
            </w:pPr>
            <w:r>
              <w:t xml:space="preserve">Certified fairway</w:t>
            </w:r>
          </w:p>
        </w:tc>
        <w:tc>
          <w:tcPr/>
          <w:p>
            <w:pPr>
              <w:pStyle w:val="Compact"/>
              <w:jc w:val="left"/>
            </w:pPr>
            <w:r>
              <w:t xml:space="preserve">Any lane holding a Safe Route Certification under Annex D</w:t>
            </w:r>
          </w:p>
        </w:tc>
      </w:tr>
      <w:tr>
        <w:tc>
          <w:tcPr/>
          <w:p>
            <w:pPr>
              <w:pStyle w:val="Compact"/>
              <w:jc w:val="left"/>
            </w:pPr>
            <w:r>
              <w:t xml:space="preserve">Safety escort</w:t>
            </w:r>
          </w:p>
        </w:tc>
        <w:tc>
          <w:tcPr/>
          <w:p>
            <w:pPr>
              <w:pStyle w:val="Compact"/>
              <w:jc w:val="left"/>
            </w:pPr>
            <w:r>
              <w:t xml:space="preserve">The Lead-Escort Safety Service of Annex C</w:t>
            </w:r>
          </w:p>
        </w:tc>
      </w:tr>
      <w:tr>
        <w:tc>
          <w:tcPr/>
          <w:p>
            <w:pPr>
              <w:pStyle w:val="Compact"/>
              <w:jc w:val="left"/>
            </w:pPr>
            <w:r>
              <w:t xml:space="preserve">Verified performance</w:t>
            </w:r>
          </w:p>
        </w:tc>
        <w:tc>
          <w:tcPr/>
          <w:p>
            <w:pPr>
              <w:pStyle w:val="Compact"/>
              <w:jc w:val="left"/>
            </w:pPr>
            <w:r>
              <w:t xml:space="preserve">Any obligation certified under the Annex B tier standard</w:t>
            </w:r>
          </w:p>
        </w:tc>
      </w:tr>
      <w:tr>
        <w:tc>
          <w:tcPr/>
          <w:p>
            <w:pPr>
              <w:pStyle w:val="Compact"/>
              <w:jc w:val="left"/>
            </w:pPr>
            <w:r>
              <w:t xml:space="preserve">Orderly transition</w:t>
            </w:r>
          </w:p>
        </w:tc>
        <w:tc>
          <w:tcPr/>
          <w:p>
            <w:pPr>
              <w:pStyle w:val="Compact"/>
              <w:jc w:val="left"/>
            </w:pPr>
            <w:r>
              <w:t xml:space="preserve">Withdrawal under Section 16.6</w:t>
            </w:r>
          </w:p>
        </w:tc>
      </w:tr>
    </w:tbl>
    <w:bookmarkEnd w:id="141"/>
    <w:bookmarkStart w:id="142" w:name="X3220bb75506d1b82f0a1494109b0f7561cc0da7"/>
    <w:p>
      <w:pPr>
        <w:pStyle w:val="Heading2"/>
      </w:pPr>
      <w:r>
        <w:t xml:space="preserve">L.2 Excluded Terms and Approved Substitutes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3960"/>
        <w:gridCol w:w="3960"/>
      </w:tblGrid>
      <w:tr>
        <w:trPr>
          <w:tblHeader w:val="true"/>
        </w:trPr>
        <w:tc>
          <w:tcPr>
            <w:shd w:val="clear" w:color="auto" w:fill="D9E2EC"/>
          </w:tcPr>
          <w:p>
            <w:pPr>
              <w:pStyle w:val="Compact"/>
              <w:jc w:val="left"/>
            </w:pPr>
            <w:r>
              <w:rPr>
                <w:bCs/>
                <w:b/>
              </w:rPr>
              <w:t xml:space="preserve">Excluded Term</w:t>
            </w:r>
          </w:p>
        </w:tc>
        <w:tc>
          <w:tcPr>
            <w:shd w:val="clear" w:color="auto" w:fill="D9E2EC"/>
          </w:tcPr>
          <w:p>
            <w:pPr>
              <w:pStyle w:val="Compact"/>
              <w:jc w:val="left"/>
            </w:pPr>
            <w:r>
              <w:rPr>
                <w:bCs/>
                <w:b/>
              </w:rPr>
              <w:t xml:space="preserve">Approved Substitute</w:t>
            </w:r>
          </w:p>
        </w:tc>
      </w:tr>
      <w:tr>
        <w:tc>
          <w:tcPr/>
          <w:p>
            <w:pPr>
              <w:pStyle w:val="Compact"/>
              <w:jc w:val="left"/>
            </w:pPr>
            <w:r>
              <w:t xml:space="preserve">Concession</w:t>
            </w:r>
          </w:p>
        </w:tc>
        <w:tc>
          <w:tcPr/>
          <w:p>
            <w:pPr>
              <w:pStyle w:val="Compact"/>
              <w:jc w:val="left"/>
            </w:pPr>
            <w:r>
              <w:t xml:space="preserve">Reciprocal action; framework commitment</w:t>
            </w:r>
          </w:p>
        </w:tc>
      </w:tr>
      <w:tr>
        <w:tc>
          <w:tcPr/>
          <w:p>
            <w:pPr>
              <w:pStyle w:val="Compact"/>
              <w:jc w:val="left"/>
            </w:pPr>
            <w:r>
              <w:t xml:space="preserve">Surrender</w:t>
            </w:r>
          </w:p>
        </w:tc>
        <w:tc>
          <w:tcPr/>
          <w:p>
            <w:pPr>
              <w:pStyle w:val="Compact"/>
              <w:jc w:val="left"/>
            </w:pPr>
            <w:r>
              <w:t xml:space="preserve">Framework commitment</w:t>
            </w:r>
          </w:p>
        </w:tc>
      </w:tr>
      <w:tr>
        <w:tc>
          <w:tcPr/>
          <w:p>
            <w:pPr>
              <w:pStyle w:val="Compact"/>
              <w:jc w:val="left"/>
            </w:pPr>
            <w:r>
              <w:t xml:space="preserve">Capitulation</w:t>
            </w:r>
          </w:p>
        </w:tc>
        <w:tc>
          <w:tcPr/>
          <w:p>
            <w:pPr>
              <w:pStyle w:val="Compact"/>
              <w:jc w:val="left"/>
            </w:pPr>
            <w:r>
              <w:t xml:space="preserve">Framework commitment</w:t>
            </w:r>
          </w:p>
        </w:tc>
      </w:tr>
      <w:tr>
        <w:tc>
          <w:tcPr/>
          <w:p>
            <w:pPr>
              <w:pStyle w:val="Compact"/>
              <w:jc w:val="left"/>
            </w:pPr>
            <w:r>
              <w:t xml:space="preserve">Retreat</w:t>
            </w:r>
          </w:p>
        </w:tc>
        <w:tc>
          <w:tcPr/>
          <w:p>
            <w:pPr>
              <w:pStyle w:val="Compact"/>
              <w:jc w:val="left"/>
            </w:pPr>
            <w:r>
              <w:t xml:space="preserve">Stabilization step; orderly transition</w:t>
            </w:r>
          </w:p>
        </w:tc>
      </w:tr>
      <w:tr>
        <w:tc>
          <w:tcPr/>
          <w:p>
            <w:pPr>
              <w:pStyle w:val="Compact"/>
              <w:jc w:val="left"/>
            </w:pPr>
            <w:r>
              <w:t xml:space="preserve">Violation</w:t>
            </w:r>
          </w:p>
        </w:tc>
        <w:tc>
          <w:tcPr/>
          <w:p>
            <w:pPr>
              <w:pStyle w:val="Compact"/>
              <w:jc w:val="left"/>
            </w:pPr>
            <w:r>
              <w:t xml:space="preserve">Deviation; disruption</w:t>
            </w:r>
          </w:p>
        </w:tc>
      </w:tr>
      <w:tr>
        <w:tc>
          <w:tcPr/>
          <w:p>
            <w:pPr>
              <w:pStyle w:val="Compact"/>
              <w:jc w:val="left"/>
            </w:pPr>
            <w:r>
              <w:t xml:space="preserve">Collapse</w:t>
            </w:r>
          </w:p>
        </w:tc>
        <w:tc>
          <w:tcPr/>
          <w:p>
            <w:pPr>
              <w:pStyle w:val="Compact"/>
              <w:jc w:val="left"/>
            </w:pPr>
            <w:r>
              <w:t xml:space="preserve">Pause; suspension</w:t>
            </w:r>
          </w:p>
        </w:tc>
      </w:tr>
      <w:tr>
        <w:tc>
          <w:tcPr/>
          <w:p>
            <w:pPr>
              <w:pStyle w:val="Compact"/>
              <w:jc w:val="left"/>
            </w:pPr>
            <w:r>
              <w:t xml:space="preserve">Failure</w:t>
            </w:r>
          </w:p>
        </w:tc>
        <w:tc>
          <w:tcPr/>
          <w:p>
            <w:pPr>
              <w:pStyle w:val="Compact"/>
              <w:jc w:val="left"/>
            </w:pPr>
            <w:r>
              <w:t xml:space="preserve">Review period</w:t>
            </w:r>
          </w:p>
        </w:tc>
      </w:tr>
      <w:tr>
        <w:tc>
          <w:tcPr/>
          <w:p>
            <w:pPr>
              <w:pStyle w:val="Compact"/>
              <w:jc w:val="left"/>
            </w:pPr>
            <w:r>
              <w:t xml:space="preserve">Surrender of the Strait</w:t>
            </w:r>
          </w:p>
        </w:tc>
        <w:tc>
          <w:tcPr/>
          <w:p>
            <w:pPr>
              <w:pStyle w:val="Compact"/>
              <w:jc w:val="left"/>
            </w:pPr>
            <w:r>
              <w:t xml:space="preserve">Cooperative governance; certified fairway system</w:t>
            </w:r>
          </w:p>
        </w:tc>
      </w:tr>
      <w:tr>
        <w:tc>
          <w:tcPr/>
          <w:p>
            <w:pPr>
              <w:pStyle w:val="Compact"/>
              <w:jc w:val="left"/>
            </w:pPr>
            <w:r>
              <w:t xml:space="preserve">Prize, bounty, or toll</w:t>
            </w:r>
          </w:p>
        </w:tc>
        <w:tc>
          <w:tcPr/>
          <w:p>
            <w:pPr>
              <w:pStyle w:val="Compact"/>
              <w:jc w:val="left"/>
            </w:pPr>
            <w:r>
              <w:t xml:space="preserve">Transit service reimbursement (services only, never passage)</w:t>
            </w:r>
          </w:p>
        </w:tc>
      </w:tr>
    </w:tbl>
    <w:bookmarkEnd w:id="142"/>
    <w:bookmarkStart w:id="143" w:name="l.3-usage-rules"/>
    <w:p>
      <w:pPr>
        <w:pStyle w:val="Heading2"/>
      </w:pPr>
      <w:r>
        <w:t xml:space="preserve">L.3 Usage Rules</w:t>
      </w:r>
    </w:p>
    <w:p>
      <w:pPr>
        <w:pStyle w:val="FirstParagraph"/>
      </w:pPr>
      <w:r>
        <w:rPr>
          <w:bCs/>
          <w:b/>
        </w:rPr>
        <w:t xml:space="preserve">•</w:t>
      </w:r>
      <w:r>
        <w:t xml:space="preserve"> </w:t>
      </w:r>
      <w:r>
        <w:t xml:space="preserve">Official statements, press guidance, and public briefings concerning this Compact draw exclusively on the approved descriptors of this annex.</w:t>
      </w:r>
    </w:p>
    <w:p>
      <w:pPr>
        <w:pStyle w:val="BodyText"/>
      </w:pPr>
      <w:r>
        <w:rPr>
          <w:bCs/>
          <w:b/>
        </w:rPr>
        <w:t xml:space="preserve">•</w:t>
      </w:r>
      <w:r>
        <w:t xml:space="preserve"> </w:t>
      </w:r>
      <w:r>
        <w:t xml:space="preserve">A public statement that frames the compliance of another Party as surrender or defeat constitutes a narrative disruption and routes to the quiet remediation protocol of Section L.5, never to the press.</w:t>
      </w:r>
    </w:p>
    <w:p>
      <w:pPr>
        <w:pStyle w:val="BodyText"/>
      </w:pPr>
      <w:r>
        <w:rPr>
          <w:bCs/>
          <w:b/>
        </w:rPr>
        <w:t xml:space="preserve">•</w:t>
      </w:r>
      <w:r>
        <w:t xml:space="preserve"> </w:t>
      </w:r>
      <w:r>
        <w:t xml:space="preserve">Any Principal Party proposes additions to or removals from the registry, and the Joint Technical Committee adopts changes by joint consensus at any quarterly review.</w:t>
      </w:r>
    </w:p>
    <w:bookmarkEnd w:id="143"/>
    <w:bookmarkStart w:id="144" w:name="l.4-narrative-symmetry"/>
    <w:p>
      <w:pPr>
        <w:pStyle w:val="Heading2"/>
      </w:pPr>
      <w:r>
        <w:t xml:space="preserve">L.4 Narrative Symmetry</w:t>
      </w:r>
    </w:p>
    <w:p>
      <w:pPr>
        <w:pStyle w:val="FirstParagraph"/>
      </w:pPr>
      <w:r>
        <w:rPr>
          <w:bCs/>
          <w:b/>
        </w:rPr>
        <w:t xml:space="preserve">L.1</w:t>
      </w:r>
      <w:r>
        <w:t xml:space="preserve"> </w:t>
      </w:r>
      <w:r>
        <w:t xml:space="preserve">Security Assistance Provider (United States) characterization: the United States supports this Compact as Security Assistance Provider, acting only on written request; this Compact secures free navigation through the Strait of Hormuz; the incorporated track establishes verified limits on the Iranian nuclear program; the Compact preserves every option and leverage of the United States; and the United States holds no command authority, no vote, and no enforcement role in the architecture.</w:t>
      </w:r>
    </w:p>
    <w:p>
      <w:pPr>
        <w:pStyle w:val="BodyText"/>
      </w:pPr>
      <w:r>
        <w:rPr>
          <w:bCs/>
          <w:b/>
        </w:rPr>
        <w:t xml:space="preserve">L.2</w:t>
      </w:r>
      <w:r>
        <w:t xml:space="preserve"> </w:t>
      </w:r>
      <w:r>
        <w:t xml:space="preserve">Iranian characterization: this Compact protects Iranian sovereignty over its territory, waters, and nuclear material; suspends strikes and blockade measures against Iran; recognizes the authority of Iran in the Strait and its maritime services; restores sanctions relief as a bankable right; and operates as a performance-based arrangement in which compliance earns cooperation.</w:t>
      </w:r>
    </w:p>
    <w:p>
      <w:pPr>
        <w:pStyle w:val="BodyText"/>
      </w:pPr>
      <w:r>
        <w:rPr>
          <w:bCs/>
          <w:b/>
        </w:rPr>
        <w:t xml:space="preserve">L.3</w:t>
      </w:r>
      <w:r>
        <w:t xml:space="preserve"> </w:t>
      </w:r>
      <w:r>
        <w:t xml:space="preserve">Omani and regional characterization: this Compact stands as a regional achievement convened on Omani soil, governed with regional symmetry, and open to every littoral and user state at the participation level each selects.</w:t>
      </w:r>
    </w:p>
    <w:p>
      <w:pPr>
        <w:pStyle w:val="BodyText"/>
      </w:pPr>
      <w:r>
        <w:rPr>
          <w:bCs/>
          <w:b/>
        </w:rPr>
        <w:t xml:space="preserve">L.4</w:t>
      </w:r>
      <w:r>
        <w:t xml:space="preserve"> </w:t>
      </w:r>
      <w:r>
        <w:t xml:space="preserve">Shared characterization, factually accurate for all: all Parties entered a reciprocal stabilization arrangement; the Strait stands open, certified, and verified; nuclear material remains under IAEA oversight with sovereign custody preserved; the June Memorandum stands reactivated; and every Party holds an orderly exit path at all times.</w:t>
      </w:r>
    </w:p>
    <w:p>
      <w:pPr>
        <w:pStyle w:val="BodyText"/>
      </w:pPr>
      <w:r>
        <w:rPr>
          <w:bCs/>
          <w:b/>
        </w:rPr>
        <w:t xml:space="preserve">L.5</w:t>
      </w:r>
      <w:r>
        <w:t xml:space="preserve"> </w:t>
      </w:r>
      <w:r>
        <w:t xml:space="preserve">Non-contradiction principle. The characterizations of this Section are each factually accurate. No characterization contradicts another. No Party disputes the domestic narrative of another Party, provided the narrative stays consistent with the record of the Shared Digital Registry.</w:t>
      </w:r>
    </w:p>
    <w:bookmarkEnd w:id="144"/>
    <w:bookmarkStart w:id="145" w:name="l.5-quiet-remediation-protocol"/>
    <w:p>
      <w:pPr>
        <w:pStyle w:val="Heading2"/>
      </w:pPr>
      <w:r>
        <w:t xml:space="preserve">L.5 Quiet Remediation Protocol</w:t>
      </w:r>
    </w:p>
    <w:p>
      <w:pPr>
        <w:pStyle w:val="FirstParagraph"/>
      </w:pPr>
      <w:r>
        <w:rPr>
          <w:bCs/>
          <w:b/>
        </w:rPr>
        <w:t xml:space="preserve">1.</w:t>
      </w:r>
      <w:r>
        <w:t xml:space="preserve"> </w:t>
      </w:r>
      <w:r>
        <w:t xml:space="preserve">A narrative disruption means a public statement that frames the compliance of another Party as surrender, capitulation, defeat, or submission.</w:t>
      </w:r>
    </w:p>
    <w:p>
      <w:pPr>
        <w:pStyle w:val="BodyText"/>
      </w:pPr>
      <w:r>
        <w:rPr>
          <w:bCs/>
          <w:b/>
        </w:rPr>
        <w:t xml:space="preserve">2.</w:t>
      </w:r>
      <w:r>
        <w:t xml:space="preserve"> </w:t>
      </w:r>
      <w:r>
        <w:t xml:space="preserve">A narrative disruption routes to the quiet remediation channel, never to the press.</w:t>
      </w:r>
    </w:p>
    <w:p>
      <w:pPr>
        <w:pStyle w:val="BodyText"/>
      </w:pPr>
      <w:r>
        <w:rPr>
          <w:bCs/>
          <w:b/>
        </w:rPr>
        <w:t xml:space="preserve">3.</w:t>
      </w:r>
      <w:r>
        <w:t xml:space="preserve"> </w:t>
      </w:r>
      <w:r>
        <w:t xml:space="preserve">The Verification Authority contacts both capitals privately through the facilitator channel.</w:t>
      </w:r>
    </w:p>
    <w:p>
      <w:pPr>
        <w:pStyle w:val="BodyText"/>
      </w:pPr>
      <w:r>
        <w:rPr>
          <w:bCs/>
          <w:b/>
        </w:rPr>
        <w:t xml:space="preserve">4.</w:t>
      </w:r>
      <w:r>
        <w:t xml:space="preserve"> </w:t>
      </w:r>
      <w:r>
        <w:t xml:space="preserve">The offending statement receives a factual correction within four (4) hours where feasible.</w:t>
      </w:r>
    </w:p>
    <w:p>
      <w:pPr>
        <w:pStyle w:val="BodyText"/>
      </w:pPr>
      <w:r>
        <w:rPr>
          <w:bCs/>
          <w:b/>
        </w:rPr>
        <w:t xml:space="preserve">5.</w:t>
      </w:r>
      <w:r>
        <w:t xml:space="preserve"> </w:t>
      </w:r>
      <w:r>
        <w:t xml:space="preserve">The matter closes without public escalation, and the registry records only the closure, not the content.</w:t>
      </w:r>
    </w:p>
    <w:bookmarkEnd w:id="145"/>
    <w:bookmarkEnd w:id="146"/>
    <w:bookmarkStart w:id="151" w:name="annex-m.-protective-instruments"/>
    <w:p>
      <w:pPr>
        <w:pStyle w:val="Heading1"/>
      </w:pPr>
      <w:r>
        <w:t xml:space="preserve">Annex M. Protective Instruments</w:t>
      </w:r>
    </w:p>
    <w:p>
      <w:pPr>
        <w:pStyle w:val="FirstParagraph"/>
      </w:pPr>
      <w:r>
        <w:t xml:space="preserve">Operative Annex for Article 16. This annex states the full text of the Compact’s protective instruments: the Protection Covenant, the Declaration of Intent, the Emergency Oversight Mechanism, and the supporting provisions on severability and data integrity.</w:t>
      </w:r>
    </w:p>
    <w:bookmarkStart w:id="147" w:name="m.1-the-protection-covenant"/>
    <w:p>
      <w:pPr>
        <w:pStyle w:val="Heading2"/>
      </w:pPr>
      <w:r>
        <w:t xml:space="preserve">M.1 The Protection Covenant</w:t>
      </w:r>
    </w:p>
    <w:p>
      <w:pPr>
        <w:pStyle w:val="FirstParagraph"/>
      </w:pPr>
      <w:r>
        <w:rPr>
          <w:bCs/>
          <w:b/>
        </w:rPr>
        <w:t xml:space="preserve">M.1</w:t>
      </w:r>
      <w:r>
        <w:t xml:space="preserve"> </w:t>
      </w:r>
      <w:r>
        <w:t xml:space="preserve">This Compact operates as an integrated system of mutual protections. The provisions on the Humanitarian Firewall (Article 16), the Convergence Standard (Annex B), the No Automatic Military Escalation rule (Annex K), and the firewalled annex modules (Article 17) are non-derogable and non-severable. Where any party implements parts of this Compact while bypassing or dismantling its protective architecture, that party’s reliance on the Compact is void from the moment of the bypass. Any modification that diminishes these protections constitutes a material breach that immediately pauses the modifying party’s benefits under this Compact, with restoration available only through the earn-back pathway of Annex K applied at Tier 3.</w:t>
      </w:r>
    </w:p>
    <w:p>
      <w:pPr>
        <w:pStyle w:val="BodyText"/>
      </w:pPr>
      <w:r>
        <w:rPr>
          <w:bCs/>
          <w:b/>
        </w:rPr>
        <w:t xml:space="preserve">M.2</w:t>
      </w:r>
      <w:r>
        <w:t xml:space="preserve"> </w:t>
      </w:r>
      <w:r>
        <w:t xml:space="preserve">The covenant binds every Party, Member, body, and agent acting under this Compact. No internal procedure, domestic authorization, or emergency claim overrides the covenant. The Guarantor Panel holds exclusive competence to certify a covenant breach, acting under the Consensus Minus One rule. The United States, as Security Assistance Provider, is bound by the No Automatic Military Escalation rule of Annex K in the same manner as every other participant. No request for security assistance under Article 4.8 authorizes, triggers, or justifies the use of military force by any participant.</w:t>
      </w:r>
    </w:p>
    <w:bookmarkEnd w:id="147"/>
    <w:bookmarkStart w:id="148" w:name="m.2-declaration-of-intent"/>
    <w:p>
      <w:pPr>
        <w:pStyle w:val="Heading2"/>
      </w:pPr>
      <w:r>
        <w:t xml:space="preserve">M.2 Declaration of Intent</w:t>
      </w:r>
    </w:p>
    <w:p>
      <w:pPr>
        <w:pStyle w:val="FirstParagraph"/>
      </w:pPr>
      <w:r>
        <w:rPr>
          <w:bCs/>
          <w:b/>
        </w:rPr>
        <w:t xml:space="preserve">M.3</w:t>
      </w:r>
      <w:r>
        <w:t xml:space="preserve"> </w:t>
      </w:r>
      <w:r>
        <w:t xml:space="preserve">Every Party and Member invoking or implementing this Compact issues a public declaration that it acts in pursuit of de-escalation, regional stability, and the protection of civilian life, not for punitive or coercive purposes. The declaration deposits with the Depositary and publishes on the Shared Digital Registry.</w:t>
      </w:r>
    </w:p>
    <w:p>
      <w:pPr>
        <w:pStyle w:val="BodyText"/>
      </w:pPr>
      <w:r>
        <w:rPr>
          <w:bCs/>
          <w:b/>
        </w:rPr>
        <w:t xml:space="preserve">M.4</w:t>
      </w:r>
      <w:r>
        <w:t xml:space="preserve"> </w:t>
      </w:r>
      <w:r>
        <w:t xml:space="preserve">A party that declines the declaration stands excluded from the Compact’s protections and mechanisms for the duration of the decline. A subsequent verified finding of bad-faith use, certified by the Guarantor Panel under the procedure of Section M.3, renders the offending party’s prior invocations null and void from the date of the finding, with banked humanitarian measures unaffected.</w:t>
      </w:r>
    </w:p>
    <w:bookmarkEnd w:id="148"/>
    <w:bookmarkStart w:id="149" w:name="m.3-emergency-oversight-mechanism"/>
    <w:p>
      <w:pPr>
        <w:pStyle w:val="Heading2"/>
      </w:pPr>
      <w:r>
        <w:t xml:space="preserve">M.3 Emergency Oversight Mechanism</w:t>
      </w:r>
    </w:p>
    <w:p>
      <w:pPr>
        <w:pStyle w:val="FirstParagraph"/>
      </w:pPr>
      <w:r>
        <w:rPr>
          <w:bCs/>
          <w:b/>
        </w:rPr>
        <w:t xml:space="preserve">M.5</w:t>
      </w:r>
      <w:r>
        <w:t xml:space="preserve"> </w:t>
      </w:r>
      <w:r>
        <w:t xml:space="preserve">Where any signatory uses this Compact’s provisions in a manner inconsistent with its stated humanitarian and stabilization objectives, the Guarantor Panel, acting as the standing emergency oversight committee, convenes within seventy-two (72) hours of a referral by any Tier I Member, any two Tier II Members, or the Neutral Administrator.</w:t>
      </w:r>
    </w:p>
    <w:p>
      <w:pPr>
        <w:pStyle w:val="BodyText"/>
      </w:pPr>
      <w:r>
        <w:rPr>
          <w:bCs/>
          <w:b/>
        </w:rPr>
        <w:t xml:space="preserve">M.6</w:t>
      </w:r>
      <w:r>
        <w:t xml:space="preserve"> </w:t>
      </w:r>
      <w:r>
        <w:t xml:space="preserve">The Panel acts by supermajority of four of its five members, with the Consensus Minus One rule excluding the vote associated with the signatory whose conduct is at issue. The Panel suspends the offending party’s implementation rights and refers the matter to the Independent Assurance review: a panel of five independent experts without government affiliation, drawn from a roster maintained by the Neutral Administrator, which issues a binding technical finding within thirty (30) days.</w:t>
      </w:r>
    </w:p>
    <w:p>
      <w:pPr>
        <w:pStyle w:val="BodyText"/>
      </w:pPr>
      <w:r>
        <w:rPr>
          <w:bCs/>
          <w:b/>
        </w:rPr>
        <w:t xml:space="preserve">M.7</w:t>
      </w:r>
      <w:r>
        <w:t xml:space="preserve"> </w:t>
      </w:r>
      <w:r>
        <w:t xml:space="preserve">Restoration follows the finding: full restoration upon a finding of good-faith error with remediation; conditional restoration upon a finding of negligence, with a ninety (90) day enhanced-verification period; and continued suspension upon a finding of deliberate abuse, with a defined re-entry pathway under Annex K. Humanitarian measures continue under every outcome.</w:t>
      </w:r>
    </w:p>
    <w:bookmarkEnd w:id="149"/>
    <w:bookmarkStart w:id="150" w:name="m.4-severability-and-data-integrity"/>
    <w:p>
      <w:pPr>
        <w:pStyle w:val="Heading2"/>
      </w:pPr>
      <w:r>
        <w:t xml:space="preserve">M.4 Severability and Data Integrity</w:t>
      </w:r>
    </w:p>
    <w:p>
      <w:pPr>
        <w:pStyle w:val="FirstParagraph"/>
      </w:pPr>
      <w:r>
        <w:rPr>
          <w:bCs/>
          <w:b/>
        </w:rPr>
        <w:t xml:space="preserve">M.8</w:t>
      </w:r>
      <w:r>
        <w:t xml:space="preserve"> </w:t>
      </w:r>
      <w:r>
        <w:t xml:space="preserve">Severability. Each provision of this Compact operates independently. The invalidity or suspension of any single provision does not affect the validity or operation of the remaining provisions, consistent with the modular architecture of this Compact and the partial success doctrine of Annex K. The non-derogable provisions of Section M.1 constitute the sole exception: their removal voids the removing party’s reliance on the whole.</w:t>
      </w:r>
    </w:p>
    <w:p>
      <w:pPr>
        <w:pStyle w:val="BodyText"/>
      </w:pPr>
      <w:r>
        <w:rPr>
          <w:bCs/>
          <w:b/>
        </w:rPr>
        <w:t xml:space="preserve">M.9</w:t>
      </w:r>
      <w:r>
        <w:t xml:space="preserve"> </w:t>
      </w:r>
      <w:r>
        <w:t xml:space="preserve">Data integrity. The Shared Digital Registry operates with geographic redundancy through its Swiss host and Muscat failover mirror, cryptographic chain-of-custody on every entry, and continuous tamper detection. The framework architecture classifies a cyber intrusion, data manipulation attempt, or denial-of-service event directed at the Registry as a distinct technical incident, not as a compliance breach by any Party absent attribution under Section 12.6. Upon detection of a cyber incident, the Registry activates its fallback procedures: operations shift to the Muscat mirror, a read-only snapshot preserves the evidentiary record, and the Technical Working Group certifies data integrity before full operations resume. No compliance determination rests on Registry data during a certified integrity hold.</w:t>
      </w:r>
    </w:p>
    <w:p>
      <w:pPr>
        <w:pStyle w:val="BodyText"/>
      </w:pPr>
      <w:r>
        <w:rPr>
          <w:bCs/>
          <w:b/>
        </w:rPr>
        <w:t xml:space="preserve">M.10</w:t>
      </w:r>
      <w:r>
        <w:t xml:space="preserve"> </w:t>
      </w:r>
      <w:r>
        <w:t xml:space="preserve">Public communications discipline. The Parties synchronize all milestone announcements under Annex L and route every official public statement concerning this Compact through the terminology registry of Annex L. No Party holds a unilateral press briefing on an Incident, a deviation, or a compliance classification before the Joint Technical Committee completes its technical review and the Verification Authority issues its finding.</w:t>
      </w:r>
    </w:p>
    <w:bookmarkEnd w:id="150"/>
    <w:bookmarkEnd w:id="151"/>
    <w:bookmarkStart w:id="152" w:name="annex-n.-glossary-of-compact-terms"/>
    <w:p>
      <w:pPr>
        <w:pStyle w:val="Heading1"/>
      </w:pPr>
      <w:r>
        <w:t xml:space="preserve">Annex N. Glossary of Compact Terms</w:t>
      </w:r>
    </w:p>
    <w:tbl>
      <w:tblPr>
        <w:tblStyle w:val="Table"/>
        <w:tblW w:type="pct" w:w="5000"/>
        <w:tblLook w:firstRow="1" w:lastRow="0" w:firstColumn="0" w:lastColumn="0" w:noHBand="0" w:noVBand="0" w:val="0020"/>
        <w:tblBorders>
          <w:top w:val="single" w:sz="4" w:space="0" w:color="9AAABF"/>
          <w:left w:val="single" w:sz="4" w:space="0" w:color="9AAABF"/>
          <w:bottom w:val="single" w:sz="4" w:space="0" w:color="9AAABF"/>
          <w:right w:val="single" w:sz="4" w:space="0" w:color="9AAABF"/>
          <w:insideH w:val="single" w:sz="4" w:space="0" w:color="9AAABF"/>
          <w:insideV w:val="single" w:sz="4" w:space="0" w:color="9AAABF"/>
        </w:tblBorders>
      </w:tblPr>
      <w:tblGrid>
        <w:gridCol w:w="3960"/>
        <w:gridCol w:w="3960"/>
      </w:tblGrid>
      <w:tr>
        <w:trPr>
          <w:tblHeader w:val="true"/>
        </w:trPr>
        <w:tc>
          <w:tcPr>
            <w:shd w:val="clear" w:color="auto" w:fill="D9E2EC"/>
          </w:tcPr>
          <w:p>
            <w:pPr>
              <w:pStyle w:val="Compact"/>
              <w:jc w:val="left"/>
            </w:pPr>
            <w:r>
              <w:rPr>
                <w:bCs/>
                <w:b/>
              </w:rPr>
              <w:t xml:space="preserve">Term</w:t>
            </w:r>
          </w:p>
        </w:tc>
        <w:tc>
          <w:tcPr>
            <w:shd w:val="clear" w:color="auto" w:fill="D9E2EC"/>
          </w:tcPr>
          <w:p>
            <w:pPr>
              <w:pStyle w:val="Compact"/>
              <w:jc w:val="left"/>
            </w:pPr>
            <w:r>
              <w:rPr>
                <w:bCs/>
                <w:b/>
              </w:rPr>
              <w:t xml:space="preserve">Definition</w:t>
            </w:r>
          </w:p>
        </w:tc>
      </w:tr>
      <w:tr>
        <w:tc>
          <w:tcPr/>
          <w:p>
            <w:pPr>
              <w:pStyle w:val="Compact"/>
              <w:jc w:val="left"/>
            </w:pPr>
            <w:r>
              <w:t xml:space="preserve">Assurance Board</w:t>
            </w:r>
          </w:p>
        </w:tc>
        <w:tc>
          <w:tcPr/>
          <w:p>
            <w:pPr>
              <w:pStyle w:val="Compact"/>
              <w:jc w:val="left"/>
            </w:pPr>
            <w:r>
              <w:t xml:space="preserve">The political assurance layer of the MRT-H, comprising the Fairway Council, the Neutral Administrator, and the Guarantor Panel</w:t>
            </w:r>
          </w:p>
        </w:tc>
      </w:tr>
      <w:tr>
        <w:tc>
          <w:tcPr/>
          <w:p>
            <w:pPr>
              <w:pStyle w:val="Compact"/>
              <w:jc w:val="left"/>
            </w:pPr>
            <w:r>
              <w:t xml:space="preserve">Certified fairway</w:t>
            </w:r>
          </w:p>
        </w:tc>
        <w:tc>
          <w:tcPr/>
          <w:p>
            <w:pPr>
              <w:pStyle w:val="Compact"/>
              <w:jc w:val="left"/>
            </w:pPr>
            <w:r>
              <w:t xml:space="preserve">A transit lane holding a current Safe Route Certification under Annex D</w:t>
            </w:r>
          </w:p>
        </w:tc>
      </w:tr>
      <w:tr>
        <w:tc>
          <w:tcPr/>
          <w:p>
            <w:pPr>
              <w:pStyle w:val="Compact"/>
              <w:jc w:val="left"/>
            </w:pPr>
            <w:r>
              <w:t xml:space="preserve">Compact</w:t>
            </w:r>
          </w:p>
        </w:tc>
        <w:tc>
          <w:tcPr/>
          <w:p>
            <w:pPr>
              <w:pStyle w:val="Compact"/>
              <w:jc w:val="left"/>
            </w:pPr>
            <w:r>
              <w:t xml:space="preserve">The Fairway Compact, this instrument with its Annexes A through N</w:t>
            </w:r>
          </w:p>
        </w:tc>
      </w:tr>
      <w:tr>
        <w:tc>
          <w:tcPr/>
          <w:p>
            <w:pPr>
              <w:pStyle w:val="Compact"/>
              <w:jc w:val="left"/>
            </w:pPr>
            <w:r>
              <w:t xml:space="preserve">Convergence Standard</w:t>
            </w:r>
          </w:p>
        </w:tc>
        <w:tc>
          <w:tcPr/>
          <w:p>
            <w:pPr>
              <w:pStyle w:val="Compact"/>
              <w:jc w:val="left"/>
            </w:pPr>
            <w:r>
              <w:t xml:space="preserve">The rule that a material finding rests on corroboration by at least two independent verification channels from the Annex B register</w:t>
            </w:r>
          </w:p>
        </w:tc>
      </w:tr>
      <w:tr>
        <w:tc>
          <w:tcPr/>
          <w:p>
            <w:pPr>
              <w:pStyle w:val="Compact"/>
              <w:jc w:val="left"/>
            </w:pPr>
            <w:r>
              <w:t xml:space="preserve">Day 0</w:t>
            </w:r>
          </w:p>
        </w:tc>
        <w:tc>
          <w:tcPr/>
          <w:p>
            <w:pPr>
              <w:pStyle w:val="Compact"/>
              <w:jc w:val="left"/>
            </w:pPr>
            <w:r>
              <w:t xml:space="preserve">00:00 Gulf Standard Time on the date of signature of this Compact</w:t>
            </w:r>
          </w:p>
        </w:tc>
      </w:tr>
      <w:tr>
        <w:tc>
          <w:tcPr/>
          <w:p>
            <w:pPr>
              <w:pStyle w:val="Compact"/>
              <w:jc w:val="left"/>
            </w:pPr>
            <w:r>
              <w:t xml:space="preserve">Fairway Council</w:t>
            </w:r>
          </w:p>
        </w:tc>
        <w:tc>
          <w:tcPr/>
          <w:p>
            <w:pPr>
              <w:pStyle w:val="Compact"/>
              <w:jc w:val="left"/>
            </w:pPr>
            <w:r>
              <w:t xml:space="preserve">The governing body of the Compact, comprising the Tier I Members (the Islamic Republic of Iran and the Sultanate of Oman)</w:t>
            </w:r>
          </w:p>
        </w:tc>
      </w:tr>
      <w:tr>
        <w:tc>
          <w:tcPr/>
          <w:p>
            <w:pPr>
              <w:pStyle w:val="Compact"/>
              <w:jc w:val="left"/>
            </w:pPr>
            <w:r>
              <w:t xml:space="preserve">Governance Area</w:t>
            </w:r>
          </w:p>
        </w:tc>
        <w:tc>
          <w:tcPr/>
          <w:p>
            <w:pPr>
              <w:pStyle w:val="Compact"/>
              <w:jc w:val="left"/>
            </w:pPr>
            <w:r>
              <w:t xml:space="preserve">The maritime and air area bounded by the coordinates of Section 1.6 and Annex A</w:t>
            </w:r>
          </w:p>
        </w:tc>
      </w:tr>
      <w:tr>
        <w:tc>
          <w:tcPr/>
          <w:p>
            <w:pPr>
              <w:pStyle w:val="Compact"/>
              <w:jc w:val="left"/>
            </w:pPr>
            <w:r>
              <w:t xml:space="preserve">Guarantor Panel</w:t>
            </w:r>
          </w:p>
        </w:tc>
        <w:tc>
          <w:tcPr/>
          <w:p>
            <w:pPr>
              <w:pStyle w:val="Compact"/>
              <w:jc w:val="left"/>
            </w:pPr>
            <w:r>
              <w:t xml:space="preserve">The standing political assurance body of Section 4.5: Oman, Switzerland, Qatar, and two rotating members; the United States does not sit on the Guarantor Panel</w:t>
            </w:r>
          </w:p>
        </w:tc>
      </w:tr>
      <w:tr>
        <w:tc>
          <w:tcPr/>
          <w:p>
            <w:pPr>
              <w:pStyle w:val="Compact"/>
              <w:jc w:val="left"/>
            </w:pPr>
            <w:r>
              <w:t xml:space="preserve">Joint Coordination Center</w:t>
            </w:r>
          </w:p>
        </w:tc>
        <w:tc>
          <w:tcPr/>
          <w:p>
            <w:pPr>
              <w:pStyle w:val="Compact"/>
              <w:jc w:val="left"/>
            </w:pPr>
            <w:r>
              <w:t xml:space="preserve">The joint maritime coordination facility seated in Muscat, with a liaison detachment in Bandar Abbas, operating the Transit Coordination Desk and escort tasking</w:t>
            </w:r>
          </w:p>
        </w:tc>
      </w:tr>
      <w:tr>
        <w:tc>
          <w:tcPr/>
          <w:p>
            <w:pPr>
              <w:pStyle w:val="Compact"/>
              <w:jc w:val="left"/>
            </w:pPr>
            <w:r>
              <w:t xml:space="preserve">Lead-Escort Craft</w:t>
            </w:r>
          </w:p>
        </w:tc>
        <w:tc>
          <w:tcPr/>
          <w:p>
            <w:pPr>
              <w:pStyle w:val="Compact"/>
              <w:jc w:val="left"/>
            </w:pPr>
            <w:r>
              <w:t xml:space="preserve">A patrol boat or fast attack craft assigned to the safety-only escort service of Annex C</w:t>
            </w:r>
          </w:p>
        </w:tc>
      </w:tr>
      <w:tr>
        <w:tc>
          <w:tcPr/>
          <w:p>
            <w:pPr>
              <w:pStyle w:val="Compact"/>
              <w:jc w:val="left"/>
            </w:pPr>
            <w:r>
              <w:t xml:space="preserve">Market Confidence Interface</w:t>
            </w:r>
          </w:p>
        </w:tc>
        <w:tc>
          <w:tcPr/>
          <w:p>
            <w:pPr>
              <w:pStyle w:val="Compact"/>
              <w:jc w:val="left"/>
            </w:pPr>
            <w:r>
              <w:t xml:space="preserve">The reporting channel of Annex B through which certifications, bulletins, and telemetry reach insurers and shipping markets</w:t>
            </w:r>
          </w:p>
        </w:tc>
      </w:tr>
      <w:tr>
        <w:tc>
          <w:tcPr/>
          <w:p>
            <w:pPr>
              <w:pStyle w:val="Compact"/>
              <w:jc w:val="left"/>
            </w:pPr>
            <w:r>
              <w:t xml:space="preserve">MCM Group</w:t>
            </w:r>
          </w:p>
        </w:tc>
        <w:tc>
          <w:tcPr/>
          <w:p>
            <w:pPr>
              <w:pStyle w:val="Compact"/>
              <w:jc w:val="left"/>
            </w:pPr>
            <w:r>
              <w:t xml:space="preserve">The Mine Countermeasures Group of the MRT-H</w:t>
            </w:r>
          </w:p>
        </w:tc>
      </w:tr>
      <w:tr>
        <w:tc>
          <w:tcPr/>
          <w:p>
            <w:pPr>
              <w:pStyle w:val="Compact"/>
              <w:jc w:val="left"/>
            </w:pPr>
            <w:r>
              <w:t xml:space="preserve">Meridian Operations Center</w:t>
            </w:r>
          </w:p>
        </w:tc>
        <w:tc>
          <w:tcPr/>
          <w:p>
            <w:pPr>
              <w:pStyle w:val="Compact"/>
              <w:jc w:val="left"/>
            </w:pPr>
            <w:r>
              <w:t xml:space="preserve">The operations center of the MRT-H, housing the Mines Cell</w:t>
            </w:r>
          </w:p>
        </w:tc>
      </w:tr>
      <w:tr>
        <w:tc>
          <w:tcPr/>
          <w:p>
            <w:pPr>
              <w:pStyle w:val="Compact"/>
              <w:jc w:val="left"/>
            </w:pPr>
            <w:r>
              <w:t xml:space="preserve">MRT-H</w:t>
            </w:r>
          </w:p>
        </w:tc>
        <w:tc>
          <w:tcPr/>
          <w:p>
            <w:pPr>
              <w:pStyle w:val="Compact"/>
              <w:jc w:val="left"/>
            </w:pPr>
            <w:r>
              <w:t xml:space="preserve">The Mine Removal Taskforce for the Strait of Hormuz, chartered in Annex D</w:t>
            </w:r>
          </w:p>
        </w:tc>
      </w:tr>
      <w:tr>
        <w:tc>
          <w:tcPr/>
          <w:p>
            <w:pPr>
              <w:pStyle w:val="Compact"/>
              <w:jc w:val="left"/>
            </w:pPr>
            <w:r>
              <w:t xml:space="preserve">Neutral Administrator</w:t>
            </w:r>
          </w:p>
        </w:tc>
        <w:tc>
          <w:tcPr/>
          <w:p>
            <w:pPr>
              <w:pStyle w:val="Compact"/>
              <w:jc w:val="left"/>
            </w:pPr>
            <w:r>
              <w:t xml:space="preserve">The Swiss Confederation, acting through the office described in Article 14 and Annex J</w:t>
            </w:r>
          </w:p>
        </w:tc>
      </w:tr>
      <w:tr>
        <w:tc>
          <w:tcPr/>
          <w:p>
            <w:pPr>
              <w:pStyle w:val="Compact"/>
              <w:jc w:val="left"/>
            </w:pPr>
            <w:r>
              <w:t xml:space="preserve">Neutral Keel Office</w:t>
            </w:r>
          </w:p>
        </w:tc>
        <w:tc>
          <w:tcPr/>
          <w:p>
            <w:pPr>
              <w:pStyle w:val="Compact"/>
              <w:jc w:val="left"/>
            </w:pPr>
            <w:r>
              <w:t xml:space="preserve">The independent certification body of Annexes B and D, seated in Geneva with a Muscat cell</w:t>
            </w:r>
          </w:p>
        </w:tc>
      </w:tr>
      <w:tr>
        <w:tc>
          <w:tcPr/>
          <w:p>
            <w:pPr>
              <w:pStyle w:val="Compact"/>
              <w:jc w:val="left"/>
            </w:pPr>
            <w:r>
              <w:t xml:space="preserve">No-fade continuity</w:t>
            </w:r>
          </w:p>
        </w:tc>
        <w:tc>
          <w:tcPr/>
          <w:p>
            <w:pPr>
              <w:pStyle w:val="Compact"/>
              <w:jc w:val="left"/>
            </w:pPr>
            <w:r>
              <w:t xml:space="preserve">The rule of Article 16 under which no provision expires, lapses, or dissolves by the passage of time alone</w:t>
            </w:r>
          </w:p>
        </w:tc>
      </w:tr>
      <w:tr>
        <w:tc>
          <w:tcPr/>
          <w:p>
            <w:pPr>
              <w:pStyle w:val="Compact"/>
              <w:jc w:val="left"/>
            </w:pPr>
            <w:r>
              <w:t xml:space="preserve">Red Line</w:t>
            </w:r>
          </w:p>
        </w:tc>
        <w:tc>
          <w:tcPr/>
          <w:p>
            <w:pPr>
              <w:pStyle w:val="Compact"/>
              <w:jc w:val="left"/>
            </w:pPr>
            <w:r>
              <w:t xml:space="preserve">A boundary condition registered in Annex F whose crossing the Compact architecture structurally prevents</w:t>
            </w:r>
          </w:p>
        </w:tc>
      </w:tr>
      <w:tr>
        <w:tc>
          <w:tcPr/>
          <w:p>
            <w:pPr>
              <w:pStyle w:val="Compact"/>
              <w:jc w:val="left"/>
            </w:pPr>
            <w:r>
              <w:t xml:space="preserve">Safe Route Certification</w:t>
            </w:r>
          </w:p>
        </w:tc>
        <w:tc>
          <w:tcPr/>
          <w:p>
            <w:pPr>
              <w:pStyle w:val="Compact"/>
              <w:jc w:val="left"/>
            </w:pPr>
            <w:r>
              <w:t xml:space="preserve">The published certification of a cleared lane under the Convergence Standard, with coordinates, depth, and residual risk level</w:t>
            </w:r>
          </w:p>
        </w:tc>
      </w:tr>
      <w:tr>
        <w:tc>
          <w:tcPr/>
          <w:p>
            <w:pPr>
              <w:pStyle w:val="Compact"/>
              <w:jc w:val="left"/>
            </w:pPr>
            <w:r>
              <w:t xml:space="preserve">Security Assistance Provider</w:t>
            </w:r>
          </w:p>
        </w:tc>
        <w:tc>
          <w:tcPr/>
          <w:p>
            <w:pPr>
              <w:pStyle w:val="Compact"/>
              <w:jc w:val="left"/>
            </w:pPr>
            <w:r>
              <w:t xml:space="preserve">The United States of America, participating outside the tier structure under Article 4.8, providing security assistance only upon written request, with no command authority, no vote, no fee role, and no enforcement role</w:t>
            </w:r>
          </w:p>
        </w:tc>
      </w:tr>
      <w:tr>
        <w:tc>
          <w:tcPr/>
          <w:p>
            <w:pPr>
              <w:pStyle w:val="Compact"/>
              <w:jc w:val="left"/>
            </w:pPr>
            <w:r>
              <w:t xml:space="preserve">Shared Digital Registry</w:t>
            </w:r>
          </w:p>
        </w:tc>
        <w:tc>
          <w:tcPr/>
          <w:p>
            <w:pPr>
              <w:pStyle w:val="Compact"/>
              <w:jc w:val="left"/>
            </w:pPr>
            <w:r>
              <w:t xml:space="preserve">The Swiss-hosted, Muscat-mirrored data architecture of Annex B displaying every telemetry stream to all Members simultaneously</w:t>
            </w:r>
          </w:p>
        </w:tc>
      </w:tr>
      <w:tr>
        <w:tc>
          <w:tcPr/>
          <w:p>
            <w:pPr>
              <w:pStyle w:val="Compact"/>
              <w:jc w:val="left"/>
            </w:pPr>
            <w:r>
              <w:t xml:space="preserve">Silence Clause</w:t>
            </w:r>
          </w:p>
        </w:tc>
        <w:tc>
          <w:tcPr/>
          <w:p>
            <w:pPr>
              <w:pStyle w:val="Compact"/>
              <w:jc w:val="left"/>
            </w:pPr>
            <w:r>
              <w:t xml:space="preserve">The rule of Annex K under which operational services continue through every dispute</w:t>
            </w:r>
          </w:p>
        </w:tc>
      </w:tr>
      <w:tr>
        <w:tc>
          <w:tcPr/>
          <w:p>
            <w:pPr>
              <w:pStyle w:val="Compact"/>
              <w:jc w:val="left"/>
            </w:pPr>
            <w:r>
              <w:t xml:space="preserve">Temporary Transit Route</w:t>
            </w:r>
          </w:p>
        </w:tc>
        <w:tc>
          <w:tcPr/>
          <w:p>
            <w:pPr>
              <w:pStyle w:val="Compact"/>
              <w:jc w:val="left"/>
            </w:pPr>
            <w:r>
              <w:t xml:space="preserve">An interim transit route of Annex A operating pending certification of the corresponding fairway</w:t>
            </w:r>
          </w:p>
        </w:tc>
      </w:tr>
      <w:tr>
        <w:tc>
          <w:tcPr/>
          <w:p>
            <w:pPr>
              <w:pStyle w:val="Compact"/>
              <w:jc w:val="left"/>
            </w:pPr>
            <w:r>
              <w:t xml:space="preserve">Tier I, Tier II, Tier III, Observer</w:t>
            </w:r>
          </w:p>
        </w:tc>
        <w:tc>
          <w:tcPr/>
          <w:p>
            <w:pPr>
              <w:pStyle w:val="Compact"/>
              <w:jc w:val="left"/>
            </w:pPr>
            <w:r>
              <w:t xml:space="preserve">The four participation tiers of Article 4 and Annex E; the Security Assistance Provider stands outside the tier structure</w:t>
            </w:r>
          </w:p>
        </w:tc>
      </w:tr>
      <w:tr>
        <w:tc>
          <w:tcPr/>
          <w:p>
            <w:pPr>
              <w:pStyle w:val="Compact"/>
              <w:jc w:val="left"/>
            </w:pPr>
            <w:r>
              <w:t xml:space="preserve">Transit Services Fund</w:t>
            </w:r>
          </w:p>
        </w:tc>
        <w:tc>
          <w:tcPr/>
          <w:p>
            <w:pPr>
              <w:pStyle w:val="Compact"/>
              <w:jc w:val="left"/>
            </w:pPr>
            <w:r>
              <w:t xml:space="preserve">The multilateral fund of Annex J financing Compact operations without any charge on passage</w:t>
            </w:r>
          </w:p>
        </w:tc>
      </w:tr>
      <w:tr>
        <w:tc>
          <w:tcPr/>
          <w:p>
            <w:pPr>
              <w:pStyle w:val="Compact"/>
              <w:jc w:val="left"/>
            </w:pPr>
            <w:r>
              <w:t xml:space="preserve">Verification Authority</w:t>
            </w:r>
          </w:p>
        </w:tc>
        <w:tc>
          <w:tcPr/>
          <w:p>
            <w:pPr>
              <w:pStyle w:val="Compact"/>
              <w:jc w:val="left"/>
            </w:pPr>
            <w:r>
              <w:t xml:space="preserve">The Sultanate of Oman for maritime and security commitments; the International Atomic Energy Agency for nuclear commitments</w:t>
            </w:r>
          </w:p>
        </w:tc>
      </w:tr>
      <w:tr>
        <w:tc>
          <w:tcPr/>
          <w:p>
            <w:pPr>
              <w:pStyle w:val="Compact"/>
              <w:jc w:val="left"/>
            </w:pPr>
            <w:r>
              <w:t xml:space="preserve">Zero-Toll Rule</w:t>
            </w:r>
          </w:p>
        </w:tc>
        <w:tc>
          <w:tcPr/>
          <w:p>
            <w:pPr>
              <w:pStyle w:val="Compact"/>
              <w:jc w:val="left"/>
            </w:pPr>
            <w:r>
              <w:t xml:space="preserve">The rule of Article 6 under which no charge, fee, toll, due, or payment of any kind attaches to the act of transit through either fairway</w:t>
            </w:r>
          </w:p>
        </w:tc>
      </w:tr>
    </w:tbl>
    <w:bookmarkEnd w:id="152"/>
    <w:bookmarkStart w:id="153" w:name="closing-note-of-the-convening-authority"/>
    <w:p>
      <w:pPr>
        <w:pStyle w:val="Heading1"/>
      </w:pPr>
      <w:r>
        <w:t xml:space="preserve">Closing Note of the Convening Authority</w:t>
      </w:r>
    </w:p>
    <w:p>
      <w:pPr>
        <w:pStyle w:val="FirstParagraph"/>
      </w:pPr>
      <w:r>
        <w:t xml:space="preserve">This Compact asks no participant to trust another’s motives. It asks every participant to trust the architecture’s predictability: that every action meets a published response, that every response reverses on verified compliance, that the fairways stay certified and the tolls stay at zero, that small craft encounters follow a published geometry instead of a frightened guess, that mines leave the water under civilian direction with neutral certification, that the registered red lines of the Principal Parties hold by design rather than by demand, that security assistance flows only on request and never by assumption, and that nothing, anywhere in this Compact, fades silently away.</w:t>
      </w:r>
    </w:p>
    <w:p>
      <w:pPr>
        <w:pStyle w:val="BodyText"/>
      </w:pPr>
      <w:r>
        <w:t xml:space="preserve">The water carries the commerce of the world. The architecture carries the water. Muscat stands ready.</w:t>
      </w:r>
    </w:p>
    <w:bookmarkEnd w:id="153"/>
    <w:sectPr>
      <w:footerReference w:type="default" r:id="rId9"/>
      <w:headerReference w:type="default" r:id="rId10"/>
      <w:pgSz w:w="12240" w:h="15840"/>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B7C"/>
        <w:sz w:val="17"/>
      </w:rPr>
      <w:t xml:space="preserve">The Fairway Compact  |  Page </w:t>
    </w:r>
    <w:fldSimple w:instr="PAGE \* MERGEFORMAT">
      <w:r>
        <w:rPr>
          <w:sz w:val="17"/>
          <w:rFonts w:ascii="Times New Roman" w:hAnsi="Times New Roman"/>
        </w:rPr>
        <w:t>1</w:t>
      </w:r>
    </w:fldSimpl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B6B7C"/>
        <w:sz w:val="17"/>
      </w:rPr>
      <w:t>Diplomatic Reference Draft  |  Muscat, July 27, 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olor w:val="26282B"/>
      <w:sz w:val="21"/>
    </w:rPr>
  </w:style>
  <w:style w:styleId="BodyText" w:type="paragraph">
    <w:name w:val="Body Text"/>
    <w:basedOn w:val="Normal"/>
    <w:link w:val="BodyTextChar"/>
    <w:pPr>
      <w:spacing w:after="120" w:before="180" w:line="276" w:lineRule="auto"/>
    </w:pPr>
    <w:qFormat/>
    <w:rPr>
      <w:rFonts w:ascii="Times New Roman" w:hAnsi="Times New Roman" w:eastAsia="Times New Roman"/>
      <w:color w:val="26282B"/>
      <w:sz w:val="21"/>
    </w:rPr>
  </w:style>
  <w:style w:customStyle="1" w:styleId="FirstParagraph" w:type="paragraph">
    <w:name w:val="First Paragraph"/>
    <w:basedOn w:val="BodyText"/>
    <w:next w:val="BodyText"/>
    <w:qFormat/>
    <w:rPr>
      <w:rFonts w:ascii="Times New Roman" w:hAnsi="Times New Roman" w:eastAsia="Times New Roman"/>
      <w:color w:val="26282B"/>
      <w:sz w:val="21"/>
    </w:rPr>
  </w:style>
  <w:style w:customStyle="1" w:styleId="Compact" w:type="paragraph">
    <w:name w:val="Compact"/>
    <w:basedOn w:val="BodyText"/>
    <w:qFormat/>
    <w:pPr>
      <w:spacing w:after="36" w:before="36"/>
    </w:pPr>
    <w:rPr>
      <w:rFonts w:ascii="Times New Roman" w:hAnsi="Times New Roman" w:eastAsia="Times New Roman"/>
      <w:color w:val="26282B"/>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0"/>
      <w:outlineLvl w:val="0"/>
    </w:pPr>
    <w:rPr>
      <w:rFonts w:asciiTheme="majorHAnsi" w:cstheme="majorBidi" w:eastAsiaTheme="majorEastAsia" w:hAnsiTheme="majorHAnsi" w:ascii="Times New Roman" w:hAnsi="Times New Roman" w:eastAsia="Times New Roman"/>
      <w:b/>
      <w:bCs/>
      <w:color w:val="1F3A5F"/>
      <w:sz w:val="30"/>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Times New Roman" w:hAnsi="Times New Roman" w:eastAsia="Times New Roman"/>
      <w:b/>
      <w:bCs/>
      <w:color w:val="2E4E7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2026-07-26T22:47:39Z</dcterms:created>
  <dcterms:modified xsi:type="dcterms:W3CDTF">2026-07-26T22:47:39Z</dcterms:modified>
</cp:coreProperties>
</file>

<file path=docProps/custom.xml><?xml version="1.0" encoding="utf-8"?>
<Properties xmlns="http://schemas.openxmlformats.org/officeDocument/2006/custom-properties" xmlns:vt="http://schemas.openxmlformats.org/officeDocument/2006/docPropsVTypes"/>
</file>