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body>
    <w:p>
      <w:pPr>
        <w:pStyle w:val="Normal"/>
        <w:spacing w:before="1900" w:after="60" w:line="300" w:lineRule="auto"/>
        <w:jc w:val="center"/>
      </w:pPr>
      <w:r>
        <w:rPr>
          <w:rFonts w:ascii="Cambria" w:eastAsia="Cambria" w:hAnsi="Cambria" w:cs="Cambria"/>
          <w:b/>
          <w:color w:val="8A6D2F"/>
          <w:sz w:val="22"/>
          <w:szCs w:val="22"/>
          <w:lang w:val="en-CA" w:eastAsia="en-CA" w:bidi="ar-SA"/>
          <w:caps/>
          <w:spacing w:val="30"/>
        </w:rPr>
        <w:t>MUSCAT PROCESS</w:t>
      </w:r>
    </w:p>
    <w:p>
      <w:pPr>
        <w:pStyle w:val="Normal"/>
        <w:spacing w:after="480" w:line="300" w:lineRule="auto"/>
        <w:jc w:val="center"/>
      </w:pPr>
      <w:r>
        <w:rPr>
          <w:rFonts w:ascii="Cambria" w:eastAsia="Cambria" w:hAnsi="Cambria" w:cs="Cambria"/>
          <w:color w:val="7A8A94"/>
          <w:sz w:val="18"/>
          <w:szCs w:val="18"/>
          <w:lang w:val="en-CA" w:eastAsia="en-CA" w:bidi="ar-SA"/>
          <w:caps/>
          <w:spacing w:val="30"/>
        </w:rPr>
        <w:t>A MULTILATERAL MARITIME GOVERNANCE INSTRUMENT</w:t>
      </w:r>
    </w:p>
    <w:p>
      <w:pPr>
        <w:pStyle w:val="Normal"/>
        <w:spacing w:before="200" w:after="0" w:line="300" w:lineRule="auto"/>
        <w:jc w:val="center"/>
      </w:pPr>
      <w:r>
        <w:rPr>
          <w:rFonts w:ascii="Cambria" w:eastAsia="Cambria" w:hAnsi="Cambria" w:cs="Cambria"/>
          <w:b/>
          <w:color w:val="1F3A4D"/>
          <w:sz w:val="76"/>
          <w:szCs w:val="76"/>
          <w:lang w:val="en-CA" w:eastAsia="en-CA" w:bidi="ar-SA"/>
          <w:spacing w:val="30"/>
        </w:rPr>
        <w:t>The Gulf States Maritime</w:t>
      </w:r>
    </w:p>
    <w:p>
      <w:pPr>
        <w:pStyle w:val="Normal"/>
        <w:spacing w:line="300" w:lineRule="auto"/>
        <w:jc w:val="center"/>
      </w:pPr>
      <w:r>
        <w:rPr>
          <w:rFonts w:ascii="Cambria" w:eastAsia="Cambria" w:hAnsi="Cambria" w:cs="Cambria"/>
          <w:b/>
          <w:color w:val="1F3A4D"/>
          <w:sz w:val="76"/>
          <w:szCs w:val="76"/>
          <w:lang w:val="en-CA" w:eastAsia="en-CA" w:bidi="ar-SA"/>
          <w:spacing w:val="30"/>
        </w:rPr>
        <w:t>Coordination Authority Framework</w:t>
      </w:r>
    </w:p>
    <w:p>
      <w:pPr>
        <w:pStyle w:val="Normal"/>
        <w:spacing w:before="120" w:after="260" w:line="300" w:lineRule="auto"/>
        <w:jc w:val="center"/>
      </w:pPr>
      <w:r>
        <w:rPr>
          <w:rFonts w:ascii="Cambria" w:eastAsia="Cambria" w:hAnsi="Cambria" w:cs="Cambria"/>
          <w:b/>
          <w:color w:val="8A6D2F"/>
          <w:sz w:val="44"/>
          <w:szCs w:val="44"/>
          <w:lang w:val="en-CA" w:eastAsia="en-CA" w:bidi="ar-SA"/>
          <w:spacing w:val="30"/>
        </w:rPr>
        <w:t>(GMCAF)</w:t>
      </w:r>
    </w:p>
    <w:p>
      <w:pPr>
        <w:pStyle w:val="Normal"/>
        <w:pBdr>
          <w:bottom w:val="single" w:sz="10" w:space="0" w:color="B08D3E"/>
        </w:pBdr>
        <w:spacing w:after="300"/>
        <w:ind w:left="2200" w:right="2200"/>
        <w:jc w:val="center"/>
      </w:pPr>
    </w:p>
    <w:p>
      <w:pPr>
        <w:pStyle w:val="Normal"/>
        <w:spacing w:before="120" w:after="120" w:line="300" w:lineRule="auto"/>
        <w:jc w:val="center"/>
      </w:pPr>
      <w:r>
        <w:rPr>
          <w:rFonts w:ascii="Cambria" w:eastAsia="Cambria" w:hAnsi="Cambria" w:cs="Cambria"/>
          <w:sz w:val="26"/>
          <w:szCs w:val="26"/>
          <w:lang w:val="en-CA" w:eastAsia="en-CA" w:bidi="ar-SA"/>
          <w:color w:val="212B32"/>
          <w:spacing w:val="30"/>
        </w:rPr>
        <w:t>A Dual-Corridor Governance System for the Strait of Hormuz</w:t>
      </w:r>
    </w:p>
    <w:p>
      <w:pPr>
        <w:pStyle w:val="Normal"/>
        <w:spacing w:after="900" w:line="300" w:lineRule="auto"/>
        <w:jc w:val="center"/>
      </w:pPr>
      <w:r>
        <w:rPr>
          <w:rFonts w:ascii="Cambria" w:eastAsia="Cambria" w:hAnsi="Cambria" w:cs="Cambria"/>
          <w:color w:val="7A8A94"/>
          <w:sz w:val="20"/>
          <w:szCs w:val="20"/>
          <w:lang w:val="en-CA" w:eastAsia="en-CA" w:bidi="ar-SA"/>
          <w:spacing w:val="30"/>
        </w:rPr>
        <w:t>Two Passages, One Water: Sovereign Stewardship, Free Transit, Compensated Service</w:t>
      </w:r>
    </w:p>
    <w:p>
      <w:pPr>
        <w:pStyle w:val="Normal"/>
        <w:spacing w:before="700" w:after="40" w:line="300" w:lineRule="auto"/>
        <w:jc w:val="center"/>
      </w:pPr>
      <w:r>
        <w:rPr>
          <w:rFonts w:ascii="Cambria" w:eastAsia="Cambria" w:hAnsi="Cambria" w:cs="Cambria"/>
          <w:b/>
          <w:color w:val="1F3A4D"/>
          <w:sz w:val="24"/>
          <w:szCs w:val="24"/>
          <w:lang w:val="en-CA" w:eastAsia="en-CA" w:bidi="ar-SA"/>
          <w:spacing w:val="30"/>
        </w:rPr>
        <w:t>Version 1.2</w:t>
      </w:r>
    </w:p>
    <w:p>
      <w:pPr>
        <w:pStyle w:val="Normal"/>
        <w:spacing w:after="40" w:line="300" w:lineRule="auto"/>
        <w:jc w:val="center"/>
      </w:pPr>
      <w:r>
        <w:rPr>
          <w:rFonts w:ascii="Cambria" w:eastAsia="Cambria" w:hAnsi="Cambria" w:cs="Cambria"/>
          <w:sz w:val="20"/>
          <w:szCs w:val="20"/>
          <w:lang w:val="en-CA" w:eastAsia="en-CA" w:bidi="ar-SA"/>
          <w:color w:val="212B32"/>
          <w:spacing w:val="30"/>
        </w:rPr>
        <w:t>Founding Edition</w:t>
      </w:r>
    </w:p>
    <w:p>
      <w:pPr>
        <w:pStyle w:val="Normal"/>
        <w:spacing w:after="600" w:line="300" w:lineRule="auto"/>
        <w:jc w:val="center"/>
      </w:pPr>
      <w:r>
        <w:rPr>
          <w:rFonts w:ascii="Cambria" w:eastAsia="Cambria" w:hAnsi="Cambria" w:cs="Cambria"/>
          <w:sz w:val="20"/>
          <w:szCs w:val="20"/>
          <w:lang w:val="en-CA" w:eastAsia="en-CA" w:bidi="ar-SA"/>
          <w:color w:val="212B32"/>
          <w:spacing w:val="30"/>
        </w:rPr>
        <w:t>Muscat, July 2026</w:t>
      </w:r>
    </w:p>
    <w:p>
      <w:pPr>
        <w:pStyle w:val="Normal"/>
        <w:spacing w:before="900" w:after="40" w:line="300" w:lineRule="auto"/>
        <w:jc w:val="center"/>
      </w:pPr>
      <w:r>
        <w:rPr>
          <w:rFonts w:ascii="Cambria" w:eastAsia="Cambria" w:hAnsi="Cambria" w:cs="Cambria"/>
          <w:color w:val="7A8A94"/>
          <w:sz w:val="17"/>
          <w:szCs w:val="17"/>
          <w:lang w:val="en-CA" w:eastAsia="en-CA" w:bidi="ar-SA"/>
          <w:spacing w:val="30"/>
        </w:rPr>
        <w:t>Advanced consultation text prepared for the Joint Hormuz Committee</w:t>
      </w:r>
    </w:p>
    <w:p>
      <w:pPr>
        <w:pStyle w:val="Normal"/>
        <w:spacing w:after="40" w:line="300" w:lineRule="auto"/>
        <w:jc w:val="center"/>
      </w:pPr>
      <w:r>
        <w:rPr>
          <w:rFonts w:ascii="Cambria" w:eastAsia="Cambria" w:hAnsi="Cambria" w:cs="Cambria"/>
          <w:sz w:val="18"/>
          <w:szCs w:val="18"/>
          <w:lang w:val="en-CA" w:eastAsia="en-CA" w:bidi="ar-SA"/>
          <w:color w:val="212B32"/>
          <w:spacing w:val="0"/>
        </w:rPr>
        <w:t>The Islamic Republic of Iran | The Republic of Iraq | The State of Kuwait | The Kingdom of Saudi Arabia | The Kingdom of Bahrain | The State of Qatar | The United Arab Emirates | The Sultanate of Oman</w:t>
      </w:r>
    </w:p>
    <w:p>
      <w:pPr>
        <w:pStyle w:val="Normal"/>
        <w:sectPr w:rsidR="007D4A98">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20" w:footer="720" w:gutter="0"/>
          <w:pgBorders>
            <w:top w:val="double" w:sz="12" w:space="24" w:color="B08D3E"/>
            <w:left w:val="double" w:sz="12" w:space="24" w:color="B08D3E"/>
            <w:bottom w:val="double" w:sz="12" w:space="24" w:color="B08D3E"/>
            <w:right w:val="double" w:sz="12" w:space="24" w:color="B08D3E"/>
          </w:pgBorders>
          <w:cols w:space="720"/>
          <w:titlePg/>
        </w:sectPr>
      </w:pPr>
    </w:p>
    <w:p>
      <w:pPr>
        <w:pStyle w:val="Normal"/>
        <w:pBdr>
          <w:bottom w:val="single" w:sz="8" w:space="0" w:color="1F3A4D"/>
        </w:pBdr>
        <w:spacing w:after="300"/>
      </w:pPr>
      <w:r>
        <w:rPr>
          <w:szCs w:val="24"/>
          <w:lang w:val="en-CA" w:eastAsia="en-CA" w:bidi="ar-SA"/>
          <w:rFonts w:ascii="Cambria" w:eastAsia="Cambria" w:hAnsi="Cambria" w:cs="Cambria"/>
          <w:color w:val="1F3A4D"/>
          <w:sz w:val="44"/>
          <w:b/>
        </w:rPr>
        <w:t>Table of Contents</w:t>
      </w:r>
    </w:p>
    <w:p>
      <w:pPr>
        <w:pStyle w:val="TOC2"/>
        <w:rPr>
          <w:rFonts w:asciiTheme="minorHAnsi" w:eastAsiaTheme="minorEastAsia" w:hAnsiTheme="minorHAnsi"/>
          <w:noProof/>
          <w:color w:val="auto"/>
          <w:sz w:val="24"/>
        </w:rPr>
      </w:pPr>
      <w:r>
        <w:fldChar w:fldCharType="begin"/>
      </w:r>
      <w:r>
        <w:instrText xml:space="preserve"> TOC \o "1-2" \h \z \u </w:instrText>
      </w:r>
      <w:r>
        <w:fldChar w:fldCharType="separate"/>
      </w:r>
      <w:hyperlink w:anchor="_Toc235667432" w:history="1">
        <w:r w:rsidR="00EF1295" w:rsidRPr="00AF3623">
          <w:rPr>
            <w:rStyle w:val="Hyperlink"/>
            <w:rFonts w:cs="Cambria" w:ascii="Cambria" w:hAnsi="Cambria" w:eastAsia="Cambria"/>
            <w:noProof/>
            <w:sz w:val="24"/>
            <w:szCs w:val="24"/>
            <w:color w:themeColor="hyperlink"/>
            <w:u w:val="single"/>
          </w:rPr>
          <w:t>Document Status and Instrument Record</w:t>
        </w:r>
        <w:r w:rsidR="00EF1295">
          <w:rPr>
            <w:noProof/>
            <w:webHidden/>
          </w:rPr>
          <w:tab/>
        </w:r>
        <w:r w:rsidR="00EF1295">
          <w:rPr>
            <w:noProof/>
            <w:webHidden/>
          </w:rPr>
          <w:fldChar w:fldCharType="begin"/>
        </w:r>
        <w:r w:rsidR="00EF1295">
          <w:rPr>
            <w:noProof/>
            <w:webHidden/>
          </w:rPr>
          <w:instrText xml:space="preserve"> PAGEREF _Toc235667432 \h </w:instrText>
        </w:r>
        <w:r w:rsidR="00EF1295">
          <w:rPr>
            <w:noProof/>
            <w:webHidden/>
          </w:rPr>
          <w:fldChar w:fldCharType="separate"/>
        </w:r>
        <w:r w:rsidR="00EF1295">
          <w:rPr>
            <w:noProof/>
            <w:webHidden/>
            <w:sz w:val="24"/>
            <w:szCs w:val="24"/>
            <w:rFonts w:ascii="Calibri" w:hAnsi="Calibri" w:eastAsia="Microsoft YaHei" w:cs="Calibri"/>
            <w:color w:val="000000"/>
          </w:rPr>
          <w:t>4</w:t>
        </w:r>
        <w:r w:rsidR="00EF1295">
          <w:rPr>
            <w:noProof/>
            <w:webHidden/>
          </w:rPr>
          <w:fldChar w:fldCharType="end"/>
        </w:r>
      </w:hyperlink>
    </w:p>
    <w:p>
      <w:pPr>
        <w:pStyle w:val="TOC2"/>
        <w:rPr>
          <w:rFonts w:asciiTheme="minorHAnsi" w:eastAsiaTheme="minorEastAsia" w:hAnsiTheme="minorHAnsi"/>
          <w:noProof/>
          <w:color w:val="auto"/>
          <w:sz w:val="24"/>
        </w:rPr>
      </w:pPr>
      <w:hyperlink w:anchor="_Toc235667433" w:history="1">
        <w:r w:rsidRPr="00AF3623">
          <w:rPr>
            <w:rStyle w:val="Hyperlink"/>
            <w:rFonts w:cs="Cambria" w:ascii="Cambria" w:hAnsi="Cambria" w:eastAsia="Cambria"/>
            <w:noProof/>
            <w:sz w:val="24"/>
            <w:szCs w:val="24"/>
            <w:color w:themeColor="hyperlink"/>
            <w:u w:val="single"/>
          </w:rPr>
          <w:t>Drafting Convention and Method</w:t>
        </w:r>
        <w:r>
          <w:rPr>
            <w:noProof/>
            <w:webHidden/>
          </w:rPr>
          <w:tab/>
        </w:r>
        <w:r>
          <w:rPr>
            <w:noProof/>
            <w:webHidden/>
          </w:rPr>
          <w:fldChar w:fldCharType="begin"/>
        </w:r>
        <w:r>
          <w:rPr>
            <w:noProof/>
            <w:webHidden/>
          </w:rPr>
          <w:instrText xml:space="preserve"> PAGEREF _Toc235667433 \h </w:instrText>
        </w:r>
        <w:r>
          <w:rPr>
            <w:noProof/>
            <w:webHidden/>
          </w:rPr>
          <w:fldChar w:fldCharType="separate"/>
        </w:r>
        <w:r>
          <w:rPr>
            <w:noProof/>
            <w:webHidden/>
            <w:sz w:val="24"/>
            <w:szCs w:val="24"/>
            <w:rFonts w:ascii="Calibri" w:hAnsi="Calibri" w:eastAsia="Microsoft YaHei" w:cs="Calibri"/>
            <w:color w:val="000000"/>
          </w:rPr>
          <w:t>4</w:t>
        </w:r>
        <w:r>
          <w:rPr>
            <w:noProof/>
            <w:webHidden/>
          </w:rPr>
          <w:fldChar w:fldCharType="end"/>
        </w:r>
      </w:hyperlink>
    </w:p>
    <w:p>
      <w:pPr>
        <w:pStyle w:val="TOC2"/>
        <w:rPr>
          <w:rFonts w:asciiTheme="minorHAnsi" w:eastAsiaTheme="minorEastAsia" w:hAnsiTheme="minorHAnsi"/>
          <w:noProof/>
          <w:color w:val="auto"/>
          <w:sz w:val="24"/>
        </w:rPr>
      </w:pPr>
      <w:hyperlink w:anchor="_Toc235667434" w:history="1">
        <w:r w:rsidRPr="00AF3623">
          <w:rPr>
            <w:rStyle w:val="Hyperlink"/>
            <w:rFonts w:cs="Cambria" w:ascii="Cambria" w:hAnsi="Cambria" w:eastAsia="Cambria"/>
            <w:noProof/>
            <w:sz w:val="24"/>
            <w:szCs w:val="24"/>
            <w:color w:themeColor="hyperlink"/>
            <w:u w:val="single"/>
          </w:rPr>
          <w:t>Reader's Guide: The Framework in Fifteen Minutes</w:t>
        </w:r>
        <w:r>
          <w:rPr>
            <w:noProof/>
            <w:webHidden/>
          </w:rPr>
          <w:tab/>
        </w:r>
        <w:r>
          <w:rPr>
            <w:noProof/>
            <w:webHidden/>
          </w:rPr>
          <w:fldChar w:fldCharType="begin"/>
        </w:r>
        <w:r>
          <w:rPr>
            <w:noProof/>
            <w:webHidden/>
          </w:rPr>
          <w:instrText xml:space="preserve"> PAGEREF _Toc235667434 \h </w:instrText>
        </w:r>
        <w:r>
          <w:rPr>
            <w:noProof/>
            <w:webHidden/>
          </w:rPr>
          <w:fldChar w:fldCharType="separate"/>
        </w:r>
        <w:r>
          <w:rPr>
            <w:noProof/>
            <w:webHidden/>
            <w:sz w:val="24"/>
            <w:szCs w:val="24"/>
            <w:rFonts w:ascii="Calibri" w:hAnsi="Calibri" w:eastAsia="Microsoft YaHei" w:cs="Calibri"/>
            <w:color w:val="000000"/>
          </w:rPr>
          <w:t>6</w:t>
        </w:r>
        <w:r>
          <w:rPr>
            <w:noProof/>
            <w:webHidden/>
          </w:rPr>
          <w:fldChar w:fldCharType="end"/>
        </w:r>
      </w:hyperlink>
    </w:p>
    <w:p>
      <w:pPr>
        <w:pStyle w:val="TOC2"/>
        <w:rPr>
          <w:rFonts w:asciiTheme="minorHAnsi" w:eastAsiaTheme="minorEastAsia" w:hAnsiTheme="minorHAnsi"/>
          <w:noProof/>
          <w:color w:val="auto"/>
          <w:sz w:val="24"/>
        </w:rPr>
      </w:pPr>
      <w:hyperlink w:anchor="_Toc235667435" w:history="1">
        <w:r w:rsidRPr="00AF3623">
          <w:rPr>
            <w:rStyle w:val="Hyperlink"/>
            <w:rFonts w:cs="Cambria" w:ascii="Cambria" w:hAnsi="Cambria" w:eastAsia="Cambria"/>
            <w:noProof/>
            <w:sz w:val="24"/>
            <w:szCs w:val="24"/>
            <w:color w:themeColor="hyperlink"/>
            <w:u w:val="single"/>
          </w:rPr>
          <w:t>Preamble: The Strait and the Settlement</w:t>
        </w:r>
        <w:r>
          <w:rPr>
            <w:noProof/>
            <w:webHidden/>
          </w:rPr>
          <w:tab/>
        </w:r>
        <w:r>
          <w:rPr>
            <w:noProof/>
            <w:webHidden/>
          </w:rPr>
          <w:fldChar w:fldCharType="begin"/>
        </w:r>
        <w:r>
          <w:rPr>
            <w:noProof/>
            <w:webHidden/>
          </w:rPr>
          <w:instrText xml:space="preserve"> PAGEREF _Toc235667435 \h </w:instrText>
        </w:r>
        <w:r>
          <w:rPr>
            <w:noProof/>
            <w:webHidden/>
          </w:rPr>
          <w:fldChar w:fldCharType="separate"/>
        </w:r>
        <w:r>
          <w:rPr>
            <w:noProof/>
            <w:webHidden/>
            <w:sz w:val="24"/>
            <w:szCs w:val="24"/>
            <w:rFonts w:ascii="Calibri" w:hAnsi="Calibri" w:eastAsia="Microsoft YaHei" w:cs="Calibri"/>
            <w:color w:val="000000"/>
          </w:rPr>
          <w:t>9</w:t>
        </w:r>
        <w:r>
          <w:rPr>
            <w:noProof/>
            <w:webHidden/>
          </w:rPr>
          <w:fldChar w:fldCharType="end"/>
        </w:r>
      </w:hyperlink>
    </w:p>
    <w:p>
      <w:pPr>
        <w:pStyle w:val="TOC1"/>
        <w:rPr>
          <w:rFonts w:asciiTheme="minorHAnsi" w:eastAsiaTheme="minorEastAsia" w:hAnsiTheme="minorHAnsi"/>
          <w:b w:val="0"/>
          <w:noProof/>
          <w:color w:val="auto"/>
          <w:sz w:val="24"/>
        </w:rPr>
      </w:pPr>
      <w:hyperlink w:anchor="_Toc235667436" w:history="1">
        <w:r w:rsidRPr="00AF3623">
          <w:rPr>
            <w:rStyle w:val="Hyperlink"/>
            <w:rFonts w:cs="Cambria"/>
            <w:noProof/>
          </w:rPr>
          <w:t>Part I: Foundations</w:t>
        </w:r>
        <w:r>
          <w:rPr>
            <w:noProof/>
            <w:webHidden/>
          </w:rPr>
          <w:tab/>
        </w:r>
        <w:r>
          <w:rPr>
            <w:noProof/>
            <w:webHidden/>
          </w:rPr>
          <w:fldChar w:fldCharType="begin"/>
        </w:r>
        <w:r>
          <w:rPr>
            <w:noProof/>
            <w:webHidden/>
          </w:rPr>
          <w:instrText xml:space="preserve"> PAGEREF _Toc235667436 \h </w:instrText>
        </w:r>
        <w:r>
          <w:rPr>
            <w:noProof/>
            <w:webHidden/>
          </w:rPr>
          <w:fldChar w:fldCharType="separate"/>
        </w:r>
        <w:r>
          <w:rPr>
            <w:noProof/>
            <w:webHidden/>
            <w:b/>
            <w:sz w:val="24"/>
            <w:szCs w:val="24"/>
            <w:rFonts w:ascii="Calibri" w:hAnsi="Calibri" w:eastAsia="Microsoft YaHei" w:cs="Calibri"/>
            <w:color w:val="000000"/>
          </w:rPr>
          <w:t>11</w:t>
        </w:r>
        <w:r>
          <w:rPr>
            <w:noProof/>
            <w:webHidden/>
          </w:rPr>
          <w:fldChar w:fldCharType="end"/>
        </w:r>
      </w:hyperlink>
    </w:p>
    <w:p>
      <w:pPr>
        <w:pStyle w:val="TOC2"/>
        <w:rPr>
          <w:rFonts w:asciiTheme="minorHAnsi" w:eastAsiaTheme="minorEastAsia" w:hAnsiTheme="minorHAnsi"/>
          <w:noProof/>
          <w:color w:val="auto"/>
          <w:sz w:val="24"/>
        </w:rPr>
      </w:pPr>
      <w:hyperlink w:anchor="_Toc235667437" w:history="1">
        <w:r w:rsidRPr="00AF3623">
          <w:rPr>
            <w:rStyle w:val="Hyperlink"/>
            <w:rFonts w:cs="Cambria" w:ascii="Cambria" w:hAnsi="Cambria" w:eastAsia="Cambria"/>
            <w:noProof/>
            <w:sz w:val="24"/>
            <w:szCs w:val="24"/>
            <w:color w:themeColor="hyperlink"/>
            <w:u w:val="single"/>
          </w:rPr>
          <w:t>Article 1: Establishment, Purpose, and Scope</w:t>
        </w:r>
        <w:r>
          <w:rPr>
            <w:noProof/>
            <w:webHidden/>
          </w:rPr>
          <w:tab/>
        </w:r>
        <w:r>
          <w:rPr>
            <w:noProof/>
            <w:webHidden/>
          </w:rPr>
          <w:fldChar w:fldCharType="begin"/>
        </w:r>
        <w:r>
          <w:rPr>
            <w:noProof/>
            <w:webHidden/>
          </w:rPr>
          <w:instrText xml:space="preserve"> PAGEREF _Toc235667437 \h </w:instrText>
        </w:r>
        <w:r>
          <w:rPr>
            <w:noProof/>
            <w:webHidden/>
          </w:rPr>
          <w:fldChar w:fldCharType="separate"/>
        </w:r>
        <w:r>
          <w:rPr>
            <w:noProof/>
            <w:webHidden/>
            <w:sz w:val="24"/>
            <w:szCs w:val="24"/>
            <w:rFonts w:ascii="Calibri" w:hAnsi="Calibri" w:eastAsia="Microsoft YaHei" w:cs="Calibri"/>
            <w:color w:val="000000"/>
          </w:rPr>
          <w:t>11</w:t>
        </w:r>
        <w:r>
          <w:rPr>
            <w:noProof/>
            <w:webHidden/>
          </w:rPr>
          <w:fldChar w:fldCharType="end"/>
        </w:r>
      </w:hyperlink>
    </w:p>
    <w:p>
      <w:pPr>
        <w:pStyle w:val="TOC2"/>
        <w:rPr>
          <w:rFonts w:asciiTheme="minorHAnsi" w:eastAsiaTheme="minorEastAsia" w:hAnsiTheme="minorHAnsi"/>
          <w:noProof/>
          <w:color w:val="auto"/>
          <w:sz w:val="24"/>
        </w:rPr>
      </w:pPr>
      <w:hyperlink w:anchor="_Toc235667438" w:history="1">
        <w:r w:rsidRPr="00AF3623">
          <w:rPr>
            <w:rStyle w:val="Hyperlink"/>
            <w:rFonts w:cs="Cambria" w:ascii="Cambria" w:hAnsi="Cambria" w:eastAsia="Cambria"/>
            <w:noProof/>
            <w:sz w:val="24"/>
            <w:szCs w:val="24"/>
            <w:color w:themeColor="hyperlink"/>
            <w:u w:val="single"/>
          </w:rPr>
          <w:t>Article 2: Legal Foundations and Relationship to International Law</w:t>
        </w:r>
        <w:r>
          <w:rPr>
            <w:noProof/>
            <w:webHidden/>
          </w:rPr>
          <w:tab/>
        </w:r>
        <w:r>
          <w:rPr>
            <w:noProof/>
            <w:webHidden/>
          </w:rPr>
          <w:fldChar w:fldCharType="begin"/>
        </w:r>
        <w:r>
          <w:rPr>
            <w:noProof/>
            <w:webHidden/>
          </w:rPr>
          <w:instrText xml:space="preserve"> PAGEREF _Toc235667438 \h </w:instrText>
        </w:r>
        <w:r>
          <w:rPr>
            <w:noProof/>
            <w:webHidden/>
          </w:rPr>
          <w:fldChar w:fldCharType="separate"/>
        </w:r>
        <w:r>
          <w:rPr>
            <w:noProof/>
            <w:webHidden/>
            <w:sz w:val="24"/>
            <w:szCs w:val="24"/>
            <w:rFonts w:ascii="Calibri" w:hAnsi="Calibri" w:eastAsia="Microsoft YaHei" w:cs="Calibri"/>
            <w:color w:val="000000"/>
          </w:rPr>
          <w:t>12</w:t>
        </w:r>
        <w:r>
          <w:rPr>
            <w:noProof/>
            <w:webHidden/>
          </w:rPr>
          <w:fldChar w:fldCharType="end"/>
        </w:r>
      </w:hyperlink>
    </w:p>
    <w:p>
      <w:pPr>
        <w:pStyle w:val="TOC2"/>
        <w:rPr>
          <w:rFonts w:asciiTheme="minorHAnsi" w:eastAsiaTheme="minorEastAsia" w:hAnsiTheme="minorHAnsi"/>
          <w:noProof/>
          <w:color w:val="auto"/>
          <w:sz w:val="24"/>
        </w:rPr>
      </w:pPr>
      <w:hyperlink w:anchor="_Toc235667439" w:history="1">
        <w:r w:rsidRPr="00AF3623">
          <w:rPr>
            <w:rStyle w:val="Hyperlink"/>
            <w:rFonts w:cs="Cambria" w:ascii="Cambria" w:hAnsi="Cambria" w:eastAsia="Cambria"/>
            <w:noProof/>
            <w:sz w:val="24"/>
            <w:szCs w:val="24"/>
            <w:color w:themeColor="hyperlink"/>
            <w:u w:val="single"/>
          </w:rPr>
          <w:t>Article 3: Core Operating Principles</w:t>
        </w:r>
        <w:r>
          <w:rPr>
            <w:noProof/>
            <w:webHidden/>
          </w:rPr>
          <w:tab/>
        </w:r>
        <w:r>
          <w:rPr>
            <w:noProof/>
            <w:webHidden/>
          </w:rPr>
          <w:fldChar w:fldCharType="begin"/>
        </w:r>
        <w:r>
          <w:rPr>
            <w:noProof/>
            <w:webHidden/>
          </w:rPr>
          <w:instrText xml:space="preserve"> PAGEREF _Toc235667439 \h </w:instrText>
        </w:r>
        <w:r>
          <w:rPr>
            <w:noProof/>
            <w:webHidden/>
          </w:rPr>
          <w:fldChar w:fldCharType="separate"/>
        </w:r>
        <w:r>
          <w:rPr>
            <w:noProof/>
            <w:webHidden/>
            <w:sz w:val="24"/>
            <w:szCs w:val="24"/>
            <w:rFonts w:ascii="Calibri" w:hAnsi="Calibri" w:eastAsia="Microsoft YaHei" w:cs="Calibri"/>
            <w:color w:val="000000"/>
          </w:rPr>
          <w:t>14</w:t>
        </w:r>
        <w:r>
          <w:rPr>
            <w:noProof/>
            <w:webHidden/>
          </w:rPr>
          <w:fldChar w:fldCharType="end"/>
        </w:r>
      </w:hyperlink>
    </w:p>
    <w:p>
      <w:pPr>
        <w:pStyle w:val="TOC2"/>
        <w:rPr>
          <w:rFonts w:asciiTheme="minorHAnsi" w:eastAsiaTheme="minorEastAsia" w:hAnsiTheme="minorHAnsi"/>
          <w:noProof/>
          <w:color w:val="auto"/>
          <w:sz w:val="24"/>
        </w:rPr>
      </w:pPr>
      <w:hyperlink w:anchor="_Toc235667440" w:history="1">
        <w:r w:rsidRPr="00AF3623">
          <w:rPr>
            <w:rStyle w:val="Hyperlink"/>
            <w:rFonts w:cs="Cambria" w:ascii="Cambria" w:hAnsi="Cambria" w:eastAsia="Cambria"/>
            <w:noProof/>
            <w:sz w:val="24"/>
            <w:szCs w:val="24"/>
            <w:color w:themeColor="hyperlink"/>
            <w:u w:val="single"/>
          </w:rPr>
          <w:t>Article 4: Definitions and Interpretation</w:t>
        </w:r>
        <w:r>
          <w:rPr>
            <w:noProof/>
            <w:webHidden/>
          </w:rPr>
          <w:tab/>
        </w:r>
        <w:r>
          <w:rPr>
            <w:noProof/>
            <w:webHidden/>
          </w:rPr>
          <w:fldChar w:fldCharType="begin"/>
        </w:r>
        <w:r>
          <w:rPr>
            <w:noProof/>
            <w:webHidden/>
          </w:rPr>
          <w:instrText xml:space="preserve"> PAGEREF _Toc235667440 \h </w:instrText>
        </w:r>
        <w:r>
          <w:rPr>
            <w:noProof/>
            <w:webHidden/>
          </w:rPr>
          <w:fldChar w:fldCharType="separate"/>
        </w:r>
        <w:r>
          <w:rPr>
            <w:noProof/>
            <w:webHidden/>
            <w:sz w:val="24"/>
            <w:szCs w:val="24"/>
            <w:rFonts w:ascii="Calibri" w:hAnsi="Calibri" w:eastAsia="Microsoft YaHei" w:cs="Calibri"/>
            <w:color w:val="000000"/>
          </w:rPr>
          <w:t>16</w:t>
        </w:r>
        <w:r>
          <w:rPr>
            <w:noProof/>
            <w:webHidden/>
          </w:rPr>
          <w:fldChar w:fldCharType="end"/>
        </w:r>
      </w:hyperlink>
    </w:p>
    <w:p>
      <w:pPr>
        <w:pStyle w:val="TOC1"/>
        <w:rPr>
          <w:rFonts w:asciiTheme="minorHAnsi" w:eastAsiaTheme="minorEastAsia" w:hAnsiTheme="minorHAnsi"/>
          <w:b w:val="0"/>
          <w:noProof/>
          <w:color w:val="auto"/>
          <w:sz w:val="24"/>
        </w:rPr>
      </w:pPr>
      <w:hyperlink w:anchor="_Toc235667441" w:history="1">
        <w:r w:rsidRPr="00AF3623">
          <w:rPr>
            <w:rStyle w:val="Hyperlink"/>
            <w:rFonts w:cs="Cambria"/>
            <w:noProof/>
          </w:rPr>
          <w:t>Part II: The Dual-Corridor Navigation System</w:t>
        </w:r>
        <w:r>
          <w:rPr>
            <w:noProof/>
            <w:webHidden/>
          </w:rPr>
          <w:tab/>
        </w:r>
        <w:r>
          <w:rPr>
            <w:noProof/>
            <w:webHidden/>
          </w:rPr>
          <w:fldChar w:fldCharType="begin"/>
        </w:r>
        <w:r>
          <w:rPr>
            <w:noProof/>
            <w:webHidden/>
          </w:rPr>
          <w:instrText xml:space="preserve"> PAGEREF _Toc235667441 \h </w:instrText>
        </w:r>
        <w:r>
          <w:rPr>
            <w:noProof/>
            <w:webHidden/>
          </w:rPr>
          <w:fldChar w:fldCharType="separate"/>
        </w:r>
        <w:r>
          <w:rPr>
            <w:noProof/>
            <w:webHidden/>
            <w:b/>
            <w:sz w:val="24"/>
            <w:szCs w:val="24"/>
            <w:rFonts w:ascii="Calibri" w:hAnsi="Calibri" w:eastAsia="Microsoft YaHei" w:cs="Calibri"/>
            <w:color w:val="000000"/>
          </w:rPr>
          <w:t>18</w:t>
        </w:r>
        <w:r>
          <w:rPr>
            <w:noProof/>
            <w:webHidden/>
          </w:rPr>
          <w:fldChar w:fldCharType="end"/>
        </w:r>
      </w:hyperlink>
    </w:p>
    <w:p>
      <w:pPr>
        <w:pStyle w:val="TOC2"/>
        <w:rPr>
          <w:rFonts w:asciiTheme="minorHAnsi" w:eastAsiaTheme="minorEastAsia" w:hAnsiTheme="minorHAnsi"/>
          <w:noProof/>
          <w:color w:val="auto"/>
          <w:sz w:val="24"/>
        </w:rPr>
      </w:pPr>
      <w:hyperlink w:anchor="_Toc235667442" w:history="1">
        <w:r w:rsidRPr="00AF3623">
          <w:rPr>
            <w:rStyle w:val="Hyperlink"/>
            <w:rFonts w:cs="Cambria" w:ascii="Cambria" w:hAnsi="Cambria" w:eastAsia="Cambria"/>
            <w:noProof/>
            <w:sz w:val="24"/>
            <w:szCs w:val="24"/>
            <w:color w:themeColor="hyperlink"/>
            <w:u w:val="single"/>
          </w:rPr>
          <w:t>Article 5: The Corridor System at a Glance</w:t>
        </w:r>
        <w:r>
          <w:rPr>
            <w:noProof/>
            <w:webHidden/>
          </w:rPr>
          <w:tab/>
        </w:r>
        <w:r>
          <w:rPr>
            <w:noProof/>
            <w:webHidden/>
          </w:rPr>
          <w:fldChar w:fldCharType="begin"/>
        </w:r>
        <w:r>
          <w:rPr>
            <w:noProof/>
            <w:webHidden/>
          </w:rPr>
          <w:instrText xml:space="preserve"> PAGEREF _Toc235667442 \h </w:instrText>
        </w:r>
        <w:r>
          <w:rPr>
            <w:noProof/>
            <w:webHidden/>
          </w:rPr>
          <w:fldChar w:fldCharType="separate"/>
        </w:r>
        <w:r>
          <w:rPr>
            <w:noProof/>
            <w:webHidden/>
            <w:sz w:val="24"/>
            <w:szCs w:val="24"/>
            <w:rFonts w:ascii="Calibri" w:hAnsi="Calibri" w:eastAsia="Microsoft YaHei" w:cs="Calibri"/>
            <w:color w:val="000000"/>
          </w:rPr>
          <w:t>18</w:t>
        </w:r>
        <w:r>
          <w:rPr>
            <w:noProof/>
            <w:webHidden/>
          </w:rPr>
          <w:fldChar w:fldCharType="end"/>
        </w:r>
      </w:hyperlink>
    </w:p>
    <w:p>
      <w:pPr>
        <w:pStyle w:val="TOC2"/>
        <w:rPr>
          <w:rFonts w:asciiTheme="minorHAnsi" w:eastAsiaTheme="minorEastAsia" w:hAnsiTheme="minorHAnsi"/>
          <w:noProof/>
          <w:color w:val="auto"/>
          <w:sz w:val="24"/>
        </w:rPr>
      </w:pPr>
      <w:hyperlink w:anchor="_Toc235667443" w:history="1">
        <w:r w:rsidRPr="00AF3623">
          <w:rPr>
            <w:rStyle w:val="Hyperlink"/>
            <w:rFonts w:cs="Cambria" w:ascii="Cambria" w:hAnsi="Cambria" w:eastAsia="Cambria"/>
            <w:noProof/>
            <w:sz w:val="24"/>
            <w:szCs w:val="24"/>
            <w:color w:themeColor="hyperlink"/>
            <w:u w:val="single"/>
          </w:rPr>
          <w:t>Article 6: Corridor A: The Omani Guarantee Corridor</w:t>
        </w:r>
        <w:r>
          <w:rPr>
            <w:noProof/>
            <w:webHidden/>
          </w:rPr>
          <w:tab/>
        </w:r>
        <w:r>
          <w:rPr>
            <w:noProof/>
            <w:webHidden/>
          </w:rPr>
          <w:fldChar w:fldCharType="begin"/>
        </w:r>
        <w:r>
          <w:rPr>
            <w:noProof/>
            <w:webHidden/>
          </w:rPr>
          <w:instrText xml:space="preserve"> PAGEREF _Toc235667443 \h </w:instrText>
        </w:r>
        <w:r>
          <w:rPr>
            <w:noProof/>
            <w:webHidden/>
          </w:rPr>
          <w:fldChar w:fldCharType="separate"/>
        </w:r>
        <w:r>
          <w:rPr>
            <w:noProof/>
            <w:webHidden/>
            <w:sz w:val="24"/>
            <w:szCs w:val="24"/>
            <w:rFonts w:ascii="Calibri" w:hAnsi="Calibri" w:eastAsia="Microsoft YaHei" w:cs="Calibri"/>
            <w:color w:val="000000"/>
          </w:rPr>
          <w:t>20</w:t>
        </w:r>
        <w:r>
          <w:rPr>
            <w:noProof/>
            <w:webHidden/>
          </w:rPr>
          <w:fldChar w:fldCharType="end"/>
        </w:r>
      </w:hyperlink>
    </w:p>
    <w:p>
      <w:pPr>
        <w:pStyle w:val="TOC2"/>
        <w:rPr>
          <w:rFonts w:asciiTheme="minorHAnsi" w:eastAsiaTheme="minorEastAsia" w:hAnsiTheme="minorHAnsi"/>
          <w:noProof/>
          <w:color w:val="auto"/>
          <w:sz w:val="24"/>
        </w:rPr>
      </w:pPr>
      <w:hyperlink w:anchor="_Toc235667444" w:history="1">
        <w:r w:rsidRPr="00AF3623">
          <w:rPr>
            <w:rStyle w:val="Hyperlink"/>
            <w:rFonts w:cs="Cambria" w:ascii="Cambria" w:hAnsi="Cambria" w:eastAsia="Cambria"/>
            <w:noProof/>
            <w:sz w:val="24"/>
            <w:szCs w:val="24"/>
            <w:color w:themeColor="hyperlink"/>
            <w:u w:val="single"/>
          </w:rPr>
          <w:t>Article 7: Corridor B: The Iranian Arrangement Corridor</w:t>
        </w:r>
        <w:r>
          <w:rPr>
            <w:noProof/>
            <w:webHidden/>
          </w:rPr>
          <w:tab/>
        </w:r>
        <w:r>
          <w:rPr>
            <w:noProof/>
            <w:webHidden/>
          </w:rPr>
          <w:fldChar w:fldCharType="begin"/>
        </w:r>
        <w:r>
          <w:rPr>
            <w:noProof/>
            <w:webHidden/>
          </w:rPr>
          <w:instrText xml:space="preserve"> PAGEREF _Toc235667444 \h </w:instrText>
        </w:r>
        <w:r>
          <w:rPr>
            <w:noProof/>
            <w:webHidden/>
          </w:rPr>
          <w:fldChar w:fldCharType="separate"/>
        </w:r>
        <w:r>
          <w:rPr>
            <w:noProof/>
            <w:webHidden/>
            <w:sz w:val="24"/>
            <w:szCs w:val="24"/>
            <w:rFonts w:ascii="Calibri" w:hAnsi="Calibri" w:eastAsia="Microsoft YaHei" w:cs="Calibri"/>
            <w:color w:val="000000"/>
          </w:rPr>
          <w:t>21</w:t>
        </w:r>
        <w:r>
          <w:rPr>
            <w:noProof/>
            <w:webHidden/>
          </w:rPr>
          <w:fldChar w:fldCharType="end"/>
        </w:r>
      </w:hyperlink>
    </w:p>
    <w:p>
      <w:pPr>
        <w:pStyle w:val="TOC2"/>
        <w:rPr>
          <w:rFonts w:asciiTheme="minorHAnsi" w:eastAsiaTheme="minorEastAsia" w:hAnsiTheme="minorHAnsi"/>
          <w:noProof/>
          <w:color w:val="auto"/>
          <w:sz w:val="24"/>
        </w:rPr>
      </w:pPr>
      <w:hyperlink w:anchor="_Toc235667445" w:history="1">
        <w:r w:rsidRPr="00AF3623">
          <w:rPr>
            <w:rStyle w:val="Hyperlink"/>
            <w:rFonts w:cs="Cambria" w:ascii="Cambria" w:hAnsi="Cambria" w:eastAsia="Cambria"/>
            <w:noProof/>
            <w:sz w:val="24"/>
            <w:szCs w:val="24"/>
            <w:color w:themeColor="hyperlink"/>
            <w:u w:val="single"/>
          </w:rPr>
          <w:t>Article 8: Corridor Geometry, Coordinates, and Separation</w:t>
        </w:r>
        <w:r>
          <w:rPr>
            <w:noProof/>
            <w:webHidden/>
          </w:rPr>
          <w:tab/>
        </w:r>
        <w:r>
          <w:rPr>
            <w:noProof/>
            <w:webHidden/>
          </w:rPr>
          <w:fldChar w:fldCharType="begin"/>
        </w:r>
        <w:r>
          <w:rPr>
            <w:noProof/>
            <w:webHidden/>
          </w:rPr>
          <w:instrText xml:space="preserve"> PAGEREF _Toc235667445 \h </w:instrText>
        </w:r>
        <w:r>
          <w:rPr>
            <w:noProof/>
            <w:webHidden/>
          </w:rPr>
          <w:fldChar w:fldCharType="separate"/>
        </w:r>
        <w:r>
          <w:rPr>
            <w:noProof/>
            <w:webHidden/>
            <w:sz w:val="24"/>
            <w:szCs w:val="24"/>
            <w:rFonts w:ascii="Calibri" w:hAnsi="Calibri" w:eastAsia="Microsoft YaHei" w:cs="Calibri"/>
            <w:color w:val="000000"/>
          </w:rPr>
          <w:t>23</w:t>
        </w:r>
        <w:r>
          <w:rPr>
            <w:noProof/>
            <w:webHidden/>
          </w:rPr>
          <w:fldChar w:fldCharType="end"/>
        </w:r>
      </w:hyperlink>
    </w:p>
    <w:p>
      <w:pPr>
        <w:pStyle w:val="TOC2"/>
        <w:rPr>
          <w:rFonts w:asciiTheme="minorHAnsi" w:eastAsiaTheme="minorEastAsia" w:hAnsiTheme="minorHAnsi"/>
          <w:noProof/>
          <w:color w:val="auto"/>
          <w:sz w:val="24"/>
        </w:rPr>
      </w:pPr>
      <w:hyperlink w:anchor="_Toc235667446" w:history="1">
        <w:r w:rsidRPr="00AF3623">
          <w:rPr>
            <w:rStyle w:val="Hyperlink"/>
            <w:rFonts w:cs="Cambria" w:ascii="Cambria" w:hAnsi="Cambria" w:eastAsia="Cambria"/>
            <w:noProof/>
            <w:sz w:val="24"/>
            <w:szCs w:val="24"/>
            <w:color w:themeColor="hyperlink"/>
            <w:u w:val="single"/>
          </w:rPr>
          <w:t>Article 9: Vessel Classification and Differentiated Treatment</w:t>
        </w:r>
        <w:r>
          <w:rPr>
            <w:noProof/>
            <w:webHidden/>
          </w:rPr>
          <w:tab/>
        </w:r>
        <w:r>
          <w:rPr>
            <w:noProof/>
            <w:webHidden/>
          </w:rPr>
          <w:fldChar w:fldCharType="begin"/>
        </w:r>
        <w:r>
          <w:rPr>
            <w:noProof/>
            <w:webHidden/>
          </w:rPr>
          <w:instrText xml:space="preserve"> PAGEREF _Toc235667446 \h </w:instrText>
        </w:r>
        <w:r>
          <w:rPr>
            <w:noProof/>
            <w:webHidden/>
          </w:rPr>
          <w:fldChar w:fldCharType="separate"/>
        </w:r>
        <w:r>
          <w:rPr>
            <w:noProof/>
            <w:webHidden/>
            <w:sz w:val="24"/>
            <w:szCs w:val="24"/>
            <w:rFonts w:ascii="Calibri" w:hAnsi="Calibri" w:eastAsia="Microsoft YaHei" w:cs="Calibri"/>
            <w:color w:val="000000"/>
          </w:rPr>
          <w:t>24</w:t>
        </w:r>
        <w:r>
          <w:rPr>
            <w:noProof/>
            <w:webHidden/>
          </w:rPr>
          <w:fldChar w:fldCharType="end"/>
        </w:r>
      </w:hyperlink>
    </w:p>
    <w:p>
      <w:pPr>
        <w:pStyle w:val="TOC2"/>
        <w:rPr>
          <w:rFonts w:asciiTheme="minorHAnsi" w:eastAsiaTheme="minorEastAsia" w:hAnsiTheme="minorHAnsi"/>
          <w:noProof/>
          <w:color w:val="auto"/>
          <w:sz w:val="24"/>
        </w:rPr>
      </w:pPr>
      <w:hyperlink w:anchor="_Toc235667447" w:history="1">
        <w:r w:rsidRPr="00AF3623">
          <w:rPr>
            <w:rStyle w:val="Hyperlink"/>
            <w:rFonts w:cs="Cambria" w:ascii="Cambria" w:hAnsi="Cambria" w:eastAsia="Cambria"/>
            <w:noProof/>
            <w:sz w:val="24"/>
            <w:szCs w:val="24"/>
            <w:color w:themeColor="hyperlink"/>
            <w:u w:val="single"/>
          </w:rPr>
          <w:t>Article 10: Safe Passage Guarantees and the Non-Interdiction Protocol</w:t>
        </w:r>
        <w:r>
          <w:rPr>
            <w:noProof/>
            <w:webHidden/>
          </w:rPr>
          <w:tab/>
        </w:r>
        <w:r>
          <w:rPr>
            <w:noProof/>
            <w:webHidden/>
          </w:rPr>
          <w:fldChar w:fldCharType="begin"/>
        </w:r>
        <w:r>
          <w:rPr>
            <w:noProof/>
            <w:webHidden/>
          </w:rPr>
          <w:instrText xml:space="preserve"> PAGEREF _Toc235667447 \h </w:instrText>
        </w:r>
        <w:r>
          <w:rPr>
            <w:noProof/>
            <w:webHidden/>
          </w:rPr>
          <w:fldChar w:fldCharType="separate"/>
        </w:r>
        <w:r>
          <w:rPr>
            <w:noProof/>
            <w:webHidden/>
            <w:sz w:val="24"/>
            <w:szCs w:val="24"/>
            <w:rFonts w:ascii="Calibri" w:hAnsi="Calibri" w:eastAsia="Microsoft YaHei" w:cs="Calibri"/>
            <w:color w:val="000000"/>
          </w:rPr>
          <w:t>25</w:t>
        </w:r>
        <w:r>
          <w:rPr>
            <w:noProof/>
            <w:webHidden/>
          </w:rPr>
          <w:fldChar w:fldCharType="end"/>
        </w:r>
      </w:hyperlink>
    </w:p>
    <w:p>
      <w:pPr>
        <w:pStyle w:val="TOC2"/>
        <w:rPr>
          <w:rFonts w:asciiTheme="minorHAnsi" w:eastAsiaTheme="minorEastAsia" w:hAnsiTheme="minorHAnsi"/>
          <w:noProof/>
          <w:color w:val="auto"/>
          <w:sz w:val="24"/>
        </w:rPr>
      </w:pPr>
      <w:hyperlink w:anchor="_Toc235667448" w:history="1">
        <w:r w:rsidRPr="00AF3623">
          <w:rPr>
            <w:rStyle w:val="Hyperlink"/>
            <w:rFonts w:cs="Cambria" w:ascii="Cambria" w:hAnsi="Cambria" w:eastAsia="Cambria"/>
            <w:noProof/>
            <w:sz w:val="24"/>
            <w:szCs w:val="24"/>
            <w:color w:themeColor="hyperlink"/>
            <w:u w:val="single"/>
          </w:rPr>
          <w:t>Article 11: Speed, Spacing, and Traffic Management</w:t>
        </w:r>
        <w:r>
          <w:rPr>
            <w:noProof/>
            <w:webHidden/>
          </w:rPr>
          <w:tab/>
        </w:r>
        <w:r>
          <w:rPr>
            <w:noProof/>
            <w:webHidden/>
          </w:rPr>
          <w:fldChar w:fldCharType="begin"/>
        </w:r>
        <w:r>
          <w:rPr>
            <w:noProof/>
            <w:webHidden/>
          </w:rPr>
          <w:instrText xml:space="preserve"> PAGEREF _Toc235667448 \h </w:instrText>
        </w:r>
        <w:r>
          <w:rPr>
            <w:noProof/>
            <w:webHidden/>
          </w:rPr>
          <w:fldChar w:fldCharType="separate"/>
        </w:r>
        <w:r>
          <w:rPr>
            <w:noProof/>
            <w:webHidden/>
            <w:sz w:val="24"/>
            <w:szCs w:val="24"/>
            <w:rFonts w:ascii="Calibri" w:hAnsi="Calibri" w:eastAsia="Microsoft YaHei" w:cs="Calibri"/>
            <w:color w:val="000000"/>
          </w:rPr>
          <w:t>27</w:t>
        </w:r>
        <w:r>
          <w:rPr>
            <w:noProof/>
            <w:webHidden/>
          </w:rPr>
          <w:fldChar w:fldCharType="end"/>
        </w:r>
      </w:hyperlink>
    </w:p>
    <w:p>
      <w:pPr>
        <w:pStyle w:val="TOC1"/>
        <w:rPr>
          <w:rFonts w:asciiTheme="minorHAnsi" w:eastAsiaTheme="minorEastAsia" w:hAnsiTheme="minorHAnsi"/>
          <w:b w:val="0"/>
          <w:noProof/>
          <w:color w:val="auto"/>
          <w:sz w:val="24"/>
        </w:rPr>
      </w:pPr>
      <w:hyperlink w:anchor="_Toc235667449" w:history="1">
        <w:r w:rsidRPr="00AF3623">
          <w:rPr>
            <w:rStyle w:val="Hyperlink"/>
            <w:rFonts w:cs="Cambria"/>
            <w:noProof/>
          </w:rPr>
          <w:t>Part III: Institutional Architecture</w:t>
        </w:r>
        <w:r>
          <w:rPr>
            <w:noProof/>
            <w:webHidden/>
          </w:rPr>
          <w:tab/>
        </w:r>
        <w:r>
          <w:rPr>
            <w:noProof/>
            <w:webHidden/>
          </w:rPr>
          <w:fldChar w:fldCharType="begin"/>
        </w:r>
        <w:r>
          <w:rPr>
            <w:noProof/>
            <w:webHidden/>
          </w:rPr>
          <w:instrText xml:space="preserve"> PAGEREF _Toc235667449 \h </w:instrText>
        </w:r>
        <w:r>
          <w:rPr>
            <w:noProof/>
            <w:webHidden/>
          </w:rPr>
          <w:fldChar w:fldCharType="separate"/>
        </w:r>
        <w:r>
          <w:rPr>
            <w:noProof/>
            <w:webHidden/>
            <w:b/>
            <w:sz w:val="24"/>
            <w:szCs w:val="24"/>
            <w:rFonts w:ascii="Calibri" w:hAnsi="Calibri" w:eastAsia="Microsoft YaHei" w:cs="Calibri"/>
            <w:color w:val="000000"/>
          </w:rPr>
          <w:t>28</w:t>
        </w:r>
        <w:r>
          <w:rPr>
            <w:noProof/>
            <w:webHidden/>
          </w:rPr>
          <w:fldChar w:fldCharType="end"/>
        </w:r>
      </w:hyperlink>
    </w:p>
    <w:p>
      <w:pPr>
        <w:pStyle w:val="TOC2"/>
        <w:rPr>
          <w:rFonts w:asciiTheme="minorHAnsi" w:eastAsiaTheme="minorEastAsia" w:hAnsiTheme="minorHAnsi"/>
          <w:noProof/>
          <w:color w:val="auto"/>
          <w:sz w:val="24"/>
        </w:rPr>
      </w:pPr>
      <w:hyperlink w:anchor="_Toc235667450" w:history="1">
        <w:r w:rsidRPr="00AF3623">
          <w:rPr>
            <w:rStyle w:val="Hyperlink"/>
            <w:rFonts w:cs="Cambria" w:ascii="Cambria" w:hAnsi="Cambria" w:eastAsia="Cambria"/>
            <w:noProof/>
            <w:sz w:val="24"/>
            <w:szCs w:val="24"/>
            <w:color w:themeColor="hyperlink"/>
            <w:u w:val="single"/>
          </w:rPr>
          <w:t>Article 12: The Gulf States Maritime Coordination Authority</w:t>
        </w:r>
        <w:r>
          <w:rPr>
            <w:noProof/>
            <w:webHidden/>
          </w:rPr>
          <w:tab/>
        </w:r>
        <w:r>
          <w:rPr>
            <w:noProof/>
            <w:webHidden/>
          </w:rPr>
          <w:fldChar w:fldCharType="begin"/>
        </w:r>
        <w:r>
          <w:rPr>
            <w:noProof/>
            <w:webHidden/>
          </w:rPr>
          <w:instrText xml:space="preserve"> PAGEREF _Toc235667450 \h </w:instrText>
        </w:r>
        <w:r>
          <w:rPr>
            <w:noProof/>
            <w:webHidden/>
          </w:rPr>
          <w:fldChar w:fldCharType="separate"/>
        </w:r>
        <w:r>
          <w:rPr>
            <w:noProof/>
            <w:webHidden/>
            <w:sz w:val="24"/>
            <w:szCs w:val="24"/>
            <w:rFonts w:ascii="Calibri" w:hAnsi="Calibri" w:eastAsia="Microsoft YaHei" w:cs="Calibri"/>
            <w:color w:val="000000"/>
          </w:rPr>
          <w:t>28</w:t>
        </w:r>
        <w:r>
          <w:rPr>
            <w:noProof/>
            <w:webHidden/>
          </w:rPr>
          <w:fldChar w:fldCharType="end"/>
        </w:r>
      </w:hyperlink>
    </w:p>
    <w:p>
      <w:pPr>
        <w:pStyle w:val="TOC2"/>
        <w:rPr>
          <w:rFonts w:asciiTheme="minorHAnsi" w:eastAsiaTheme="minorEastAsia" w:hAnsiTheme="minorHAnsi"/>
          <w:noProof/>
          <w:color w:val="auto"/>
          <w:sz w:val="24"/>
        </w:rPr>
      </w:pPr>
      <w:hyperlink w:anchor="_Toc235667451" w:history="1">
        <w:r w:rsidRPr="00AF3623">
          <w:rPr>
            <w:rStyle w:val="Hyperlink"/>
            <w:rFonts w:cs="Cambria" w:ascii="Cambria" w:hAnsi="Cambria" w:eastAsia="Cambria"/>
            <w:noProof/>
            <w:sz w:val="24"/>
            <w:szCs w:val="24"/>
            <w:color w:themeColor="hyperlink"/>
            <w:u w:val="single"/>
          </w:rPr>
          <w:t>Article 13: The Joint Maritime Coordination Center</w:t>
        </w:r>
        <w:r>
          <w:rPr>
            <w:noProof/>
            <w:webHidden/>
          </w:rPr>
          <w:tab/>
        </w:r>
        <w:r>
          <w:rPr>
            <w:noProof/>
            <w:webHidden/>
          </w:rPr>
          <w:fldChar w:fldCharType="begin"/>
        </w:r>
        <w:r>
          <w:rPr>
            <w:noProof/>
            <w:webHidden/>
          </w:rPr>
          <w:instrText xml:space="preserve"> PAGEREF _Toc235667451 \h </w:instrText>
        </w:r>
        <w:r>
          <w:rPr>
            <w:noProof/>
            <w:webHidden/>
          </w:rPr>
          <w:fldChar w:fldCharType="separate"/>
        </w:r>
        <w:r>
          <w:rPr>
            <w:noProof/>
            <w:webHidden/>
            <w:sz w:val="24"/>
            <w:szCs w:val="24"/>
            <w:rFonts w:ascii="Calibri" w:hAnsi="Calibri" w:eastAsia="Microsoft YaHei" w:cs="Calibri"/>
            <w:color w:val="000000"/>
          </w:rPr>
          <w:t>30</w:t>
        </w:r>
        <w:r>
          <w:rPr>
            <w:noProof/>
            <w:webHidden/>
          </w:rPr>
          <w:fldChar w:fldCharType="end"/>
        </w:r>
      </w:hyperlink>
    </w:p>
    <w:p>
      <w:pPr>
        <w:pStyle w:val="TOC2"/>
        <w:rPr>
          <w:rFonts w:asciiTheme="minorHAnsi" w:eastAsiaTheme="minorEastAsia" w:hAnsiTheme="minorHAnsi"/>
          <w:noProof/>
          <w:color w:val="auto"/>
          <w:sz w:val="24"/>
        </w:rPr>
      </w:pPr>
      <w:hyperlink w:anchor="_Toc235667452" w:history="1">
        <w:r w:rsidRPr="00AF3623">
          <w:rPr>
            <w:rStyle w:val="Hyperlink"/>
            <w:rFonts w:cs="Cambria" w:ascii="Cambria" w:hAnsi="Cambria" w:eastAsia="Cambria"/>
            <w:noProof/>
            <w:sz w:val="24"/>
            <w:szCs w:val="24"/>
            <w:color w:themeColor="hyperlink"/>
            <w:u w:val="single"/>
          </w:rPr>
          <w:t>Article 14: Personnel, Civilian Character, and the Exclusion Clause</w:t>
        </w:r>
        <w:r>
          <w:rPr>
            <w:noProof/>
            <w:webHidden/>
          </w:rPr>
          <w:tab/>
        </w:r>
        <w:r>
          <w:rPr>
            <w:noProof/>
            <w:webHidden/>
          </w:rPr>
          <w:fldChar w:fldCharType="begin"/>
        </w:r>
        <w:r>
          <w:rPr>
            <w:noProof/>
            <w:webHidden/>
          </w:rPr>
          <w:instrText xml:space="preserve"> PAGEREF _Toc235667452 \h </w:instrText>
        </w:r>
        <w:r>
          <w:rPr>
            <w:noProof/>
            <w:webHidden/>
          </w:rPr>
          <w:fldChar w:fldCharType="separate"/>
        </w:r>
        <w:r>
          <w:rPr>
            <w:noProof/>
            <w:webHidden/>
            <w:sz w:val="24"/>
            <w:szCs w:val="24"/>
            <w:rFonts w:ascii="Calibri" w:hAnsi="Calibri" w:eastAsia="Microsoft YaHei" w:cs="Calibri"/>
            <w:color w:val="000000"/>
          </w:rPr>
          <w:t>31</w:t>
        </w:r>
        <w:r>
          <w:rPr>
            <w:noProof/>
            <w:webHidden/>
          </w:rPr>
          <w:fldChar w:fldCharType="end"/>
        </w:r>
      </w:hyperlink>
    </w:p>
    <w:p>
      <w:pPr>
        <w:pStyle w:val="TOC2"/>
        <w:rPr>
          <w:rFonts w:asciiTheme="minorHAnsi" w:eastAsiaTheme="minorEastAsia" w:hAnsiTheme="minorHAnsi"/>
          <w:noProof/>
          <w:color w:val="auto"/>
          <w:sz w:val="24"/>
        </w:rPr>
      </w:pPr>
      <w:hyperlink w:anchor="_Toc235667453" w:history="1">
        <w:r w:rsidRPr="00AF3623">
          <w:rPr>
            <w:rStyle w:val="Hyperlink"/>
            <w:rFonts w:cs="Cambria" w:ascii="Cambria" w:hAnsi="Cambria" w:eastAsia="Cambria"/>
            <w:noProof/>
            <w:sz w:val="24"/>
            <w:szCs w:val="24"/>
            <w:color w:themeColor="hyperlink"/>
            <w:u w:val="single"/>
          </w:rPr>
          <w:t>Article 15: Observers and International Participation</w:t>
        </w:r>
        <w:r>
          <w:rPr>
            <w:noProof/>
            <w:webHidden/>
          </w:rPr>
          <w:tab/>
        </w:r>
        <w:r>
          <w:rPr>
            <w:noProof/>
            <w:webHidden/>
          </w:rPr>
          <w:fldChar w:fldCharType="begin"/>
        </w:r>
        <w:r>
          <w:rPr>
            <w:noProof/>
            <w:webHidden/>
          </w:rPr>
          <w:instrText xml:space="preserve"> PAGEREF _Toc235667453 \h </w:instrText>
        </w:r>
        <w:r>
          <w:rPr>
            <w:noProof/>
            <w:webHidden/>
          </w:rPr>
          <w:fldChar w:fldCharType="separate"/>
        </w:r>
        <w:r>
          <w:rPr>
            <w:noProof/>
            <w:webHidden/>
            <w:sz w:val="24"/>
            <w:szCs w:val="24"/>
            <w:rFonts w:ascii="Calibri" w:hAnsi="Calibri" w:eastAsia="Microsoft YaHei" w:cs="Calibri"/>
            <w:color w:val="000000"/>
          </w:rPr>
          <w:t>33</w:t>
        </w:r>
        <w:r>
          <w:rPr>
            <w:noProof/>
            <w:webHidden/>
          </w:rPr>
          <w:fldChar w:fldCharType="end"/>
        </w:r>
      </w:hyperlink>
    </w:p>
    <w:p>
      <w:pPr>
        <w:pStyle w:val="TOC2"/>
        <w:rPr>
          <w:rFonts w:asciiTheme="minorHAnsi" w:eastAsiaTheme="minorEastAsia" w:hAnsiTheme="minorHAnsi"/>
          <w:noProof/>
          <w:color w:val="auto"/>
          <w:sz w:val="24"/>
        </w:rPr>
      </w:pPr>
      <w:hyperlink w:anchor="_Toc235667454" w:history="1">
        <w:r w:rsidRPr="00AF3623">
          <w:rPr>
            <w:rStyle w:val="Hyperlink"/>
            <w:rFonts w:cs="Cambria" w:ascii="Cambria" w:hAnsi="Cambria" w:eastAsia="Cambria"/>
            <w:noProof/>
            <w:sz w:val="24"/>
            <w:szCs w:val="24"/>
            <w:color w:themeColor="hyperlink"/>
            <w:u w:val="single"/>
          </w:rPr>
          <w:t>Article 16: Decision-Making and Voting</w:t>
        </w:r>
        <w:r>
          <w:rPr>
            <w:noProof/>
            <w:webHidden/>
          </w:rPr>
          <w:tab/>
        </w:r>
        <w:r>
          <w:rPr>
            <w:noProof/>
            <w:webHidden/>
          </w:rPr>
          <w:fldChar w:fldCharType="begin"/>
        </w:r>
        <w:r>
          <w:rPr>
            <w:noProof/>
            <w:webHidden/>
          </w:rPr>
          <w:instrText xml:space="preserve"> PAGEREF _Toc235667454 \h </w:instrText>
        </w:r>
        <w:r>
          <w:rPr>
            <w:noProof/>
            <w:webHidden/>
          </w:rPr>
          <w:fldChar w:fldCharType="separate"/>
        </w:r>
        <w:r>
          <w:rPr>
            <w:noProof/>
            <w:webHidden/>
            <w:sz w:val="24"/>
            <w:szCs w:val="24"/>
            <w:rFonts w:ascii="Calibri" w:hAnsi="Calibri" w:eastAsia="Microsoft YaHei" w:cs="Calibri"/>
            <w:color w:val="000000"/>
          </w:rPr>
          <w:t>35</w:t>
        </w:r>
        <w:r>
          <w:rPr>
            <w:noProof/>
            <w:webHidden/>
          </w:rPr>
          <w:fldChar w:fldCharType="end"/>
        </w:r>
      </w:hyperlink>
    </w:p>
    <w:p>
      <w:pPr>
        <w:pStyle w:val="TOC1"/>
        <w:rPr>
          <w:rFonts w:asciiTheme="minorHAnsi" w:eastAsiaTheme="minorEastAsia" w:hAnsiTheme="minorHAnsi"/>
          <w:b w:val="0"/>
          <w:noProof/>
          <w:color w:val="auto"/>
          <w:sz w:val="24"/>
        </w:rPr>
      </w:pPr>
      <w:hyperlink w:anchor="_Toc235667455" w:history="1">
        <w:r w:rsidRPr="00AF3623">
          <w:rPr>
            <w:rStyle w:val="Hyperlink"/>
            <w:rFonts w:cs="Cambria"/>
            <w:noProof/>
          </w:rPr>
          <w:t>Part IV: Financial Architecture: The Settlement of the Toll Question</w:t>
        </w:r>
        <w:r>
          <w:rPr>
            <w:noProof/>
            <w:webHidden/>
          </w:rPr>
          <w:tab/>
        </w:r>
        <w:r>
          <w:rPr>
            <w:noProof/>
            <w:webHidden/>
          </w:rPr>
          <w:fldChar w:fldCharType="begin"/>
        </w:r>
        <w:r>
          <w:rPr>
            <w:noProof/>
            <w:webHidden/>
          </w:rPr>
          <w:instrText xml:space="preserve"> PAGEREF _Toc235667455 \h </w:instrText>
        </w:r>
        <w:r>
          <w:rPr>
            <w:noProof/>
            <w:webHidden/>
          </w:rPr>
          <w:fldChar w:fldCharType="separate"/>
        </w:r>
        <w:r>
          <w:rPr>
            <w:noProof/>
            <w:webHidden/>
            <w:b/>
            <w:sz w:val="24"/>
            <w:szCs w:val="24"/>
            <w:rFonts w:ascii="Calibri" w:hAnsi="Calibri" w:eastAsia="Microsoft YaHei" w:cs="Calibri"/>
            <w:color w:val="000000"/>
          </w:rPr>
          <w:t>37</w:t>
        </w:r>
        <w:r>
          <w:rPr>
            <w:noProof/>
            <w:webHidden/>
          </w:rPr>
          <w:fldChar w:fldCharType="end"/>
        </w:r>
      </w:hyperlink>
    </w:p>
    <w:p>
      <w:pPr>
        <w:pStyle w:val="TOC2"/>
        <w:rPr>
          <w:rFonts w:asciiTheme="minorHAnsi" w:eastAsiaTheme="minorEastAsia" w:hAnsiTheme="minorHAnsi"/>
          <w:noProof/>
          <w:color w:val="auto"/>
          <w:sz w:val="24"/>
        </w:rPr>
      </w:pPr>
      <w:hyperlink w:anchor="_Toc235667456" w:history="1">
        <w:r w:rsidRPr="00AF3623">
          <w:rPr>
            <w:rStyle w:val="Hyperlink"/>
            <w:rFonts w:cs="Cambria" w:ascii="Cambria" w:hAnsi="Cambria" w:eastAsia="Cambria"/>
            <w:noProof/>
            <w:sz w:val="24"/>
            <w:szCs w:val="24"/>
            <w:color w:themeColor="hyperlink"/>
            <w:u w:val="single"/>
          </w:rPr>
          <w:t>Article 17: The Toll-Free Transit Guarantee</w:t>
        </w:r>
        <w:r>
          <w:rPr>
            <w:noProof/>
            <w:webHidden/>
          </w:rPr>
          <w:tab/>
        </w:r>
        <w:r>
          <w:rPr>
            <w:noProof/>
            <w:webHidden/>
          </w:rPr>
          <w:fldChar w:fldCharType="begin"/>
        </w:r>
        <w:r>
          <w:rPr>
            <w:noProof/>
            <w:webHidden/>
          </w:rPr>
          <w:instrText xml:space="preserve"> PAGEREF _Toc235667456 \h </w:instrText>
        </w:r>
        <w:r>
          <w:rPr>
            <w:noProof/>
            <w:webHidden/>
          </w:rPr>
          <w:fldChar w:fldCharType="separate"/>
        </w:r>
        <w:r>
          <w:rPr>
            <w:noProof/>
            <w:webHidden/>
            <w:sz w:val="24"/>
            <w:szCs w:val="24"/>
            <w:rFonts w:ascii="Calibri" w:hAnsi="Calibri" w:eastAsia="Microsoft YaHei" w:cs="Calibri"/>
            <w:color w:val="000000"/>
          </w:rPr>
          <w:t>37</w:t>
        </w:r>
        <w:r>
          <w:rPr>
            <w:noProof/>
            <w:webHidden/>
          </w:rPr>
          <w:fldChar w:fldCharType="end"/>
        </w:r>
      </w:hyperlink>
    </w:p>
    <w:p>
      <w:pPr>
        <w:pStyle w:val="TOC2"/>
        <w:rPr>
          <w:rFonts w:asciiTheme="minorHAnsi" w:eastAsiaTheme="minorEastAsia" w:hAnsiTheme="minorHAnsi"/>
          <w:noProof/>
          <w:color w:val="auto"/>
          <w:sz w:val="24"/>
        </w:rPr>
      </w:pPr>
      <w:hyperlink w:anchor="_Toc235667457" w:history="1">
        <w:r w:rsidRPr="00AF3623">
          <w:rPr>
            <w:rStyle w:val="Hyperlink"/>
            <w:rFonts w:cs="Cambria" w:ascii="Cambria" w:hAnsi="Cambria" w:eastAsia="Cambria"/>
            <w:noProof/>
            <w:sz w:val="24"/>
            <w:szCs w:val="24"/>
            <w:color w:themeColor="hyperlink"/>
            <w:u w:val="single"/>
          </w:rPr>
          <w:t>Article 18: The Hormuz Maritime Services Trust Fund</w:t>
        </w:r>
        <w:r>
          <w:rPr>
            <w:noProof/>
            <w:webHidden/>
          </w:rPr>
          <w:tab/>
        </w:r>
        <w:r>
          <w:rPr>
            <w:noProof/>
            <w:webHidden/>
          </w:rPr>
          <w:fldChar w:fldCharType="begin"/>
        </w:r>
        <w:r>
          <w:rPr>
            <w:noProof/>
            <w:webHidden/>
          </w:rPr>
          <w:instrText xml:space="preserve"> PAGEREF _Toc235667457 \h </w:instrText>
        </w:r>
        <w:r>
          <w:rPr>
            <w:noProof/>
            <w:webHidden/>
          </w:rPr>
          <w:fldChar w:fldCharType="separate"/>
        </w:r>
        <w:r>
          <w:rPr>
            <w:noProof/>
            <w:webHidden/>
            <w:sz w:val="24"/>
            <w:szCs w:val="24"/>
            <w:rFonts w:ascii="Calibri" w:hAnsi="Calibri" w:eastAsia="Microsoft YaHei" w:cs="Calibri"/>
            <w:color w:val="000000"/>
          </w:rPr>
          <w:t>38</w:t>
        </w:r>
        <w:r>
          <w:rPr>
            <w:noProof/>
            <w:webHidden/>
          </w:rPr>
          <w:fldChar w:fldCharType="end"/>
        </w:r>
      </w:hyperlink>
    </w:p>
    <w:p>
      <w:pPr>
        <w:pStyle w:val="TOC2"/>
        <w:rPr>
          <w:rFonts w:asciiTheme="minorHAnsi" w:eastAsiaTheme="minorEastAsia" w:hAnsiTheme="minorHAnsi"/>
          <w:noProof/>
          <w:color w:val="auto"/>
          <w:sz w:val="24"/>
        </w:rPr>
      </w:pPr>
      <w:hyperlink w:anchor="_Toc235667458" w:history="1">
        <w:r w:rsidRPr="00AF3623">
          <w:rPr>
            <w:rStyle w:val="Hyperlink"/>
            <w:rFonts w:cs="Cambria" w:ascii="Cambria" w:hAnsi="Cambria" w:eastAsia="Cambria"/>
            <w:noProof/>
            <w:sz w:val="24"/>
            <w:szCs w:val="24"/>
            <w:color w:themeColor="hyperlink"/>
            <w:u w:val="single"/>
          </w:rPr>
          <w:t>Article 19: Contributions and the Safe Registry</w:t>
        </w:r>
        <w:r>
          <w:rPr>
            <w:noProof/>
            <w:webHidden/>
          </w:rPr>
          <w:tab/>
        </w:r>
        <w:r>
          <w:rPr>
            <w:noProof/>
            <w:webHidden/>
          </w:rPr>
          <w:fldChar w:fldCharType="begin"/>
        </w:r>
        <w:r>
          <w:rPr>
            <w:noProof/>
            <w:webHidden/>
          </w:rPr>
          <w:instrText xml:space="preserve"> PAGEREF _Toc235667458 \h </w:instrText>
        </w:r>
        <w:r>
          <w:rPr>
            <w:noProof/>
            <w:webHidden/>
          </w:rPr>
          <w:fldChar w:fldCharType="separate"/>
        </w:r>
        <w:r>
          <w:rPr>
            <w:noProof/>
            <w:webHidden/>
            <w:sz w:val="24"/>
            <w:szCs w:val="24"/>
            <w:rFonts w:ascii="Calibri" w:hAnsi="Calibri" w:eastAsia="Microsoft YaHei" w:cs="Calibri"/>
            <w:color w:val="000000"/>
          </w:rPr>
          <w:t>40</w:t>
        </w:r>
        <w:r>
          <w:rPr>
            <w:noProof/>
            <w:webHidden/>
          </w:rPr>
          <w:fldChar w:fldCharType="end"/>
        </w:r>
      </w:hyperlink>
    </w:p>
    <w:p>
      <w:pPr>
        <w:pStyle w:val="TOC2"/>
        <w:rPr>
          <w:rFonts w:asciiTheme="minorHAnsi" w:eastAsiaTheme="minorEastAsia" w:hAnsiTheme="minorHAnsi"/>
          <w:noProof/>
          <w:color w:val="auto"/>
          <w:sz w:val="24"/>
        </w:rPr>
      </w:pPr>
      <w:hyperlink w:anchor="_Toc235667459" w:history="1">
        <w:r w:rsidRPr="00AF3623">
          <w:rPr>
            <w:rStyle w:val="Hyperlink"/>
            <w:rFonts w:cs="Cambria" w:ascii="Cambria" w:hAnsi="Cambria" w:eastAsia="Cambria"/>
            <w:noProof/>
            <w:sz w:val="24"/>
            <w:szCs w:val="24"/>
            <w:color w:themeColor="hyperlink"/>
            <w:u w:val="single"/>
          </w:rPr>
          <w:t>Article 20: Service Reimbursement and the Services Catalog</w:t>
        </w:r>
        <w:r>
          <w:rPr>
            <w:noProof/>
            <w:webHidden/>
          </w:rPr>
          <w:tab/>
        </w:r>
        <w:r>
          <w:rPr>
            <w:noProof/>
            <w:webHidden/>
          </w:rPr>
          <w:fldChar w:fldCharType="begin"/>
        </w:r>
        <w:r>
          <w:rPr>
            <w:noProof/>
            <w:webHidden/>
          </w:rPr>
          <w:instrText xml:space="preserve"> PAGEREF _Toc235667459 \h </w:instrText>
        </w:r>
        <w:r>
          <w:rPr>
            <w:noProof/>
            <w:webHidden/>
          </w:rPr>
          <w:fldChar w:fldCharType="separate"/>
        </w:r>
        <w:r>
          <w:rPr>
            <w:noProof/>
            <w:webHidden/>
            <w:sz w:val="24"/>
            <w:szCs w:val="24"/>
            <w:rFonts w:ascii="Calibri" w:hAnsi="Calibri" w:eastAsia="Microsoft YaHei" w:cs="Calibri"/>
            <w:color w:val="000000"/>
          </w:rPr>
          <w:t>42</w:t>
        </w:r>
        <w:r>
          <w:rPr>
            <w:noProof/>
            <w:webHidden/>
          </w:rPr>
          <w:fldChar w:fldCharType="end"/>
        </w:r>
      </w:hyperlink>
    </w:p>
    <w:p>
      <w:pPr>
        <w:pStyle w:val="TOC2"/>
        <w:rPr>
          <w:rFonts w:asciiTheme="minorHAnsi" w:eastAsiaTheme="minorEastAsia" w:hAnsiTheme="minorHAnsi"/>
          <w:noProof/>
          <w:color w:val="auto"/>
          <w:sz w:val="24"/>
        </w:rPr>
      </w:pPr>
      <w:hyperlink w:anchor="_Toc235667460" w:history="1">
        <w:r w:rsidRPr="00AF3623">
          <w:rPr>
            <w:rStyle w:val="Hyperlink"/>
            <w:rFonts w:cs="Cambria" w:ascii="Cambria" w:hAnsi="Cambria" w:eastAsia="Cambria"/>
            <w:noProof/>
            <w:sz w:val="24"/>
            <w:szCs w:val="24"/>
            <w:color w:themeColor="hyperlink"/>
            <w:u w:val="single"/>
          </w:rPr>
          <w:t>Article 21: Audit, Transparency, and the Sanctions Compliance Firewall</w:t>
        </w:r>
        <w:r>
          <w:rPr>
            <w:noProof/>
            <w:webHidden/>
          </w:rPr>
          <w:tab/>
        </w:r>
        <w:r>
          <w:rPr>
            <w:noProof/>
            <w:webHidden/>
          </w:rPr>
          <w:fldChar w:fldCharType="begin"/>
        </w:r>
        <w:r>
          <w:rPr>
            <w:noProof/>
            <w:webHidden/>
          </w:rPr>
          <w:instrText xml:space="preserve"> PAGEREF _Toc235667460 \h </w:instrText>
        </w:r>
        <w:r>
          <w:rPr>
            <w:noProof/>
            <w:webHidden/>
          </w:rPr>
          <w:fldChar w:fldCharType="separate"/>
        </w:r>
        <w:r>
          <w:rPr>
            <w:noProof/>
            <w:webHidden/>
            <w:sz w:val="24"/>
            <w:szCs w:val="24"/>
            <w:rFonts w:ascii="Calibri" w:hAnsi="Calibri" w:eastAsia="Microsoft YaHei" w:cs="Calibri"/>
            <w:color w:val="000000"/>
          </w:rPr>
          <w:t>43</w:t>
        </w:r>
        <w:r>
          <w:rPr>
            <w:noProof/>
            <w:webHidden/>
          </w:rPr>
          <w:fldChar w:fldCharType="end"/>
        </w:r>
      </w:hyperlink>
    </w:p>
    <w:p>
      <w:pPr>
        <w:pStyle w:val="TOC2"/>
        <w:rPr>
          <w:rFonts w:asciiTheme="minorHAnsi" w:eastAsiaTheme="minorEastAsia" w:hAnsiTheme="minorHAnsi"/>
          <w:noProof/>
          <w:color w:val="auto"/>
          <w:sz w:val="24"/>
        </w:rPr>
      </w:pPr>
      <w:hyperlink w:anchor="_Toc235667461" w:history="1">
        <w:r w:rsidRPr="00AF3623">
          <w:rPr>
            <w:rStyle w:val="Hyperlink"/>
            <w:rFonts w:cs="Cambria" w:ascii="Cambria" w:hAnsi="Cambria" w:eastAsia="Cambria"/>
            <w:noProof/>
            <w:sz w:val="24"/>
            <w:szCs w:val="24"/>
            <w:color w:themeColor="hyperlink"/>
            <w:u w:val="single"/>
          </w:rPr>
          <w:t>Article 22: Budget and Cost-Sharing</w:t>
        </w:r>
        <w:r>
          <w:rPr>
            <w:noProof/>
            <w:webHidden/>
          </w:rPr>
          <w:tab/>
        </w:r>
        <w:r>
          <w:rPr>
            <w:noProof/>
            <w:webHidden/>
          </w:rPr>
          <w:fldChar w:fldCharType="begin"/>
        </w:r>
        <w:r>
          <w:rPr>
            <w:noProof/>
            <w:webHidden/>
          </w:rPr>
          <w:instrText xml:space="preserve"> PAGEREF _Toc235667461 \h </w:instrText>
        </w:r>
        <w:r>
          <w:rPr>
            <w:noProof/>
            <w:webHidden/>
          </w:rPr>
          <w:fldChar w:fldCharType="separate"/>
        </w:r>
        <w:r>
          <w:rPr>
            <w:noProof/>
            <w:webHidden/>
            <w:sz w:val="24"/>
            <w:szCs w:val="24"/>
            <w:rFonts w:ascii="Calibri" w:hAnsi="Calibri" w:eastAsia="Microsoft YaHei" w:cs="Calibri"/>
            <w:color w:val="000000"/>
          </w:rPr>
          <w:t>45</w:t>
        </w:r>
        <w:r>
          <w:rPr>
            <w:noProof/>
            <w:webHidden/>
          </w:rPr>
          <w:fldChar w:fldCharType="end"/>
        </w:r>
      </w:hyperlink>
    </w:p>
    <w:p>
      <w:pPr>
        <w:pStyle w:val="TOC1"/>
        <w:rPr>
          <w:rFonts w:asciiTheme="minorHAnsi" w:eastAsiaTheme="minorEastAsia" w:hAnsiTheme="minorHAnsi"/>
          <w:b w:val="0"/>
          <w:noProof/>
          <w:color w:val="auto"/>
          <w:sz w:val="24"/>
        </w:rPr>
      </w:pPr>
      <w:hyperlink w:anchor="_Toc235667462" w:history="1">
        <w:r w:rsidRPr="00AF3623">
          <w:rPr>
            <w:rStyle w:val="Hyperlink"/>
            <w:rFonts w:cs="Cambria"/>
            <w:noProof/>
          </w:rPr>
          <w:t>Part V: Safety, Security, and Environmental Protection</w:t>
        </w:r>
        <w:r>
          <w:rPr>
            <w:noProof/>
            <w:webHidden/>
          </w:rPr>
          <w:tab/>
        </w:r>
        <w:r>
          <w:rPr>
            <w:noProof/>
            <w:webHidden/>
          </w:rPr>
          <w:fldChar w:fldCharType="begin"/>
        </w:r>
        <w:r>
          <w:rPr>
            <w:noProof/>
            <w:webHidden/>
          </w:rPr>
          <w:instrText xml:space="preserve"> PAGEREF _Toc235667462 \h </w:instrText>
        </w:r>
        <w:r>
          <w:rPr>
            <w:noProof/>
            <w:webHidden/>
          </w:rPr>
          <w:fldChar w:fldCharType="separate"/>
        </w:r>
        <w:r>
          <w:rPr>
            <w:noProof/>
            <w:webHidden/>
            <w:b/>
            <w:sz w:val="24"/>
            <w:szCs w:val="24"/>
            <w:rFonts w:ascii="Calibri" w:hAnsi="Calibri" w:eastAsia="Microsoft YaHei" w:cs="Calibri"/>
            <w:color w:val="000000"/>
          </w:rPr>
          <w:t>46</w:t>
        </w:r>
        <w:r>
          <w:rPr>
            <w:noProof/>
            <w:webHidden/>
          </w:rPr>
          <w:fldChar w:fldCharType="end"/>
        </w:r>
      </w:hyperlink>
    </w:p>
    <w:p>
      <w:pPr>
        <w:pStyle w:val="TOC2"/>
        <w:rPr>
          <w:rFonts w:asciiTheme="minorHAnsi" w:eastAsiaTheme="minorEastAsia" w:hAnsiTheme="minorHAnsi"/>
          <w:noProof/>
          <w:color w:val="auto"/>
          <w:sz w:val="24"/>
        </w:rPr>
      </w:pPr>
      <w:hyperlink w:anchor="_Toc235667463" w:history="1">
        <w:r w:rsidRPr="00AF3623">
          <w:rPr>
            <w:rStyle w:val="Hyperlink"/>
            <w:rFonts w:cs="Cambria" w:ascii="Cambria" w:hAnsi="Cambria" w:eastAsia="Cambria"/>
            <w:noProof/>
            <w:sz w:val="24"/>
            <w:szCs w:val="24"/>
            <w:color w:themeColor="hyperlink"/>
            <w:u w:val="single"/>
          </w:rPr>
          <w:t>Article 23: Monitoring, Telemetry, and Non-Telemetry Verification</w:t>
        </w:r>
        <w:r>
          <w:rPr>
            <w:noProof/>
            <w:webHidden/>
          </w:rPr>
          <w:tab/>
        </w:r>
        <w:r>
          <w:rPr>
            <w:noProof/>
            <w:webHidden/>
          </w:rPr>
          <w:fldChar w:fldCharType="begin"/>
        </w:r>
        <w:r>
          <w:rPr>
            <w:noProof/>
            <w:webHidden/>
          </w:rPr>
          <w:instrText xml:space="preserve"> PAGEREF _Toc235667463 \h </w:instrText>
        </w:r>
        <w:r>
          <w:rPr>
            <w:noProof/>
            <w:webHidden/>
          </w:rPr>
          <w:fldChar w:fldCharType="separate"/>
        </w:r>
        <w:r>
          <w:rPr>
            <w:noProof/>
            <w:webHidden/>
            <w:sz w:val="24"/>
            <w:szCs w:val="24"/>
            <w:rFonts w:ascii="Calibri" w:hAnsi="Calibri" w:eastAsia="Microsoft YaHei" w:cs="Calibri"/>
            <w:color w:val="000000"/>
          </w:rPr>
          <w:t>46</w:t>
        </w:r>
        <w:r>
          <w:rPr>
            <w:noProof/>
            <w:webHidden/>
          </w:rPr>
          <w:fldChar w:fldCharType="end"/>
        </w:r>
      </w:hyperlink>
    </w:p>
    <w:p>
      <w:pPr>
        <w:pStyle w:val="TOC2"/>
        <w:rPr>
          <w:rFonts w:asciiTheme="minorHAnsi" w:eastAsiaTheme="minorEastAsia" w:hAnsiTheme="minorHAnsi"/>
          <w:noProof/>
          <w:color w:val="auto"/>
          <w:sz w:val="24"/>
        </w:rPr>
      </w:pPr>
      <w:hyperlink w:anchor="_Toc235667464" w:history="1">
        <w:r w:rsidRPr="00AF3623">
          <w:rPr>
            <w:rStyle w:val="Hyperlink"/>
            <w:rFonts w:cs="Cambria" w:ascii="Cambria" w:hAnsi="Cambria" w:eastAsia="Cambria"/>
            <w:noProof/>
            <w:sz w:val="24"/>
            <w:szCs w:val="24"/>
            <w:color w:themeColor="hyperlink"/>
            <w:u w:val="single"/>
          </w:rPr>
          <w:t>Article 24: Search and Rescue</w:t>
        </w:r>
        <w:r>
          <w:rPr>
            <w:noProof/>
            <w:webHidden/>
          </w:rPr>
          <w:tab/>
        </w:r>
        <w:r>
          <w:rPr>
            <w:noProof/>
            <w:webHidden/>
          </w:rPr>
          <w:fldChar w:fldCharType="begin"/>
        </w:r>
        <w:r>
          <w:rPr>
            <w:noProof/>
            <w:webHidden/>
          </w:rPr>
          <w:instrText xml:space="preserve"> PAGEREF _Toc235667464 \h </w:instrText>
        </w:r>
        <w:r>
          <w:rPr>
            <w:noProof/>
            <w:webHidden/>
          </w:rPr>
          <w:fldChar w:fldCharType="separate"/>
        </w:r>
        <w:r>
          <w:rPr>
            <w:noProof/>
            <w:webHidden/>
            <w:sz w:val="24"/>
            <w:szCs w:val="24"/>
            <w:rFonts w:ascii="Calibri" w:hAnsi="Calibri" w:eastAsia="Microsoft YaHei" w:cs="Calibri"/>
            <w:color w:val="000000"/>
          </w:rPr>
          <w:t>48</w:t>
        </w:r>
        <w:r>
          <w:rPr>
            <w:noProof/>
            <w:webHidden/>
          </w:rPr>
          <w:fldChar w:fldCharType="end"/>
        </w:r>
      </w:hyperlink>
    </w:p>
    <w:p>
      <w:pPr>
        <w:pStyle w:val="TOC2"/>
        <w:rPr>
          <w:rFonts w:asciiTheme="minorHAnsi" w:eastAsiaTheme="minorEastAsia" w:hAnsiTheme="minorHAnsi"/>
          <w:noProof/>
          <w:color w:val="auto"/>
          <w:sz w:val="24"/>
        </w:rPr>
      </w:pPr>
      <w:hyperlink w:anchor="_Toc235667465" w:history="1">
        <w:r w:rsidRPr="00AF3623">
          <w:rPr>
            <w:rStyle w:val="Hyperlink"/>
            <w:rFonts w:cs="Cambria" w:ascii="Cambria" w:hAnsi="Cambria" w:eastAsia="Cambria"/>
            <w:noProof/>
            <w:sz w:val="24"/>
            <w:szCs w:val="24"/>
            <w:color w:themeColor="hyperlink"/>
            <w:u w:val="single"/>
          </w:rPr>
          <w:t>Article 25: Environmental Protection and Pollution Response</w:t>
        </w:r>
        <w:r>
          <w:rPr>
            <w:noProof/>
            <w:webHidden/>
          </w:rPr>
          <w:tab/>
        </w:r>
        <w:r>
          <w:rPr>
            <w:noProof/>
            <w:webHidden/>
          </w:rPr>
          <w:fldChar w:fldCharType="begin"/>
        </w:r>
        <w:r>
          <w:rPr>
            <w:noProof/>
            <w:webHidden/>
          </w:rPr>
          <w:instrText xml:space="preserve"> PAGEREF _Toc235667465 \h </w:instrText>
        </w:r>
        <w:r>
          <w:rPr>
            <w:noProof/>
            <w:webHidden/>
          </w:rPr>
          <w:fldChar w:fldCharType="separate"/>
        </w:r>
        <w:r>
          <w:rPr>
            <w:noProof/>
            <w:webHidden/>
            <w:sz w:val="24"/>
            <w:szCs w:val="24"/>
            <w:rFonts w:ascii="Calibri" w:hAnsi="Calibri" w:eastAsia="Microsoft YaHei" w:cs="Calibri"/>
            <w:color w:val="000000"/>
          </w:rPr>
          <w:t>49</w:t>
        </w:r>
        <w:r>
          <w:rPr>
            <w:noProof/>
            <w:webHidden/>
          </w:rPr>
          <w:fldChar w:fldCharType="end"/>
        </w:r>
      </w:hyperlink>
    </w:p>
    <w:p>
      <w:pPr>
        <w:pStyle w:val="TOC2"/>
        <w:rPr>
          <w:rFonts w:asciiTheme="minorHAnsi" w:eastAsiaTheme="minorEastAsia" w:hAnsiTheme="minorHAnsi"/>
          <w:noProof/>
          <w:color w:val="auto"/>
          <w:sz w:val="24"/>
        </w:rPr>
      </w:pPr>
      <w:hyperlink w:anchor="_Toc235667466" w:history="1">
        <w:r w:rsidRPr="00AF3623">
          <w:rPr>
            <w:rStyle w:val="Hyperlink"/>
            <w:rFonts w:cs="Cambria" w:ascii="Cambria" w:hAnsi="Cambria" w:eastAsia="Cambria"/>
            <w:noProof/>
            <w:sz w:val="24"/>
            <w:szCs w:val="24"/>
            <w:color w:themeColor="hyperlink"/>
            <w:u w:val="single"/>
          </w:rPr>
          <w:t>Article 26: Maritime Security and De-Confliction</w:t>
        </w:r>
        <w:r>
          <w:rPr>
            <w:noProof/>
            <w:webHidden/>
          </w:rPr>
          <w:tab/>
        </w:r>
        <w:r>
          <w:rPr>
            <w:noProof/>
            <w:webHidden/>
          </w:rPr>
          <w:fldChar w:fldCharType="begin"/>
        </w:r>
        <w:r>
          <w:rPr>
            <w:noProof/>
            <w:webHidden/>
          </w:rPr>
          <w:instrText xml:space="preserve"> PAGEREF _Toc235667466 \h </w:instrText>
        </w:r>
        <w:r>
          <w:rPr>
            <w:noProof/>
            <w:webHidden/>
          </w:rPr>
          <w:fldChar w:fldCharType="separate"/>
        </w:r>
        <w:r>
          <w:rPr>
            <w:noProof/>
            <w:webHidden/>
            <w:sz w:val="24"/>
            <w:szCs w:val="24"/>
            <w:rFonts w:ascii="Calibri" w:hAnsi="Calibri" w:eastAsia="Microsoft YaHei" w:cs="Calibri"/>
            <w:color w:val="000000"/>
          </w:rPr>
          <w:t>50</w:t>
        </w:r>
        <w:r>
          <w:rPr>
            <w:noProof/>
            <w:webHidden/>
          </w:rPr>
          <w:fldChar w:fldCharType="end"/>
        </w:r>
      </w:hyperlink>
    </w:p>
    <w:p>
      <w:pPr>
        <w:pStyle w:val="TOC2"/>
        <w:rPr>
          <w:rFonts w:asciiTheme="minorHAnsi" w:eastAsiaTheme="minorEastAsia" w:hAnsiTheme="minorHAnsi"/>
          <w:noProof/>
          <w:color w:val="auto"/>
          <w:sz w:val="24"/>
        </w:rPr>
      </w:pPr>
      <w:hyperlink w:anchor="_Toc235667467" w:history="1">
        <w:r w:rsidRPr="00AF3623">
          <w:rPr>
            <w:rStyle w:val="Hyperlink"/>
            <w:rFonts w:cs="Cambria" w:ascii="Cambria" w:hAnsi="Cambria" w:eastAsia="Cambria"/>
            <w:noProof/>
            <w:sz w:val="24"/>
            <w:szCs w:val="24"/>
            <w:color w:themeColor="hyperlink"/>
            <w:u w:val="single"/>
          </w:rPr>
          <w:t>Article 27: Incident Classification, Reporting, and Investigation</w:t>
        </w:r>
        <w:r>
          <w:rPr>
            <w:noProof/>
            <w:webHidden/>
          </w:rPr>
          <w:tab/>
        </w:r>
        <w:r>
          <w:rPr>
            <w:noProof/>
            <w:webHidden/>
          </w:rPr>
          <w:fldChar w:fldCharType="begin"/>
        </w:r>
        <w:r>
          <w:rPr>
            <w:noProof/>
            <w:webHidden/>
          </w:rPr>
          <w:instrText xml:space="preserve"> PAGEREF _Toc235667467 \h </w:instrText>
        </w:r>
        <w:r>
          <w:rPr>
            <w:noProof/>
            <w:webHidden/>
          </w:rPr>
          <w:fldChar w:fldCharType="separate"/>
        </w:r>
        <w:r>
          <w:rPr>
            <w:noProof/>
            <w:webHidden/>
            <w:sz w:val="24"/>
            <w:szCs w:val="24"/>
            <w:rFonts w:ascii="Calibri" w:hAnsi="Calibri" w:eastAsia="Microsoft YaHei" w:cs="Calibri"/>
            <w:color w:val="000000"/>
          </w:rPr>
          <w:t>52</w:t>
        </w:r>
        <w:r>
          <w:rPr>
            <w:noProof/>
            <w:webHidden/>
          </w:rPr>
          <w:fldChar w:fldCharType="end"/>
        </w:r>
      </w:hyperlink>
    </w:p>
    <w:p>
      <w:pPr>
        <w:pStyle w:val="TOC1"/>
        <w:rPr>
          <w:rFonts w:asciiTheme="minorHAnsi" w:eastAsiaTheme="minorEastAsia" w:hAnsiTheme="minorHAnsi"/>
          <w:b w:val="0"/>
          <w:noProof/>
          <w:color w:val="auto"/>
          <w:sz w:val="24"/>
        </w:rPr>
      </w:pPr>
      <w:hyperlink w:anchor="_Toc235667468" w:history="1">
        <w:r w:rsidRPr="00AF3623">
          <w:rPr>
            <w:rStyle w:val="Hyperlink"/>
            <w:rFonts w:cs="Cambria"/>
            <w:noProof/>
          </w:rPr>
          <w:t>Part VI: Compliance and Dispute Resolution</w:t>
        </w:r>
        <w:r>
          <w:rPr>
            <w:noProof/>
            <w:webHidden/>
          </w:rPr>
          <w:tab/>
        </w:r>
        <w:r>
          <w:rPr>
            <w:noProof/>
            <w:webHidden/>
          </w:rPr>
          <w:fldChar w:fldCharType="begin"/>
        </w:r>
        <w:r>
          <w:rPr>
            <w:noProof/>
            <w:webHidden/>
          </w:rPr>
          <w:instrText xml:space="preserve"> PAGEREF _Toc235667468 \h </w:instrText>
        </w:r>
        <w:r>
          <w:rPr>
            <w:noProof/>
            <w:webHidden/>
          </w:rPr>
          <w:fldChar w:fldCharType="separate"/>
        </w:r>
        <w:r>
          <w:rPr>
            <w:noProof/>
            <w:webHidden/>
            <w:b/>
            <w:sz w:val="24"/>
            <w:szCs w:val="24"/>
            <w:rFonts w:ascii="Calibri" w:hAnsi="Calibri" w:eastAsia="Microsoft YaHei" w:cs="Calibri"/>
            <w:color w:val="000000"/>
          </w:rPr>
          <w:t>54</w:t>
        </w:r>
        <w:r>
          <w:rPr>
            <w:noProof/>
            <w:webHidden/>
          </w:rPr>
          <w:fldChar w:fldCharType="end"/>
        </w:r>
      </w:hyperlink>
    </w:p>
    <w:p>
      <w:pPr>
        <w:pStyle w:val="TOC2"/>
        <w:rPr>
          <w:rFonts w:asciiTheme="minorHAnsi" w:eastAsiaTheme="minorEastAsia" w:hAnsiTheme="minorHAnsi"/>
          <w:noProof/>
          <w:color w:val="auto"/>
          <w:sz w:val="24"/>
        </w:rPr>
      </w:pPr>
      <w:hyperlink w:anchor="_Toc235667469" w:history="1">
        <w:r w:rsidRPr="00AF3623">
          <w:rPr>
            <w:rStyle w:val="Hyperlink"/>
            <w:rFonts w:cs="Cambria" w:ascii="Cambria" w:hAnsi="Cambria" w:eastAsia="Cambria"/>
            <w:noProof/>
            <w:sz w:val="24"/>
            <w:szCs w:val="24"/>
            <w:color w:themeColor="hyperlink"/>
            <w:u w:val="single"/>
          </w:rPr>
          <w:t>Article 28: Compliance Architecture and the Convergence Standard</w:t>
        </w:r>
        <w:r>
          <w:rPr>
            <w:noProof/>
            <w:webHidden/>
          </w:rPr>
          <w:tab/>
        </w:r>
        <w:r>
          <w:rPr>
            <w:noProof/>
            <w:webHidden/>
          </w:rPr>
          <w:fldChar w:fldCharType="begin"/>
        </w:r>
        <w:r>
          <w:rPr>
            <w:noProof/>
            <w:webHidden/>
          </w:rPr>
          <w:instrText xml:space="preserve"> PAGEREF _Toc235667469 \h </w:instrText>
        </w:r>
        <w:r>
          <w:rPr>
            <w:noProof/>
            <w:webHidden/>
          </w:rPr>
          <w:fldChar w:fldCharType="separate"/>
        </w:r>
        <w:r>
          <w:rPr>
            <w:noProof/>
            <w:webHidden/>
            <w:sz w:val="24"/>
            <w:szCs w:val="24"/>
            <w:rFonts w:ascii="Calibri" w:hAnsi="Calibri" w:eastAsia="Microsoft YaHei" w:cs="Calibri"/>
            <w:color w:val="000000"/>
          </w:rPr>
          <w:t>54</w:t>
        </w:r>
        <w:r>
          <w:rPr>
            <w:noProof/>
            <w:webHidden/>
          </w:rPr>
          <w:fldChar w:fldCharType="end"/>
        </w:r>
      </w:hyperlink>
    </w:p>
    <w:p>
      <w:pPr>
        <w:pStyle w:val="TOC2"/>
        <w:rPr>
          <w:rFonts w:asciiTheme="minorHAnsi" w:eastAsiaTheme="minorEastAsia" w:hAnsiTheme="minorHAnsi"/>
          <w:noProof/>
          <w:color w:val="auto"/>
          <w:sz w:val="24"/>
        </w:rPr>
      </w:pPr>
      <w:hyperlink w:anchor="_Toc235667470" w:history="1">
        <w:r w:rsidRPr="00AF3623">
          <w:rPr>
            <w:rStyle w:val="Hyperlink"/>
            <w:rFonts w:cs="Cambria" w:ascii="Cambria" w:hAnsi="Cambria" w:eastAsia="Cambria"/>
            <w:noProof/>
            <w:sz w:val="24"/>
            <w:szCs w:val="24"/>
            <w:color w:themeColor="hyperlink"/>
            <w:u w:val="single"/>
          </w:rPr>
          <w:t>Article 29: The Step-Back Ladder and Earn-Back</w:t>
        </w:r>
        <w:r>
          <w:rPr>
            <w:noProof/>
            <w:webHidden/>
          </w:rPr>
          <w:tab/>
        </w:r>
        <w:r>
          <w:rPr>
            <w:noProof/>
            <w:webHidden/>
          </w:rPr>
          <w:fldChar w:fldCharType="begin"/>
        </w:r>
        <w:r>
          <w:rPr>
            <w:noProof/>
            <w:webHidden/>
          </w:rPr>
          <w:instrText xml:space="preserve"> PAGEREF _Toc235667470 \h </w:instrText>
        </w:r>
        <w:r>
          <w:rPr>
            <w:noProof/>
            <w:webHidden/>
          </w:rPr>
          <w:fldChar w:fldCharType="separate"/>
        </w:r>
        <w:r>
          <w:rPr>
            <w:noProof/>
            <w:webHidden/>
            <w:sz w:val="24"/>
            <w:szCs w:val="24"/>
            <w:rFonts w:ascii="Calibri" w:hAnsi="Calibri" w:eastAsia="Microsoft YaHei" w:cs="Calibri"/>
            <w:color w:val="000000"/>
          </w:rPr>
          <w:t>55</w:t>
        </w:r>
        <w:r>
          <w:rPr>
            <w:noProof/>
            <w:webHidden/>
          </w:rPr>
          <w:fldChar w:fldCharType="end"/>
        </w:r>
      </w:hyperlink>
    </w:p>
    <w:p>
      <w:pPr>
        <w:pStyle w:val="TOC2"/>
        <w:rPr>
          <w:rFonts w:asciiTheme="minorHAnsi" w:eastAsiaTheme="minorEastAsia" w:hAnsiTheme="minorHAnsi"/>
          <w:noProof/>
          <w:color w:val="auto"/>
          <w:sz w:val="24"/>
        </w:rPr>
      </w:pPr>
      <w:hyperlink w:anchor="_Toc235667471" w:history="1">
        <w:r w:rsidRPr="00AF3623">
          <w:rPr>
            <w:rStyle w:val="Hyperlink"/>
            <w:rFonts w:cs="Cambria" w:ascii="Cambria" w:hAnsi="Cambria" w:eastAsia="Cambria"/>
            <w:noProof/>
            <w:sz w:val="24"/>
            <w:szCs w:val="24"/>
            <w:color w:themeColor="hyperlink"/>
            <w:u w:val="single"/>
          </w:rPr>
          <w:t>Article 30: Dispute Resolution</w:t>
        </w:r>
        <w:r>
          <w:rPr>
            <w:noProof/>
            <w:webHidden/>
          </w:rPr>
          <w:tab/>
        </w:r>
        <w:r>
          <w:rPr>
            <w:noProof/>
            <w:webHidden/>
          </w:rPr>
          <w:fldChar w:fldCharType="begin"/>
        </w:r>
        <w:r>
          <w:rPr>
            <w:noProof/>
            <w:webHidden/>
          </w:rPr>
          <w:instrText xml:space="preserve"> PAGEREF _Toc235667471 \h </w:instrText>
        </w:r>
        <w:r>
          <w:rPr>
            <w:noProof/>
            <w:webHidden/>
          </w:rPr>
          <w:fldChar w:fldCharType="separate"/>
        </w:r>
        <w:r>
          <w:rPr>
            <w:noProof/>
            <w:webHidden/>
            <w:sz w:val="24"/>
            <w:szCs w:val="24"/>
            <w:rFonts w:ascii="Calibri" w:hAnsi="Calibri" w:eastAsia="Microsoft YaHei" w:cs="Calibri"/>
            <w:color w:val="000000"/>
          </w:rPr>
          <w:t>57</w:t>
        </w:r>
        <w:r>
          <w:rPr>
            <w:noProof/>
            <w:webHidden/>
          </w:rPr>
          <w:fldChar w:fldCharType="end"/>
        </w:r>
      </w:hyperlink>
    </w:p>
    <w:p>
      <w:pPr>
        <w:pStyle w:val="TOC2"/>
        <w:rPr>
          <w:rFonts w:asciiTheme="minorHAnsi" w:eastAsiaTheme="minorEastAsia" w:hAnsiTheme="minorHAnsi"/>
          <w:noProof/>
          <w:color w:val="auto"/>
          <w:sz w:val="24"/>
        </w:rPr>
      </w:pPr>
      <w:hyperlink w:anchor="_Toc235667472" w:history="1">
        <w:r w:rsidRPr="00AF3623">
          <w:rPr>
            <w:rStyle w:val="Hyperlink"/>
            <w:rFonts w:cs="Cambria" w:ascii="Cambria" w:hAnsi="Cambria" w:eastAsia="Cambria"/>
            <w:noProof/>
            <w:sz w:val="24"/>
            <w:szCs w:val="24"/>
            <w:color w:themeColor="hyperlink"/>
            <w:u w:val="single"/>
          </w:rPr>
          <w:t>Article 31: The Red Lines Register</w:t>
        </w:r>
        <w:r>
          <w:rPr>
            <w:noProof/>
            <w:webHidden/>
          </w:rPr>
          <w:tab/>
        </w:r>
        <w:r>
          <w:rPr>
            <w:noProof/>
            <w:webHidden/>
          </w:rPr>
          <w:fldChar w:fldCharType="begin"/>
        </w:r>
        <w:r>
          <w:rPr>
            <w:noProof/>
            <w:webHidden/>
          </w:rPr>
          <w:instrText xml:space="preserve"> PAGEREF _Toc235667472 \h </w:instrText>
        </w:r>
        <w:r>
          <w:rPr>
            <w:noProof/>
            <w:webHidden/>
          </w:rPr>
          <w:fldChar w:fldCharType="separate"/>
        </w:r>
        <w:r>
          <w:rPr>
            <w:noProof/>
            <w:webHidden/>
            <w:sz w:val="24"/>
            <w:szCs w:val="24"/>
            <w:rFonts w:ascii="Calibri" w:hAnsi="Calibri" w:eastAsia="Microsoft YaHei" w:cs="Calibri"/>
            <w:color w:val="000000"/>
          </w:rPr>
          <w:t>58</w:t>
        </w:r>
        <w:r>
          <w:rPr>
            <w:noProof/>
            <w:webHidden/>
          </w:rPr>
          <w:fldChar w:fldCharType="end"/>
        </w:r>
      </w:hyperlink>
    </w:p>
    <w:p>
      <w:pPr>
        <w:pStyle w:val="TOC1"/>
        <w:rPr>
          <w:rFonts w:asciiTheme="minorHAnsi" w:eastAsiaTheme="minorEastAsia" w:hAnsiTheme="minorHAnsi"/>
          <w:b w:val="0"/>
          <w:noProof/>
          <w:color w:val="auto"/>
          <w:sz w:val="24"/>
        </w:rPr>
      </w:pPr>
      <w:hyperlink w:anchor="_Toc235667473" w:history="1">
        <w:r w:rsidRPr="00AF3623">
          <w:rPr>
            <w:rStyle w:val="Hyperlink"/>
            <w:rFonts w:cs="Cambria"/>
            <w:noProof/>
          </w:rPr>
          <w:t>Part VII: Continuity, Amendment, and Transition</w:t>
        </w:r>
        <w:r>
          <w:rPr>
            <w:noProof/>
            <w:webHidden/>
          </w:rPr>
          <w:tab/>
        </w:r>
        <w:r>
          <w:rPr>
            <w:noProof/>
            <w:webHidden/>
          </w:rPr>
          <w:fldChar w:fldCharType="begin"/>
        </w:r>
        <w:r>
          <w:rPr>
            <w:noProof/>
            <w:webHidden/>
          </w:rPr>
          <w:instrText xml:space="preserve"> PAGEREF _Toc235667473 \h </w:instrText>
        </w:r>
        <w:r>
          <w:rPr>
            <w:noProof/>
            <w:webHidden/>
          </w:rPr>
          <w:fldChar w:fldCharType="separate"/>
        </w:r>
        <w:r>
          <w:rPr>
            <w:noProof/>
            <w:webHidden/>
            <w:b/>
            <w:sz w:val="24"/>
            <w:szCs w:val="24"/>
            <w:rFonts w:ascii="Calibri" w:hAnsi="Calibri" w:eastAsia="Microsoft YaHei" w:cs="Calibri"/>
            <w:color w:val="000000"/>
          </w:rPr>
          <w:t>60</w:t>
        </w:r>
        <w:r>
          <w:rPr>
            <w:noProof/>
            <w:webHidden/>
          </w:rPr>
          <w:fldChar w:fldCharType="end"/>
        </w:r>
      </w:hyperlink>
    </w:p>
    <w:p>
      <w:pPr>
        <w:pStyle w:val="TOC2"/>
        <w:rPr>
          <w:rFonts w:asciiTheme="minorHAnsi" w:eastAsiaTheme="minorEastAsia" w:hAnsiTheme="minorHAnsi"/>
          <w:noProof/>
          <w:color w:val="auto"/>
          <w:sz w:val="24"/>
        </w:rPr>
      </w:pPr>
      <w:hyperlink w:anchor="_Toc235667474" w:history="1">
        <w:r w:rsidRPr="00AF3623">
          <w:rPr>
            <w:rStyle w:val="Hyperlink"/>
            <w:rFonts w:cs="Cambria" w:ascii="Cambria" w:hAnsi="Cambria" w:eastAsia="Cambria"/>
            <w:noProof/>
            <w:sz w:val="24"/>
            <w:szCs w:val="24"/>
            <w:color w:themeColor="hyperlink"/>
            <w:u w:val="single"/>
          </w:rPr>
          <w:t>Article 32: No-Fade Continuity, Banked Performance, and Renewal by Silence</w:t>
        </w:r>
        <w:r>
          <w:rPr>
            <w:noProof/>
            <w:webHidden/>
          </w:rPr>
          <w:tab/>
        </w:r>
        <w:r>
          <w:rPr>
            <w:noProof/>
            <w:webHidden/>
          </w:rPr>
          <w:fldChar w:fldCharType="begin"/>
        </w:r>
        <w:r>
          <w:rPr>
            <w:noProof/>
            <w:webHidden/>
          </w:rPr>
          <w:instrText xml:space="preserve"> PAGEREF _Toc235667474 \h </w:instrText>
        </w:r>
        <w:r>
          <w:rPr>
            <w:noProof/>
            <w:webHidden/>
          </w:rPr>
          <w:fldChar w:fldCharType="separate"/>
        </w:r>
        <w:r>
          <w:rPr>
            <w:noProof/>
            <w:webHidden/>
            <w:sz w:val="24"/>
            <w:szCs w:val="24"/>
            <w:rFonts w:ascii="Calibri" w:hAnsi="Calibri" w:eastAsia="Microsoft YaHei" w:cs="Calibri"/>
            <w:color w:val="000000"/>
          </w:rPr>
          <w:t>60</w:t>
        </w:r>
        <w:r>
          <w:rPr>
            <w:noProof/>
            <w:webHidden/>
          </w:rPr>
          <w:fldChar w:fldCharType="end"/>
        </w:r>
      </w:hyperlink>
    </w:p>
    <w:p>
      <w:pPr>
        <w:pStyle w:val="TOC2"/>
        <w:rPr>
          <w:rFonts w:asciiTheme="minorHAnsi" w:eastAsiaTheme="minorEastAsia" w:hAnsiTheme="minorHAnsi"/>
          <w:noProof/>
          <w:color w:val="auto"/>
          <w:sz w:val="24"/>
        </w:rPr>
      </w:pPr>
      <w:hyperlink w:anchor="_Toc235667475" w:history="1">
        <w:r w:rsidRPr="00AF3623">
          <w:rPr>
            <w:rStyle w:val="Hyperlink"/>
            <w:rFonts w:cs="Cambria" w:ascii="Cambria" w:hAnsi="Cambria" w:eastAsia="Cambria"/>
            <w:noProof/>
            <w:sz w:val="24"/>
            <w:szCs w:val="24"/>
            <w:color w:themeColor="hyperlink"/>
            <w:u w:val="single"/>
          </w:rPr>
          <w:t>Article 33: Amendment, Review, and Accession</w:t>
        </w:r>
        <w:r>
          <w:rPr>
            <w:noProof/>
            <w:webHidden/>
          </w:rPr>
          <w:tab/>
        </w:r>
        <w:r>
          <w:rPr>
            <w:noProof/>
            <w:webHidden/>
          </w:rPr>
          <w:fldChar w:fldCharType="begin"/>
        </w:r>
        <w:r>
          <w:rPr>
            <w:noProof/>
            <w:webHidden/>
          </w:rPr>
          <w:instrText xml:space="preserve"> PAGEREF _Toc235667475 \h </w:instrText>
        </w:r>
        <w:r>
          <w:rPr>
            <w:noProof/>
            <w:webHidden/>
          </w:rPr>
          <w:fldChar w:fldCharType="separate"/>
        </w:r>
        <w:r>
          <w:rPr>
            <w:noProof/>
            <w:webHidden/>
            <w:sz w:val="24"/>
            <w:szCs w:val="24"/>
            <w:rFonts w:ascii="Calibri" w:hAnsi="Calibri" w:eastAsia="Microsoft YaHei" w:cs="Calibri"/>
            <w:color w:val="000000"/>
          </w:rPr>
          <w:t>62</w:t>
        </w:r>
        <w:r>
          <w:rPr>
            <w:noProof/>
            <w:webHidden/>
          </w:rPr>
          <w:fldChar w:fldCharType="end"/>
        </w:r>
      </w:hyperlink>
    </w:p>
    <w:p>
      <w:pPr>
        <w:pStyle w:val="TOC2"/>
        <w:rPr>
          <w:rFonts w:asciiTheme="minorHAnsi" w:eastAsiaTheme="minorEastAsia" w:hAnsiTheme="minorHAnsi"/>
          <w:noProof/>
          <w:color w:val="auto"/>
          <w:sz w:val="24"/>
        </w:rPr>
      </w:pPr>
      <w:hyperlink w:anchor="_Toc235667476" w:history="1">
        <w:r w:rsidRPr="00AF3623">
          <w:rPr>
            <w:rStyle w:val="Hyperlink"/>
            <w:rFonts w:cs="Cambria" w:ascii="Cambria" w:hAnsi="Cambria" w:eastAsia="Cambria"/>
            <w:noProof/>
            <w:sz w:val="24"/>
            <w:szCs w:val="24"/>
            <w:color w:themeColor="hyperlink"/>
            <w:u w:val="single"/>
          </w:rPr>
          <w:t>Article 34: Implementation Phases and Entry into Force</w:t>
        </w:r>
        <w:r>
          <w:rPr>
            <w:noProof/>
            <w:webHidden/>
          </w:rPr>
          <w:tab/>
        </w:r>
        <w:r>
          <w:rPr>
            <w:noProof/>
            <w:webHidden/>
          </w:rPr>
          <w:fldChar w:fldCharType="begin"/>
        </w:r>
        <w:r>
          <w:rPr>
            <w:noProof/>
            <w:webHidden/>
          </w:rPr>
          <w:instrText xml:space="preserve"> PAGEREF _Toc235667476 \h </w:instrText>
        </w:r>
        <w:r>
          <w:rPr>
            <w:noProof/>
            <w:webHidden/>
          </w:rPr>
          <w:fldChar w:fldCharType="separate"/>
        </w:r>
        <w:r>
          <w:rPr>
            <w:noProof/>
            <w:webHidden/>
            <w:sz w:val="24"/>
            <w:szCs w:val="24"/>
            <w:rFonts w:ascii="Calibri" w:hAnsi="Calibri" w:eastAsia="Microsoft YaHei" w:cs="Calibri"/>
            <w:color w:val="000000"/>
          </w:rPr>
          <w:t>63</w:t>
        </w:r>
        <w:r>
          <w:rPr>
            <w:noProof/>
            <w:webHidden/>
          </w:rPr>
          <w:fldChar w:fldCharType="end"/>
        </w:r>
      </w:hyperlink>
    </w:p>
    <w:p>
      <w:pPr>
        <w:pStyle w:val="TOC2"/>
        <w:rPr>
          <w:rFonts w:asciiTheme="minorHAnsi" w:eastAsiaTheme="minorEastAsia" w:hAnsiTheme="minorHAnsi"/>
          <w:noProof/>
          <w:color w:val="auto"/>
          <w:sz w:val="24"/>
        </w:rPr>
      </w:pPr>
      <w:hyperlink w:anchor="_Toc235667477" w:history="1">
        <w:r w:rsidRPr="00AF3623">
          <w:rPr>
            <w:rStyle w:val="Hyperlink"/>
            <w:rFonts w:cs="Cambria" w:ascii="Cambria" w:hAnsi="Cambria" w:eastAsia="Cambria"/>
            <w:noProof/>
            <w:sz w:val="24"/>
            <w:szCs w:val="24"/>
            <w:color w:themeColor="hyperlink"/>
            <w:u w:val="single"/>
          </w:rPr>
          <w:t>Article 35: Final Provisions</w:t>
        </w:r>
        <w:r>
          <w:rPr>
            <w:noProof/>
            <w:webHidden/>
          </w:rPr>
          <w:tab/>
        </w:r>
        <w:r>
          <w:rPr>
            <w:noProof/>
            <w:webHidden/>
          </w:rPr>
          <w:fldChar w:fldCharType="begin"/>
        </w:r>
        <w:r>
          <w:rPr>
            <w:noProof/>
            <w:webHidden/>
          </w:rPr>
          <w:instrText xml:space="preserve"> PAGEREF _Toc235667477 \h </w:instrText>
        </w:r>
        <w:r>
          <w:rPr>
            <w:noProof/>
            <w:webHidden/>
          </w:rPr>
          <w:fldChar w:fldCharType="separate"/>
        </w:r>
        <w:r>
          <w:rPr>
            <w:noProof/>
            <w:webHidden/>
            <w:sz w:val="24"/>
            <w:szCs w:val="24"/>
            <w:rFonts w:ascii="Calibri" w:hAnsi="Calibri" w:eastAsia="Microsoft YaHei" w:cs="Calibri"/>
            <w:color w:val="000000"/>
          </w:rPr>
          <w:t>64</w:t>
        </w:r>
        <w:r>
          <w:rPr>
            <w:noProof/>
            <w:webHidden/>
          </w:rPr>
          <w:fldChar w:fldCharType="end"/>
        </w:r>
      </w:hyperlink>
    </w:p>
    <w:p>
      <w:pPr>
        <w:pStyle w:val="TOC1"/>
        <w:rPr>
          <w:rFonts w:asciiTheme="minorHAnsi" w:eastAsiaTheme="minorEastAsia" w:hAnsiTheme="minorHAnsi"/>
          <w:b w:val="0"/>
          <w:noProof/>
          <w:color w:val="auto"/>
          <w:sz w:val="24"/>
        </w:rPr>
      </w:pPr>
      <w:hyperlink w:anchor="_Toc235667478" w:history="1">
        <w:r w:rsidRPr="00AF3623">
          <w:rPr>
            <w:rStyle w:val="Hyperlink"/>
            <w:rFonts w:cs="Cambria"/>
            <w:noProof/>
          </w:rPr>
          <w:t>Annexes</w:t>
        </w:r>
        <w:r>
          <w:rPr>
            <w:noProof/>
            <w:webHidden/>
          </w:rPr>
          <w:tab/>
        </w:r>
        <w:r>
          <w:rPr>
            <w:noProof/>
            <w:webHidden/>
          </w:rPr>
          <w:fldChar w:fldCharType="begin"/>
        </w:r>
        <w:r>
          <w:rPr>
            <w:noProof/>
            <w:webHidden/>
          </w:rPr>
          <w:instrText xml:space="preserve"> PAGEREF _Toc235667478 \h </w:instrText>
        </w:r>
        <w:r>
          <w:rPr>
            <w:noProof/>
            <w:webHidden/>
          </w:rPr>
          <w:fldChar w:fldCharType="separate"/>
        </w:r>
        <w:r>
          <w:rPr>
            <w:noProof/>
            <w:webHidden/>
            <w:b/>
            <w:sz w:val="24"/>
            <w:szCs w:val="24"/>
            <w:rFonts w:ascii="Calibri" w:hAnsi="Calibri" w:eastAsia="Microsoft YaHei" w:cs="Calibri"/>
            <w:color w:val="000000"/>
          </w:rPr>
          <w:t>66</w:t>
        </w:r>
        <w:r>
          <w:rPr>
            <w:noProof/>
            <w:webHidden/>
          </w:rPr>
          <w:fldChar w:fldCharType="end"/>
        </w:r>
      </w:hyperlink>
    </w:p>
    <w:p>
      <w:pPr>
        <w:pStyle w:val="TOC2"/>
        <w:rPr>
          <w:rFonts w:asciiTheme="minorHAnsi" w:eastAsiaTheme="minorEastAsia" w:hAnsiTheme="minorHAnsi"/>
          <w:noProof/>
          <w:color w:val="auto"/>
          <w:sz w:val="24"/>
        </w:rPr>
      </w:pPr>
      <w:hyperlink w:anchor="_Toc235667479" w:history="1">
        <w:r w:rsidRPr="00AF3623">
          <w:rPr>
            <w:rStyle w:val="Hyperlink"/>
            <w:rFonts w:cs="Cambria" w:ascii="Cambria" w:hAnsi="Cambria" w:eastAsia="Cambria"/>
            <w:noProof/>
            <w:sz w:val="24"/>
            <w:szCs w:val="24"/>
            <w:color w:themeColor="hyperlink"/>
            <w:u w:val="single"/>
          </w:rPr>
          <w:t>Annex A: Corridor Coordinates and Geometry Registry</w:t>
        </w:r>
        <w:r>
          <w:rPr>
            <w:noProof/>
            <w:webHidden/>
          </w:rPr>
          <w:tab/>
        </w:r>
        <w:r>
          <w:rPr>
            <w:noProof/>
            <w:webHidden/>
          </w:rPr>
          <w:fldChar w:fldCharType="begin"/>
        </w:r>
        <w:r>
          <w:rPr>
            <w:noProof/>
            <w:webHidden/>
          </w:rPr>
          <w:instrText xml:space="preserve"> PAGEREF _Toc235667479 \h </w:instrText>
        </w:r>
        <w:r>
          <w:rPr>
            <w:noProof/>
            <w:webHidden/>
          </w:rPr>
          <w:fldChar w:fldCharType="separate"/>
        </w:r>
        <w:r>
          <w:rPr>
            <w:noProof/>
            <w:webHidden/>
            <w:sz w:val="24"/>
            <w:szCs w:val="24"/>
            <w:rFonts w:ascii="Calibri" w:hAnsi="Calibri" w:eastAsia="Microsoft YaHei" w:cs="Calibri"/>
            <w:color w:val="000000"/>
          </w:rPr>
          <w:t>66</w:t>
        </w:r>
        <w:r>
          <w:rPr>
            <w:noProof/>
            <w:webHidden/>
          </w:rPr>
          <w:fldChar w:fldCharType="end"/>
        </w:r>
      </w:hyperlink>
    </w:p>
    <w:p>
      <w:pPr>
        <w:pStyle w:val="TOC2"/>
        <w:rPr>
          <w:rFonts w:asciiTheme="minorHAnsi" w:eastAsiaTheme="minorEastAsia" w:hAnsiTheme="minorHAnsi"/>
          <w:noProof/>
          <w:color w:val="auto"/>
          <w:sz w:val="24"/>
        </w:rPr>
      </w:pPr>
      <w:hyperlink w:anchor="_Toc235667480" w:history="1">
        <w:r w:rsidRPr="00AF3623">
          <w:rPr>
            <w:rStyle w:val="Hyperlink"/>
            <w:rFonts w:cs="Cambria" w:ascii="Cambria" w:hAnsi="Cambria" w:eastAsia="Cambria"/>
            <w:noProof/>
            <w:sz w:val="24"/>
            <w:szCs w:val="24"/>
            <w:color w:themeColor="hyperlink"/>
            <w:u w:val="single"/>
          </w:rPr>
          <w:t>Annex B: Vessel Classification and Treatment Matrix</w:t>
        </w:r>
        <w:r>
          <w:rPr>
            <w:noProof/>
            <w:webHidden/>
          </w:rPr>
          <w:tab/>
        </w:r>
        <w:r>
          <w:rPr>
            <w:noProof/>
            <w:webHidden/>
          </w:rPr>
          <w:fldChar w:fldCharType="begin"/>
        </w:r>
        <w:r>
          <w:rPr>
            <w:noProof/>
            <w:webHidden/>
          </w:rPr>
          <w:instrText xml:space="preserve"> PAGEREF _Toc235667480 \h </w:instrText>
        </w:r>
        <w:r>
          <w:rPr>
            <w:noProof/>
            <w:webHidden/>
          </w:rPr>
          <w:fldChar w:fldCharType="separate"/>
        </w:r>
        <w:r>
          <w:rPr>
            <w:noProof/>
            <w:webHidden/>
            <w:sz w:val="24"/>
            <w:szCs w:val="24"/>
            <w:rFonts w:ascii="Calibri" w:hAnsi="Calibri" w:eastAsia="Microsoft YaHei" w:cs="Calibri"/>
            <w:color w:val="000000"/>
          </w:rPr>
          <w:t>71</w:t>
        </w:r>
        <w:r>
          <w:rPr>
            <w:noProof/>
            <w:webHidden/>
          </w:rPr>
          <w:fldChar w:fldCharType="end"/>
        </w:r>
      </w:hyperlink>
    </w:p>
    <w:p>
      <w:pPr>
        <w:pStyle w:val="TOC2"/>
        <w:rPr>
          <w:rFonts w:asciiTheme="minorHAnsi" w:eastAsiaTheme="minorEastAsia" w:hAnsiTheme="minorHAnsi"/>
          <w:noProof/>
          <w:color w:val="auto"/>
          <w:sz w:val="24"/>
        </w:rPr>
      </w:pPr>
      <w:hyperlink w:anchor="_Toc235667481" w:history="1">
        <w:r w:rsidRPr="00AF3623">
          <w:rPr>
            <w:rStyle w:val="Hyperlink"/>
            <w:rFonts w:cs="Cambria" w:ascii="Cambria" w:hAnsi="Cambria" w:eastAsia="Cambria"/>
            <w:noProof/>
            <w:sz w:val="24"/>
            <w:szCs w:val="24"/>
            <w:color w:themeColor="hyperlink"/>
            <w:u w:val="single"/>
          </w:rPr>
          <w:t>Annex C: Transit Notification and Safe Passage Recording Procedures</w:t>
        </w:r>
        <w:r>
          <w:rPr>
            <w:noProof/>
            <w:webHidden/>
          </w:rPr>
          <w:tab/>
        </w:r>
        <w:r>
          <w:rPr>
            <w:noProof/>
            <w:webHidden/>
          </w:rPr>
          <w:fldChar w:fldCharType="begin"/>
        </w:r>
        <w:r>
          <w:rPr>
            <w:noProof/>
            <w:webHidden/>
          </w:rPr>
          <w:instrText xml:space="preserve"> PAGEREF _Toc235667481 \h </w:instrText>
        </w:r>
        <w:r>
          <w:rPr>
            <w:noProof/>
            <w:webHidden/>
          </w:rPr>
          <w:fldChar w:fldCharType="separate"/>
        </w:r>
        <w:r>
          <w:rPr>
            <w:noProof/>
            <w:webHidden/>
            <w:sz w:val="24"/>
            <w:szCs w:val="24"/>
            <w:rFonts w:ascii="Calibri" w:hAnsi="Calibri" w:eastAsia="Microsoft YaHei" w:cs="Calibri"/>
            <w:color w:val="000000"/>
          </w:rPr>
          <w:t>74</w:t>
        </w:r>
        <w:r>
          <w:rPr>
            <w:noProof/>
            <w:webHidden/>
          </w:rPr>
          <w:fldChar w:fldCharType="end"/>
        </w:r>
      </w:hyperlink>
    </w:p>
    <w:p>
      <w:pPr>
        <w:pStyle w:val="TOC2"/>
        <w:rPr>
          <w:rFonts w:asciiTheme="minorHAnsi" w:eastAsiaTheme="minorEastAsia" w:hAnsiTheme="minorHAnsi"/>
          <w:noProof/>
          <w:color w:val="auto"/>
          <w:sz w:val="24"/>
        </w:rPr>
      </w:pPr>
      <w:hyperlink w:anchor="_Toc235667482" w:history="1">
        <w:r w:rsidRPr="00AF3623">
          <w:rPr>
            <w:rStyle w:val="Hyperlink"/>
            <w:rFonts w:cs="Cambria" w:ascii="Cambria" w:hAnsi="Cambria" w:eastAsia="Cambria"/>
            <w:noProof/>
            <w:sz w:val="24"/>
            <w:szCs w:val="24"/>
            <w:color w:themeColor="hyperlink"/>
            <w:u w:val="single"/>
          </w:rPr>
          <w:t>Annex D: Trust Fund Operating Procedures</w:t>
        </w:r>
        <w:r>
          <w:rPr>
            <w:noProof/>
            <w:webHidden/>
          </w:rPr>
          <w:tab/>
        </w:r>
        <w:r>
          <w:rPr>
            <w:noProof/>
            <w:webHidden/>
          </w:rPr>
          <w:fldChar w:fldCharType="begin"/>
        </w:r>
        <w:r>
          <w:rPr>
            <w:noProof/>
            <w:webHidden/>
          </w:rPr>
          <w:instrText xml:space="preserve"> PAGEREF _Toc235667482 \h </w:instrText>
        </w:r>
        <w:r>
          <w:rPr>
            <w:noProof/>
            <w:webHidden/>
          </w:rPr>
          <w:fldChar w:fldCharType="separate"/>
        </w:r>
        <w:r>
          <w:rPr>
            <w:noProof/>
            <w:webHidden/>
            <w:sz w:val="24"/>
            <w:szCs w:val="24"/>
            <w:rFonts w:ascii="Calibri" w:hAnsi="Calibri" w:eastAsia="Microsoft YaHei" w:cs="Calibri"/>
            <w:color w:val="000000"/>
          </w:rPr>
          <w:t>76</w:t>
        </w:r>
        <w:r>
          <w:rPr>
            <w:noProof/>
            <w:webHidden/>
          </w:rPr>
          <w:fldChar w:fldCharType="end"/>
        </w:r>
      </w:hyperlink>
    </w:p>
    <w:p>
      <w:pPr>
        <w:pStyle w:val="TOC2"/>
        <w:rPr>
          <w:rFonts w:asciiTheme="minorHAnsi" w:eastAsiaTheme="minorEastAsia" w:hAnsiTheme="minorHAnsi"/>
          <w:noProof/>
          <w:color w:val="auto"/>
          <w:sz w:val="24"/>
        </w:rPr>
      </w:pPr>
      <w:hyperlink w:anchor="_Toc235667483" w:history="1">
        <w:r w:rsidRPr="00AF3623">
          <w:rPr>
            <w:rStyle w:val="Hyperlink"/>
            <w:rFonts w:cs="Cambria" w:ascii="Cambria" w:hAnsi="Cambria" w:eastAsia="Cambria"/>
            <w:noProof/>
            <w:sz w:val="24"/>
            <w:szCs w:val="24"/>
            <w:color w:themeColor="hyperlink"/>
            <w:u w:val="single"/>
          </w:rPr>
          <w:t>Annex E: Services Catalog and Reimbursement Rate Schedule</w:t>
        </w:r>
        <w:r>
          <w:rPr>
            <w:noProof/>
            <w:webHidden/>
          </w:rPr>
          <w:tab/>
        </w:r>
        <w:r>
          <w:rPr>
            <w:noProof/>
            <w:webHidden/>
          </w:rPr>
          <w:fldChar w:fldCharType="begin"/>
        </w:r>
        <w:r>
          <w:rPr>
            <w:noProof/>
            <w:webHidden/>
          </w:rPr>
          <w:instrText xml:space="preserve"> PAGEREF _Toc235667483 \h </w:instrText>
        </w:r>
        <w:r>
          <w:rPr>
            <w:noProof/>
            <w:webHidden/>
          </w:rPr>
          <w:fldChar w:fldCharType="separate"/>
        </w:r>
        <w:r>
          <w:rPr>
            <w:noProof/>
            <w:webHidden/>
            <w:sz w:val="24"/>
            <w:szCs w:val="24"/>
            <w:rFonts w:ascii="Calibri" w:hAnsi="Calibri" w:eastAsia="Microsoft YaHei" w:cs="Calibri"/>
            <w:color w:val="000000"/>
          </w:rPr>
          <w:t>79</w:t>
        </w:r>
        <w:r>
          <w:rPr>
            <w:noProof/>
            <w:webHidden/>
          </w:rPr>
          <w:fldChar w:fldCharType="end"/>
        </w:r>
      </w:hyperlink>
    </w:p>
    <w:p>
      <w:pPr>
        <w:pStyle w:val="TOC2"/>
        <w:rPr>
          <w:rFonts w:asciiTheme="minorHAnsi" w:eastAsiaTheme="minorEastAsia" w:hAnsiTheme="minorHAnsi"/>
          <w:noProof/>
          <w:color w:val="auto"/>
          <w:sz w:val="24"/>
        </w:rPr>
      </w:pPr>
      <w:hyperlink w:anchor="_Toc235667484" w:history="1">
        <w:r w:rsidRPr="00AF3623">
          <w:rPr>
            <w:rStyle w:val="Hyperlink"/>
            <w:rFonts w:cs="Cambria" w:ascii="Cambria" w:hAnsi="Cambria" w:eastAsia="Cambria"/>
            <w:noProof/>
            <w:sz w:val="24"/>
            <w:szCs w:val="24"/>
            <w:color w:themeColor="hyperlink"/>
            <w:u w:val="single"/>
          </w:rPr>
          <w:t>Annex F: Communications Protocols, VHF Plan, and Hotline Procedures</w:t>
        </w:r>
        <w:r>
          <w:rPr>
            <w:noProof/>
            <w:webHidden/>
          </w:rPr>
          <w:tab/>
        </w:r>
        <w:r>
          <w:rPr>
            <w:noProof/>
            <w:webHidden/>
          </w:rPr>
          <w:fldChar w:fldCharType="begin"/>
        </w:r>
        <w:r>
          <w:rPr>
            <w:noProof/>
            <w:webHidden/>
          </w:rPr>
          <w:instrText xml:space="preserve"> PAGEREF _Toc235667484 \h </w:instrText>
        </w:r>
        <w:r>
          <w:rPr>
            <w:noProof/>
            <w:webHidden/>
          </w:rPr>
          <w:fldChar w:fldCharType="separate"/>
        </w:r>
        <w:r>
          <w:rPr>
            <w:noProof/>
            <w:webHidden/>
            <w:sz w:val="24"/>
            <w:szCs w:val="24"/>
            <w:rFonts w:ascii="Calibri" w:hAnsi="Calibri" w:eastAsia="Microsoft YaHei" w:cs="Calibri"/>
            <w:color w:val="000000"/>
          </w:rPr>
          <w:t>81</w:t>
        </w:r>
        <w:r>
          <w:rPr>
            <w:noProof/>
            <w:webHidden/>
          </w:rPr>
          <w:fldChar w:fldCharType="end"/>
        </w:r>
      </w:hyperlink>
    </w:p>
    <w:p>
      <w:pPr>
        <w:pStyle w:val="TOC2"/>
        <w:rPr>
          <w:rFonts w:asciiTheme="minorHAnsi" w:eastAsiaTheme="minorEastAsia" w:hAnsiTheme="minorHAnsi"/>
          <w:noProof/>
          <w:color w:val="auto"/>
          <w:sz w:val="24"/>
        </w:rPr>
      </w:pPr>
      <w:hyperlink w:anchor="_Toc235667485" w:history="1">
        <w:r w:rsidRPr="00AF3623">
          <w:rPr>
            <w:rStyle w:val="Hyperlink"/>
            <w:rFonts w:cs="Cambria" w:ascii="Cambria" w:hAnsi="Cambria" w:eastAsia="Cambria"/>
            <w:noProof/>
            <w:sz w:val="24"/>
            <w:szCs w:val="24"/>
            <w:color w:themeColor="hyperlink"/>
            <w:u w:val="single"/>
          </w:rPr>
          <w:t>Annex G: Incident Report Forms and Investigation Procedures</w:t>
        </w:r>
        <w:r>
          <w:rPr>
            <w:noProof/>
            <w:webHidden/>
          </w:rPr>
          <w:tab/>
        </w:r>
        <w:r>
          <w:rPr>
            <w:noProof/>
            <w:webHidden/>
          </w:rPr>
          <w:fldChar w:fldCharType="begin"/>
        </w:r>
        <w:r>
          <w:rPr>
            <w:noProof/>
            <w:webHidden/>
          </w:rPr>
          <w:instrText xml:space="preserve"> PAGEREF _Toc235667485 \h </w:instrText>
        </w:r>
        <w:r>
          <w:rPr>
            <w:noProof/>
            <w:webHidden/>
          </w:rPr>
          <w:fldChar w:fldCharType="separate"/>
        </w:r>
        <w:r>
          <w:rPr>
            <w:noProof/>
            <w:webHidden/>
            <w:sz w:val="24"/>
            <w:szCs w:val="24"/>
            <w:rFonts w:ascii="Calibri" w:hAnsi="Calibri" w:eastAsia="Microsoft YaHei" w:cs="Calibri"/>
            <w:color w:val="000000"/>
          </w:rPr>
          <w:t>83</w:t>
        </w:r>
        <w:r>
          <w:rPr>
            <w:noProof/>
            <w:webHidden/>
          </w:rPr>
          <w:fldChar w:fldCharType="end"/>
        </w:r>
      </w:hyperlink>
    </w:p>
    <w:p>
      <w:pPr>
        <w:pStyle w:val="TOC2"/>
        <w:rPr>
          <w:rFonts w:asciiTheme="minorHAnsi" w:eastAsiaTheme="minorEastAsia" w:hAnsiTheme="minorHAnsi"/>
          <w:noProof/>
          <w:color w:val="auto"/>
          <w:sz w:val="24"/>
        </w:rPr>
      </w:pPr>
      <w:hyperlink w:anchor="_Toc235667486" w:history="1">
        <w:r w:rsidRPr="00AF3623">
          <w:rPr>
            <w:rStyle w:val="Hyperlink"/>
            <w:rFonts w:cs="Cambria" w:ascii="Cambria" w:hAnsi="Cambria" w:eastAsia="Cambria"/>
            <w:noProof/>
            <w:sz w:val="24"/>
            <w:szCs w:val="24"/>
            <w:color w:themeColor="hyperlink"/>
            <w:u w:val="single"/>
          </w:rPr>
          <w:t>Annex H: Environmental Standards and Pollution Response Plan</w:t>
        </w:r>
        <w:r>
          <w:rPr>
            <w:noProof/>
            <w:webHidden/>
          </w:rPr>
          <w:tab/>
        </w:r>
        <w:r>
          <w:rPr>
            <w:noProof/>
            <w:webHidden/>
          </w:rPr>
          <w:fldChar w:fldCharType="begin"/>
        </w:r>
        <w:r>
          <w:rPr>
            <w:noProof/>
            <w:webHidden/>
          </w:rPr>
          <w:instrText xml:space="preserve"> PAGEREF _Toc235667486 \h </w:instrText>
        </w:r>
        <w:r>
          <w:rPr>
            <w:noProof/>
            <w:webHidden/>
          </w:rPr>
          <w:fldChar w:fldCharType="separate"/>
        </w:r>
        <w:r>
          <w:rPr>
            <w:noProof/>
            <w:webHidden/>
            <w:sz w:val="24"/>
            <w:szCs w:val="24"/>
            <w:rFonts w:ascii="Calibri" w:hAnsi="Calibri" w:eastAsia="Microsoft YaHei" w:cs="Calibri"/>
            <w:color w:val="000000"/>
          </w:rPr>
          <w:t>84</w:t>
        </w:r>
        <w:r>
          <w:rPr>
            <w:noProof/>
            <w:webHidden/>
          </w:rPr>
          <w:fldChar w:fldCharType="end"/>
        </w:r>
      </w:hyperlink>
    </w:p>
    <w:p>
      <w:pPr>
        <w:pStyle w:val="TOC2"/>
        <w:rPr>
          <w:rFonts w:asciiTheme="minorHAnsi" w:eastAsiaTheme="minorEastAsia" w:hAnsiTheme="minorHAnsi"/>
          <w:noProof/>
          <w:color w:val="auto"/>
          <w:sz w:val="24"/>
        </w:rPr>
      </w:pPr>
      <w:hyperlink w:anchor="_Toc235667487" w:history="1">
        <w:r w:rsidRPr="00AF3623">
          <w:rPr>
            <w:rStyle w:val="Hyperlink"/>
            <w:noProof/>
          </w:rPr>
          <w:t>Annex I: Search and Rescue Operations Plan</w:t>
        </w:r>
        <w:r>
          <w:rPr>
            <w:noProof/>
            <w:webHidden/>
          </w:rPr>
          <w:tab/>
        </w:r>
        <w:r>
          <w:rPr>
            <w:noProof/>
            <w:webHidden/>
          </w:rPr>
          <w:fldChar w:fldCharType="begin"/>
        </w:r>
        <w:r>
          <w:rPr>
            <w:noProof/>
            <w:webHidden/>
          </w:rPr>
          <w:instrText xml:space="preserve"> PAGEREF _Toc235667487 \h </w:instrText>
        </w:r>
        <w:r>
          <w:rPr>
            <w:noProof/>
            <w:webHidden/>
          </w:rPr>
          <w:fldChar w:fldCharType="separate"/>
        </w:r>
        <w:r>
          <w:rPr>
            <w:noProof/>
            <w:webHidden/>
            <w:sz w:val="24"/>
            <w:szCs w:val="24"/>
            <w:rFonts w:ascii="Calibri" w:hAnsi="Calibri" w:eastAsia="Microsoft YaHei" w:cs="Calibri"/>
            <w:color w:val="000000"/>
          </w:rPr>
          <w:t>86</w:t>
        </w:r>
        <w:r>
          <w:rPr>
            <w:noProof/>
            <w:webHidden/>
          </w:rPr>
          <w:fldChar w:fldCharType="end"/>
        </w:r>
      </w:hyperlink>
    </w:p>
    <w:p>
      <w:pPr>
        <w:pStyle w:val="TOC2"/>
        <w:rPr>
          <w:rFonts w:asciiTheme="minorHAnsi" w:eastAsiaTheme="minorEastAsia" w:hAnsiTheme="minorHAnsi"/>
          <w:noProof/>
          <w:color w:val="auto"/>
          <w:sz w:val="24"/>
        </w:rPr>
      </w:pPr>
      <w:hyperlink w:anchor="_Toc235667488" w:history="1">
        <w:r w:rsidRPr="00AF3623">
          <w:rPr>
            <w:rStyle w:val="Hyperlink"/>
            <w:noProof/>
          </w:rPr>
          <w:t>Annex J: Compliance Certificates and Standard Forms</w:t>
        </w:r>
        <w:r>
          <w:rPr>
            <w:noProof/>
            <w:webHidden/>
          </w:rPr>
          <w:tab/>
        </w:r>
        <w:r>
          <w:rPr>
            <w:noProof/>
            <w:webHidden/>
          </w:rPr>
          <w:fldChar w:fldCharType="begin"/>
        </w:r>
        <w:r>
          <w:rPr>
            <w:noProof/>
            <w:webHidden/>
          </w:rPr>
          <w:instrText xml:space="preserve"> PAGEREF _Toc235667488 \h </w:instrText>
        </w:r>
        <w:r>
          <w:rPr>
            <w:noProof/>
            <w:webHidden/>
          </w:rPr>
          <w:fldChar w:fldCharType="separate"/>
        </w:r>
        <w:r>
          <w:rPr>
            <w:noProof/>
            <w:webHidden/>
            <w:sz w:val="24"/>
            <w:szCs w:val="24"/>
            <w:rFonts w:ascii="Calibri" w:hAnsi="Calibri" w:eastAsia="Microsoft YaHei" w:cs="Calibri"/>
            <w:color w:val="000000"/>
          </w:rPr>
          <w:t>88</w:t>
        </w:r>
        <w:r>
          <w:rPr>
            <w:noProof/>
            <w:webHidden/>
          </w:rPr>
          <w:fldChar w:fldCharType="end"/>
        </w:r>
      </w:hyperlink>
    </w:p>
    <w:p>
      <w:pPr>
        <w:pStyle w:val="TOC2"/>
        <w:rPr>
          <w:rFonts w:asciiTheme="minorHAnsi" w:eastAsiaTheme="minorEastAsia" w:hAnsiTheme="minorHAnsi"/>
          <w:noProof/>
          <w:color w:val="auto"/>
          <w:sz w:val="24"/>
        </w:rPr>
      </w:pPr>
      <w:hyperlink w:anchor="_Toc235667489" w:history="1">
        <w:r w:rsidRPr="00AF3623">
          <w:rPr>
            <w:rStyle w:val="Hyperlink"/>
            <w:noProof/>
          </w:rPr>
          <w:t>Annex K: The Red Lines Register</w:t>
        </w:r>
        <w:r>
          <w:rPr>
            <w:noProof/>
            <w:webHidden/>
          </w:rPr>
          <w:tab/>
        </w:r>
        <w:r>
          <w:rPr>
            <w:noProof/>
            <w:webHidden/>
          </w:rPr>
          <w:fldChar w:fldCharType="begin"/>
        </w:r>
        <w:r>
          <w:rPr>
            <w:noProof/>
            <w:webHidden/>
          </w:rPr>
          <w:instrText xml:space="preserve"> PAGEREF _Toc235667489 \h </w:instrText>
        </w:r>
        <w:r>
          <w:rPr>
            <w:noProof/>
            <w:webHidden/>
          </w:rPr>
          <w:fldChar w:fldCharType="separate"/>
        </w:r>
        <w:r>
          <w:rPr>
            <w:noProof/>
            <w:webHidden/>
            <w:sz w:val="24"/>
            <w:szCs w:val="24"/>
            <w:rFonts w:ascii="Calibri" w:hAnsi="Calibri" w:eastAsia="Microsoft YaHei" w:cs="Calibri"/>
            <w:color w:val="000000"/>
          </w:rPr>
          <w:t>89</w:t>
        </w:r>
        <w:r>
          <w:rPr>
            <w:noProof/>
            <w:webHidden/>
          </w:rPr>
          <w:fldChar w:fldCharType="end"/>
        </w:r>
      </w:hyperlink>
    </w:p>
    <w:p>
      <w:pPr>
        <w:pStyle w:val="TOC2"/>
        <w:rPr>
          <w:rFonts w:asciiTheme="minorHAnsi" w:eastAsiaTheme="minorEastAsia" w:hAnsiTheme="minorHAnsi"/>
          <w:noProof/>
          <w:color w:val="auto"/>
          <w:sz w:val="24"/>
        </w:rPr>
      </w:pPr>
      <w:hyperlink w:anchor="_Toc235667490" w:history="1">
        <w:r w:rsidRPr="00AF3623">
          <w:rPr>
            <w:rStyle w:val="Hyperlink"/>
            <w:noProof/>
          </w:rPr>
          <w:t>Annex L: Implementation Timeline and Phase Gates</w:t>
        </w:r>
        <w:r>
          <w:rPr>
            <w:noProof/>
            <w:webHidden/>
          </w:rPr>
          <w:tab/>
        </w:r>
        <w:r>
          <w:rPr>
            <w:noProof/>
            <w:webHidden/>
          </w:rPr>
          <w:fldChar w:fldCharType="begin"/>
        </w:r>
        <w:r>
          <w:rPr>
            <w:noProof/>
            <w:webHidden/>
          </w:rPr>
          <w:instrText xml:space="preserve"> PAGEREF _Toc235667490 \h </w:instrText>
        </w:r>
        <w:r>
          <w:rPr>
            <w:noProof/>
            <w:webHidden/>
          </w:rPr>
          <w:fldChar w:fldCharType="separate"/>
        </w:r>
        <w:r>
          <w:rPr>
            <w:noProof/>
            <w:webHidden/>
            <w:sz w:val="24"/>
            <w:szCs w:val="24"/>
            <w:rFonts w:ascii="Calibri" w:hAnsi="Calibri" w:eastAsia="Microsoft YaHei" w:cs="Calibri"/>
            <w:color w:val="000000"/>
          </w:rPr>
          <w:t>91</w:t>
        </w:r>
        <w:r>
          <w:rPr>
            <w:noProof/>
            <w:webHidden/>
          </w:rPr>
          <w:fldChar w:fldCharType="end"/>
        </w:r>
      </w:hyperlink>
    </w:p>
    <w:p>
      <w:pPr>
        <w:pStyle w:val="TOC2"/>
        <w:rPr>
          <w:rFonts w:asciiTheme="minorHAnsi" w:eastAsiaTheme="minorEastAsia" w:hAnsiTheme="minorHAnsi"/>
          <w:noProof/>
          <w:color w:val="auto"/>
          <w:sz w:val="24"/>
        </w:rPr>
      </w:pPr>
      <w:hyperlink w:anchor="_Toc235667491" w:history="1">
        <w:r w:rsidRPr="00AF3623">
          <w:rPr>
            <w:rStyle w:val="Hyperlink"/>
            <w:rFonts w:cs="Cambria" w:ascii="Cambria" w:hAnsi="Cambria" w:eastAsia="Cambria"/>
            <w:noProof/>
            <w:sz w:val="24"/>
            <w:szCs w:val="24"/>
            <w:color w:themeColor="hyperlink"/>
            <w:u w:val="single"/>
          </w:rPr>
          <w:t>Annex M: Glossary and Abbreviations</w:t>
        </w:r>
        <w:r>
          <w:rPr>
            <w:noProof/>
            <w:webHidden/>
          </w:rPr>
          <w:tab/>
        </w:r>
        <w:r>
          <w:rPr>
            <w:noProof/>
            <w:webHidden/>
          </w:rPr>
          <w:fldChar w:fldCharType="begin"/>
        </w:r>
        <w:r>
          <w:rPr>
            <w:noProof/>
            <w:webHidden/>
          </w:rPr>
          <w:instrText xml:space="preserve"> PAGEREF _Toc235667491 \h </w:instrText>
        </w:r>
        <w:r>
          <w:rPr>
            <w:noProof/>
            <w:webHidden/>
          </w:rPr>
          <w:fldChar w:fldCharType="separate"/>
        </w:r>
        <w:r>
          <w:rPr>
            <w:noProof/>
            <w:webHidden/>
            <w:sz w:val="24"/>
            <w:szCs w:val="24"/>
            <w:rFonts w:ascii="Calibri" w:hAnsi="Calibri" w:eastAsia="Microsoft YaHei" w:cs="Calibri"/>
            <w:color w:val="000000"/>
          </w:rPr>
          <w:t>93</w:t>
        </w:r>
        <w:r>
          <w:rPr>
            <w:noProof/>
            <w:webHidden/>
          </w:rPr>
          <w:fldChar w:fldCharType="end"/>
        </w:r>
      </w:hyperlink>
    </w:p>
    <w:p>
      <w:pPr>
        <w:pStyle w:val="TOC2"/>
        <w:rPr>
          <w:rFonts w:asciiTheme="minorHAnsi" w:eastAsiaTheme="minorEastAsia" w:hAnsiTheme="minorHAnsi"/>
          <w:noProof/>
          <w:color w:val="auto"/>
          <w:sz w:val="24"/>
        </w:rPr>
      </w:pPr>
      <w:hyperlink w:anchor="_Toc235667492" w:history="1">
        <w:r w:rsidRPr="00AF3623">
          <w:rPr>
            <w:rStyle w:val="Hyperlink"/>
            <w:rFonts w:cs="Cambria" w:ascii="Cambria" w:hAnsi="Cambria" w:eastAsia="Cambria"/>
            <w:noProof/>
            <w:sz w:val="24"/>
            <w:szCs w:val="24"/>
            <w:color w:themeColor="hyperlink"/>
            <w:u w:val="single"/>
          </w:rPr>
          <w:t>Annex N: Model Participation Instruments</w:t>
        </w:r>
        <w:r>
          <w:rPr>
            <w:noProof/>
            <w:webHidden/>
          </w:rPr>
          <w:tab/>
        </w:r>
        <w:r>
          <w:rPr>
            <w:noProof/>
            <w:webHidden/>
          </w:rPr>
          <w:fldChar w:fldCharType="begin"/>
        </w:r>
        <w:r>
          <w:rPr>
            <w:noProof/>
            <w:webHidden/>
          </w:rPr>
          <w:instrText xml:space="preserve"> PAGEREF _Toc235667492 \h </w:instrText>
        </w:r>
        <w:r>
          <w:rPr>
            <w:noProof/>
            <w:webHidden/>
          </w:rPr>
          <w:fldChar w:fldCharType="separate"/>
        </w:r>
        <w:r>
          <w:rPr>
            <w:noProof/>
            <w:webHidden/>
            <w:sz w:val="24"/>
            <w:szCs w:val="24"/>
            <w:rFonts w:ascii="Calibri" w:hAnsi="Calibri" w:eastAsia="Microsoft YaHei" w:cs="Calibri"/>
            <w:color w:val="000000"/>
          </w:rPr>
          <w:t>94</w:t>
        </w:r>
        <w:r>
          <w:rPr>
            <w:noProof/>
            <w:webHidden/>
          </w:rPr>
          <w:fldChar w:fldCharType="end"/>
        </w:r>
      </w:hyperlink>
    </w:p>
    <w:p>
      <w:pPr>
        <w:pStyle w:val="TOC2"/>
        <w:rPr>
          <w:rFonts w:asciiTheme="minorHAnsi" w:eastAsiaTheme="minorEastAsia" w:hAnsiTheme="minorHAnsi"/>
          <w:noProof/>
          <w:color w:val="auto"/>
          <w:sz w:val="24"/>
        </w:rPr>
      </w:pPr>
      <w:hyperlink w:anchor="_Toc235667493" w:history="1">
        <w:r w:rsidRPr="00AF3623">
          <w:rPr>
            <w:rStyle w:val="Hyperlink"/>
            <w:rFonts w:cs="Cambria" w:ascii="Cambria" w:hAnsi="Cambria" w:eastAsia="Cambria"/>
            <w:noProof/>
            <w:sz w:val="24"/>
            <w:szCs w:val="24"/>
            <w:color w:themeColor="hyperlink"/>
            <w:u w:val="single"/>
          </w:rPr>
          <w:t>Annex O: Verification Methods Manual</w:t>
        </w:r>
        <w:r>
          <w:rPr>
            <w:noProof/>
            <w:webHidden/>
          </w:rPr>
          <w:tab/>
        </w:r>
        <w:r>
          <w:rPr>
            <w:noProof/>
            <w:webHidden/>
          </w:rPr>
          <w:fldChar w:fldCharType="begin"/>
        </w:r>
        <w:r>
          <w:rPr>
            <w:noProof/>
            <w:webHidden/>
          </w:rPr>
          <w:instrText xml:space="preserve"> PAGEREF _Toc235667493 \h </w:instrText>
        </w:r>
        <w:r>
          <w:rPr>
            <w:noProof/>
            <w:webHidden/>
          </w:rPr>
          <w:fldChar w:fldCharType="separate"/>
        </w:r>
        <w:r>
          <w:rPr>
            <w:noProof/>
            <w:webHidden/>
            <w:sz w:val="24"/>
            <w:szCs w:val="24"/>
            <w:rFonts w:ascii="Calibri" w:hAnsi="Calibri" w:eastAsia="Microsoft YaHei" w:cs="Calibri"/>
            <w:color w:val="000000"/>
          </w:rPr>
          <w:t>95</w:t>
        </w:r>
        <w:r>
          <w:rPr>
            <w:noProof/>
            <w:webHidden/>
          </w:rPr>
          <w:fldChar w:fldCharType="end"/>
        </w:r>
      </w:hyperlink>
    </w:p>
    <w:p>
      <w:pPr>
        <w:pStyle w:val="TOC2"/>
        <w:rPr>
          <w:rFonts w:asciiTheme="minorHAnsi" w:eastAsiaTheme="minorEastAsia" w:hAnsiTheme="minorHAnsi"/>
          <w:noProof/>
          <w:color w:val="auto"/>
          <w:sz w:val="24"/>
        </w:rPr>
      </w:pPr>
      <w:hyperlink w:anchor="_Toc235667494" w:history="1">
        <w:r w:rsidRPr="00AF3623">
          <w:rPr>
            <w:rStyle w:val="Hyperlink"/>
            <w:noProof/>
          </w:rPr>
          <w:t>Annex P: Three-Year Budget and Cost-Effectiveness Assessment</w:t>
        </w:r>
        <w:r>
          <w:rPr>
            <w:noProof/>
            <w:webHidden/>
          </w:rPr>
          <w:tab/>
        </w:r>
        <w:r>
          <w:rPr>
            <w:noProof/>
            <w:webHidden/>
          </w:rPr>
          <w:fldChar w:fldCharType="begin"/>
        </w:r>
        <w:r>
          <w:rPr>
            <w:noProof/>
            <w:webHidden/>
          </w:rPr>
          <w:instrText xml:space="preserve"> PAGEREF _Toc235667494 \h </w:instrText>
        </w:r>
        <w:r>
          <w:rPr>
            <w:noProof/>
            <w:webHidden/>
          </w:rPr>
          <w:fldChar w:fldCharType="separate"/>
        </w:r>
        <w:r>
          <w:rPr>
            <w:noProof/>
            <w:webHidden/>
            <w:sz w:val="24"/>
            <w:szCs w:val="24"/>
            <w:rFonts w:ascii="Calibri" w:hAnsi="Calibri" w:eastAsia="Microsoft YaHei" w:cs="Calibri"/>
            <w:color w:val="000000"/>
          </w:rPr>
          <w:t>97</w:t>
        </w:r>
        <w:r>
          <w:rPr>
            <w:noProof/>
            <w:webHidden/>
          </w:rPr>
          <w:fldChar w:fldCharType="end"/>
        </w:r>
      </w:hyperlink>
    </w:p>
    <w:p>
      <w:pPr>
        <w:pStyle w:val="Normal"/>
      </w:pPr>
      <w:r>
        <w:fldChar w:fldCharType="end"/>
      </w:r>
    </w:p>
    <w:p>
      <w:pPr>
        <w:pStyle w:val="Heading2"/>
      </w:pPr>
      <w:bookmarkStart w:id="0" w:name="_Toc1001"/>
      <w:bookmarkStart w:id="1" w:name="_Toc235667432"/>
      <w:r>
        <w:rPr>
          <w:szCs w:val="30"/>
          <w:lang w:val="en-CA" w:eastAsia="en-CA" w:bidi="ar-SA"/>
          <w:color w:val="212B32"/>
          <w:rFonts w:ascii="Cambria" w:hAnsi="Cambria" w:eastAsia="Cambria" w:cs="Cambria"/>
          <w:b/>
          <w:sz w:val="30"/>
        </w:rPr>
        <w:t>Document Status and Instrument Record</w:t>
      </w:r>
      <w:bookmarkEnd w:id="0"/>
      <w:bookmarkEnd w:id="1"/>
    </w:p>
    <w:p>
      <w:pPr>
        <w:pStyle w:val="Normal"/>
      </w:pPr>
      <w:r>
        <w:rPr>
          <w:rFonts w:cs="Calibri" w:ascii="Calibri" w:hAnsi="Calibri" w:eastAsia="Calibri"/>
          <w:szCs w:val="23"/>
          <w:lang w:val="en-CA" w:eastAsia="en-CA" w:bidi="ar-SA"/>
          <w:color w:val="212B32"/>
          <w:sz w:val="23"/>
        </w:rPr>
        <w:t>The Gulf States Maritime Coordination Authority Framework, cited in this instrument as the Framework or GMCAF, constitutes a complete, self-executing governance architecture for the Strait of Hormuz. The Framework stands as a multilateral instrument of the eight founding States Parties listed in Section 1.6, drafted for adoption through the Joint Hormuz Committee process convened in Muscat, and structured for immediate operational effect upon signature by the States Parties.</w:t>
      </w:r>
    </w:p>
    <w:p>
      <w:pPr>
        <w:pStyle w:val="Normal"/>
        <w:spacing w:before="120" w:after="0"/>
      </w:pPr>
    </w:p>
    <w:tbl>
      <w:tblPr>
        <w:tblStyle w:val="TableNormal"/>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2862"/>
        <w:gridCol w:w="6364"/>
      </w:tblGrid>
      <w:tr>
        <w:trPr>
          <w:cantSplit w:val="1"/>
          <w:tblHeader w:val="1"/>
        </w:trPr>
        <w:tc>
          <w:tcPr>
            <w:tcW w:w="2862"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Field</w:t>
            </w:r>
          </w:p>
        </w:tc>
        <w:tc>
          <w:tcPr>
            <w:tcW w:w="6364"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Record</w:t>
            </w:r>
          </w:p>
        </w:tc>
      </w:tr>
      <w:tr>
        <w:trPr>
          <w:cantSplit w:val="1"/>
        </w:trPr>
        <w:tc>
          <w:tcPr>
            <w:tcW w:w="2862" w:type="dxa"/>
          </w:tcPr>
          <w:p>
            <w:pPr>
              <w:pStyle w:val="Normal"/>
              <w:spacing w:before="30" w:after="30" w:line="264" w:lineRule="auto"/>
              <w:jc w:val="left"/>
            </w:pPr>
            <w:r>
              <w:rPr>
                <w:rFonts w:cs="Calibri" w:ascii="Calibri" w:hAnsi="Calibri" w:eastAsia="Calibri"/>
                <w:color w:val="2B3942"/>
                <w:sz w:val="19"/>
                <w:szCs w:val="19"/>
                <w:lang w:val="en-CA" w:eastAsia="en-CA" w:bidi="ar-SA"/>
              </w:rPr>
              <w:t>Instrument</w:t>
            </w:r>
          </w:p>
        </w:tc>
        <w:tc>
          <w:tcPr>
            <w:tcW w:w="6364" w:type="dxa"/>
          </w:tcPr>
          <w:p>
            <w:pPr>
              <w:pStyle w:val="Normal"/>
              <w:spacing w:before="30" w:after="30" w:line="264" w:lineRule="auto"/>
              <w:jc w:val="left"/>
            </w:pPr>
            <w:r>
              <w:rPr>
                <w:rFonts w:cs="Calibri" w:ascii="Calibri" w:hAnsi="Calibri" w:eastAsia="Calibri"/>
                <w:color w:val="2B3942"/>
                <w:sz w:val="19"/>
                <w:szCs w:val="19"/>
                <w:lang w:val="en-CA" w:eastAsia="en-CA" w:bidi="ar-SA"/>
              </w:rPr>
              <w:t>The Gulf States Maritime Coordination Authority Framework (GMCAF)</w:t>
            </w:r>
          </w:p>
        </w:tc>
      </w:tr>
      <w:tr>
        <w:trPr>
          <w:cantSplit w:val="1"/>
        </w:trPr>
        <w:tc>
          <w:tcPr>
            <w:tcW w:w="2862" w:type="dxa"/>
          </w:tcPr>
          <w:p>
            <w:pPr>
              <w:pStyle w:val="Normal"/>
              <w:spacing w:before="30" w:after="30" w:line="264" w:lineRule="auto"/>
              <w:jc w:val="left"/>
            </w:pPr>
            <w:r>
              <w:rPr>
                <w:rFonts w:cs="Calibri" w:ascii="Calibri" w:hAnsi="Calibri" w:eastAsia="Calibri"/>
                <w:color w:val="2B3942"/>
                <w:sz w:val="19"/>
                <w:szCs w:val="19"/>
                <w:lang w:val="en-CA" w:eastAsia="en-CA" w:bidi="ar-SA"/>
              </w:rPr>
              <w:t>Version</w:t>
            </w:r>
          </w:p>
        </w:tc>
        <w:tc>
          <w:tcPr>
            <w:tcW w:w="6364" w:type="dxa"/>
          </w:tcPr>
          <w:p>
            <w:pPr>
              <w:pStyle w:val="Normal"/>
              <w:spacing w:before="30" w:after="30" w:line="264" w:lineRule="auto"/>
              <w:jc w:val="left"/>
            </w:pPr>
            <w:r>
              <w:rPr>
                <w:rFonts w:cs="Calibri" w:ascii="Calibri" w:hAnsi="Calibri" w:eastAsia="Calibri"/>
                <w:color w:val="2B3942"/>
                <w:sz w:val="19"/>
                <w:szCs w:val="19"/>
                <w:lang w:val="en-CA" w:eastAsia="en-CA" w:bidi="ar-SA"/>
              </w:rPr>
              <w:t>1.2 (founding edition)</w:t>
            </w:r>
          </w:p>
        </w:tc>
      </w:tr>
      <w:tr>
        <w:trPr>
          <w:cantSplit w:val="1"/>
        </w:trPr>
        <w:tc>
          <w:tcPr>
            <w:tcW w:w="2862" w:type="dxa"/>
          </w:tcPr>
          <w:p>
            <w:pPr>
              <w:pStyle w:val="Normal"/>
              <w:spacing w:before="30" w:after="30" w:line="264" w:lineRule="auto"/>
              <w:jc w:val="left"/>
            </w:pPr>
            <w:r>
              <w:rPr>
                <w:rFonts w:cs="Calibri" w:ascii="Calibri" w:hAnsi="Calibri" w:eastAsia="Calibri"/>
                <w:color w:val="2B3942"/>
                <w:sz w:val="19"/>
                <w:szCs w:val="19"/>
                <w:lang w:val="en-CA" w:eastAsia="en-CA" w:bidi="ar-SA"/>
              </w:rPr>
              <w:t>Instrument class</w:t>
            </w:r>
          </w:p>
        </w:tc>
        <w:tc>
          <w:tcPr>
            <w:tcW w:w="6364" w:type="dxa"/>
          </w:tcPr>
          <w:p>
            <w:pPr>
              <w:pStyle w:val="Normal"/>
              <w:spacing w:before="30" w:after="30" w:line="264" w:lineRule="auto"/>
              <w:jc w:val="left"/>
            </w:pPr>
            <w:r>
              <w:rPr>
                <w:rFonts w:cs="Calibri" w:ascii="Calibri" w:hAnsi="Calibri" w:eastAsia="Calibri"/>
                <w:color w:val="2B3942"/>
                <w:sz w:val="19"/>
                <w:szCs w:val="19"/>
                <w:lang w:val="en-CA" w:eastAsia="en-CA" w:bidi="ar-SA"/>
              </w:rPr>
              <w:t>Multilateral maritime governance framework with annexed operational protocols</w:t>
            </w:r>
          </w:p>
        </w:tc>
      </w:tr>
      <w:tr>
        <w:trPr>
          <w:cantSplit w:val="1"/>
        </w:trPr>
        <w:tc>
          <w:tcPr>
            <w:tcW w:w="2862" w:type="dxa"/>
          </w:tcPr>
          <w:p>
            <w:pPr>
              <w:pStyle w:val="Normal"/>
              <w:spacing w:before="30" w:after="30" w:line="264" w:lineRule="auto"/>
              <w:jc w:val="left"/>
            </w:pPr>
            <w:r>
              <w:rPr>
                <w:rFonts w:cs="Calibri" w:ascii="Calibri" w:hAnsi="Calibri" w:eastAsia="Calibri"/>
                <w:color w:val="2B3942"/>
                <w:sz w:val="19"/>
                <w:szCs w:val="19"/>
                <w:lang w:val="en-CA" w:eastAsia="en-CA" w:bidi="ar-SA"/>
              </w:rPr>
              <w:t>States Parties</w:t>
            </w:r>
          </w:p>
        </w:tc>
        <w:tc>
          <w:tcPr>
            <w:tcW w:w="6364" w:type="dxa"/>
          </w:tcPr>
          <w:p>
            <w:pPr>
              <w:pStyle w:val="Normal"/>
              <w:spacing w:before="30" w:after="30" w:line="264" w:lineRule="auto"/>
              <w:jc w:val="left"/>
            </w:pPr>
            <w:r>
              <w:rPr>
                <w:rFonts w:cs="Calibri" w:ascii="Calibri" w:hAnsi="Calibri" w:eastAsia="Calibri"/>
                <w:color w:val="2B3942"/>
                <w:sz w:val="19"/>
                <w:szCs w:val="19"/>
                <w:lang w:val="en-CA" w:eastAsia="en-CA" w:bidi="ar-SA"/>
              </w:rPr>
              <w:t>The eight founding States Parties listed in Section 1.6</w:t>
            </w:r>
          </w:p>
        </w:tc>
      </w:tr>
      <w:tr>
        <w:trPr>
          <w:cantSplit w:val="1"/>
        </w:trPr>
        <w:tc>
          <w:tcPr>
            <w:tcW w:w="2862" w:type="dxa"/>
          </w:tcPr>
          <w:p>
            <w:pPr>
              <w:pStyle w:val="Normal"/>
              <w:spacing w:before="30" w:after="30" w:line="264" w:lineRule="auto"/>
              <w:jc w:val="left"/>
            </w:pPr>
            <w:r>
              <w:rPr>
                <w:rFonts w:cs="Calibri" w:ascii="Calibri" w:hAnsi="Calibri" w:eastAsia="Calibri"/>
                <w:color w:val="2B3942"/>
                <w:sz w:val="19"/>
                <w:szCs w:val="19"/>
                <w:lang w:val="en-CA" w:eastAsia="en-CA" w:bidi="ar-SA"/>
              </w:rPr>
              <w:t>Negotiating forum</w:t>
            </w:r>
          </w:p>
        </w:tc>
        <w:tc>
          <w:tcPr>
            <w:tcW w:w="6364" w:type="dxa"/>
          </w:tcPr>
          <w:p>
            <w:pPr>
              <w:pStyle w:val="Normal"/>
              <w:spacing w:before="30" w:after="30" w:line="264" w:lineRule="auto"/>
              <w:jc w:val="left"/>
            </w:pPr>
            <w:r>
              <w:rPr>
                <w:rFonts w:cs="Calibri" w:ascii="Calibri" w:hAnsi="Calibri" w:eastAsia="Calibri"/>
                <w:color w:val="2B3942"/>
                <w:sz w:val="19"/>
                <w:szCs w:val="19"/>
                <w:lang w:val="en-CA" w:eastAsia="en-CA" w:bidi="ar-SA"/>
              </w:rPr>
              <w:t>The Joint Hormuz Committee, Muscat, first convened 29 June 2026</w:t>
            </w:r>
          </w:p>
        </w:tc>
      </w:tr>
      <w:tr>
        <w:trPr>
          <w:cantSplit w:val="1"/>
        </w:trPr>
        <w:tc>
          <w:tcPr>
            <w:tcW w:w="2862" w:type="dxa"/>
          </w:tcPr>
          <w:p>
            <w:pPr>
              <w:pStyle w:val="Normal"/>
              <w:spacing w:before="30" w:after="30" w:line="264" w:lineRule="auto"/>
              <w:jc w:val="left"/>
            </w:pPr>
            <w:r>
              <w:rPr>
                <w:rFonts w:cs="Calibri" w:ascii="Calibri" w:hAnsi="Calibri" w:eastAsia="Calibri"/>
                <w:color w:val="2B3942"/>
                <w:sz w:val="19"/>
                <w:szCs w:val="19"/>
                <w:lang w:val="en-CA" w:eastAsia="en-CA" w:bidi="ar-SA"/>
              </w:rPr>
              <w:t>Drafting convention</w:t>
            </w:r>
          </w:p>
        </w:tc>
        <w:tc>
          <w:tcPr>
            <w:tcW w:w="6364" w:type="dxa"/>
          </w:tcPr>
          <w:p>
            <w:pPr>
              <w:pStyle w:val="Normal"/>
              <w:spacing w:before="30" w:after="30" w:line="264" w:lineRule="auto"/>
              <w:jc w:val="left"/>
            </w:pPr>
            <w:r>
              <w:rPr>
                <w:rFonts w:cs="Calibri" w:ascii="Calibri" w:hAnsi="Calibri" w:eastAsia="Calibri"/>
                <w:color w:val="2B3942"/>
                <w:sz w:val="19"/>
                <w:szCs w:val="19"/>
                <w:lang w:val="en-CA" w:eastAsia="en-CA" w:bidi="ar-SA"/>
              </w:rPr>
              <w:t>The Immutable Present-Tense Matrix (sovereign active voice, no-fade continuity, mutual architecture)</w:t>
            </w:r>
          </w:p>
        </w:tc>
      </w:tr>
      <w:tr>
        <w:trPr>
          <w:cantSplit w:val="1"/>
        </w:trPr>
        <w:tc>
          <w:tcPr>
            <w:tcW w:w="2862" w:type="dxa"/>
          </w:tcPr>
          <w:p>
            <w:pPr>
              <w:pStyle w:val="Normal"/>
              <w:spacing w:before="30" w:after="30" w:line="264" w:lineRule="auto"/>
              <w:jc w:val="left"/>
            </w:pPr>
            <w:r>
              <w:rPr>
                <w:rFonts w:cs="Calibri" w:ascii="Calibri" w:hAnsi="Calibri" w:eastAsia="Calibri"/>
                <w:color w:val="2B3942"/>
                <w:sz w:val="19"/>
                <w:szCs w:val="19"/>
                <w:lang w:val="en-CA" w:eastAsia="en-CA" w:bidi="ar-SA"/>
              </w:rPr>
              <w:t>Custodian of the master text</w:t>
            </w:r>
          </w:p>
        </w:tc>
        <w:tc>
          <w:tcPr>
            <w:tcW w:w="6364" w:type="dxa"/>
          </w:tcPr>
          <w:p>
            <w:pPr>
              <w:pStyle w:val="Normal"/>
              <w:spacing w:before="30" w:after="30" w:line="264" w:lineRule="auto"/>
              <w:jc w:val="left"/>
            </w:pPr>
            <w:r>
              <w:rPr>
                <w:rFonts w:cs="Calibri" w:ascii="Calibri" w:hAnsi="Calibri" w:eastAsia="Calibri"/>
                <w:color w:val="2B3942"/>
                <w:sz w:val="19"/>
                <w:szCs w:val="19"/>
                <w:lang w:val="en-CA" w:eastAsia="en-CA" w:bidi="ar-SA"/>
              </w:rPr>
              <w:t>The General Secretariat of the Authority, Muscat, with a mirror registry in Bandar Abbas</w:t>
            </w:r>
          </w:p>
        </w:tc>
      </w:tr>
      <w:tr>
        <w:trPr>
          <w:cantSplit w:val="1"/>
        </w:trPr>
        <w:tc>
          <w:tcPr>
            <w:tcW w:w="2862" w:type="dxa"/>
          </w:tcPr>
          <w:p>
            <w:pPr>
              <w:pStyle w:val="Normal"/>
              <w:spacing w:before="30" w:after="30" w:line="264" w:lineRule="auto"/>
              <w:jc w:val="left"/>
            </w:pPr>
            <w:r>
              <w:rPr>
                <w:rFonts w:cs="Calibri" w:ascii="Calibri" w:hAnsi="Calibri" w:eastAsia="Calibri"/>
                <w:color w:val="2B3942"/>
                <w:sz w:val="19"/>
                <w:szCs w:val="19"/>
                <w:lang w:val="en-CA" w:eastAsia="en-CA" w:bidi="ar-SA"/>
              </w:rPr>
              <w:t>Languages of the instrument</w:t>
            </w:r>
          </w:p>
        </w:tc>
        <w:tc>
          <w:tcPr>
            <w:tcW w:w="6364" w:type="dxa"/>
          </w:tcPr>
          <w:p>
            <w:pPr>
              <w:pStyle w:val="Normal"/>
              <w:spacing w:before="30" w:after="30" w:line="264" w:lineRule="auto"/>
              <w:jc w:val="left"/>
            </w:pPr>
            <w:r>
              <w:rPr>
                <w:rFonts w:cs="Calibri" w:ascii="Calibri" w:hAnsi="Calibri" w:eastAsia="Calibri"/>
                <w:color w:val="2B3942"/>
                <w:sz w:val="19"/>
                <w:szCs w:val="19"/>
                <w:lang w:val="en-CA" w:eastAsia="en-CA" w:bidi="ar-SA"/>
              </w:rPr>
              <w:t>Persian, Arabic, and English, each text equally authoritative; the English text governs technical interpretation of the annexes</w:t>
            </w:r>
          </w:p>
        </w:tc>
      </w:tr>
      <w:tr>
        <w:trPr>
          <w:cantSplit w:val="1"/>
        </w:trPr>
        <w:tc>
          <w:tcPr>
            <w:tcW w:w="2862" w:type="dxa"/>
          </w:tcPr>
          <w:p>
            <w:pPr>
              <w:pStyle w:val="Normal"/>
              <w:spacing w:before="30" w:after="30" w:line="264" w:lineRule="auto"/>
              <w:jc w:val="left"/>
            </w:pPr>
            <w:r>
              <w:rPr>
                <w:rFonts w:cs="Calibri" w:ascii="Calibri" w:hAnsi="Calibri" w:eastAsia="Calibri"/>
                <w:color w:val="2B3942"/>
                <w:sz w:val="19"/>
                <w:szCs w:val="19"/>
                <w:lang w:val="en-CA" w:eastAsia="en-CA" w:bidi="ar-SA"/>
              </w:rPr>
              <w:t>Annexes</w:t>
            </w:r>
          </w:p>
        </w:tc>
        <w:tc>
          <w:tcPr>
            <w:tcW w:w="6364" w:type="dxa"/>
          </w:tcPr>
          <w:p>
            <w:pPr>
              <w:pStyle w:val="Normal"/>
              <w:spacing w:before="30" w:after="30" w:line="264" w:lineRule="auto"/>
              <w:jc w:val="left"/>
            </w:pPr>
            <w:r>
              <w:rPr>
                <w:rFonts w:cs="Calibri" w:ascii="Calibri" w:hAnsi="Calibri" w:eastAsia="Calibri"/>
                <w:color w:val="2B3942"/>
                <w:sz w:val="19"/>
                <w:szCs w:val="19"/>
                <w:lang w:val="en-CA" w:eastAsia="en-CA" w:bidi="ar-SA"/>
              </w:rPr>
              <w:t>Sixteen (A through P), each binding to the same extent as the articles</w:t>
            </w:r>
          </w:p>
        </w:tc>
      </w:tr>
      <w:tr>
        <w:trPr>
          <w:cantSplit w:val="1"/>
        </w:trPr>
        <w:tc>
          <w:tcPr>
            <w:tcW w:w="2862" w:type="dxa"/>
          </w:tcPr>
          <w:p>
            <w:pPr>
              <w:pStyle w:val="Normal"/>
              <w:spacing w:before="30" w:after="30" w:line="264" w:lineRule="auto"/>
              <w:jc w:val="left"/>
            </w:pPr>
            <w:r>
              <w:rPr>
                <w:rFonts w:cs="Calibri" w:ascii="Calibri" w:hAnsi="Calibri" w:eastAsia="Calibri"/>
                <w:color w:val="2B3942"/>
                <w:sz w:val="19"/>
                <w:szCs w:val="19"/>
                <w:lang w:val="en-CA" w:eastAsia="en-CA" w:bidi="ar-SA"/>
              </w:rPr>
              <w:t>Operative status</w:t>
            </w:r>
          </w:p>
        </w:tc>
        <w:tc>
          <w:tcPr>
            <w:tcW w:w="6364" w:type="dxa"/>
          </w:tcPr>
          <w:p>
            <w:pPr>
              <w:pStyle w:val="Normal"/>
              <w:spacing w:before="30" w:after="30" w:line="264" w:lineRule="auto"/>
              <w:jc w:val="left"/>
            </w:pPr>
            <w:r>
              <w:rPr>
                <w:rFonts w:cs="Calibri" w:ascii="Calibri" w:hAnsi="Calibri" w:eastAsia="Calibri"/>
                <w:color w:val="2B3942"/>
                <w:sz w:val="19"/>
                <w:szCs w:val="19"/>
                <w:lang w:val="en-CA" w:eastAsia="en-CA" w:bidi="ar-SA"/>
              </w:rPr>
              <w:t>Ready for signature; operational effect activates on the date of signature</w:t>
            </w:r>
          </w:p>
        </w:tc>
      </w:tr>
    </w:tbl>
    <w:p>
      <w:pPr>
        <w:pStyle w:val="Normal"/>
      </w:pPr>
    </w:p>
    <w:p>
      <w:pPr>
        <w:pStyle w:val="Normal"/>
      </w:pPr>
      <w:r>
        <w:rPr>
          <w:rFonts w:cs="Calibri" w:ascii="Calibri" w:hAnsi="Calibri" w:eastAsia="Calibri"/>
          <w:szCs w:val="23"/>
          <w:lang w:val="en-CA" w:eastAsia="en-CA" w:bidi="ar-SA"/>
          <w:color w:val="212B32"/>
          <w:sz w:val="23"/>
        </w:rPr>
        <w:t>Every provision of this Framework operates in the present tense as a standing reality of the shared architecture. No provision states a future intention. No provision conditions its own existence on further negotiation. The Framework recognizes no sunset, no cliff, and no silent expiry, in accordance with the no-fade continuity rule of Article 32.</w:t>
      </w:r>
    </w:p>
    <w:p>
      <w:pPr>
        <w:pStyle w:val="Heading2"/>
      </w:pPr>
      <w:bookmarkStart w:id="2" w:name="_Toc1002"/>
      <w:bookmarkStart w:id="3" w:name="_Toc235667433"/>
      <w:r>
        <w:rPr>
          <w:rFonts w:cs="Cambria" w:ascii="Cambria" w:hAnsi="Cambria" w:eastAsia="Cambria"/>
          <w:szCs w:val="30"/>
          <w:lang w:val="en-CA" w:eastAsia="en-CA" w:bidi="ar-SA"/>
          <w:color w:val="212B32"/>
          <w:b/>
          <w:sz w:val="30"/>
        </w:rPr>
        <w:t>Drafting Convention and Method</w:t>
      </w:r>
      <w:bookmarkEnd w:id="2"/>
      <w:bookmarkEnd w:id="3"/>
    </w:p>
    <w:p>
      <w:pPr>
        <w:pStyle w:val="Normal"/>
      </w:pPr>
      <w:r>
        <w:rPr>
          <w:rFonts w:cs="Calibri" w:ascii="Calibri" w:hAnsi="Calibri" w:eastAsia="Calibri"/>
          <w:szCs w:val="23"/>
          <w:lang w:val="en-CA" w:eastAsia="en-CA" w:bidi="ar-SA"/>
          <w:color w:val="212B32"/>
          <w:sz w:val="23"/>
        </w:rPr>
        <w:t>This Framework follows a fixed drafting convention, and the convention itself forms part of the instrument. Five rules govern every article, every annex, and every certificate issued under this Framework.</w:t>
      </w:r>
    </w:p>
    <w:p>
      <w:pPr>
        <w:pStyle w:val="Heading3"/>
      </w:pPr>
      <w:r>
        <w:rPr>
          <w:szCs w:val="25"/>
          <w:lang w:val="en-CA" w:eastAsia="en-CA" w:bidi="ar-SA"/>
          <w:rFonts w:ascii="Calibri" w:eastAsia="Calibri" w:hAnsi="Calibri" w:cs="Calibri"/>
          <w:b/>
          <w:color w:val="8A6D2F"/>
          <w:sz w:val="25"/>
        </w:rPr>
        <w:t>Rule One: The Sovereign Present Tense</w:t>
      </w:r>
    </w:p>
    <w:p>
      <w:pPr>
        <w:pStyle w:val="Normal"/>
      </w:pPr>
      <w:r>
        <w:rPr>
          <w:rFonts w:cs="Calibri" w:ascii="Calibri" w:hAnsi="Calibri" w:eastAsia="Calibri"/>
          <w:szCs w:val="23"/>
          <w:lang w:val="en-CA" w:eastAsia="en-CA" w:bidi="ar-SA"/>
          <w:color w:val="212B32"/>
          <w:sz w:val="23"/>
        </w:rPr>
        <w:t>Every obligation reads as an active, present-tense operational state. The instrument speaks of what the architecture does, never of what it intends or expects. Where a traditional instrument writes that a party takes an action at some future point, this Framework records the action as the standing design of the system: the Parties notify, the Center publishes, the Fund reimburses. The convention eliminates the vocabulary of command and external enforcement, because two sovereign states bind themselves through architecture, not through subordination to one another or to any third party.</w:t>
      </w:r>
    </w:p>
    <w:p>
      <w:pPr>
        <w:pStyle w:val="Heading3"/>
      </w:pPr>
      <w:r>
        <w:rPr>
          <w:rFonts w:cs="Calibri" w:ascii="Calibri" w:hAnsi="Calibri" w:eastAsia="Calibri"/>
          <w:szCs w:val="25"/>
          <w:lang w:val="en-CA" w:eastAsia="en-CA" w:bidi="ar-SA"/>
          <w:b/>
          <w:color w:val="8A6D2F"/>
          <w:sz w:val="25"/>
        </w:rPr>
        <w:t>Rule Two: Automatic Logic Triggers</w:t>
      </w:r>
    </w:p>
    <w:p>
      <w:pPr>
        <w:pStyle w:val="Normal"/>
      </w:pPr>
      <w:r>
        <w:rPr>
          <w:rFonts w:cs="Calibri" w:ascii="Calibri" w:hAnsi="Calibri" w:eastAsia="Calibri"/>
          <w:szCs w:val="23"/>
          <w:lang w:val="en-CA" w:eastAsia="en-CA" w:bidi="ar-SA"/>
          <w:color w:val="212B32"/>
          <w:sz w:val="23"/>
        </w:rPr>
        <w:t>Consequences attach to events directly and immediately. A verified deviation opens a consultation; a clean record renews a certification; a notice pauses a clock. The Framework contains no discretionary penalty triggers dressed as automatic ones. Where a consequence exists, the text states the consequence as the direct result of the triggering event, and the consequence executes without further decision by any person or body.</w:t>
      </w:r>
    </w:p>
    <w:p>
      <w:pPr>
        <w:pStyle w:val="Heading3"/>
      </w:pPr>
      <w:r>
        <w:rPr>
          <w:rFonts w:cs="Calibri" w:ascii="Calibri" w:hAnsi="Calibri" w:eastAsia="Calibri"/>
          <w:szCs w:val="25"/>
          <w:lang w:val="en-CA" w:eastAsia="en-CA" w:bidi="ar-SA"/>
          <w:b/>
          <w:color w:val="8A6D2F"/>
          <w:sz w:val="25"/>
        </w:rPr>
        <w:t>Rule Three: Mutual Architecture</w:t>
      </w:r>
    </w:p>
    <w:p>
      <w:pPr>
        <w:pStyle w:val="Normal"/>
      </w:pPr>
      <w:r>
        <w:rPr>
          <w:rFonts w:cs="Calibri" w:ascii="Calibri" w:hAnsi="Calibri" w:eastAsia="Calibri"/>
          <w:szCs w:val="23"/>
          <w:lang w:val="en-CA" w:eastAsia="en-CA" w:bidi="ar-SA"/>
          <w:color w:val="212B32"/>
          <w:sz w:val="23"/>
        </w:rPr>
        <w:t>Every prohibitive commitment reads as a feature of the shared framework, binding all States Parties equally, never as a restraint by one State Party for the benefit of another. The text attributes each constraint to the system itself: the framework architecture excludes interdiction of commercial transit; the corridor system excludes fire-control radar illumination of merchant vessels; the financial architecture excludes charges on passage. This framing preserves full legal force while removing any appearance of hierarchy, capitulation, or asymmetric burden.</w:t>
      </w:r>
    </w:p>
    <w:p>
      <w:pPr>
        <w:pStyle w:val="Heading3"/>
      </w:pPr>
      <w:r>
        <w:rPr>
          <w:rFonts w:cs="Calibri" w:ascii="Calibri" w:hAnsi="Calibri" w:eastAsia="Calibri"/>
          <w:szCs w:val="25"/>
          <w:lang w:val="en-CA" w:eastAsia="en-CA" w:bidi="ar-SA"/>
          <w:b/>
          <w:color w:val="8A6D2F"/>
          <w:sz w:val="25"/>
        </w:rPr>
        <w:t>Rule Four: No-Fade Continuity</w:t>
      </w:r>
    </w:p>
    <w:p>
      <w:pPr>
        <w:pStyle w:val="Normal"/>
      </w:pPr>
      <w:r>
        <w:rPr>
          <w:rFonts w:cs="Calibri" w:ascii="Calibri" w:hAnsi="Calibri" w:eastAsia="Calibri"/>
          <w:szCs w:val="23"/>
          <w:lang w:val="en-CA" w:eastAsia="en-CA" w:bidi="ar-SA"/>
          <w:color w:val="212B32"/>
          <w:sz w:val="23"/>
        </w:rPr>
        <w:t>No commitment fades at any date boundary. Verified performance banks permanently and carries forward into every review, every renewal, and every successor instrument. Review points, reporting deadlines, and phase boundaries operate as administrative rhythms, never as expiries. Renewal occurs by silence; amendment occurs by mutual written instrument; termination occurs by mutual written instrument or by the orderly notice ladder of Article 32. The passing of any date suspends nothing, voids nothing, and resets nothing.</w:t>
      </w:r>
    </w:p>
    <w:p>
      <w:pPr>
        <w:pStyle w:val="Heading3"/>
      </w:pPr>
      <w:r>
        <w:rPr>
          <w:szCs w:val="25"/>
          <w:lang w:val="en-CA" w:eastAsia="en-CA" w:bidi="ar-SA"/>
          <w:rFonts w:ascii="Calibri" w:eastAsia="Calibri" w:hAnsi="Calibri" w:cs="Calibri"/>
          <w:b/>
          <w:color w:val="8A6D2F"/>
          <w:sz w:val="25"/>
        </w:rPr>
        <w:t>Rule Five: Telemetry With Human Anchors</w:t>
      </w:r>
    </w:p>
    <w:p>
      <w:pPr>
        <w:pStyle w:val="Normal"/>
      </w:pPr>
      <w:r>
        <w:rPr>
          <w:rFonts w:cs="Calibri" w:ascii="Calibri" w:hAnsi="Calibri" w:eastAsia="Calibri"/>
          <w:szCs w:val="23"/>
          <w:lang w:val="en-CA" w:eastAsia="en-CA" w:bidi="ar-SA"/>
          <w:color w:val="212B32"/>
          <w:sz w:val="23"/>
        </w:rPr>
        <w:t>The Framework uses telemetry, including automatic identification system data, coastal radar, and satellite observation, as one verification layer among several. No compliance determination rests on telemetry alone. Visual patrols, scheduled voice reporting, physical inspections at anchor, human observers, and documentary records stand as coequal channels, and the convergence standard of Article 28 governs every determination. Human judgment sits between every sensor and every consequence.</w:t>
      </w:r>
    </w:p>
    <w:p>
      <w:pPr>
        <w:pStyle w:val="Heading2"/>
      </w:pPr>
      <w:bookmarkStart w:id="4" w:name="_Toc1003"/>
      <w:bookmarkStart w:id="5" w:name="_Toc235667434"/>
      <w:r>
        <w:rPr>
          <w:rFonts w:cs="Cambria" w:ascii="Cambria" w:hAnsi="Cambria" w:eastAsia="Cambria"/>
          <w:szCs w:val="30"/>
          <w:lang w:val="en-CA" w:eastAsia="en-CA" w:bidi="ar-SA"/>
          <w:color w:val="212B32"/>
          <w:b/>
          <w:sz w:val="30"/>
        </w:rPr>
        <w:t>Reader's Guide: The Framework in Fifteen Minutes</w:t>
      </w:r>
      <w:bookmarkEnd w:id="4"/>
      <w:bookmarkEnd w:id="5"/>
    </w:p>
    <w:p>
      <w:pPr>
        <w:pStyle w:val="Normal"/>
      </w:pPr>
      <w:r>
        <w:rPr>
          <w:rFonts w:cs="Calibri" w:ascii="Calibri" w:hAnsi="Calibri" w:eastAsia="Calibri"/>
          <w:szCs w:val="23"/>
          <w:lang w:val="en-CA" w:eastAsia="en-CA" w:bidi="ar-SA"/>
          <w:color w:val="212B32"/>
          <w:sz w:val="23"/>
        </w:rPr>
        <w:t>This guide orients the first-time reader: negotiator, desk officer, ship operator, insurer, or analyst. It states what the Framework does, how its pieces fit, and where each question finds its answer. The operative text governs; this guide only points.</w:t>
      </w:r>
    </w:p>
    <w:p>
      <w:pPr>
        <w:pStyle w:val="Heading3"/>
      </w:pPr>
      <w:r>
        <w:rPr>
          <w:rFonts w:cs="Calibri" w:ascii="Calibri" w:hAnsi="Calibri" w:eastAsia="Calibri"/>
          <w:szCs w:val="25"/>
          <w:lang w:val="en-CA" w:eastAsia="en-CA" w:bidi="ar-SA"/>
          <w:b/>
          <w:color w:val="8A6D2F"/>
          <w:sz w:val="25"/>
        </w:rPr>
        <w:t>What the Framework Is</w:t>
      </w:r>
    </w:p>
    <w:p>
      <w:pPr>
        <w:pStyle w:val="Normal"/>
      </w:pPr>
      <w:r>
        <w:rPr>
          <w:rFonts w:cs="Calibri" w:ascii="Calibri" w:hAnsi="Calibri" w:eastAsia="Calibri"/>
          <w:szCs w:val="23"/>
          <w:lang w:val="en-CA" w:eastAsia="en-CA" w:bidi="ar-SA"/>
          <w:color w:val="212B32"/>
          <w:sz w:val="23"/>
        </w:rPr>
        <w:t>The Framework is a complete multilateral governance system for the Strait of Hormuz, owned equally by the eight founding States Parties listed in Section 1.6. It creates one joint authority, two transit corridors, ten vessel classes, one trust fund, one monitoring dashboard, one compliance engine, and sixteen operational annexes. It replaces the improvised, militarized control of the crisis period with published rules, published prices, and joint institutions. It runs from the day of signature without a term, and it changes only in writing.</w:t>
      </w:r>
    </w:p>
    <w:p>
      <w:pPr>
        <w:pStyle w:val="Heading3"/>
      </w:pPr>
      <w:r>
        <w:rPr>
          <w:rFonts w:cs="Calibri" w:ascii="Calibri" w:hAnsi="Calibri" w:eastAsia="Calibri"/>
          <w:szCs w:val="25"/>
          <w:lang w:val="en-CA" w:eastAsia="en-CA" w:bidi="ar-SA"/>
          <w:b/>
          <w:color w:val="8A6D2F"/>
          <w:sz w:val="25"/>
        </w:rPr>
        <w:t>The Problem It Solves</w:t>
      </w:r>
    </w:p>
    <w:p>
      <w:pPr>
        <w:pStyle w:val="Normal"/>
      </w:pPr>
      <w:r>
        <w:rPr>
          <w:rFonts w:cs="Calibri" w:ascii="Calibri" w:hAnsi="Calibri" w:eastAsia="Calibri"/>
          <w:szCs w:val="23"/>
          <w:lang w:val="en-CA" w:eastAsia="en-CA" w:bidi="ar-SA"/>
          <w:color w:val="212B32"/>
          <w:sz w:val="23"/>
        </w:rPr>
        <w:t>The 2026 crisis turned on four questions at once: who controls the northern route, who guarantees the southern route, who charges whom for what, and who verifies any of it. The Framework answers all four by architecture. The northern route becomes Corridor B under the initial primary administration of the Islamic Republic of Iran, with joint oversight and an informational notification regime. The southern route becomes Corridor A under the initial primary administration of the Sultanate of Oman, open to all without notice or charge. Primary administration of each corridor rotates among the States Parties under Article 5. The charging question dissolves into the service-fee boundary: passage is free in both corridors forever, and the coastal states earn audited reimbursement for documented services through an international trust fund. Verification moves from assertion to convergence: five monitoring layers, observer presence, and a published daily record that both capitals and the market read at the same time.</w:t>
      </w:r>
    </w:p>
    <w:p>
      <w:pPr>
        <w:pStyle w:val="Heading3"/>
      </w:pPr>
      <w:r>
        <w:rPr>
          <w:szCs w:val="25"/>
          <w:lang w:val="en-CA" w:eastAsia="en-CA" w:bidi="ar-SA"/>
          <w:rFonts w:ascii="Calibri" w:eastAsia="Calibri" w:hAnsi="Calibri" w:cs="Calibri"/>
          <w:b/>
          <w:color w:val="8A6D2F"/>
          <w:sz w:val="25"/>
        </w:rPr>
        <w:t>How the Pieces Fit</w:t>
      </w:r>
    </w:p>
    <w:p>
      <w:pPr>
        <w:pStyle w:val="Normal"/>
      </w:pPr>
      <w:r>
        <w:rPr>
          <w:rFonts w:cs="Calibri" w:ascii="Calibri" w:hAnsi="Calibri" w:eastAsia="Calibri"/>
          <w:szCs w:val="23"/>
          <w:lang w:val="en-CA" w:eastAsia="en-CA" w:bidi="ar-SA"/>
          <w:color w:val="212B32"/>
          <w:sz w:val="23"/>
        </w:rPr>
        <w:t>Part I states the legal ground: sovereignty of the Gulf States, transit passage preserved, the service-fee distinction, and ten operating principles including no-fade continuity. Part II builds the water: two corridors with fixed coordinates, differentiated treatment for ten vessel classes, an absolute non-interdiction protocol, and traffic management rules. Part III builds the institution: the Authority, the dual-watch Center in Muscat and Bandar Abbas, the civilian staffing rule with its exclusion of military personnel from operations, the observer program, and weighted-vote governance with default continuity. Part IV settles the money: the toll-free guarantee, the Trust Fund, voluntary contribution streams with the Safe Registry incentive, audited service reimbursement, the sanctions firewall, and the budget. Part V keeps people and the sea safe: layered monitoring with non-telemetry fallbacks, joint search and rescue, environmental protection, military de-confliction, and incident handling. Part VI keeps the system honest: the convergence standard, the step-back ladder, dispute resolution, and the Red Lines Register. Part VII keeps it alive: the no-fade rule, renewal by silence, the notice ladder, amendment, accession, implementation phases, and final provisions.</w:t>
      </w:r>
    </w:p>
    <w:p>
      <w:pPr>
        <w:pStyle w:val="Heading3"/>
      </w:pPr>
      <w:r>
        <w:rPr>
          <w:rFonts w:cs="Calibri" w:ascii="Calibri" w:hAnsi="Calibri" w:eastAsia="Calibri"/>
          <w:szCs w:val="25"/>
          <w:lang w:val="en-CA" w:eastAsia="en-CA" w:bidi="ar-SA"/>
          <w:b/>
          <w:color w:val="8A6D2F"/>
          <w:sz w:val="25"/>
        </w:rPr>
        <w:t>What Each Side Receives</w:t>
      </w:r>
    </w:p>
    <w:p>
      <w:pPr>
        <w:pStyle w:val="Normal"/>
        <w:spacing w:before="120" w:after="0"/>
      </w:pPr>
    </w:p>
    <w:tbl>
      <w:tblPr>
        <w:tblStyle w:val="TableNormal"/>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2862"/>
        <w:gridCol w:w="6364"/>
      </w:tblGrid>
      <w:tr>
        <w:trPr>
          <w:cantSplit w:val="1"/>
          <w:tblHeader w:val="1"/>
        </w:trPr>
        <w:tc>
          <w:tcPr>
            <w:tcW w:w="2862"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Interest</w:t>
            </w:r>
          </w:p>
        </w:tc>
        <w:tc>
          <w:tcPr>
            <w:tcW w:w="6364"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What the Architecture Delivers</w:t>
            </w:r>
          </w:p>
        </w:tc>
      </w:tr>
      <w:tr>
        <w:trPr>
          <w:cantSplit w:val="1"/>
        </w:trPr>
        <w:tc>
          <w:tcPr>
            <w:tcW w:w="2862" w:type="dxa"/>
          </w:tcPr>
          <w:p>
            <w:pPr>
              <w:pStyle w:val="Normal"/>
              <w:spacing w:before="30" w:after="30" w:line="264" w:lineRule="auto"/>
              <w:jc w:val="left"/>
            </w:pPr>
            <w:r>
              <w:rPr>
                <w:rFonts w:cs="Calibri" w:ascii="Calibri" w:hAnsi="Calibri" w:eastAsia="Calibri"/>
                <w:color w:val="2B3942"/>
                <w:sz w:val="19"/>
                <w:szCs w:val="19"/>
                <w:lang w:val="en-CA" w:eastAsia="en-CA" w:bidi="ar-SA"/>
              </w:rPr>
              <w:t>The founding States Parties</w:t>
            </w:r>
          </w:p>
        </w:tc>
        <w:tc>
          <w:tcPr>
            <w:tcW w:w="6364" w:type="dxa"/>
          </w:tcPr>
          <w:p>
            <w:pPr>
              <w:pStyle w:val="Normal"/>
              <w:spacing w:before="30" w:after="30" w:line="264" w:lineRule="auto"/>
              <w:jc w:val="left"/>
            </w:pPr>
            <w:r>
              <w:rPr>
                <w:rFonts w:cs="Calibri" w:ascii="Calibri" w:hAnsi="Calibri" w:eastAsia="Calibri"/>
                <w:color w:val="2B3942"/>
                <w:sz w:val="19"/>
                <w:szCs w:val="19"/>
                <w:lang w:val="en-CA" w:eastAsia="en-CA" w:bidi="ar-SA"/>
              </w:rPr>
              <w:t>Equal ownership of the Authority; rotating primary administration of the corridors; audited service revenue replacing tolls; formal recognition of the Gulf States' collective role; no return to the pre-2026 status quo</w:t>
            </w:r>
          </w:p>
        </w:tc>
      </w:tr>
      <w:tr>
        <w:trPr>
          <w:cantSplit w:val="1"/>
        </w:trPr>
        <w:tc>
          <w:tcPr>
            <w:tcW w:w="2862" w:type="dxa"/>
          </w:tcPr>
          <w:p>
            <w:pPr>
              <w:pStyle w:val="Normal"/>
              <w:spacing w:before="30" w:after="30" w:line="264" w:lineRule="auto"/>
              <w:jc w:val="left"/>
            </w:pPr>
            <w:r>
              <w:rPr>
                <w:rFonts w:cs="Calibri" w:ascii="Calibri" w:hAnsi="Calibri" w:eastAsia="Calibri"/>
                <w:color w:val="2B3942"/>
                <w:sz w:val="19"/>
                <w:szCs w:val="19"/>
                <w:lang w:val="en-CA" w:eastAsia="en-CA" w:bidi="ar-SA"/>
              </w:rPr>
              <w:t>The Sultanate of Oman</w:t>
            </w:r>
          </w:p>
        </w:tc>
        <w:tc>
          <w:tcPr>
            <w:tcW w:w="6364" w:type="dxa"/>
          </w:tcPr>
          <w:p>
            <w:pPr>
              <w:pStyle w:val="Normal"/>
              <w:spacing w:before="30" w:after="30" w:line="264" w:lineRule="auto"/>
              <w:jc w:val="left"/>
            </w:pPr>
            <w:r>
              <w:rPr>
                <w:rFonts w:cs="Calibri" w:ascii="Calibri" w:hAnsi="Calibri" w:eastAsia="Calibri"/>
                <w:color w:val="2B3942"/>
                <w:sz w:val="19"/>
                <w:szCs w:val="19"/>
                <w:lang w:val="en-CA" w:eastAsia="en-CA" w:bidi="ar-SA"/>
              </w:rPr>
              <w:t>Initial primary administration of Corridor A; the institutional seat; the mediator role institutionalized; full conformity with its law of the sea obligations; no compulsory tolls</w:t>
            </w:r>
          </w:p>
        </w:tc>
      </w:tr>
      <w:tr>
        <w:trPr>
          <w:cantSplit w:val="1"/>
        </w:trPr>
        <w:tc>
          <w:tcPr>
            <w:tcW w:w="2862" w:type="dxa"/>
          </w:tcPr>
          <w:p>
            <w:pPr>
              <w:pStyle w:val="Normal"/>
              <w:spacing w:before="30" w:after="30" w:line="264" w:lineRule="auto"/>
              <w:jc w:val="left"/>
            </w:pPr>
            <w:r>
              <w:rPr>
                <w:rFonts w:cs="Calibri" w:ascii="Calibri" w:hAnsi="Calibri" w:eastAsia="Calibri"/>
                <w:color w:val="2B3942"/>
                <w:sz w:val="19"/>
                <w:szCs w:val="19"/>
                <w:lang w:val="en-CA" w:eastAsia="en-CA" w:bidi="ar-SA"/>
              </w:rPr>
              <w:t>International shipping</w:t>
            </w:r>
          </w:p>
        </w:tc>
        <w:tc>
          <w:tcPr>
            <w:tcW w:w="6364" w:type="dxa"/>
          </w:tcPr>
          <w:p>
            <w:pPr>
              <w:pStyle w:val="Normal"/>
              <w:spacing w:before="30" w:after="30" w:line="264" w:lineRule="auto"/>
              <w:jc w:val="left"/>
            </w:pPr>
            <w:r>
              <w:rPr>
                <w:rFonts w:cs="Calibri" w:ascii="Calibri" w:hAnsi="Calibri" w:eastAsia="Calibri"/>
                <w:color w:val="2B3942"/>
                <w:sz w:val="19"/>
                <w:szCs w:val="19"/>
                <w:lang w:val="en-CA" w:eastAsia="en-CA" w:bidi="ar-SA"/>
              </w:rPr>
              <w:t>Toll-free transit in both corridors; no permission regime; published rules and prices; a daily safety record the market prices</w:t>
            </w:r>
          </w:p>
        </w:tc>
      </w:tr>
      <w:tr>
        <w:trPr>
          <w:cantSplit w:val="1"/>
        </w:trPr>
        <w:tc>
          <w:tcPr>
            <w:tcW w:w="2862" w:type="dxa"/>
          </w:tcPr>
          <w:p>
            <w:pPr>
              <w:pStyle w:val="Normal"/>
              <w:spacing w:before="30" w:after="30" w:line="264" w:lineRule="auto"/>
              <w:jc w:val="left"/>
            </w:pPr>
            <w:r>
              <w:rPr>
                <w:rFonts w:cs="Calibri" w:ascii="Calibri" w:hAnsi="Calibri" w:eastAsia="Calibri"/>
                <w:color w:val="2B3942"/>
                <w:sz w:val="19"/>
                <w:szCs w:val="19"/>
                <w:lang w:val="en-CA" w:eastAsia="en-CA" w:bidi="ar-SA"/>
              </w:rPr>
              <w:t>Stakeholder states</w:t>
            </w:r>
          </w:p>
        </w:tc>
        <w:tc>
          <w:tcPr>
            <w:tcW w:w="6364" w:type="dxa"/>
          </w:tcPr>
          <w:p>
            <w:pPr>
              <w:pStyle w:val="Normal"/>
              <w:spacing w:before="30" w:after="30" w:line="264" w:lineRule="auto"/>
              <w:jc w:val="left"/>
            </w:pPr>
            <w:r>
              <w:rPr>
                <w:rFonts w:cs="Calibri" w:ascii="Calibri" w:hAnsi="Calibri" w:eastAsia="Calibri"/>
                <w:color w:val="2B3942"/>
                <w:sz w:val="19"/>
                <w:szCs w:val="19"/>
                <w:lang w:val="en-CA" w:eastAsia="en-CA" w:bidi="ar-SA"/>
              </w:rPr>
              <w:t>Freedom of navigation preserved by architecture; a civilian, internationally legible counterparty; participation channels without a governance vote</w:t>
            </w:r>
          </w:p>
        </w:tc>
      </w:tr>
    </w:tbl>
    <w:p>
      <w:pPr>
        <w:pStyle w:val="Normal"/>
      </w:pPr>
    </w:p>
    <w:p>
      <w:pPr>
        <w:pStyle w:val="Heading3"/>
      </w:pPr>
      <w:r>
        <w:rPr>
          <w:rFonts w:cs="Calibri" w:ascii="Calibri" w:hAnsi="Calibri" w:eastAsia="Calibri"/>
          <w:szCs w:val="25"/>
          <w:lang w:val="en-CA" w:eastAsia="en-CA" w:bidi="ar-SA"/>
          <w:b/>
          <w:color w:val="8A6D2F"/>
          <w:sz w:val="25"/>
        </w:rPr>
        <w:t>Ten Hard Questions, Ten Short Answers</w:t>
      </w:r>
    </w:p>
    <w:p>
      <w:pPr>
        <w:pStyle w:val="Normal"/>
      </w:pPr>
      <w:r>
        <w:rPr>
          <w:rFonts w:cs="Calibri" w:ascii="Calibri" w:hAnsi="Calibri" w:eastAsia="Calibri"/>
          <w:szCs w:val="23"/>
          <w:lang w:val="en-CA" w:eastAsia="en-CA" w:bidi="ar-SA"/>
          <w:color w:val="212B32"/>
          <w:sz w:val="23"/>
        </w:rPr>
        <w:t>One: does any ship pay to pass? No. Article 17 excludes every charge on passage in both corridors, in perpetuity, and the annual audit attests it.</w:t>
      </w:r>
    </w:p>
    <w:p>
      <w:pPr>
        <w:pStyle w:val="Normal"/>
      </w:pPr>
      <w:r>
        <w:rPr>
          <w:szCs w:val="23"/>
          <w:lang w:val="en-CA" w:eastAsia="en-CA" w:bidi="ar-SA"/>
          <w:rFonts w:ascii="Calibri" w:eastAsia="Calibri" w:hAnsi="Calibri" w:cs="Calibri"/>
          <w:color w:val="212B32"/>
          <w:sz w:val="23"/>
        </w:rPr>
        <w:t>Two: does Iran grant or withhold permission for northern transit? No. Corridor B runs on notification recorded as information; the acknowledgment grants nothing, because transit requires no grant.</w:t>
      </w:r>
    </w:p>
    <w:p>
      <w:pPr>
        <w:pStyle w:val="Normal"/>
      </w:pPr>
      <w:r>
        <w:rPr>
          <w:rFonts w:cs="Calibri" w:ascii="Calibri" w:hAnsi="Calibri" w:eastAsia="Calibri"/>
          <w:szCs w:val="23"/>
          <w:lang w:val="en-CA" w:eastAsia="en-CA" w:bidi="ar-SA"/>
          <w:color w:val="212B32"/>
          <w:sz w:val="23"/>
        </w:rPr>
        <w:t>Three: who commands the joint institution? All States Parties, through the supermajority weighted voting of Article 16, with default continuity covering every deadlock; no decision issues from one State Party alone.</w:t>
      </w:r>
    </w:p>
    <w:p>
      <w:pPr>
        <w:pStyle w:val="Normal"/>
      </w:pPr>
      <w:r>
        <w:rPr>
          <w:rFonts w:cs="Calibri" w:ascii="Calibri" w:hAnsi="Calibri" w:eastAsia="Calibri"/>
          <w:szCs w:val="23"/>
          <w:lang w:val="en-CA" w:eastAsia="en-CA" w:bidi="ar-SA"/>
          <w:color w:val="212B32"/>
          <w:sz w:val="23"/>
        </w:rPr>
        <w:t>Four: what happens to the military role in the strait? The Authority is civilian; military personnel hold no operational post; military liaison runs through a published de-confliction desk.</w:t>
      </w:r>
    </w:p>
    <w:p>
      <w:pPr>
        <w:pStyle w:val="Normal"/>
      </w:pPr>
      <w:r>
        <w:rPr>
          <w:rFonts w:cs="Calibri" w:ascii="Calibri" w:hAnsi="Calibri" w:eastAsia="Calibri"/>
          <w:szCs w:val="23"/>
          <w:lang w:val="en-CA" w:eastAsia="en-CA" w:bidi="ar-SA"/>
          <w:color w:val="212B32"/>
          <w:sz w:val="23"/>
        </w:rPr>
        <w:t>Five: what if a sensor network fails? The non-telemetry protocol of Annex O carries the watch by voice reporting, visual patrol, radar observation, and paper logs, at full safety standard, indefinitely.</w:t>
      </w:r>
    </w:p>
    <w:p>
      <w:pPr>
        <w:pStyle w:val="Normal"/>
      </w:pPr>
      <w:r>
        <w:rPr>
          <w:rFonts w:cs="Calibri" w:ascii="Calibri" w:hAnsi="Calibri" w:eastAsia="Calibri"/>
          <w:szCs w:val="23"/>
          <w:lang w:val="en-CA" w:eastAsia="en-CA" w:bidi="ar-SA"/>
          <w:color w:val="212B32"/>
          <w:sz w:val="23"/>
        </w:rPr>
        <w:t>Six: what if a Party breaks a rule? The convergence standard establishes facts on three independent channels; the step-back ladder responds proportionately and reversibly; the safety core never stops.</w:t>
      </w:r>
    </w:p>
    <w:p>
      <w:pPr>
        <w:pStyle w:val="Normal"/>
      </w:pPr>
      <w:r>
        <w:rPr>
          <w:rFonts w:cs="Calibri" w:ascii="Calibri" w:hAnsi="Calibri" w:eastAsia="Calibri"/>
          <w:szCs w:val="23"/>
          <w:lang w:val="en-CA" w:eastAsia="en-CA" w:bidi="ar-SA"/>
          <w:color w:val="212B32"/>
          <w:sz w:val="23"/>
        </w:rPr>
        <w:t>Seven: what if a third party attacks shipping? The rogue actor pathway freezes the affected sector for sixty minutes at a time, investigates jointly, and attributes on evidence, never on assumption.</w:t>
      </w:r>
    </w:p>
    <w:p>
      <w:pPr>
        <w:pStyle w:val="Normal"/>
      </w:pPr>
      <w:r>
        <w:rPr>
          <w:rFonts w:cs="Calibri" w:ascii="Calibri" w:hAnsi="Calibri" w:eastAsia="Calibri"/>
          <w:szCs w:val="23"/>
          <w:lang w:val="en-CA" w:eastAsia="en-CA" w:bidi="ar-SA"/>
          <w:color w:val="212B32"/>
          <w:sz w:val="23"/>
        </w:rPr>
        <w:t>Eight: what if the politics between the Parties collapse? Default continuity carries every function at its last certified level; the no-fade rule means no date ever suspends anything; exit runs through a sixty-day notice ladder with the corridors operating throughout.</w:t>
      </w:r>
    </w:p>
    <w:p>
      <w:pPr>
        <w:pStyle w:val="Normal"/>
      </w:pPr>
      <w:r>
        <w:rPr>
          <w:rFonts w:cs="Calibri" w:ascii="Calibri" w:hAnsi="Calibri" w:eastAsia="Calibri"/>
          <w:szCs w:val="23"/>
          <w:lang w:val="en-CA" w:eastAsia="en-CA" w:bidi="ar-SA"/>
          <w:color w:val="212B32"/>
          <w:sz w:val="23"/>
        </w:rPr>
        <w:t>Nine: who pays for all of it? The using community, through voluntary, formula-assessed contributions to the Trust Fund, underwritten by equal founding advances from the founding States Parties; steady-state cost stands near sixty million dollars per year, a small fraction of one day of the crisis it replaces.</w:t>
      </w:r>
    </w:p>
    <w:p>
      <w:pPr>
        <w:pStyle w:val="Normal"/>
      </w:pPr>
      <w:r>
        <w:rPr>
          <w:rFonts w:cs="Calibri" w:ascii="Calibri" w:hAnsi="Calibri" w:eastAsia="Calibri"/>
          <w:szCs w:val="23"/>
          <w:lang w:val="en-CA" w:eastAsia="en-CA" w:bidi="ar-SA"/>
          <w:color w:val="212B32"/>
          <w:sz w:val="23"/>
        </w:rPr>
        <w:t>Ten: why does it hold? Because every incentive points inward: every State Party earns from order and loses from disruption; every fact publishes to all sides at once; every prohibition binds all sides equally; and no party's dignity depends on another's submission.</w:t>
      </w:r>
    </w:p>
    <w:p>
      <w:pPr>
        <w:pStyle w:val="Heading3"/>
      </w:pPr>
      <w:r>
        <w:rPr>
          <w:szCs w:val="25"/>
          <w:lang w:val="en-CA" w:eastAsia="en-CA" w:bidi="ar-SA"/>
          <w:rFonts w:ascii="Calibri" w:eastAsia="Calibri" w:hAnsi="Calibri" w:cs="Calibri"/>
          <w:b/>
          <w:color w:val="8A6D2F"/>
          <w:sz w:val="25"/>
        </w:rPr>
        <w:t>Where to Read Next</w:t>
      </w:r>
    </w:p>
    <w:p>
      <w:pPr>
        <w:pStyle w:val="Normal"/>
      </w:pPr>
      <w:r>
        <w:rPr>
          <w:rFonts w:cs="Calibri" w:ascii="Calibri" w:hAnsi="Calibri" w:eastAsia="Calibri"/>
          <w:szCs w:val="23"/>
          <w:lang w:val="en-CA" w:eastAsia="en-CA" w:bidi="ar-SA"/>
          <w:color w:val="212B32"/>
          <w:sz w:val="23"/>
        </w:rPr>
        <w:t>The negotiator reads Articles 2, 17, 31, and Annex K. The operator reads Articles 5 through 11 and Annexes A, B, C, and E. The insurer reads Articles 10, 23, and Annexes E and O. The finance officer reads Part IV and Annexes D and P. The lawyer reads Articles 2, 30, 32, and 35. Every reader finds the full geometry in Annex A and the full vocabulary in Annex M.</w:t>
      </w:r>
    </w:p>
    <w:p>
      <w:pPr>
        <w:pStyle w:val="Heading2"/>
      </w:pPr>
      <w:bookmarkStart w:id="6" w:name="_Toc1004"/>
      <w:bookmarkStart w:id="7" w:name="_Toc235667435"/>
      <w:r>
        <w:rPr>
          <w:rFonts w:cs="Cambria" w:ascii="Cambria" w:hAnsi="Cambria" w:eastAsia="Cambria"/>
          <w:szCs w:val="30"/>
          <w:lang w:val="en-CA" w:eastAsia="en-CA" w:bidi="ar-SA"/>
          <w:color w:val="212B32"/>
          <w:b/>
          <w:sz w:val="30"/>
        </w:rPr>
        <w:t>Preamble: The Strait and the Settlement</w:t>
      </w:r>
      <w:bookmarkEnd w:id="6"/>
      <w:bookmarkEnd w:id="7"/>
    </w:p>
    <w:p>
      <w:pPr>
        <w:pStyle w:val="Normal"/>
      </w:pPr>
      <w:r>
        <w:rPr>
          <w:rFonts w:cs="Calibri" w:ascii="Calibri" w:hAnsi="Calibri" w:eastAsia="Calibri"/>
          <w:szCs w:val="23"/>
          <w:lang w:val="en-CA" w:eastAsia="en-CA" w:bidi="ar-SA"/>
          <w:color w:val="212B32"/>
          <w:sz w:val="23"/>
        </w:rPr>
        <w:t>The Islamic Republic of Iran, the Republic of Iraq, the State of Kuwait, the Kingdom of Saudi Arabia, the Kingdom of Bahrain, the State of Qatar, the United Arab Emirates, and the Sultanate of Oman, hereafter the States Parties;</w:t>
      </w:r>
    </w:p>
    <w:p>
      <w:pPr>
        <w:pStyle w:val="Normal"/>
      </w:pPr>
      <w:r>
        <w:rPr>
          <w:rFonts w:cs="Calibri" w:ascii="Calibri" w:hAnsi="Calibri" w:eastAsia="Calibri"/>
          <w:szCs w:val="23"/>
          <w:lang w:val="en-CA" w:eastAsia="en-CA" w:bidi="ar-SA"/>
          <w:color w:val="212B32"/>
          <w:sz w:val="23"/>
        </w:rPr>
        <w:t>Sharing the coastlines of the Gulf and the Strait of Hormuz and the full burden of stewardship over one of the most consequential waterways on earth, through which roughly one fifth of global petroleum liquids and one fifth of global liquefied natural gas move in normal times;</w:t>
      </w:r>
    </w:p>
    <w:p>
      <w:pPr>
        <w:pStyle w:val="Normal"/>
      </w:pPr>
      <w:r>
        <w:rPr>
          <w:rFonts w:cs="Calibri" w:ascii="Calibri" w:hAnsi="Calibri" w:eastAsia="Calibri"/>
          <w:szCs w:val="23"/>
          <w:lang w:val="en-CA" w:eastAsia="en-CA" w:bidi="ar-SA"/>
          <w:color w:val="212B32"/>
          <w:sz w:val="23"/>
        </w:rPr>
        <w:t>Recalling the crisis of 2026, in which the waterway became a theater of military confrontation, commercial transits fell by approximately ninety percent from pre-crisis volume, war-risk insurance multiples rose eightfold, and hundreds of vessels lay at anchor awaiting a settlement;</w:t>
      </w:r>
    </w:p>
    <w:p>
      <w:pPr>
        <w:pStyle w:val="Normal"/>
      </w:pPr>
      <w:r>
        <w:rPr>
          <w:rFonts w:cs="Calibri" w:ascii="Calibri" w:hAnsi="Calibri" w:eastAsia="Calibri"/>
          <w:szCs w:val="23"/>
          <w:lang w:val="en-CA" w:eastAsia="en-CA" w:bidi="ar-SA"/>
          <w:color w:val="212B32"/>
          <w:sz w:val="23"/>
        </w:rPr>
        <w:t>Recalling further the memorandum of understanding of June 2026 as a historical document that paved the way for regional consultation, and affirming that this multilateral Framework stands as the final and binding arrangement of the States Parties, superseding every prior bilateral or interim understanding touching the administration of the Strait;</w:t>
      </w:r>
    </w:p>
    <w:p>
      <w:pPr>
        <w:pStyle w:val="Normal"/>
      </w:pPr>
      <w:r>
        <w:rPr>
          <w:rFonts w:cs="Calibri" w:ascii="Calibri" w:hAnsi="Calibri" w:eastAsia="Calibri"/>
          <w:szCs w:val="23"/>
          <w:lang w:val="en-CA" w:eastAsia="en-CA" w:bidi="ar-SA"/>
          <w:color w:val="212B32"/>
          <w:sz w:val="23"/>
        </w:rPr>
        <w:t>Affirming that the era of unstructured passage through the Strait has ended, and that a durable settlement rests on four simultaneous truths: the sovereignty and sovereign rights of the Gulf States; the freedom of commercial navigation; the right of the coastal states to compensation for verifiable services; and the prohibition of any charge on the act of passage itself;</w:t>
      </w:r>
    </w:p>
    <w:p>
      <w:pPr>
        <w:pStyle w:val="Normal"/>
      </w:pPr>
      <w:r>
        <w:rPr>
          <w:rFonts w:cs="Calibri" w:ascii="Calibri" w:hAnsi="Calibri" w:eastAsia="Calibri"/>
          <w:szCs w:val="23"/>
          <w:lang w:val="en-CA" w:eastAsia="en-CA" w:bidi="ar-SA"/>
          <w:color w:val="212B32"/>
          <w:sz w:val="23"/>
        </w:rPr>
        <w:t>Recognizing the equal rights and the equal responsibilities of all the Gulf States in the governance of the waterway, and acknowledging the standing contribution of the Sultanate of Oman as the trusted intermediary of the region, the custodian of the Musandam coast, and the state whose diplomacy carried the parties of the 2026 conflict from war to negotiation;</w:t>
      </w:r>
    </w:p>
    <w:p>
      <w:pPr>
        <w:pStyle w:val="Normal"/>
      </w:pPr>
      <w:r>
        <w:rPr>
          <w:rFonts w:cs="Calibri" w:ascii="Calibri" w:hAnsi="Calibri" w:eastAsia="Calibri"/>
          <w:szCs w:val="23"/>
          <w:lang w:val="en-CA" w:eastAsia="en-CA" w:bidi="ar-SA"/>
          <w:color w:val="212B32"/>
          <w:sz w:val="23"/>
        </w:rPr>
        <w:t>Determined to convert the waterway from a flashpoint into a governed commons, in which rules replace threats, verification replaces suspicion, and predictable administration replaces improvised control;</w:t>
      </w:r>
    </w:p>
    <w:p>
      <w:pPr>
        <w:pStyle w:val="Normal"/>
      </w:pPr>
      <w:r>
        <w:rPr>
          <w:szCs w:val="23"/>
          <w:lang w:val="en-CA" w:eastAsia="en-CA" w:bidi="ar-SA"/>
          <w:rFonts w:ascii="Calibri" w:eastAsia="Calibri" w:hAnsi="Calibri" w:cs="Calibri"/>
          <w:color w:val="212B32"/>
          <w:sz w:val="23"/>
        </w:rPr>
        <w:t>Establish through this Framework a permanent joint authority owned equally by all States Parties, a dual-corridor navigation system, a service-based financial architecture, and a compliance engine designed to outlast the crisis that produced it;</w:t>
      </w:r>
    </w:p>
    <w:p>
      <w:pPr>
        <w:pStyle w:val="Normal"/>
      </w:pPr>
      <w:r>
        <w:rPr>
          <w:rFonts w:cs="Calibri" w:ascii="Calibri" w:hAnsi="Calibri" w:eastAsia="Calibri"/>
          <w:szCs w:val="23"/>
          <w:lang w:val="en-CA" w:eastAsia="en-CA" w:bidi="ar-SA"/>
          <w:color w:val="212B32"/>
          <w:sz w:val="23"/>
        </w:rPr>
        <w:t>And agree upon the articles and annexes that follow, each binding upon signature, each continuing in force across every date boundary under the no-fade continuity rule, and each amending only by written instrument under Article 33.</w:t>
      </w:r>
    </w:p>
    <w:p>
      <w:pPr>
        <w:pStyle w:val="Heading1"/>
      </w:pPr>
      <w:bookmarkStart w:id="8" w:name="_Toc1005"/>
      <w:bookmarkStart w:id="9" w:name="_Toc235667436"/>
      <w:r>
        <w:rPr>
          <w:szCs w:val="44"/>
          <w:lang w:val="en-CA" w:eastAsia="en-CA" w:bidi="ar-SA"/>
          <w:rFonts w:ascii="Cambria" w:hAnsi="Cambria" w:eastAsia="Cambria" w:cs="Cambria"/>
          <w:b/>
          <w:color w:val="1F3A4D"/>
          <w:sz w:val="44"/>
        </w:rPr>
        <w:t>Part I: Foundations</w:t>
      </w:r>
      <w:bookmarkEnd w:id="8"/>
      <w:bookmarkEnd w:id="9"/>
    </w:p>
    <w:p>
      <w:pPr>
        <w:pStyle w:val="Heading2"/>
      </w:pPr>
      <w:bookmarkStart w:id="10" w:name="_Toc1006"/>
      <w:bookmarkStart w:id="11" w:name="_Toc235667437"/>
      <w:r>
        <w:rPr>
          <w:rFonts w:cs="Cambria" w:ascii="Cambria" w:hAnsi="Cambria" w:eastAsia="Cambria"/>
          <w:szCs w:val="30"/>
          <w:lang w:val="en-CA" w:eastAsia="en-CA" w:bidi="ar-SA"/>
          <w:color w:val="212B32"/>
          <w:b/>
          <w:sz w:val="30"/>
        </w:rPr>
        <w:t>Article 1: Establishment, Purpose, and Scope</w:t>
      </w:r>
      <w:bookmarkEnd w:id="10"/>
      <w:bookmarkEnd w:id="11"/>
    </w:p>
    <w:p>
      <w:pPr>
        <w:pStyle w:val="Heading3"/>
      </w:pPr>
      <w:r>
        <w:rPr>
          <w:rFonts w:cs="Calibri" w:ascii="Calibri" w:hAnsi="Calibri" w:eastAsia="Calibri"/>
          <w:szCs w:val="25"/>
          <w:lang w:val="en-CA" w:eastAsia="en-CA" w:bidi="ar-SA"/>
          <w:b/>
          <w:color w:val="8A6D2F"/>
          <w:sz w:val="25"/>
        </w:rPr>
        <w:t>1.1 Establishment of the Framework</w:t>
      </w:r>
    </w:p>
    <w:p>
      <w:pPr>
        <w:pStyle w:val="Normal"/>
      </w:pPr>
      <w:r>
        <w:rPr>
          <w:rFonts w:cs="Calibri" w:ascii="Calibri" w:hAnsi="Calibri" w:eastAsia="Calibri"/>
          <w:szCs w:val="23"/>
          <w:lang w:val="en-CA" w:eastAsia="en-CA" w:bidi="ar-SA"/>
          <w:color w:val="212B32"/>
          <w:sz w:val="23"/>
        </w:rPr>
        <w:t>The States Parties establish, by this instrument, the Gulf States Maritime Coordination Authority Framework as the standing governance system for the Strait of Hormuz. The Framework comprises thirty-five articles in seven parts and sixteen annexes, and the annexes bind the States Parties to the same extent as the articles. Upon signature, the Framework constitutes the sole and complete code for the matters within its scope, and it supersedes, as between the States Parties, every prior ad hoc arrangement, unilateral regulation, and wartime measure touching those matters.</w:t>
      </w:r>
    </w:p>
    <w:p>
      <w:pPr>
        <w:pStyle w:val="Heading3"/>
      </w:pPr>
      <w:r>
        <w:rPr>
          <w:rFonts w:cs="Calibri" w:ascii="Calibri" w:hAnsi="Calibri" w:eastAsia="Calibri"/>
          <w:szCs w:val="25"/>
          <w:lang w:val="en-CA" w:eastAsia="en-CA" w:bidi="ar-SA"/>
          <w:b/>
          <w:color w:val="8A6D2F"/>
          <w:sz w:val="25"/>
        </w:rPr>
        <w:t>1.2 Purpose</w:t>
      </w:r>
    </w:p>
    <w:p>
      <w:pPr>
        <w:pStyle w:val="Normal"/>
      </w:pPr>
      <w:r>
        <w:rPr>
          <w:rFonts w:cs="Calibri" w:ascii="Calibri" w:hAnsi="Calibri" w:eastAsia="Calibri"/>
          <w:szCs w:val="23"/>
          <w:lang w:val="en-CA" w:eastAsia="en-CA" w:bidi="ar-SA"/>
          <w:color w:val="212B32"/>
          <w:sz w:val="23"/>
        </w:rPr>
        <w:t>The Framework pursues four purposes, ranked equally. First, it guarantees continuous, unimpeded, toll-free commercial transit through the Strait of Hormuz for the shipping of every state. Second, it codifies the administrative primacy of the Gulf States over the waterway and converts that primacy into organized, compensated public service. Third, it embeds the security interests of the coastal States Parties into a shared monitoring and de-confliction architecture, so that safety at sea never depends on the restraint of a moment. Fourth, it generates a transparent, lawful revenue stream for all States Parties in exchange for documented maritime services, replacing every form of toll, levy, or charge on passage.</w:t>
      </w:r>
    </w:p>
    <w:p>
      <w:pPr>
        <w:pStyle w:val="Heading3"/>
      </w:pPr>
      <w:r>
        <w:rPr>
          <w:rFonts w:cs="Calibri" w:ascii="Calibri" w:hAnsi="Calibri" w:eastAsia="Calibri"/>
          <w:szCs w:val="25"/>
          <w:lang w:val="en-CA" w:eastAsia="en-CA" w:bidi="ar-SA"/>
          <w:b/>
          <w:color w:val="8A6D2F"/>
          <w:sz w:val="25"/>
        </w:rPr>
        <w:t>1.3 Geographic Scope</w:t>
      </w:r>
    </w:p>
    <w:p>
      <w:pPr>
        <w:pStyle w:val="Normal"/>
      </w:pPr>
      <w:r>
        <w:rPr>
          <w:rFonts w:cs="Calibri" w:ascii="Calibri" w:hAnsi="Calibri" w:eastAsia="Calibri"/>
          <w:szCs w:val="23"/>
          <w:lang w:val="en-CA" w:eastAsia="en-CA" w:bidi="ar-SA"/>
          <w:color w:val="212B32"/>
          <w:sz w:val="23"/>
        </w:rPr>
        <w:t>The Framework applies to the Strait of Hormuz Operating Area, defined in Annex A as the waters enclosed between the line joining Ra's al Kuh on the Iranian coast to Ra's Dibba on the Omani coast at the western approach, and the line joining the eastern headland of Qeshm Island to Ra's al Hadd approach waters at the Gulf of Oman exit, together with the territorial seas of all States Parties within that envelope, the designated holding anchorages, and the airspace above the corridor system to one thousand five hundred (1,500) feet mean sea level. The Operating Area spans the chart extent 25 degrees 30 minutes N to 27 degrees 10 minutes N and 055 degrees 40 minutes E to 057 degrees 20 minutes E.</w:t>
      </w:r>
    </w:p>
    <w:p>
      <w:pPr>
        <w:pStyle w:val="Heading3"/>
      </w:pPr>
      <w:r>
        <w:rPr>
          <w:szCs w:val="25"/>
          <w:lang w:val="en-CA" w:eastAsia="en-CA" w:bidi="ar-SA"/>
          <w:rFonts w:ascii="Calibri" w:eastAsia="Calibri" w:hAnsi="Calibri" w:cs="Calibri"/>
          <w:b/>
          <w:color w:val="8A6D2F"/>
          <w:sz w:val="25"/>
        </w:rPr>
        <w:t>1.4 Subject-Matter Scope</w:t>
      </w:r>
    </w:p>
    <w:p>
      <w:pPr>
        <w:pStyle w:val="Normal"/>
      </w:pPr>
      <w:r>
        <w:rPr>
          <w:rFonts w:cs="Calibri" w:ascii="Calibri" w:hAnsi="Calibri" w:eastAsia="Calibri"/>
          <w:szCs w:val="23"/>
          <w:lang w:val="en-CA" w:eastAsia="en-CA" w:bidi="ar-SA"/>
          <w:color w:val="212B32"/>
          <w:sz w:val="23"/>
        </w:rPr>
        <w:t>The Framework governs: the geometry and management of the two transit corridors; the classification and differentiated treatment of vessels; transit notification and recording; vessel traffic services; navigational aids; search and rescue; environmental protection and pollution response; maritime security de-confliction; the financing of maritime services; verification, compliance, and dispute resolution between the Parties; and the continuity, amendment, and succession of the Framework itself. The Framework does not govern: the delimitation of the continental shelf or territorial sea boundaries between the Parties, which the 1975 continental shelf agreement between the Parties and subsequent instruments continue to govern; the internal port regulations of any State Party outside the Operating Area; or the military posture of any State Party outside the de-confliction rules of Part V.</w:t>
      </w:r>
    </w:p>
    <w:p>
      <w:pPr>
        <w:pStyle w:val="Heading3"/>
      </w:pPr>
      <w:r>
        <w:rPr>
          <w:rFonts w:cs="Calibri" w:ascii="Calibri" w:hAnsi="Calibri" w:eastAsia="Calibri"/>
          <w:szCs w:val="25"/>
          <w:lang w:val="en-CA" w:eastAsia="en-CA" w:bidi="ar-SA"/>
          <w:b/>
          <w:color w:val="8A6D2F"/>
          <w:sz w:val="25"/>
        </w:rPr>
        <w:t>1.5 Temporal Scope and the No-Fade Rule</w:t>
      </w:r>
    </w:p>
    <w:p>
      <w:pPr>
        <w:pStyle w:val="Normal"/>
      </w:pPr>
      <w:r>
        <w:rPr>
          <w:rFonts w:cs="Calibri" w:ascii="Calibri" w:hAnsi="Calibri" w:eastAsia="Calibri"/>
          <w:szCs w:val="23"/>
          <w:lang w:val="en-CA" w:eastAsia="en-CA" w:bidi="ar-SA"/>
          <w:color w:val="212B32"/>
          <w:sz w:val="23"/>
        </w:rPr>
        <w:t>The Framework takes effect on signature and continues in force without term. Consistent with the no-fade continuity rule of Article 32, the Framework recognizes no sunset clause, no renewal deadline, and no silent expiry. Every phase boundary, review point, and certification cycle inside this instrument operates as an administrative rhythm: at every boundary, the operational state carries forward by default, and obligations persist exactly as written until the Parties amend them in writing.</w:t>
      </w:r>
    </w:p>
    <w:p>
      <w:pPr>
        <w:pStyle w:val="Heading3"/>
      </w:pPr>
      <w:r>
        <w:rPr>
          <w:rFonts w:cs="Calibri" w:ascii="Calibri" w:hAnsi="Calibri" w:eastAsia="Calibri"/>
          <w:szCs w:val="25"/>
          <w:lang w:val="en-CA" w:eastAsia="en-CA" w:bidi="ar-SA"/>
          <w:b/>
          <w:color w:val="8A6D2F"/>
          <w:sz w:val="25"/>
        </w:rPr>
        <w:t>1.6 Status of the Gulf States</w:t>
      </w:r>
    </w:p>
    <w:p>
      <w:pPr>
        <w:pStyle w:val="Normal"/>
      </w:pPr>
      <w:r>
        <w:rPr>
          <w:rFonts w:cs="Calibri" w:ascii="Calibri" w:hAnsi="Calibri" w:eastAsia="Calibri"/>
          <w:szCs w:val="23"/>
          <w:lang w:val="en-CA" w:eastAsia="en-CA" w:bidi="ar-SA"/>
          <w:color w:val="212B32"/>
          <w:sz w:val="23"/>
        </w:rPr>
        <w:t>The Islamic Republic of Iran, the Republic of Iraq, the State of Kuwait, the Kingdom of Saudi Arabia, the Kingdom of Bahrain, the State of Qatar, the United Arab Emirates, and the Sultanate of Oman constitute the founding States Parties to this Framework. Each founding State Party holds equal standing in the governance architecture of Part III, and the eight founding States Parties together form the multilateral structure of the Authority. Any State not listed in this section accedes to this Framework under Article 33.</w:t>
      </w:r>
    </w:p>
    <w:p>
      <w:pPr>
        <w:pStyle w:val="Heading2"/>
      </w:pPr>
      <w:bookmarkStart w:id="12" w:name="_Toc1007"/>
      <w:bookmarkStart w:id="13" w:name="_Toc235667438"/>
      <w:r>
        <w:rPr>
          <w:rFonts w:cs="Cambria" w:ascii="Cambria" w:hAnsi="Cambria" w:eastAsia="Cambria"/>
          <w:szCs w:val="30"/>
          <w:lang w:val="en-CA" w:eastAsia="en-CA" w:bidi="ar-SA"/>
          <w:color w:val="212B32"/>
          <w:b/>
          <w:sz w:val="30"/>
        </w:rPr>
        <w:t>Article 2: Legal Foundations and Relationship to International Law</w:t>
      </w:r>
      <w:bookmarkEnd w:id="12"/>
      <w:bookmarkEnd w:id="13"/>
    </w:p>
    <w:p>
      <w:pPr>
        <w:pStyle w:val="Heading3"/>
      </w:pPr>
      <w:r>
        <w:rPr>
          <w:rFonts w:cs="Calibri" w:ascii="Calibri" w:hAnsi="Calibri" w:eastAsia="Calibri"/>
          <w:szCs w:val="25"/>
          <w:lang w:val="en-CA" w:eastAsia="en-CA" w:bidi="ar-SA"/>
          <w:b/>
          <w:color w:val="8A6D2F"/>
          <w:sz w:val="25"/>
        </w:rPr>
        <w:t>2.1 Sovereign Basis</w:t>
      </w:r>
    </w:p>
    <w:p>
      <w:pPr>
        <w:pStyle w:val="Normal"/>
      </w:pPr>
      <w:r>
        <w:rPr>
          <w:rFonts w:cs="Calibri" w:ascii="Calibri" w:hAnsi="Calibri" w:eastAsia="Calibri"/>
          <w:szCs w:val="23"/>
          <w:lang w:val="en-CA" w:eastAsia="en-CA" w:bidi="ar-SA"/>
          <w:color w:val="212B32"/>
          <w:sz w:val="23"/>
        </w:rPr>
        <w:t>The Framework rests on the sovereignty and sovereign rights of the Gulf States over their respective territorial seas in the Strait of Hormuz, and on the customary international law of the sea as reflected in the 1982 United Nations Convention on the Law of the Sea. Every State Party applies the 1982 Convention and the customary rules it reflects, including the regime of transit passage, within the operation of this Framework. Nothing in this instrument adjudicates, prejudices, or alters the position of any State Party on any question of maritime delimitation, and the Framework operates without prejudice to the differing treaty positions of the individual States Parties.</w:t>
      </w:r>
    </w:p>
    <w:p>
      <w:pPr>
        <w:pStyle w:val="Heading3"/>
      </w:pPr>
      <w:r>
        <w:rPr>
          <w:szCs w:val="25"/>
          <w:lang w:val="en-CA" w:eastAsia="en-CA" w:bidi="ar-SA"/>
          <w:rFonts w:ascii="Calibri" w:eastAsia="Calibri" w:hAnsi="Calibri" w:cs="Calibri"/>
          <w:b/>
          <w:color w:val="8A6D2F"/>
          <w:sz w:val="25"/>
        </w:rPr>
        <w:t>2.2 Transit Passage Preserved</w:t>
      </w:r>
    </w:p>
    <w:p>
      <w:pPr>
        <w:pStyle w:val="Normal"/>
      </w:pPr>
      <w:r>
        <w:rPr>
          <w:rFonts w:cs="Calibri" w:ascii="Calibri" w:hAnsi="Calibri" w:eastAsia="Calibri"/>
          <w:szCs w:val="23"/>
          <w:lang w:val="en-CA" w:eastAsia="en-CA" w:bidi="ar-SA"/>
          <w:color w:val="212B32"/>
          <w:sz w:val="23"/>
        </w:rPr>
        <w:t>The corridor system of Part II implements the regime of transit passage as an organized service architecture. The right of transit passage through the Strait of Hormuz operates continuously and without suspension for the ships and aircraft of all states, in both corridors, under the rules of this Framework. The architecture excludes any suspension of transit passage for any reason, including any dispute between the Parties, any incident under investigation, any arrears in the financial system, or any external conflict. An operational pause notice under Article 27 freezes movement in an affected sector only, for a maximum of sixty (60) minutes per issuance, and never converts into a closure of the Strait.</w:t>
      </w:r>
    </w:p>
    <w:p>
      <w:pPr>
        <w:pStyle w:val="Heading3"/>
      </w:pPr>
      <w:r>
        <w:rPr>
          <w:rFonts w:cs="Calibri" w:ascii="Calibri" w:hAnsi="Calibri" w:eastAsia="Calibri"/>
          <w:szCs w:val="25"/>
          <w:lang w:val="en-CA" w:eastAsia="en-CA" w:bidi="ar-SA"/>
          <w:b/>
          <w:color w:val="8A6D2F"/>
          <w:sz w:val="25"/>
        </w:rPr>
        <w:t>2.3 The Service-Fee Distinction</w:t>
      </w:r>
    </w:p>
    <w:p>
      <w:pPr>
        <w:pStyle w:val="Normal"/>
      </w:pPr>
      <w:r>
        <w:rPr>
          <w:rFonts w:cs="Calibri" w:ascii="Calibri" w:hAnsi="Calibri" w:eastAsia="Calibri"/>
          <w:szCs w:val="23"/>
          <w:lang w:val="en-CA" w:eastAsia="en-CA" w:bidi="ar-SA"/>
          <w:color w:val="212B32"/>
          <w:sz w:val="23"/>
        </w:rPr>
        <w:t>International law draws a bright line between a charge on passage, which no coastal state levies in a strait used for international navigation, and a charge for specific services rendered to a vessel or to the shipping community, which a coastal state levies on a non-discriminatory basis. The financial architecture of Part IV sits entirely on the service side of that line. Transit itself carries no charge in either corridor, for any vessel, under any circumstances. Services carry documented, audited, pre-published prices, and payment for services flows through an international trust mechanism, never from a ship to a state as a condition of passage.</w:t>
      </w:r>
    </w:p>
    <w:p>
      <w:pPr>
        <w:pStyle w:val="Heading3"/>
      </w:pPr>
      <w:r>
        <w:rPr>
          <w:rFonts w:cs="Calibri" w:ascii="Calibri" w:hAnsi="Calibri" w:eastAsia="Calibri"/>
          <w:szCs w:val="25"/>
          <w:lang w:val="en-CA" w:eastAsia="en-CA" w:bidi="ar-SA"/>
          <w:b/>
          <w:color w:val="8A6D2F"/>
          <w:sz w:val="25"/>
        </w:rPr>
        <w:t>2.4 Relationship to the June 2026 Memorandum of Understanding</w:t>
      </w:r>
    </w:p>
    <w:p>
      <w:pPr>
        <w:pStyle w:val="Normal"/>
      </w:pPr>
      <w:r>
        <w:rPr>
          <w:rFonts w:cs="Calibri" w:ascii="Calibri" w:hAnsi="Calibri" w:eastAsia="Calibri"/>
          <w:szCs w:val="23"/>
          <w:lang w:val="en-CA" w:eastAsia="en-CA" w:bidi="ar-SA"/>
          <w:color w:val="212B32"/>
          <w:sz w:val="23"/>
        </w:rPr>
        <w:t>The States Parties record the memorandum of understanding of June 2026 between the Islamic Republic of Iran and the United States of America as a historical document that paved the way for the regional consultations producing this Framework. The maritime clause of that memorandum called on the Gulf states to define the future administration of the Strait and its maritime services, and this multilateral Framework answers that call as the final and binding arrangement of the States Parties, superseding every previous bilateral or interim understanding touching those matters. The Framework binds the States Parties independently of the fate of any other instrument; a lapse, breach, or termination of any external agreement touches nothing in this Framework.</w:t>
      </w:r>
    </w:p>
    <w:p>
      <w:pPr>
        <w:pStyle w:val="Heading3"/>
      </w:pPr>
      <w:r>
        <w:rPr>
          <w:szCs w:val="25"/>
          <w:lang w:val="en-CA" w:eastAsia="en-CA" w:bidi="ar-SA"/>
          <w:rFonts w:ascii="Calibri" w:eastAsia="Calibri" w:hAnsi="Calibri" w:cs="Calibri"/>
          <w:b/>
          <w:color w:val="8A6D2F"/>
          <w:sz w:val="25"/>
        </w:rPr>
        <w:t>2.5 Relationship to the International Maritime Organization</w:t>
      </w:r>
    </w:p>
    <w:p>
      <w:pPr>
        <w:pStyle w:val="Normal"/>
      </w:pPr>
      <w:r>
        <w:rPr>
          <w:rFonts w:cs="Calibri" w:ascii="Calibri" w:hAnsi="Calibri" w:eastAsia="Calibri"/>
          <w:szCs w:val="23"/>
          <w:lang w:val="en-CA" w:eastAsia="en-CA" w:bidi="ar-SA"/>
          <w:color w:val="212B32"/>
          <w:sz w:val="23"/>
        </w:rPr>
        <w:t>The Parties build the corridor system upon the traffic separation scheme adopted through the International Maritime Organization for the Strait of Hormuz, as amended by this Framework through the procedures the Organization provides. The Parties jointly notify the Organization of the corridor geometry of Annex A, register the vessel traffic service areas, the reporting requirements, and the aids to navigation of this Framework, and invite the technical participation of the Organization under Article 15. The Framework creates no obligation for the Organization; it extends standing invitations, and each invitation remains open until accepted or declined in writing.</w:t>
      </w:r>
    </w:p>
    <w:p>
      <w:pPr>
        <w:pStyle w:val="Heading3"/>
      </w:pPr>
      <w:r>
        <w:rPr>
          <w:rFonts w:cs="Calibri" w:ascii="Calibri" w:hAnsi="Calibri" w:eastAsia="Calibri"/>
          <w:szCs w:val="25"/>
          <w:lang w:val="en-CA" w:eastAsia="en-CA" w:bidi="ar-SA"/>
          <w:b/>
          <w:color w:val="8A6D2F"/>
          <w:sz w:val="25"/>
        </w:rPr>
        <w:t>2.6 Non-Prejudice and No Precedent</w:t>
      </w:r>
    </w:p>
    <w:p>
      <w:pPr>
        <w:pStyle w:val="Normal"/>
      </w:pPr>
      <w:r>
        <w:rPr>
          <w:rFonts w:cs="Calibri" w:ascii="Calibri" w:hAnsi="Calibri" w:eastAsia="Calibri"/>
          <w:szCs w:val="23"/>
          <w:lang w:val="en-CA" w:eastAsia="en-CA" w:bidi="ar-SA"/>
          <w:color w:val="212B32"/>
          <w:sz w:val="23"/>
        </w:rPr>
        <w:t>This instrument establishes no legal or political precedent for any other strait, waterway, dispute, or bilateral relationship. It is sui generis, tailored to the geography, history, and politics of the Strait of Hormuz in 2026. No provision creates an inference regarding the legal position of any State Party on any matter the text does not expressly address, including positions on the law of the sea, on sanctions, or on the status of any third state or entity.</w:t>
      </w:r>
    </w:p>
    <w:p>
      <w:pPr>
        <w:pStyle w:val="Heading2"/>
      </w:pPr>
      <w:bookmarkStart w:id="14" w:name="_Toc1008"/>
      <w:bookmarkStart w:id="15" w:name="_Toc235667439"/>
      <w:r>
        <w:rPr>
          <w:rFonts w:cs="Cambria" w:ascii="Cambria" w:hAnsi="Cambria" w:eastAsia="Cambria"/>
          <w:szCs w:val="30"/>
          <w:lang w:val="en-CA" w:eastAsia="en-CA" w:bidi="ar-SA"/>
          <w:color w:val="212B32"/>
          <w:b/>
          <w:sz w:val="30"/>
        </w:rPr>
        <w:t>Article 3: Core Operating Principles</w:t>
      </w:r>
      <w:bookmarkEnd w:id="14"/>
      <w:bookmarkEnd w:id="15"/>
    </w:p>
    <w:p>
      <w:pPr>
        <w:pStyle w:val="Normal"/>
      </w:pPr>
      <w:r>
        <w:rPr>
          <w:rFonts w:cs="Calibri" w:ascii="Calibri" w:hAnsi="Calibri" w:eastAsia="Calibri"/>
          <w:szCs w:val="23"/>
          <w:lang w:val="en-CA" w:eastAsia="en-CA" w:bidi="ar-SA"/>
          <w:color w:val="212B32"/>
          <w:sz w:val="23"/>
        </w:rPr>
        <w:t>Ten principles govern the interpretation and operation of every provision of this Framework. Where a provision admits two readings, the reading that serves these principles prevails.</w:t>
      </w:r>
    </w:p>
    <w:p>
      <w:pPr>
        <w:pStyle w:val="Heading3"/>
      </w:pPr>
      <w:r>
        <w:rPr>
          <w:rFonts w:cs="Calibri" w:ascii="Calibri" w:hAnsi="Calibri" w:eastAsia="Calibri"/>
          <w:szCs w:val="25"/>
          <w:lang w:val="en-CA" w:eastAsia="en-CA" w:bidi="ar-SA"/>
          <w:b/>
          <w:color w:val="8A6D2F"/>
          <w:sz w:val="25"/>
        </w:rPr>
        <w:t>Principle I: Gulf States Primacy</w:t>
      </w:r>
    </w:p>
    <w:p>
      <w:pPr>
        <w:pStyle w:val="Normal"/>
      </w:pPr>
      <w:r>
        <w:rPr>
          <w:rFonts w:cs="Calibri" w:ascii="Calibri" w:hAnsi="Calibri" w:eastAsia="Calibri"/>
          <w:szCs w:val="23"/>
          <w:lang w:val="en-CA" w:eastAsia="en-CA" w:bidi="ar-SA"/>
          <w:color w:val="212B32"/>
          <w:sz w:val="23"/>
        </w:rPr>
        <w:t>The Gulf States hold primary authority over the governance of the Strait, and they exercise that authority jointly through this Framework. The architecture admits stakeholder participation, observer presence, and technical assistance, and it vests final governance authority in the States Parties acting through the voting rule of Article 16.</w:t>
      </w:r>
    </w:p>
    <w:p>
      <w:pPr>
        <w:pStyle w:val="Heading3"/>
      </w:pPr>
      <w:r>
        <w:rPr>
          <w:rFonts w:cs="Calibri" w:ascii="Calibri" w:hAnsi="Calibri" w:eastAsia="Calibri"/>
          <w:szCs w:val="25"/>
          <w:lang w:val="en-CA" w:eastAsia="en-CA" w:bidi="ar-SA"/>
          <w:b/>
          <w:color w:val="8A6D2F"/>
          <w:sz w:val="25"/>
        </w:rPr>
        <w:t>Principle II: Free and Toll-Free Transit</w:t>
      </w:r>
    </w:p>
    <w:p>
      <w:pPr>
        <w:pStyle w:val="Normal"/>
      </w:pPr>
      <w:r>
        <w:rPr>
          <w:rFonts w:cs="Calibri" w:ascii="Calibri" w:hAnsi="Calibri" w:eastAsia="Calibri"/>
          <w:szCs w:val="23"/>
          <w:lang w:val="en-CA" w:eastAsia="en-CA" w:bidi="ar-SA"/>
          <w:color w:val="212B32"/>
          <w:sz w:val="23"/>
        </w:rPr>
        <w:t>Commercial transit through the Strait operates continuously, safely, and free of any charge on passage. This principle admits no exception, no suspension, and no disguised equivalent. The financial architecture funds services; it never monetizes passage.</w:t>
      </w:r>
    </w:p>
    <w:p>
      <w:pPr>
        <w:pStyle w:val="Heading3"/>
      </w:pPr>
      <w:r>
        <w:rPr>
          <w:szCs w:val="25"/>
          <w:lang w:val="en-CA" w:eastAsia="en-CA" w:bidi="ar-SA"/>
          <w:rFonts w:ascii="Calibri" w:eastAsia="Calibri" w:hAnsi="Calibri" w:cs="Calibri"/>
          <w:b/>
          <w:color w:val="8A6D2F"/>
          <w:sz w:val="25"/>
        </w:rPr>
        <w:t>Principle III: Organized Coastal Authority</w:t>
      </w:r>
    </w:p>
    <w:p>
      <w:pPr>
        <w:pStyle w:val="Normal"/>
      </w:pPr>
      <w:r>
        <w:rPr>
          <w:rFonts w:cs="Calibri" w:ascii="Calibri" w:hAnsi="Calibri" w:eastAsia="Calibri"/>
          <w:szCs w:val="23"/>
          <w:lang w:val="en-CA" w:eastAsia="en-CA" w:bidi="ar-SA"/>
          <w:color w:val="212B32"/>
          <w:sz w:val="23"/>
        </w:rPr>
        <w:t>The administrative role of each of the States Parties functions openly inside its own waters, through published rules, published prices, published procedures, and joint oversight. Authority exercised through architecture replaces authority asserted through force.</w:t>
      </w:r>
    </w:p>
    <w:p>
      <w:pPr>
        <w:pStyle w:val="Heading3"/>
      </w:pPr>
      <w:r>
        <w:rPr>
          <w:rFonts w:cs="Calibri" w:ascii="Calibri" w:hAnsi="Calibri" w:eastAsia="Calibri"/>
          <w:szCs w:val="25"/>
          <w:lang w:val="en-CA" w:eastAsia="en-CA" w:bidi="ar-SA"/>
          <w:b/>
          <w:color w:val="8A6D2F"/>
          <w:sz w:val="25"/>
        </w:rPr>
        <w:t>Principle IV: Differentiated Treatment by Purpose</w:t>
      </w:r>
    </w:p>
    <w:p>
      <w:pPr>
        <w:pStyle w:val="Normal"/>
      </w:pPr>
      <w:r>
        <w:rPr>
          <w:rFonts w:cs="Calibri" w:ascii="Calibri" w:hAnsi="Calibri" w:eastAsia="Calibri"/>
          <w:szCs w:val="23"/>
          <w:lang w:val="en-CA" w:eastAsia="en-CA" w:bidi="ar-SA"/>
          <w:color w:val="212B32"/>
          <w:sz w:val="23"/>
        </w:rPr>
        <w:t>The corridor system treats vessels according to their purpose, size, and risk profile, never according to flag, ownership, or political relationship. A tanker carrying crude, a ferry carrying families, a dhow carrying fish, and a warship on passage each receive the treatment its function requires under a published classification that applies identically to every flag.</w:t>
      </w:r>
    </w:p>
    <w:p>
      <w:pPr>
        <w:pStyle w:val="Heading3"/>
      </w:pPr>
      <w:r>
        <w:rPr>
          <w:rFonts w:cs="Calibri" w:ascii="Calibri" w:hAnsi="Calibri" w:eastAsia="Calibri"/>
          <w:szCs w:val="25"/>
          <w:lang w:val="en-CA" w:eastAsia="en-CA" w:bidi="ar-SA"/>
          <w:b/>
          <w:color w:val="8A6D2F"/>
          <w:sz w:val="25"/>
        </w:rPr>
        <w:t>Principle V: Mutual Architecture</w:t>
      </w:r>
    </w:p>
    <w:p>
      <w:pPr>
        <w:pStyle w:val="Normal"/>
      </w:pPr>
      <w:r>
        <w:rPr>
          <w:rFonts w:cs="Calibri" w:ascii="Calibri" w:hAnsi="Calibri" w:eastAsia="Calibri"/>
          <w:szCs w:val="23"/>
          <w:lang w:val="en-CA" w:eastAsia="en-CA" w:bidi="ar-SA"/>
          <w:color w:val="212B32"/>
          <w:sz w:val="23"/>
        </w:rPr>
        <w:t>Every prohibition and every commitment binds all States Parties as a feature of the shared design. The Framework contains no unilateral restraint, no concession language, and no hierarchy. Sovereign equality holds in the grammar itself.</w:t>
      </w:r>
    </w:p>
    <w:p>
      <w:pPr>
        <w:pStyle w:val="Heading3"/>
      </w:pPr>
      <w:r>
        <w:rPr>
          <w:rFonts w:cs="Calibri" w:ascii="Calibri" w:hAnsi="Calibri" w:eastAsia="Calibri"/>
          <w:szCs w:val="25"/>
          <w:lang w:val="en-CA" w:eastAsia="en-CA" w:bidi="ar-SA"/>
          <w:b/>
          <w:color w:val="8A6D2F"/>
          <w:sz w:val="25"/>
        </w:rPr>
        <w:t>Principle VI: No-Fade Continuity</w:t>
      </w:r>
    </w:p>
    <w:p>
      <w:pPr>
        <w:pStyle w:val="Normal"/>
      </w:pPr>
      <w:r>
        <w:rPr>
          <w:rFonts w:cs="Calibri" w:ascii="Calibri" w:hAnsi="Calibri" w:eastAsia="Calibri"/>
          <w:szCs w:val="23"/>
          <w:lang w:val="en-CA" w:eastAsia="en-CA" w:bidi="ar-SA"/>
          <w:color w:val="212B32"/>
          <w:sz w:val="23"/>
        </w:rPr>
        <w:t>No commitment fades at any date boundary. Verified performance banks permanently. The Framework recognizes no sunset, no cliff, and no silent expiry. Renewal occurs by silence; change occurs by writing.</w:t>
      </w:r>
    </w:p>
    <w:p>
      <w:pPr>
        <w:pStyle w:val="Heading3"/>
      </w:pPr>
      <w:r>
        <w:rPr>
          <w:rFonts w:cs="Calibri" w:ascii="Calibri" w:hAnsi="Calibri" w:eastAsia="Calibri"/>
          <w:szCs w:val="25"/>
          <w:lang w:val="en-CA" w:eastAsia="en-CA" w:bidi="ar-SA"/>
          <w:b/>
          <w:color w:val="8A6D2F"/>
          <w:sz w:val="25"/>
        </w:rPr>
        <w:t>Principle VII: Verification Over Trust</w:t>
      </w:r>
    </w:p>
    <w:p>
      <w:pPr>
        <w:pStyle w:val="Normal"/>
      </w:pPr>
      <w:r>
        <w:rPr>
          <w:rFonts w:cs="Calibri" w:ascii="Calibri" w:hAnsi="Calibri" w:eastAsia="Calibri"/>
          <w:szCs w:val="23"/>
          <w:lang w:val="en-CA" w:eastAsia="en-CA" w:bidi="ar-SA"/>
          <w:color w:val="212B32"/>
          <w:sz w:val="23"/>
        </w:rPr>
        <w:t>The Framework asks no State Party to trust another. It gives all States Parties the same data, at the same time, through the same channels. Compliance determinations rest on converging evidence under the standard of Article 28, and human judgment sits between every sensor and every consequence.</w:t>
      </w:r>
    </w:p>
    <w:p>
      <w:pPr>
        <w:pStyle w:val="Heading3"/>
      </w:pPr>
      <w:r>
        <w:rPr>
          <w:rFonts w:cs="Calibri" w:ascii="Calibri" w:hAnsi="Calibri" w:eastAsia="Calibri"/>
          <w:szCs w:val="25"/>
          <w:lang w:val="en-CA" w:eastAsia="en-CA" w:bidi="ar-SA"/>
          <w:b/>
          <w:color w:val="8A6D2F"/>
          <w:sz w:val="25"/>
        </w:rPr>
        <w:t>Principle VIII: Proportionality and Repair</w:t>
      </w:r>
    </w:p>
    <w:p>
      <w:pPr>
        <w:pStyle w:val="Normal"/>
      </w:pPr>
      <w:r>
        <w:rPr>
          <w:rFonts w:cs="Calibri" w:ascii="Calibri" w:hAnsi="Calibri" w:eastAsia="Calibri"/>
          <w:szCs w:val="23"/>
          <w:lang w:val="en-CA" w:eastAsia="en-CA" w:bidi="ar-SA"/>
          <w:color w:val="212B32"/>
          <w:sz w:val="23"/>
        </w:rPr>
        <w:t>Every response to every deviation stays proportionate, reversible, and time-limited. The compliance engine repairs; it never punishes. Banked performance never claws back, and no incident erases a certified gain.</w:t>
      </w:r>
    </w:p>
    <w:p>
      <w:pPr>
        <w:pStyle w:val="Heading3"/>
      </w:pPr>
      <w:r>
        <w:rPr>
          <w:szCs w:val="25"/>
          <w:lang w:val="en-CA" w:eastAsia="en-CA" w:bidi="ar-SA"/>
          <w:rFonts w:ascii="Calibri" w:eastAsia="Calibri" w:hAnsi="Calibri" w:cs="Calibri"/>
          <w:b/>
          <w:color w:val="8A6D2F"/>
          <w:sz w:val="25"/>
        </w:rPr>
        <w:t>Principle IX: Cost Discipline</w:t>
      </w:r>
    </w:p>
    <w:p>
      <w:pPr>
        <w:pStyle w:val="Normal"/>
      </w:pPr>
      <w:r>
        <w:rPr>
          <w:rFonts w:cs="Calibri" w:ascii="Calibri" w:hAnsi="Calibri" w:eastAsia="Calibri"/>
          <w:szCs w:val="23"/>
          <w:lang w:val="en-CA" w:eastAsia="en-CA" w:bidi="ar-SA"/>
          <w:color w:val="212B32"/>
          <w:sz w:val="23"/>
        </w:rPr>
        <w:t>The Framework reuses existing infrastructure, existing international schemes, and existing institutions wherever they serve the mission. It builds new structures only where no existing structure carries the load, and it funds every recurring cost through the transparent budget architecture of Part IV.</w:t>
      </w:r>
    </w:p>
    <w:p>
      <w:pPr>
        <w:pStyle w:val="Heading3"/>
      </w:pPr>
      <w:r>
        <w:rPr>
          <w:rFonts w:cs="Calibri" w:ascii="Calibri" w:hAnsi="Calibri" w:eastAsia="Calibri"/>
          <w:szCs w:val="25"/>
          <w:lang w:val="en-CA" w:eastAsia="en-CA" w:bidi="ar-SA"/>
          <w:b/>
          <w:color w:val="8A6D2F"/>
          <w:sz w:val="25"/>
        </w:rPr>
        <w:t>Principle X: Multilateral Partnership</w:t>
      </w:r>
    </w:p>
    <w:p>
      <w:pPr>
        <w:pStyle w:val="Normal"/>
      </w:pPr>
      <w:r>
        <w:rPr>
          <w:rFonts w:cs="Calibri" w:ascii="Calibri" w:hAnsi="Calibri" w:eastAsia="Calibri"/>
          <w:szCs w:val="23"/>
          <w:lang w:val="en-CA" w:eastAsia="en-CA" w:bidi="ar-SA"/>
          <w:color w:val="212B32"/>
          <w:sz w:val="23"/>
        </w:rPr>
        <w:t>The governance of the Strait is a shared responsibility of all Gulf States. The Authority operates on the principle of equal partnership among all States Parties, reflecting their collective interest in the security, safety, and economic viability of the waterway.</w:t>
      </w:r>
    </w:p>
    <w:p>
      <w:pPr>
        <w:pStyle w:val="Heading2"/>
      </w:pPr>
      <w:bookmarkStart w:id="16" w:name="_Toc1009"/>
      <w:bookmarkStart w:id="17" w:name="_Toc235667440"/>
      <w:r>
        <w:rPr>
          <w:rFonts w:cs="Cambria" w:ascii="Cambria" w:hAnsi="Cambria" w:eastAsia="Cambria"/>
          <w:szCs w:val="30"/>
          <w:lang w:val="en-CA" w:eastAsia="en-CA" w:bidi="ar-SA"/>
          <w:color w:val="212B32"/>
          <w:b/>
          <w:sz w:val="30"/>
        </w:rPr>
        <w:t>Article 4: Definitions and Interpretation</w:t>
      </w:r>
      <w:bookmarkEnd w:id="16"/>
      <w:bookmarkEnd w:id="17"/>
    </w:p>
    <w:p>
      <w:pPr>
        <w:pStyle w:val="Heading3"/>
      </w:pPr>
      <w:r>
        <w:rPr>
          <w:rFonts w:cs="Calibri" w:ascii="Calibri" w:hAnsi="Calibri" w:eastAsia="Calibri"/>
          <w:szCs w:val="25"/>
          <w:lang w:val="en-CA" w:eastAsia="en-CA" w:bidi="ar-SA"/>
          <w:b/>
          <w:color w:val="8A6D2F"/>
          <w:sz w:val="25"/>
        </w:rPr>
        <w:t>4.1 Defined Terms</w:t>
      </w:r>
    </w:p>
    <w:p>
      <w:pPr>
        <w:pStyle w:val="Normal"/>
      </w:pPr>
      <w:r>
        <w:rPr>
          <w:rFonts w:cs="Calibri" w:ascii="Calibri" w:hAnsi="Calibri" w:eastAsia="Calibri"/>
          <w:szCs w:val="23"/>
          <w:lang w:val="en-CA" w:eastAsia="en-CA" w:bidi="ar-SA"/>
          <w:color w:val="212B32"/>
          <w:sz w:val="23"/>
        </w:rPr>
        <w:t>In this Framework, the following terms carry the following meanings.</w:t>
      </w:r>
    </w:p>
    <w:p>
      <w:pPr>
        <w:pStyle w:val="Normal"/>
      </w:pPr>
      <w:r>
        <w:rPr>
          <w:rFonts w:cs="Calibri" w:ascii="Calibri" w:hAnsi="Calibri" w:eastAsia="Calibri"/>
          <w:szCs w:val="23"/>
          <w:lang w:val="en-CA" w:eastAsia="en-CA" w:bidi="ar-SA"/>
          <w:color w:val="212B32"/>
          <w:sz w:val="23"/>
        </w:rPr>
        <w:t>Authority or GMCAF means the Gulf States Maritime Coordination Authority established under Article 12, comprising the Governing Board, the Executive Directorate, and the operational bodies of Part III.</w:t>
      </w:r>
    </w:p>
    <w:p>
      <w:pPr>
        <w:pStyle w:val="Normal"/>
      </w:pPr>
      <w:r>
        <w:rPr>
          <w:rFonts w:cs="Calibri" w:ascii="Calibri" w:hAnsi="Calibri" w:eastAsia="Calibri"/>
          <w:szCs w:val="23"/>
          <w:lang w:val="en-CA" w:eastAsia="en-CA" w:bidi="ar-SA"/>
          <w:color w:val="212B32"/>
          <w:sz w:val="23"/>
        </w:rPr>
        <w:t>Center or JMCC means the Joint Maritime Coordination Center established under Article 13, seated in Muscat with a mirror facility in Bandar Abbas.</w:t>
      </w:r>
    </w:p>
    <w:p>
      <w:pPr>
        <w:pStyle w:val="Normal"/>
      </w:pPr>
      <w:r>
        <w:rPr>
          <w:rFonts w:cs="Calibri" w:ascii="Calibri" w:hAnsi="Calibri" w:eastAsia="Calibri"/>
          <w:szCs w:val="23"/>
          <w:lang w:val="en-CA" w:eastAsia="en-CA" w:bidi="ar-SA"/>
          <w:color w:val="212B32"/>
          <w:sz w:val="23"/>
        </w:rPr>
        <w:t>Corridor A means the southern transit corridor through Omani waters established under Article 6, cited operationally as the Omani Guarantee Corridor.</w:t>
      </w:r>
    </w:p>
    <w:p>
      <w:pPr>
        <w:pStyle w:val="Normal"/>
      </w:pPr>
      <w:r>
        <w:rPr>
          <w:rFonts w:cs="Calibri" w:ascii="Calibri" w:hAnsi="Calibri" w:eastAsia="Calibri"/>
          <w:szCs w:val="23"/>
          <w:lang w:val="en-CA" w:eastAsia="en-CA" w:bidi="ar-SA"/>
          <w:color w:val="212B32"/>
          <w:sz w:val="23"/>
        </w:rPr>
        <w:t>Corridor B means the northern transit corridor through Iranian waters established under Article 7, cited operationally as the Iranian Arrangement Corridor.</w:t>
      </w:r>
    </w:p>
    <w:p>
      <w:pPr>
        <w:pStyle w:val="Normal"/>
      </w:pPr>
      <w:r>
        <w:rPr>
          <w:rFonts w:cs="Calibri" w:ascii="Calibri" w:hAnsi="Calibri" w:eastAsia="Calibri"/>
          <w:szCs w:val="23"/>
          <w:lang w:val="en-CA" w:eastAsia="en-CA" w:bidi="ar-SA"/>
          <w:color w:val="212B32"/>
          <w:sz w:val="23"/>
        </w:rPr>
        <w:t>Corridor system means Corridor A, Corridor B, the inter-corridor separation buffer, the coastal safety bands, the holding anchorages, and the reporting points of Annex A, taken together.</w:t>
      </w:r>
    </w:p>
    <w:p>
      <w:pPr>
        <w:pStyle w:val="Normal"/>
      </w:pPr>
      <w:r>
        <w:rPr>
          <w:rFonts w:cs="Calibri" w:ascii="Calibri" w:hAnsi="Calibri" w:eastAsia="Calibri"/>
          <w:szCs w:val="23"/>
          <w:lang w:val="en-CA" w:eastAsia="en-CA" w:bidi="ar-SA"/>
          <w:color w:val="212B32"/>
          <w:sz w:val="23"/>
        </w:rPr>
        <w:t>Fund or HMSTF means the Hormuz Maritime Services Trust Fund established under Article 18.</w:t>
      </w:r>
    </w:p>
    <w:p>
      <w:pPr>
        <w:pStyle w:val="Normal"/>
      </w:pPr>
      <w:r>
        <w:rPr>
          <w:rFonts w:cs="Calibri" w:ascii="Calibri" w:hAnsi="Calibri" w:eastAsia="Calibri"/>
          <w:szCs w:val="23"/>
          <w:lang w:val="en-CA" w:eastAsia="en-CA" w:bidi="ar-SA"/>
          <w:color w:val="212B32"/>
          <w:sz w:val="23"/>
        </w:rPr>
        <w:t>Operating Area means the geographic envelope of Section 1.3 as charted in Annex A.</w:t>
      </w:r>
    </w:p>
    <w:p>
      <w:pPr>
        <w:pStyle w:val="Normal"/>
      </w:pPr>
      <w:r>
        <w:rPr>
          <w:rFonts w:cs="Calibri" w:ascii="Calibri" w:hAnsi="Calibri" w:eastAsia="Calibri"/>
          <w:szCs w:val="23"/>
          <w:lang w:val="en-CA" w:eastAsia="en-CA" w:bidi="ar-SA"/>
          <w:color w:val="212B32"/>
          <w:sz w:val="23"/>
        </w:rPr>
        <w:t>Safe Registry means the Hormuz Safe Registry maintained under Article 19.</w:t>
      </w:r>
    </w:p>
    <w:p>
      <w:pPr>
        <w:pStyle w:val="Normal"/>
      </w:pPr>
      <w:r>
        <w:rPr>
          <w:rFonts w:cs="Calibri" w:ascii="Calibri" w:hAnsi="Calibri" w:eastAsia="Calibri"/>
          <w:szCs w:val="23"/>
          <w:lang w:val="en-CA" w:eastAsia="en-CA" w:bidi="ar-SA"/>
          <w:color w:val="212B32"/>
          <w:sz w:val="23"/>
        </w:rPr>
        <w:t>Service means a maritime service listed in the Services Catalog of Annex E, delivered by or on behalf of a State Party and reimbursed through the Fund under Article 20.</w:t>
      </w:r>
    </w:p>
    <w:p>
      <w:pPr>
        <w:pStyle w:val="Normal"/>
      </w:pPr>
      <w:r>
        <w:rPr>
          <w:rFonts w:cs="Calibri" w:ascii="Calibri" w:hAnsi="Calibri" w:eastAsia="Calibri"/>
          <w:szCs w:val="23"/>
          <w:lang w:val="en-CA" w:eastAsia="en-CA" w:bidi="ar-SA"/>
          <w:color w:val="212B32"/>
          <w:sz w:val="23"/>
        </w:rPr>
        <w:t>States Parties means the founding States Parties listed in Section 1.6, together with any State that accedes to this Framework under Article 33.</w:t>
      </w:r>
    </w:p>
    <w:p>
      <w:pPr>
        <w:pStyle w:val="Normal"/>
      </w:pPr>
      <w:r>
        <w:rPr>
          <w:rFonts w:cs="Calibri" w:ascii="Calibri" w:hAnsi="Calibri" w:eastAsia="Calibri"/>
          <w:szCs w:val="23"/>
          <w:lang w:val="en-CA" w:eastAsia="en-CA" w:bidi="ar-SA"/>
          <w:color w:val="212B32"/>
          <w:sz w:val="23"/>
        </w:rPr>
        <w:t>Transit means passage through the Operating Area from one end of the corridor system to the other, including approach and exit within the reporting envelope of Annex A.</w:t>
      </w:r>
    </w:p>
    <w:p>
      <w:pPr>
        <w:pStyle w:val="Normal"/>
      </w:pPr>
      <w:r>
        <w:rPr>
          <w:szCs w:val="23"/>
          <w:lang w:val="en-CA" w:eastAsia="en-CA" w:bidi="ar-SA"/>
          <w:rFonts w:ascii="Calibri" w:eastAsia="Calibri" w:hAnsi="Calibri" w:cs="Calibri"/>
          <w:color w:val="212B32"/>
          <w:sz w:val="23"/>
        </w:rPr>
        <w:t>Vessel class means one of the ten classes of Annex B, assigned by purpose, size, and risk profile under Article 9.</w:t>
      </w:r>
    </w:p>
    <w:p>
      <w:pPr>
        <w:pStyle w:val="Heading3"/>
      </w:pPr>
      <w:r>
        <w:rPr>
          <w:rFonts w:cs="Calibri" w:ascii="Calibri" w:hAnsi="Calibri" w:eastAsia="Calibri"/>
          <w:szCs w:val="25"/>
          <w:lang w:val="en-CA" w:eastAsia="en-CA" w:bidi="ar-SA"/>
          <w:b/>
          <w:color w:val="8A6D2F"/>
          <w:sz w:val="25"/>
        </w:rPr>
        <w:t>4.2 Interpretation Rules</w:t>
      </w:r>
    </w:p>
    <w:p>
      <w:pPr>
        <w:pStyle w:val="Normal"/>
      </w:pPr>
      <w:r>
        <w:rPr>
          <w:rFonts w:cs="Calibri" w:ascii="Calibri" w:hAnsi="Calibri" w:eastAsia="Calibri"/>
          <w:szCs w:val="23"/>
          <w:lang w:val="en-CA" w:eastAsia="en-CA" w:bidi="ar-SA"/>
          <w:color w:val="212B32"/>
          <w:sz w:val="23"/>
        </w:rPr>
        <w:t>Five rules govern interpretation. First, the present-tense drafting convention binds interpretation: every statement of operational fact reads as a standing rule, not a description of a moment. Second, the specific governs the general, and an annex governs its own technical subject within the authority the parent article delegates to it. Third, the no-fade rule resolves every doubt about duration in favor of continuity. Fourth, the mutual architecture principle resolves every doubt about the incidence of a prohibition in favor of equal application to all States Parties. Fifth, nothing in this Framework admits interpretation as a charge on passage, a suspension of transit, or a permission regime for international commercial transit in either corridor.</w:t>
      </w:r>
    </w:p>
    <w:p>
      <w:pPr>
        <w:pStyle w:val="Heading3"/>
      </w:pPr>
      <w:r>
        <w:rPr>
          <w:rFonts w:cs="Calibri" w:ascii="Calibri" w:hAnsi="Calibri" w:eastAsia="Calibri"/>
          <w:szCs w:val="25"/>
          <w:lang w:val="en-CA" w:eastAsia="en-CA" w:bidi="ar-SA"/>
          <w:b/>
          <w:color w:val="8A6D2F"/>
          <w:sz w:val="25"/>
        </w:rPr>
        <w:t>4.3 Numbering and Cross-Reference</w:t>
      </w:r>
    </w:p>
    <w:p>
      <w:pPr>
        <w:pStyle w:val="Normal"/>
      </w:pPr>
      <w:r>
        <w:rPr>
          <w:rFonts w:cs="Calibri" w:ascii="Calibri" w:hAnsi="Calibri" w:eastAsia="Calibri"/>
          <w:szCs w:val="23"/>
          <w:lang w:val="en-CA" w:eastAsia="en-CA" w:bidi="ar-SA"/>
          <w:color w:val="212B32"/>
          <w:sz w:val="23"/>
        </w:rPr>
        <w:t>Articles divide into numbered sections. A reference to a section without an article number refers to a section of the article in which the reference appears. A reference to an annex incorporates the annex as operative text. The Governing Board maintains a concordance of cross-references in the master registry, and a clerical correction to a cross-reference proceeds as a technical correction under Article 33 without constituting an amendment.</w:t>
      </w:r>
    </w:p>
    <w:p>
      <w:pPr>
        <w:pStyle w:val="Heading3"/>
      </w:pPr>
      <w:r>
        <w:rPr>
          <w:rFonts w:cs="Calibri" w:ascii="Calibri" w:hAnsi="Calibri" w:eastAsia="Calibri"/>
          <w:szCs w:val="25"/>
          <w:lang w:val="en-CA" w:eastAsia="en-CA" w:bidi="ar-SA"/>
          <w:b/>
          <w:color w:val="8A6D2F"/>
          <w:sz w:val="25"/>
        </w:rPr>
        <w:t>4.4 Nomenclature Neutrality</w:t>
      </w:r>
    </w:p>
    <w:p>
      <w:pPr>
        <w:pStyle w:val="Normal"/>
      </w:pPr>
      <w:r>
        <w:rPr>
          <w:rFonts w:cs="Calibri" w:ascii="Calibri" w:hAnsi="Calibri" w:eastAsia="Calibri"/>
          <w:szCs w:val="23"/>
          <w:lang w:val="en-CA" w:eastAsia="en-CA" w:bidi="ar-SA"/>
          <w:color w:val="212B32"/>
          <w:sz w:val="23"/>
        </w:rPr>
        <w:t>The waterway carries different designations in the domestic usage of the States Parties, and the framework architecture treats each domestic designation as valid within its own records. This Framework uses the designation Strait of Hormuz in all instruments, filings, and publications, as the neutral operational descriptor. Each Party retains full authority over its domestic nomenclature for domestic communications, and no State Party objects to the other's internal usage. No State Party represents publicly that another State Party accepts or endorses any domestic designation.</w:t>
      </w:r>
    </w:p>
    <w:p>
      <w:pPr>
        <w:pStyle w:val="Heading1"/>
      </w:pPr>
      <w:bookmarkStart w:id="18" w:name="_Toc1010"/>
      <w:bookmarkStart w:id="19" w:name="_Toc235667441"/>
      <w:r>
        <w:rPr>
          <w:szCs w:val="44"/>
          <w:lang w:val="en-CA" w:eastAsia="en-CA" w:bidi="ar-SA"/>
          <w:rFonts w:ascii="Cambria" w:hAnsi="Cambria" w:eastAsia="Cambria" w:cs="Cambria"/>
          <w:b/>
          <w:color w:val="1F3A4D"/>
          <w:sz w:val="44"/>
        </w:rPr>
        <w:t>Part II: The Dual-Corridor Navigation System</w:t>
      </w:r>
      <w:bookmarkEnd w:id="18"/>
      <w:bookmarkEnd w:id="19"/>
    </w:p>
    <w:p>
      <w:pPr>
        <w:pStyle w:val="Heading2"/>
      </w:pPr>
      <w:bookmarkStart w:id="20" w:name="_Toc1011"/>
      <w:bookmarkStart w:id="21" w:name="_Toc235667442"/>
      <w:r>
        <w:rPr>
          <w:rFonts w:cs="Cambria" w:ascii="Cambria" w:hAnsi="Cambria" w:eastAsia="Cambria"/>
          <w:szCs w:val="30"/>
          <w:lang w:val="en-CA" w:eastAsia="en-CA" w:bidi="ar-SA"/>
          <w:color w:val="212B32"/>
          <w:b/>
          <w:sz w:val="30"/>
        </w:rPr>
        <w:t>Article 5: The Corridor System at a Glance</w:t>
      </w:r>
      <w:bookmarkEnd w:id="20"/>
      <w:bookmarkEnd w:id="21"/>
    </w:p>
    <w:p>
      <w:pPr>
        <w:pStyle w:val="Heading3"/>
      </w:pPr>
      <w:r>
        <w:rPr>
          <w:rFonts w:cs="Calibri" w:ascii="Calibri" w:hAnsi="Calibri" w:eastAsia="Calibri"/>
          <w:szCs w:val="25"/>
          <w:lang w:val="en-CA" w:eastAsia="en-CA" w:bidi="ar-SA"/>
          <w:b/>
          <w:color w:val="8A6D2F"/>
          <w:sz w:val="25"/>
        </w:rPr>
        <w:t>5.1 Design Logic</w:t>
      </w:r>
    </w:p>
    <w:p>
      <w:pPr>
        <w:pStyle w:val="Normal"/>
      </w:pPr>
      <w:r>
        <w:rPr>
          <w:rFonts w:cs="Calibri" w:ascii="Calibri" w:hAnsi="Calibri" w:eastAsia="Calibri"/>
          <w:szCs w:val="23"/>
          <w:lang w:val="en-CA" w:eastAsia="en-CA" w:bidi="ar-SA"/>
          <w:color w:val="212B32"/>
          <w:sz w:val="23"/>
        </w:rPr>
        <w:t>The corridor system dissolves the route dispute of 2026 through architecture rather than adjudication. Two corridors operate. Corridor A runs through Omani waters as the primary international thoroughfare, open to all vessels of all classes without prior notice, without permission, and without charge, under the primary administration of a designated Gulf State, initially the Sultanate of Oman. Corridor B runs through Iranian waters as the managed northern passage, serving vessels bound for Iranian ports, vessels requesting Iranian services, and vessels electing the northern route, under a notification and recording regime that functions as information, never as permission, under the primary administration of a designated Gulf State, initially the Islamic Republic of Iran. The primary administration of each corridor rotates among the States Parties on the cycle and sequence the Governing Board decides, and the rotation ensures that no single state holds permanent sway over either corridor. Both corridors operate under the toll-free guarantee of Article 17. Both corridors feed the same joint monitoring architecture. A vessel selects either corridor freely, and the architecture excludes any penalty, delay, or challenge for that selection.</w:t>
      </w:r>
    </w:p>
    <w:p>
      <w:pPr>
        <w:pStyle w:val="Heading3"/>
      </w:pPr>
      <w:r>
        <w:rPr>
          <w:rFonts w:cs="Calibri" w:ascii="Calibri" w:hAnsi="Calibri" w:eastAsia="Calibri"/>
          <w:szCs w:val="25"/>
          <w:lang w:val="en-CA" w:eastAsia="en-CA" w:bidi="ar-SA"/>
          <w:b/>
          <w:color w:val="8A6D2F"/>
          <w:sz w:val="25"/>
        </w:rPr>
        <w:t>5.2 The Operational Matrix</w:t>
      </w:r>
    </w:p>
    <w:p>
      <w:pPr>
        <w:pStyle w:val="Normal"/>
      </w:pPr>
      <w:r>
        <w:rPr>
          <w:rFonts w:cs="Calibri" w:ascii="Calibri" w:hAnsi="Calibri" w:eastAsia="Calibri"/>
          <w:szCs w:val="23"/>
          <w:lang w:val="en-CA" w:eastAsia="en-CA" w:bidi="ar-SA"/>
          <w:color w:val="212B32"/>
          <w:sz w:val="23"/>
        </w:rPr>
        <w:t>The following matrix states the standing parameters of the two corridors. Annex A fixes the full geometry; Annex B fixes the vessel-class rules; Annex C fixes the notification procedures.</w:t>
      </w:r>
    </w:p>
    <w:p>
      <w:pPr>
        <w:pStyle w:val="Normal"/>
        <w:spacing w:before="120" w:after="0"/>
      </w:pPr>
    </w:p>
    <w:tbl>
      <w:tblPr>
        <w:tblStyle w:val="TableNormal"/>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3074"/>
        <w:gridCol w:w="3075"/>
        <w:gridCol w:w="3077"/>
      </w:tblGrid>
      <w:tr>
        <w:trPr>
          <w:cantSplit w:val="1"/>
          <w:tblHeader w:val="1"/>
        </w:trPr>
        <w:tc>
          <w:tcPr>
            <w:tcW w:w="3074"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Parameter</w:t>
            </w:r>
          </w:p>
        </w:tc>
        <w:tc>
          <w:tcPr>
            <w:tcW w:w="3075"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Corridor A (Omani Guarantee)</w:t>
            </w:r>
          </w:p>
        </w:tc>
        <w:tc>
          <w:tcPr>
            <w:tcW w:w="3077"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Corridor B (Iranian Arrangement)</w:t>
            </w:r>
          </w:p>
        </w:tc>
      </w:tr>
      <w:tr>
        <w:trPr>
          <w:cantSplit w:val="1"/>
        </w:trPr>
        <w:tc>
          <w:tcPr>
            <w:tcW w:w="3074" w:type="dxa"/>
          </w:tcPr>
          <w:p>
            <w:pPr>
              <w:pStyle w:val="Normal"/>
              <w:spacing w:before="30" w:after="30" w:line="264" w:lineRule="auto"/>
              <w:jc w:val="left"/>
            </w:pPr>
            <w:r>
              <w:rPr>
                <w:rFonts w:cs="Calibri" w:ascii="Calibri" w:hAnsi="Calibri" w:eastAsia="Calibri"/>
                <w:color w:val="2B3942"/>
                <w:sz w:val="19"/>
                <w:szCs w:val="19"/>
                <w:lang w:val="en-CA" w:eastAsia="en-CA" w:bidi="ar-SA"/>
              </w:rPr>
              <w:t>Position</w:t>
            </w:r>
          </w:p>
        </w:tc>
        <w:tc>
          <w:tcPr>
            <w:tcW w:w="3075" w:type="dxa"/>
          </w:tcPr>
          <w:p>
            <w:pPr>
              <w:pStyle w:val="Normal"/>
              <w:spacing w:before="30" w:after="30" w:line="264" w:lineRule="auto"/>
              <w:jc w:val="left"/>
            </w:pPr>
            <w:r>
              <w:rPr>
                <w:rFonts w:cs="Calibri" w:ascii="Calibri" w:hAnsi="Calibri" w:eastAsia="Calibri"/>
                <w:color w:val="2B3942"/>
                <w:sz w:val="19"/>
                <w:szCs w:val="19"/>
                <w:lang w:val="en-CA" w:eastAsia="en-CA" w:bidi="ar-SA"/>
              </w:rPr>
              <w:t>Southern Strait, Omani territorial sea</w:t>
            </w:r>
          </w:p>
        </w:tc>
        <w:tc>
          <w:tcPr>
            <w:tcW w:w="3077" w:type="dxa"/>
          </w:tcPr>
          <w:p>
            <w:pPr>
              <w:pStyle w:val="Normal"/>
              <w:spacing w:before="30" w:after="30" w:line="264" w:lineRule="auto"/>
              <w:jc w:val="left"/>
            </w:pPr>
            <w:r>
              <w:rPr>
                <w:rFonts w:cs="Calibri" w:ascii="Calibri" w:hAnsi="Calibri" w:eastAsia="Calibri"/>
                <w:color w:val="2B3942"/>
                <w:sz w:val="19"/>
                <w:szCs w:val="19"/>
                <w:lang w:val="en-CA" w:eastAsia="en-CA" w:bidi="ar-SA"/>
              </w:rPr>
              <w:t>Northern Strait, Iranian territorial sea, Qeshm and Larak approaches</w:t>
            </w:r>
          </w:p>
        </w:tc>
      </w:tr>
      <w:tr>
        <w:trPr>
          <w:cantSplit w:val="1"/>
        </w:trPr>
        <w:tc>
          <w:tcPr>
            <w:tcW w:w="3074" w:type="dxa"/>
          </w:tcPr>
          <w:p>
            <w:pPr>
              <w:pStyle w:val="Normal"/>
              <w:spacing w:before="30" w:after="30" w:line="264" w:lineRule="auto"/>
              <w:jc w:val="left"/>
            </w:pPr>
            <w:r>
              <w:rPr>
                <w:rFonts w:cs="Calibri" w:ascii="Calibri" w:hAnsi="Calibri" w:eastAsia="Calibri"/>
                <w:color w:val="2B3942"/>
                <w:sz w:val="19"/>
                <w:szCs w:val="19"/>
                <w:lang w:val="en-CA" w:eastAsia="en-CA" w:bidi="ar-SA"/>
              </w:rPr>
              <w:t>Primary administration</w:t>
            </w:r>
          </w:p>
        </w:tc>
        <w:tc>
          <w:tcPr>
            <w:tcW w:w="3075" w:type="dxa"/>
          </w:tcPr>
          <w:p>
            <w:pPr>
              <w:pStyle w:val="Normal"/>
              <w:spacing w:before="30" w:after="30" w:line="264" w:lineRule="auto"/>
              <w:jc w:val="left"/>
            </w:pPr>
            <w:r>
              <w:rPr>
                <w:rFonts w:cs="Calibri" w:ascii="Calibri" w:hAnsi="Calibri" w:eastAsia="Calibri"/>
                <w:color w:val="2B3942"/>
                <w:sz w:val="19"/>
                <w:szCs w:val="19"/>
                <w:lang w:val="en-CA" w:eastAsia="en-CA" w:bidi="ar-SA"/>
              </w:rPr>
              <w:t>Designated Gulf State Administration under GMCAF oversight</w:t>
            </w:r>
          </w:p>
        </w:tc>
        <w:tc>
          <w:tcPr>
            <w:tcW w:w="3077" w:type="dxa"/>
          </w:tcPr>
          <w:p>
            <w:pPr>
              <w:pStyle w:val="Normal"/>
              <w:spacing w:before="30" w:after="30" w:line="264" w:lineRule="auto"/>
              <w:jc w:val="left"/>
            </w:pPr>
            <w:r>
              <w:rPr>
                <w:rFonts w:cs="Calibri" w:ascii="Calibri" w:hAnsi="Calibri" w:eastAsia="Calibri"/>
                <w:color w:val="2B3942"/>
                <w:sz w:val="19"/>
                <w:szCs w:val="19"/>
                <w:lang w:val="en-CA" w:eastAsia="en-CA" w:bidi="ar-SA"/>
              </w:rPr>
              <w:t>Designated Gulf State Administration under GMCAF oversight</w:t>
            </w:r>
          </w:p>
        </w:tc>
      </w:tr>
      <w:tr>
        <w:trPr>
          <w:cantSplit w:val="1"/>
        </w:trPr>
        <w:tc>
          <w:tcPr>
            <w:tcW w:w="3074" w:type="dxa"/>
          </w:tcPr>
          <w:p>
            <w:pPr>
              <w:pStyle w:val="Normal"/>
              <w:spacing w:before="30" w:after="30" w:line="264" w:lineRule="auto"/>
              <w:jc w:val="left"/>
            </w:pPr>
            <w:r>
              <w:rPr>
                <w:rFonts w:cs="Calibri" w:ascii="Calibri" w:hAnsi="Calibri" w:eastAsia="Calibri"/>
                <w:color w:val="2B3942"/>
                <w:sz w:val="19"/>
                <w:szCs w:val="19"/>
                <w:lang w:val="en-CA" w:eastAsia="en-CA" w:bidi="ar-SA"/>
              </w:rPr>
              <w:t>Width and configuration</w:t>
            </w:r>
          </w:p>
        </w:tc>
        <w:tc>
          <w:tcPr>
            <w:tcW w:w="3075" w:type="dxa"/>
          </w:tcPr>
          <w:p>
            <w:pPr>
              <w:pStyle w:val="Normal"/>
              <w:spacing w:before="30" w:after="30" w:line="264" w:lineRule="auto"/>
              <w:jc w:val="left"/>
            </w:pPr>
            <w:r>
              <w:rPr>
                <w:rFonts w:cs="Calibri" w:ascii="Calibri" w:hAnsi="Calibri" w:eastAsia="Calibri"/>
                <w:color w:val="2B3942"/>
                <w:sz w:val="19"/>
                <w:szCs w:val="19"/>
                <w:lang w:val="en-CA" w:eastAsia="en-CA" w:bidi="ar-SA"/>
              </w:rPr>
              <w:t>Two (2.0) nautical miles; two-way separated lanes</w:t>
            </w:r>
          </w:p>
        </w:tc>
        <w:tc>
          <w:tcPr>
            <w:tcW w:w="3077" w:type="dxa"/>
          </w:tcPr>
          <w:p>
            <w:pPr>
              <w:pStyle w:val="Normal"/>
              <w:spacing w:before="30" w:after="30" w:line="264" w:lineRule="auto"/>
              <w:jc w:val="left"/>
            </w:pPr>
            <w:r>
              <w:rPr>
                <w:rFonts w:cs="Calibri" w:ascii="Calibri" w:hAnsi="Calibri" w:eastAsia="Calibri"/>
                <w:color w:val="2B3942"/>
                <w:sz w:val="19"/>
                <w:szCs w:val="19"/>
                <w:lang w:val="en-CA" w:eastAsia="en-CA" w:bidi="ar-SA"/>
              </w:rPr>
              <w:t>One and a half (1.5) nautical miles; managed single stream with passing zones</w:t>
            </w:r>
          </w:p>
        </w:tc>
      </w:tr>
      <w:tr>
        <w:trPr>
          <w:cantSplit w:val="1"/>
        </w:trPr>
        <w:tc>
          <w:tcPr>
            <w:tcW w:w="3074" w:type="dxa"/>
          </w:tcPr>
          <w:p>
            <w:pPr>
              <w:pStyle w:val="Normal"/>
              <w:spacing w:before="30" w:after="30" w:line="264" w:lineRule="auto"/>
              <w:jc w:val="left"/>
            </w:pPr>
            <w:r>
              <w:rPr>
                <w:rFonts w:cs="Calibri" w:ascii="Calibri" w:hAnsi="Calibri" w:eastAsia="Calibri"/>
                <w:color w:val="2B3942"/>
                <w:sz w:val="19"/>
                <w:szCs w:val="19"/>
                <w:lang w:val="en-CA" w:eastAsia="en-CA" w:bidi="ar-SA"/>
              </w:rPr>
              <w:t>Prior notice</w:t>
            </w:r>
          </w:p>
        </w:tc>
        <w:tc>
          <w:tcPr>
            <w:tcW w:w="3075" w:type="dxa"/>
          </w:tcPr>
          <w:p>
            <w:pPr>
              <w:pStyle w:val="Normal"/>
              <w:spacing w:before="30" w:after="30" w:line="264" w:lineRule="auto"/>
              <w:jc w:val="left"/>
            </w:pPr>
            <w:r>
              <w:rPr>
                <w:rFonts w:cs="Calibri" w:ascii="Calibri" w:hAnsi="Calibri" w:eastAsia="Calibri"/>
                <w:color w:val="2B3942"/>
                <w:sz w:val="19"/>
                <w:szCs w:val="19"/>
                <w:lang w:val="en-CA" w:eastAsia="en-CA" w:bidi="ar-SA"/>
              </w:rPr>
              <w:t>None; continuous automatic identification broadcast only</w:t>
            </w:r>
          </w:p>
        </w:tc>
        <w:tc>
          <w:tcPr>
            <w:tcW w:w="3077" w:type="dxa"/>
          </w:tcPr>
          <w:p>
            <w:pPr>
              <w:pStyle w:val="Normal"/>
              <w:spacing w:before="30" w:after="30" w:line="264" w:lineRule="auto"/>
              <w:jc w:val="left"/>
            </w:pPr>
            <w:r>
              <w:rPr>
                <w:rFonts w:cs="Calibri" w:ascii="Calibri" w:hAnsi="Calibri" w:eastAsia="Calibri"/>
                <w:color w:val="2B3942"/>
                <w:sz w:val="19"/>
                <w:szCs w:val="19"/>
                <w:lang w:val="en-CA" w:eastAsia="en-CA" w:bidi="ar-SA"/>
              </w:rPr>
              <w:t>Six (6) hour advance notification to the Center, recorded as information</w:t>
            </w:r>
          </w:p>
        </w:tc>
      </w:tr>
      <w:tr>
        <w:trPr>
          <w:cantSplit w:val="1"/>
        </w:trPr>
        <w:tc>
          <w:tcPr>
            <w:tcW w:w="3074" w:type="dxa"/>
          </w:tcPr>
          <w:p>
            <w:pPr>
              <w:pStyle w:val="Normal"/>
              <w:spacing w:before="30" w:after="30" w:line="264" w:lineRule="auto"/>
              <w:jc w:val="left"/>
            </w:pPr>
            <w:r>
              <w:rPr>
                <w:rFonts w:cs="Calibri" w:ascii="Calibri" w:hAnsi="Calibri" w:eastAsia="Calibri"/>
                <w:color w:val="2B3942"/>
                <w:sz w:val="19"/>
                <w:szCs w:val="19"/>
                <w:lang w:val="en-CA" w:eastAsia="en-CA" w:bidi="ar-SA"/>
              </w:rPr>
              <w:t>Tolls or passage charges</w:t>
            </w:r>
          </w:p>
        </w:tc>
        <w:tc>
          <w:tcPr>
            <w:tcW w:w="3075" w:type="dxa"/>
          </w:tcPr>
          <w:p>
            <w:pPr>
              <w:pStyle w:val="Normal"/>
              <w:spacing w:before="30" w:after="30" w:line="264" w:lineRule="auto"/>
              <w:jc w:val="left"/>
            </w:pPr>
            <w:r>
              <w:rPr>
                <w:rFonts w:cs="Calibri" w:ascii="Calibri" w:hAnsi="Calibri" w:eastAsia="Calibri"/>
                <w:color w:val="2B3942"/>
                <w:sz w:val="19"/>
                <w:szCs w:val="19"/>
                <w:lang w:val="en-CA" w:eastAsia="en-CA" w:bidi="ar-SA"/>
              </w:rPr>
              <w:t>None, under the guarantee of Article 17</w:t>
            </w:r>
          </w:p>
        </w:tc>
        <w:tc>
          <w:tcPr>
            <w:tcW w:w="3077" w:type="dxa"/>
          </w:tcPr>
          <w:p>
            <w:pPr>
              <w:pStyle w:val="Normal"/>
              <w:spacing w:before="30" w:after="30" w:line="264" w:lineRule="auto"/>
              <w:jc w:val="left"/>
            </w:pPr>
            <w:r>
              <w:rPr>
                <w:rFonts w:cs="Calibri" w:ascii="Calibri" w:hAnsi="Calibri" w:eastAsia="Calibri"/>
                <w:color w:val="2B3942"/>
                <w:sz w:val="19"/>
                <w:szCs w:val="19"/>
                <w:lang w:val="en-CA" w:eastAsia="en-CA" w:bidi="ar-SA"/>
              </w:rPr>
              <w:t>None, under the guarantee of Article 17</w:t>
            </w:r>
          </w:p>
        </w:tc>
      </w:tr>
      <w:tr>
        <w:trPr>
          <w:cantSplit w:val="1"/>
        </w:trPr>
        <w:tc>
          <w:tcPr>
            <w:tcW w:w="3074" w:type="dxa"/>
          </w:tcPr>
          <w:p>
            <w:pPr>
              <w:pStyle w:val="Normal"/>
              <w:spacing w:before="30" w:after="30" w:line="264" w:lineRule="auto"/>
              <w:jc w:val="left"/>
            </w:pPr>
            <w:r>
              <w:rPr>
                <w:rFonts w:cs="Calibri" w:ascii="Calibri" w:hAnsi="Calibri" w:eastAsia="Calibri"/>
                <w:color w:val="2B3942"/>
                <w:sz w:val="19"/>
                <w:szCs w:val="19"/>
                <w:lang w:val="en-CA" w:eastAsia="en-CA" w:bidi="ar-SA"/>
              </w:rPr>
              <w:t>Services</w:t>
            </w:r>
          </w:p>
        </w:tc>
        <w:tc>
          <w:tcPr>
            <w:tcW w:w="3075" w:type="dxa"/>
          </w:tcPr>
          <w:p>
            <w:pPr>
              <w:pStyle w:val="Normal"/>
              <w:spacing w:before="30" w:after="30" w:line="264" w:lineRule="auto"/>
              <w:jc w:val="left"/>
            </w:pPr>
            <w:r>
              <w:rPr>
                <w:rFonts w:cs="Calibri" w:ascii="Calibri" w:hAnsi="Calibri" w:eastAsia="Calibri"/>
                <w:color w:val="2B3942"/>
                <w:sz w:val="19"/>
                <w:szCs w:val="19"/>
                <w:lang w:val="en-CA" w:eastAsia="en-CA" w:bidi="ar-SA"/>
              </w:rPr>
              <w:t>Full catalog of Annex E, on request</w:t>
            </w:r>
          </w:p>
        </w:tc>
        <w:tc>
          <w:tcPr>
            <w:tcW w:w="3077" w:type="dxa"/>
          </w:tcPr>
          <w:p>
            <w:pPr>
              <w:pStyle w:val="Normal"/>
              <w:spacing w:before="30" w:after="30" w:line="264" w:lineRule="auto"/>
              <w:jc w:val="left"/>
            </w:pPr>
            <w:r>
              <w:rPr>
                <w:rFonts w:cs="Calibri" w:ascii="Calibri" w:hAnsi="Calibri" w:eastAsia="Calibri"/>
                <w:color w:val="2B3942"/>
                <w:sz w:val="19"/>
                <w:szCs w:val="19"/>
                <w:lang w:val="en-CA" w:eastAsia="en-CA" w:bidi="ar-SA"/>
              </w:rPr>
              <w:t>Full catalog of Annex E, on request; Iranian port services for Iran-bound traffic</w:t>
            </w:r>
          </w:p>
        </w:tc>
      </w:tr>
      <w:tr>
        <w:trPr>
          <w:cantSplit w:val="1"/>
        </w:trPr>
        <w:tc>
          <w:tcPr>
            <w:tcW w:w="3074" w:type="dxa"/>
          </w:tcPr>
          <w:p>
            <w:pPr>
              <w:pStyle w:val="Normal"/>
              <w:spacing w:before="30" w:after="30" w:line="264" w:lineRule="auto"/>
              <w:jc w:val="left"/>
            </w:pPr>
            <w:r>
              <w:rPr>
                <w:szCs w:val="24"/>
                <w:lang w:val="en-CA" w:eastAsia="en-CA" w:bidi="ar-SA"/>
                <w:rFonts w:ascii="Calibri" w:eastAsia="Calibri" w:hAnsi="Calibri" w:cs="Calibri"/>
                <w:color w:val="2B3942"/>
                <w:sz w:val="19"/>
              </w:rPr>
              <w:t>Speed regime</w:t>
            </w:r>
          </w:p>
        </w:tc>
        <w:tc>
          <w:tcPr>
            <w:tcW w:w="3075" w:type="dxa"/>
          </w:tcPr>
          <w:p>
            <w:pPr>
              <w:pStyle w:val="Normal"/>
              <w:spacing w:before="30" w:after="30" w:line="264" w:lineRule="auto"/>
              <w:jc w:val="left"/>
            </w:pPr>
            <w:r>
              <w:rPr>
                <w:rFonts w:cs="Calibri" w:ascii="Calibri" w:hAnsi="Calibri" w:eastAsia="Calibri"/>
                <w:color w:val="2B3942"/>
                <w:sz w:val="19"/>
                <w:szCs w:val="19"/>
                <w:lang w:val="en-CA" w:eastAsia="en-CA" w:bidi="ar-SA"/>
              </w:rPr>
              <w:t>Eight (8) to eighteen (18) knots</w:t>
            </w:r>
          </w:p>
        </w:tc>
        <w:tc>
          <w:tcPr>
            <w:tcW w:w="3077" w:type="dxa"/>
          </w:tcPr>
          <w:p>
            <w:pPr>
              <w:pStyle w:val="Normal"/>
              <w:spacing w:before="30" w:after="30" w:line="264" w:lineRule="auto"/>
              <w:jc w:val="left"/>
            </w:pPr>
            <w:r>
              <w:rPr>
                <w:rFonts w:cs="Calibri" w:ascii="Calibri" w:hAnsi="Calibri" w:eastAsia="Calibri"/>
                <w:color w:val="2B3942"/>
                <w:sz w:val="19"/>
                <w:szCs w:val="19"/>
                <w:lang w:val="en-CA" w:eastAsia="en-CA" w:bidi="ar-SA"/>
              </w:rPr>
              <w:t>Six (6) to fourteen (14) knots</w:t>
            </w:r>
          </w:p>
        </w:tc>
      </w:tr>
      <w:tr>
        <w:trPr>
          <w:cantSplit w:val="1"/>
        </w:trPr>
        <w:tc>
          <w:tcPr>
            <w:tcW w:w="3074" w:type="dxa"/>
          </w:tcPr>
          <w:p>
            <w:pPr>
              <w:pStyle w:val="Normal"/>
              <w:spacing w:before="30" w:after="30" w:line="264" w:lineRule="auto"/>
              <w:jc w:val="left"/>
            </w:pPr>
            <w:r>
              <w:rPr>
                <w:rFonts w:cs="Calibri" w:ascii="Calibri" w:hAnsi="Calibri" w:eastAsia="Calibri"/>
                <w:color w:val="2B3942"/>
                <w:sz w:val="19"/>
                <w:szCs w:val="19"/>
                <w:lang w:val="en-CA" w:eastAsia="en-CA" w:bidi="ar-SA"/>
              </w:rPr>
              <w:t>Security oversight</w:t>
            </w:r>
          </w:p>
        </w:tc>
        <w:tc>
          <w:tcPr>
            <w:tcW w:w="3075" w:type="dxa"/>
          </w:tcPr>
          <w:p>
            <w:pPr>
              <w:pStyle w:val="Normal"/>
              <w:spacing w:before="30" w:after="30" w:line="264" w:lineRule="auto"/>
              <w:jc w:val="left"/>
            </w:pPr>
            <w:r>
              <w:rPr>
                <w:rFonts w:cs="Calibri" w:ascii="Calibri" w:hAnsi="Calibri" w:eastAsia="Calibri"/>
                <w:color w:val="2B3942"/>
                <w:sz w:val="19"/>
                <w:szCs w:val="19"/>
                <w:lang w:val="en-CA" w:eastAsia="en-CA" w:bidi="ar-SA"/>
              </w:rPr>
              <w:t>Joint patrol architecture with Omani lead</w:t>
            </w:r>
          </w:p>
        </w:tc>
        <w:tc>
          <w:tcPr>
            <w:tcW w:w="3077" w:type="dxa"/>
          </w:tcPr>
          <w:p>
            <w:pPr>
              <w:pStyle w:val="Normal"/>
              <w:spacing w:before="30" w:after="30" w:line="264" w:lineRule="auto"/>
              <w:jc w:val="left"/>
            </w:pPr>
            <w:r>
              <w:rPr>
                <w:rFonts w:cs="Calibri" w:ascii="Calibri" w:hAnsi="Calibri" w:eastAsia="Calibri"/>
                <w:color w:val="2B3942"/>
                <w:sz w:val="19"/>
                <w:szCs w:val="19"/>
                <w:lang w:val="en-CA" w:eastAsia="en-CA" w:bidi="ar-SA"/>
              </w:rPr>
              <w:t>Joint patrol architecture with Iranian lead and embarked joint observers</w:t>
            </w:r>
          </w:p>
        </w:tc>
      </w:tr>
      <w:tr>
        <w:trPr>
          <w:cantSplit w:val="1"/>
        </w:trPr>
        <w:tc>
          <w:tcPr>
            <w:tcW w:w="3074" w:type="dxa"/>
          </w:tcPr>
          <w:p>
            <w:pPr>
              <w:pStyle w:val="Normal"/>
              <w:spacing w:before="30" w:after="30" w:line="264" w:lineRule="auto"/>
              <w:jc w:val="left"/>
            </w:pPr>
            <w:r>
              <w:rPr>
                <w:rFonts w:cs="Calibri" w:ascii="Calibri" w:hAnsi="Calibri" w:eastAsia="Calibri"/>
                <w:color w:val="2B3942"/>
                <w:sz w:val="19"/>
                <w:szCs w:val="19"/>
                <w:lang w:val="en-CA" w:eastAsia="en-CA" w:bidi="ar-SA"/>
              </w:rPr>
              <w:t>Military vessels</w:t>
            </w:r>
          </w:p>
        </w:tc>
        <w:tc>
          <w:tcPr>
            <w:tcW w:w="3075" w:type="dxa"/>
          </w:tcPr>
          <w:p>
            <w:pPr>
              <w:pStyle w:val="Normal"/>
              <w:spacing w:before="30" w:after="30" w:line="264" w:lineRule="auto"/>
              <w:jc w:val="left"/>
            </w:pPr>
            <w:r>
              <w:rPr>
                <w:rFonts w:cs="Calibri" w:ascii="Calibri" w:hAnsi="Calibri" w:eastAsia="Calibri"/>
                <w:color w:val="2B3942"/>
                <w:sz w:val="19"/>
                <w:szCs w:val="19"/>
                <w:lang w:val="en-CA" w:eastAsia="en-CA" w:bidi="ar-SA"/>
              </w:rPr>
              <w:t>Transit under the military protocol of Article 26</w:t>
            </w:r>
          </w:p>
        </w:tc>
        <w:tc>
          <w:tcPr>
            <w:tcW w:w="3077" w:type="dxa"/>
          </w:tcPr>
          <w:p>
            <w:pPr>
              <w:pStyle w:val="Normal"/>
              <w:spacing w:before="30" w:after="30" w:line="264" w:lineRule="auto"/>
              <w:jc w:val="left"/>
            </w:pPr>
            <w:r>
              <w:rPr>
                <w:rFonts w:cs="Calibri" w:ascii="Calibri" w:hAnsi="Calibri" w:eastAsia="Calibri"/>
                <w:color w:val="2B3942"/>
                <w:sz w:val="19"/>
                <w:szCs w:val="19"/>
                <w:lang w:val="en-CA" w:eastAsia="en-CA" w:bidi="ar-SA"/>
              </w:rPr>
              <w:t>Prior diplomatic notification of seventy-two (72) hours; non-hostile passage profile</w:t>
            </w:r>
          </w:p>
        </w:tc>
      </w:tr>
    </w:tbl>
    <w:p>
      <w:pPr>
        <w:pStyle w:val="Normal"/>
      </w:pPr>
    </w:p>
    <w:p>
      <w:pPr>
        <w:pStyle w:val="Heading3"/>
      </w:pPr>
      <w:r>
        <w:rPr>
          <w:rFonts w:cs="Calibri" w:ascii="Calibri" w:hAnsi="Calibri" w:eastAsia="Calibri"/>
          <w:szCs w:val="25"/>
          <w:lang w:val="en-CA" w:eastAsia="en-CA" w:bidi="ar-SA"/>
          <w:b/>
          <w:color w:val="8A6D2F"/>
          <w:sz w:val="25"/>
        </w:rPr>
        <w:t>5.3 One Water, Two Corridors</w:t>
      </w:r>
    </w:p>
    <w:p>
      <w:pPr>
        <w:pStyle w:val="Normal"/>
      </w:pPr>
      <w:r>
        <w:rPr>
          <w:rFonts w:cs="Calibri" w:ascii="Calibri" w:hAnsi="Calibri" w:eastAsia="Calibri"/>
          <w:szCs w:val="23"/>
          <w:lang w:val="en-CA" w:eastAsia="en-CA" w:bidi="ar-SA"/>
          <w:color w:val="212B32"/>
          <w:sz w:val="23"/>
        </w:rPr>
        <w:t>The corridor system functions as a single integrated waterway with two managed passages, not as two separate regimes. One geometry registry, one monitoring dashboard, one incident classification, one financial architecture, and one compliance engine govern both corridors. A vessel crossing from one corridor to the other inside the Operating Area follows the merge rules of Annex A, and the Center tracks the vessel continuously across the merge without a new notification and without interruption of safe-passage status.</w:t>
      </w:r>
    </w:p>
    <w:p>
      <w:pPr>
        <w:pStyle w:val="Heading3"/>
      </w:pPr>
      <w:r>
        <w:rPr>
          <w:rFonts w:cs="Calibri" w:ascii="Calibri" w:hAnsi="Calibri" w:eastAsia="Calibri"/>
          <w:szCs w:val="25"/>
          <w:lang w:val="en-CA" w:eastAsia="en-CA" w:bidi="ar-SA"/>
          <w:b/>
          <w:color w:val="8A6D2F"/>
          <w:sz w:val="25"/>
        </w:rPr>
        <w:t>5.4 Capacity and Congestion Management</w:t>
      </w:r>
    </w:p>
    <w:p>
      <w:pPr>
        <w:pStyle w:val="Normal"/>
      </w:pPr>
      <w:r>
        <w:rPr>
          <w:rFonts w:cs="Calibri" w:ascii="Calibri" w:hAnsi="Calibri" w:eastAsia="Calibri"/>
          <w:szCs w:val="23"/>
          <w:lang w:val="en-CA" w:eastAsia="en-CA" w:bidi="ar-SA"/>
          <w:color w:val="212B32"/>
          <w:sz w:val="23"/>
        </w:rPr>
        <w:t>The corridor system meters entry flow at the reporting points of Annex A to preserve safe spacing, and it publishes real-time capacity status on the Shared Dashboard. In normal operation the system handles the full pre-crisis traffic volume of approximately one hundred (100) commercial transits per day across both corridors, with surge capacity to one hundred forty (140) per day under the convoy rules of Annex A. Congestion management operates by queuing at designated holding anchorages, never by refusal of entry, and queuing priority follows the vessel-class rules of Annex B with humanitarian and passenger traffic first.</w:t>
      </w:r>
    </w:p>
    <w:p>
      <w:pPr>
        <w:pStyle w:val="Heading2"/>
      </w:pPr>
      <w:bookmarkStart w:id="22" w:name="_Toc1012"/>
      <w:bookmarkStart w:id="23" w:name="_Toc235667443"/>
      <w:r>
        <w:rPr>
          <w:szCs w:val="30"/>
          <w:lang w:val="en-CA" w:eastAsia="en-CA" w:bidi="ar-SA"/>
          <w:color w:val="212B32"/>
          <w:rFonts w:ascii="Cambria" w:hAnsi="Cambria" w:eastAsia="Cambria" w:cs="Cambria"/>
          <w:b/>
          <w:sz w:val="30"/>
        </w:rPr>
        <w:t>Article 6: Corridor A: The Omani Guarantee Corridor</w:t>
      </w:r>
      <w:bookmarkEnd w:id="22"/>
      <w:bookmarkEnd w:id="23"/>
    </w:p>
    <w:p>
      <w:pPr>
        <w:pStyle w:val="Heading3"/>
      </w:pPr>
      <w:r>
        <w:rPr>
          <w:rFonts w:cs="Calibri" w:ascii="Calibri" w:hAnsi="Calibri" w:eastAsia="Calibri"/>
          <w:szCs w:val="25"/>
          <w:lang w:val="en-CA" w:eastAsia="en-CA" w:bidi="ar-SA"/>
          <w:b/>
          <w:color w:val="8A6D2F"/>
          <w:sz w:val="25"/>
        </w:rPr>
        <w:t>6.1 Function and Status</w:t>
      </w:r>
    </w:p>
    <w:p>
      <w:pPr>
        <w:pStyle w:val="Normal"/>
      </w:pPr>
      <w:r>
        <w:rPr>
          <w:rFonts w:cs="Calibri" w:ascii="Calibri" w:hAnsi="Calibri" w:eastAsia="Calibri"/>
          <w:szCs w:val="23"/>
          <w:lang w:val="en-CA" w:eastAsia="en-CA" w:bidi="ar-SA"/>
          <w:color w:val="212B32"/>
          <w:sz w:val="23"/>
        </w:rPr>
        <w:t>Corridor A serves as the primary commercial thoroughfare of the Strait, situated within the territorial sea of the Sultanate of Oman along the Musandam coast. It carries standard transit for all global merchant shipping, and it replicates, within the organized architecture of this Framework, the conditions of free navigation that international commerce requires. The Designated Gulf State Administration, initially the Sultanate of Oman, exercises primary administrative and maritime safety jurisdiction in Corridor A, under the joint oversight architecture of Part III. Corridor A operation stands as the visible, daily proof that the settlement preserves freedom of navigation.</w:t>
      </w:r>
    </w:p>
    <w:p>
      <w:pPr>
        <w:pStyle w:val="Heading3"/>
      </w:pPr>
      <w:r>
        <w:rPr>
          <w:rFonts w:cs="Calibri" w:ascii="Calibri" w:hAnsi="Calibri" w:eastAsia="Calibri"/>
          <w:szCs w:val="25"/>
          <w:lang w:val="en-CA" w:eastAsia="en-CA" w:bidi="ar-SA"/>
          <w:b/>
          <w:color w:val="8A6D2F"/>
          <w:sz w:val="25"/>
        </w:rPr>
        <w:t>6.2 Open Transit Regime</w:t>
      </w:r>
    </w:p>
    <w:p>
      <w:pPr>
        <w:pStyle w:val="Normal"/>
      </w:pPr>
      <w:r>
        <w:rPr>
          <w:rFonts w:cs="Calibri" w:ascii="Calibri" w:hAnsi="Calibri" w:eastAsia="Calibri"/>
          <w:szCs w:val="23"/>
          <w:lang w:val="en-CA" w:eastAsia="en-CA" w:bidi="ar-SA"/>
          <w:color w:val="212B32"/>
          <w:sz w:val="23"/>
        </w:rPr>
        <w:t>Corridor A operates without prior notice, without permission, and without charge. A vessel of any class and any flag enters the corridor at the published entry reporting point, broadcasts continuous automatic identification data under the rules of Annex A, maintains the speed regime, and transits. No authority hails, boards, diverts, delays, or charges a compliant vessel. A vessel that prefers not to broadcast identification data transits under the non-telemetry protocol of Annex O, which substitutes a scheduled voice reporting plan agreed with the Center before entry; the choice of reporting method carries no difference in treatment, no fee, and no delay beyond the safety spacing the traffic picture requires.</w:t>
      </w:r>
    </w:p>
    <w:p>
      <w:pPr>
        <w:pStyle w:val="Heading3"/>
      </w:pPr>
      <w:r>
        <w:rPr>
          <w:rFonts w:cs="Calibri" w:ascii="Calibri" w:hAnsi="Calibri" w:eastAsia="Calibri"/>
          <w:szCs w:val="25"/>
          <w:lang w:val="en-CA" w:eastAsia="en-CA" w:bidi="ar-SA"/>
          <w:b/>
          <w:color w:val="8A6D2F"/>
          <w:sz w:val="25"/>
        </w:rPr>
        <w:t>6.3 Safety Services in Corridor A</w:t>
      </w:r>
    </w:p>
    <w:p>
      <w:pPr>
        <w:pStyle w:val="Normal"/>
      </w:pPr>
      <w:r>
        <w:rPr>
          <w:rFonts w:cs="Calibri" w:ascii="Calibri" w:hAnsi="Calibri" w:eastAsia="Calibri"/>
          <w:szCs w:val="23"/>
          <w:lang w:val="en-CA" w:eastAsia="en-CA" w:bidi="ar-SA"/>
          <w:color w:val="212B32"/>
          <w:sz w:val="23"/>
        </w:rPr>
        <w:t>The Designated Gulf State Administration, staffed jointly under Article 14, provides the full Services Catalog of Annex E within Corridor A: vessel traffic service, navigational assistance, pilotage on request, tug assistance on request, search and rescue standby, environmental monitoring, and aids to navigation. Every service operates on a request-and-delivery basis, priced at the pre-published rates of Annex E, reimbursed through the Fund under Article 20. No vessel purchases a service as a condition of transit; the catalog exists for vessels that choose it.</w:t>
      </w:r>
    </w:p>
    <w:p>
      <w:pPr>
        <w:pStyle w:val="Heading3"/>
      </w:pPr>
      <w:r>
        <w:rPr>
          <w:szCs w:val="25"/>
          <w:lang w:val="en-CA" w:eastAsia="en-CA" w:bidi="ar-SA"/>
          <w:rFonts w:ascii="Calibri" w:eastAsia="Calibri" w:hAnsi="Calibri" w:cs="Calibri"/>
          <w:b/>
          <w:color w:val="8A6D2F"/>
          <w:sz w:val="25"/>
        </w:rPr>
        <w:t>6.4 The Guarantee</w:t>
      </w:r>
    </w:p>
    <w:p>
      <w:pPr>
        <w:pStyle w:val="Normal"/>
      </w:pPr>
      <w:r>
        <w:rPr>
          <w:rFonts w:cs="Calibri" w:ascii="Calibri" w:hAnsi="Calibri" w:eastAsia="Calibri"/>
          <w:szCs w:val="23"/>
          <w:lang w:val="en-CA" w:eastAsia="en-CA" w:bidi="ar-SA"/>
          <w:color w:val="212B32"/>
          <w:sz w:val="23"/>
        </w:rPr>
        <w:t>The Parties jointly guarantee the continuity of Corridor A. The guarantee binds the architecture, not the moment: Corridor A operates every day, in every weather that international practice deems safe, under every political condition between the Parties, and under every external conflict. The guarantee admits one interruption mechanism and one only: the sixty (60) minute operational pause notice of Article 27, sector-limited and time-limited, which the Center issues on verified hazard. Even during a pause in one sector, the remainder of Corridor A continues to operate.</w:t>
      </w:r>
    </w:p>
    <w:p>
      <w:pPr>
        <w:pStyle w:val="Heading3"/>
      </w:pPr>
      <w:r>
        <w:rPr>
          <w:rFonts w:cs="Calibri" w:ascii="Calibri" w:hAnsi="Calibri" w:eastAsia="Calibri"/>
          <w:szCs w:val="25"/>
          <w:lang w:val="en-CA" w:eastAsia="en-CA" w:bidi="ar-SA"/>
          <w:b/>
          <w:color w:val="8A6D2F"/>
          <w:sz w:val="25"/>
        </w:rPr>
        <w:t>6.5 Military Transit in Corridor A</w:t>
      </w:r>
    </w:p>
    <w:p>
      <w:pPr>
        <w:pStyle w:val="Normal"/>
      </w:pPr>
      <w:r>
        <w:rPr>
          <w:rFonts w:cs="Calibri" w:ascii="Calibri" w:hAnsi="Calibri" w:eastAsia="Calibri"/>
          <w:szCs w:val="23"/>
          <w:lang w:val="en-CA" w:eastAsia="en-CA" w:bidi="ar-SA"/>
          <w:color w:val="212B32"/>
          <w:sz w:val="23"/>
        </w:rPr>
        <w:t>Naval and state vessels of all states transit Corridor A under the military protocol of Article 26: continuous surface transit, active transponders, no weapons employment, no aircraft operations over the corridor, and advance notification through the military de-confliction channel of Annex F. Military transit enjoys the same continuity guarantee as commercial transit. The architecture treats military transit as a safety management question, never as a permission question.</w:t>
      </w:r>
    </w:p>
    <w:p>
      <w:pPr>
        <w:pStyle w:val="Heading2"/>
      </w:pPr>
      <w:bookmarkStart w:id="24" w:name="_Toc1013"/>
      <w:bookmarkStart w:id="25" w:name="_Toc235667444"/>
      <w:r>
        <w:rPr>
          <w:rFonts w:cs="Cambria" w:ascii="Cambria" w:hAnsi="Cambria" w:eastAsia="Cambria"/>
          <w:szCs w:val="30"/>
          <w:lang w:val="en-CA" w:eastAsia="en-CA" w:bidi="ar-SA"/>
          <w:color w:val="212B32"/>
          <w:b/>
          <w:sz w:val="30"/>
        </w:rPr>
        <w:t>Article 7: Corridor B: The Iranian Arrangement Corridor</w:t>
      </w:r>
      <w:bookmarkEnd w:id="24"/>
      <w:bookmarkEnd w:id="25"/>
    </w:p>
    <w:p>
      <w:pPr>
        <w:pStyle w:val="Heading3"/>
      </w:pPr>
      <w:r>
        <w:rPr>
          <w:rFonts w:cs="Calibri" w:ascii="Calibri" w:hAnsi="Calibri" w:eastAsia="Calibri"/>
          <w:szCs w:val="25"/>
          <w:lang w:val="en-CA" w:eastAsia="en-CA" w:bidi="ar-SA"/>
          <w:b/>
          <w:color w:val="8A6D2F"/>
          <w:sz w:val="25"/>
        </w:rPr>
        <w:t>7.1 Function and Status</w:t>
      </w:r>
    </w:p>
    <w:p>
      <w:pPr>
        <w:pStyle w:val="Normal"/>
      </w:pPr>
      <w:r>
        <w:rPr>
          <w:rFonts w:cs="Calibri" w:ascii="Calibri" w:hAnsi="Calibri" w:eastAsia="Calibri"/>
          <w:szCs w:val="23"/>
          <w:lang w:val="en-CA" w:eastAsia="en-CA" w:bidi="ar-SA"/>
          <w:color w:val="212B32"/>
          <w:sz w:val="23"/>
        </w:rPr>
        <w:t>Corridor B serves as the managed northern passage of the Strait, situated within the territorial sea of the Islamic Republic of Iran along the Qeshm and Larak island chain. It serves three traffic streams: vessels bound to or from Iranian ports; vessels requesting Iranian maritime services, including pilotage through the northern channels; and vessels electing the northern route for navigational preference. The Designated Gulf State Administration, initially the Islamic Republic of Iran, exercises primary administrative and maritime safety jurisdiction in Corridor B, under the joint oversight architecture of Part III. Corridor B operation stands as the visible, daily proof that the settlement recognizes and organizes the role of the northern littoral state.</w:t>
      </w:r>
    </w:p>
    <w:p>
      <w:pPr>
        <w:pStyle w:val="Heading3"/>
      </w:pPr>
      <w:r>
        <w:rPr>
          <w:szCs w:val="25"/>
          <w:lang w:val="en-CA" w:eastAsia="en-CA" w:bidi="ar-SA"/>
          <w:rFonts w:ascii="Calibri" w:eastAsia="Calibri" w:hAnsi="Calibri" w:cs="Calibri"/>
          <w:b/>
          <w:color w:val="8A6D2F"/>
          <w:sz w:val="25"/>
        </w:rPr>
        <w:t>7.2 The Notification and Recording Regime</w:t>
      </w:r>
    </w:p>
    <w:p>
      <w:pPr>
        <w:pStyle w:val="Normal"/>
      </w:pPr>
      <w:r>
        <w:rPr>
          <w:rFonts w:cs="Calibri" w:ascii="Calibri" w:hAnsi="Calibri" w:eastAsia="Calibri"/>
          <w:szCs w:val="23"/>
          <w:lang w:val="en-CA" w:eastAsia="en-CA" w:bidi="ar-SA"/>
          <w:color w:val="212B32"/>
          <w:sz w:val="23"/>
        </w:rPr>
        <w:t>A vessel intending to use Corridor B transmits a transit notification to the Center six (6) hours before the entry reporting point, using the standard form of Annex C. The Center records the notification as information, validates the data against the vessel registry, assigns a transit record number, and returns an acknowledgment within thirty (30) minutes. The acknowledgment confirms receipt and data integrity; it grants nothing, because transit requires no grant. The notification regime exists for three operational purposes: traffic spacing in the single-stream channel; advance assignment of safety resources; and the vessel's own documentary record of regulated transit. A vessel that transmits no notification encounters an information hail from the Center on the hailing channel of Annex F, and completes the notification underway without stopping; a persistent refusal to notify routes the vessel to a holding anchorage under the traffic management rules, never to an interdiction at sea.</w:t>
      </w:r>
    </w:p>
    <w:p>
      <w:pPr>
        <w:pStyle w:val="Heading3"/>
      </w:pPr>
      <w:r>
        <w:rPr>
          <w:rFonts w:cs="Calibri" w:ascii="Calibri" w:hAnsi="Calibri" w:eastAsia="Calibri"/>
          <w:szCs w:val="25"/>
          <w:lang w:val="en-CA" w:eastAsia="en-CA" w:bidi="ar-SA"/>
          <w:b/>
          <w:color w:val="8A6D2F"/>
          <w:sz w:val="25"/>
        </w:rPr>
        <w:t>7.3 The Transit Record Number</w:t>
      </w:r>
    </w:p>
    <w:p>
      <w:pPr>
        <w:pStyle w:val="Normal"/>
      </w:pPr>
      <w:r>
        <w:rPr>
          <w:rFonts w:cs="Calibri" w:ascii="Calibri" w:hAnsi="Calibri" w:eastAsia="Calibri"/>
          <w:szCs w:val="23"/>
          <w:lang w:val="en-CA" w:eastAsia="en-CA" w:bidi="ar-SA"/>
          <w:color w:val="212B32"/>
          <w:sz w:val="23"/>
        </w:rPr>
        <w:t>The transit record number of Section 7.2 serves as the documentary anchor of Corridor B transit. It appears on the vessel's voyage records, on the Shared Dashboard transit log, and on any service invoice the vessel later receives. Insurers, charterers, and port authorities read the transit record number as proof of regulated, monitored passage through the northern corridor, and the insurance market pricing of Corridor B transit converges on the pricing of Corridor A as the record builds. The number costs nothing, delays nothing, and conditions nothing.</w:t>
      </w:r>
    </w:p>
    <w:p>
      <w:pPr>
        <w:pStyle w:val="Heading3"/>
      </w:pPr>
      <w:r>
        <w:rPr>
          <w:rFonts w:cs="Calibri" w:ascii="Calibri" w:hAnsi="Calibri" w:eastAsia="Calibri"/>
          <w:szCs w:val="25"/>
          <w:lang w:val="en-CA" w:eastAsia="en-CA" w:bidi="ar-SA"/>
          <w:b/>
          <w:color w:val="8A6D2F"/>
          <w:sz w:val="25"/>
        </w:rPr>
        <w:t>7.4 Iran-Bound Traffic</w:t>
      </w:r>
    </w:p>
    <w:p>
      <w:pPr>
        <w:pStyle w:val="Normal"/>
      </w:pPr>
      <w:r>
        <w:rPr>
          <w:rFonts w:cs="Calibri" w:ascii="Calibri" w:hAnsi="Calibri" w:eastAsia="Calibri"/>
          <w:szCs w:val="23"/>
          <w:lang w:val="en-CA" w:eastAsia="en-CA" w:bidi="ar-SA"/>
          <w:color w:val="212B32"/>
          <w:sz w:val="23"/>
        </w:rPr>
        <w:t>Vessels bound for Iranian ports receive the port services of the Islamic Republic of Iran under Iranian administration, priced under the published Iranian port tariff, which Iranian law governs outside this Framework. The corridor portion of the voyage remains toll-free under Article 17. The boundary between the corridor regime and the port regime sits at the port limits published in Annex A: inside port limits, national law governs; inside the corridor, this Framework governs. No charge attaches to the corridor portion under any label.</w:t>
      </w:r>
    </w:p>
    <w:p>
      <w:pPr>
        <w:pStyle w:val="Heading3"/>
      </w:pPr>
      <w:r>
        <w:rPr>
          <w:szCs w:val="25"/>
          <w:lang w:val="en-CA" w:eastAsia="en-CA" w:bidi="ar-SA"/>
          <w:rFonts w:ascii="Calibri" w:eastAsia="Calibri" w:hAnsi="Calibri" w:cs="Calibri"/>
          <w:b/>
          <w:color w:val="8A6D2F"/>
          <w:sz w:val="25"/>
        </w:rPr>
        <w:t>7.5 Joint Observer Presence</w:t>
      </w:r>
    </w:p>
    <w:p>
      <w:pPr>
        <w:pStyle w:val="Normal"/>
      </w:pPr>
      <w:r>
        <w:rPr>
          <w:rFonts w:cs="Calibri" w:ascii="Calibri" w:hAnsi="Calibri" w:eastAsia="Calibri"/>
          <w:szCs w:val="23"/>
          <w:lang w:val="en-CA" w:eastAsia="en-CA" w:bidi="ar-SA"/>
          <w:color w:val="212B32"/>
          <w:sz w:val="23"/>
        </w:rPr>
        <w:t>Joint observers embarked under Article 15 ride Iranian patrol craft and shore stations serving Corridor B on a published rotation. Observers serve in observer status only: they hold no command authority, they touch no weapon system, and they report through the Center's chain alone. The observer presence makes Corridor B as transparent to Oman as Corridor A is to Iran, and the symmetry of transparency holds the corridor system together.</w:t>
      </w:r>
    </w:p>
    <w:p>
      <w:pPr>
        <w:pStyle w:val="Heading3"/>
      </w:pPr>
      <w:r>
        <w:rPr>
          <w:rFonts w:cs="Calibri" w:ascii="Calibri" w:hAnsi="Calibri" w:eastAsia="Calibri"/>
          <w:szCs w:val="25"/>
          <w:lang w:val="en-CA" w:eastAsia="en-CA" w:bidi="ar-SA"/>
          <w:b/>
          <w:color w:val="8A6D2F"/>
          <w:sz w:val="25"/>
        </w:rPr>
        <w:t>7.6 Military Transit in Corridor B</w:t>
      </w:r>
    </w:p>
    <w:p>
      <w:pPr>
        <w:pStyle w:val="Normal"/>
      </w:pPr>
      <w:r>
        <w:rPr>
          <w:rFonts w:cs="Calibri" w:ascii="Calibri" w:hAnsi="Calibri" w:eastAsia="Calibri"/>
          <w:szCs w:val="23"/>
          <w:lang w:val="en-CA" w:eastAsia="en-CA" w:bidi="ar-SA"/>
          <w:color w:val="212B32"/>
          <w:sz w:val="23"/>
        </w:rPr>
        <w:t>Naval and state vessels of states other than the Parties transit Corridor B under the military protocol of Article 26, with seventy-two (72) hour advance notification through the diplomatic de-confliction channel of Annex F, a non-hostile passage profile, and continuous surface operation. The notification records as information and coordination, never as a permission request, and the Parties publish the standing military transit rules so that no navy improvises its passage.</w:t>
      </w:r>
    </w:p>
    <w:p>
      <w:pPr>
        <w:pStyle w:val="Heading2"/>
      </w:pPr>
      <w:bookmarkStart w:id="26" w:name="_Toc1014"/>
      <w:bookmarkStart w:id="27" w:name="_Toc235667445"/>
      <w:r>
        <w:rPr>
          <w:rFonts w:cs="Cambria" w:ascii="Cambria" w:hAnsi="Cambria" w:eastAsia="Cambria"/>
          <w:szCs w:val="30"/>
          <w:lang w:val="en-CA" w:eastAsia="en-CA" w:bidi="ar-SA"/>
          <w:color w:val="212B32"/>
          <w:b/>
          <w:sz w:val="30"/>
        </w:rPr>
        <w:t>Article 8: Corridor Geometry, Coordinates, and Separation</w:t>
      </w:r>
      <w:bookmarkEnd w:id="26"/>
      <w:bookmarkEnd w:id="27"/>
    </w:p>
    <w:p>
      <w:pPr>
        <w:pStyle w:val="Heading3"/>
      </w:pPr>
      <w:r>
        <w:rPr>
          <w:rFonts w:cs="Calibri" w:ascii="Calibri" w:hAnsi="Calibri" w:eastAsia="Calibri"/>
          <w:szCs w:val="25"/>
          <w:lang w:val="en-CA" w:eastAsia="en-CA" w:bidi="ar-SA"/>
          <w:b/>
          <w:color w:val="8A6D2F"/>
          <w:sz w:val="25"/>
        </w:rPr>
        <w:t>8.1 The Geometry Registry</w:t>
      </w:r>
    </w:p>
    <w:p>
      <w:pPr>
        <w:pStyle w:val="Normal"/>
      </w:pPr>
      <w:r>
        <w:rPr>
          <w:rFonts w:cs="Calibri" w:ascii="Calibri" w:hAnsi="Calibri" w:eastAsia="Calibri"/>
          <w:szCs w:val="23"/>
          <w:lang w:val="en-CA" w:eastAsia="en-CA" w:bidi="ar-SA"/>
          <w:color w:val="212B32"/>
          <w:sz w:val="23"/>
        </w:rPr>
        <w:t>Annex A fixes the complete geometry of the corridor system: every waypoint, every lateral boundary, every separation zone, every reporting point, every holding anchorage, and every chart reference. The Center maintains the geometry registry as the single authoritative source, publishes it on the Shared Dashboard, and files it with the International Maritime Organization through the joint notification of Article 2.5. A certified copy of the registry resides with the depositary of this Framework.</w:t>
      </w:r>
    </w:p>
    <w:p>
      <w:pPr>
        <w:pStyle w:val="Heading3"/>
      </w:pPr>
      <w:r>
        <w:rPr>
          <w:rFonts w:cs="Calibri" w:ascii="Calibri" w:hAnsi="Calibri" w:eastAsia="Calibri"/>
          <w:szCs w:val="25"/>
          <w:lang w:val="en-CA" w:eastAsia="en-CA" w:bidi="ar-SA"/>
          <w:b/>
          <w:color w:val="8A6D2F"/>
          <w:sz w:val="25"/>
        </w:rPr>
        <w:t>8.2 Geodetic Standard</w:t>
      </w:r>
    </w:p>
    <w:p>
      <w:pPr>
        <w:pStyle w:val="Normal"/>
      </w:pPr>
      <w:r>
        <w:rPr>
          <w:rFonts w:cs="Calibri" w:ascii="Calibri" w:hAnsi="Calibri" w:eastAsia="Calibri"/>
          <w:szCs w:val="23"/>
          <w:lang w:val="en-CA" w:eastAsia="en-CA" w:bidi="ar-SA"/>
          <w:color w:val="212B32"/>
          <w:sz w:val="23"/>
        </w:rPr>
        <w:t>All coordinates use the World Geodetic System 1984 datum, expressed in degrees, minutes, and decimal minutes of north latitude and east longitude. All distances use nautical miles. All depths use meters below chart datum. The chart reproduction scale for the corridor system stands at 1:150,000 for the Operating Area and 1:50,000 for the critical reaches, with the graticule and symbols of the International Hydrographic Organization standard.</w:t>
      </w:r>
    </w:p>
    <w:p>
      <w:pPr>
        <w:pStyle w:val="Heading3"/>
      </w:pPr>
      <w:r>
        <w:rPr>
          <w:szCs w:val="25"/>
          <w:lang w:val="en-CA" w:eastAsia="en-CA" w:bidi="ar-SA"/>
          <w:rFonts w:ascii="Calibri" w:eastAsia="Calibri" w:hAnsi="Calibri" w:cs="Calibri"/>
          <w:b/>
          <w:color w:val="8A6D2F"/>
          <w:sz w:val="25"/>
        </w:rPr>
        <w:t>8.3 Separation and Safety Bands</w:t>
      </w:r>
    </w:p>
    <w:p>
      <w:pPr>
        <w:pStyle w:val="Normal"/>
      </w:pPr>
      <w:r>
        <w:rPr>
          <w:rFonts w:cs="Calibri" w:ascii="Calibri" w:hAnsi="Calibri" w:eastAsia="Calibri"/>
          <w:szCs w:val="23"/>
          <w:lang w:val="en-CA" w:eastAsia="en-CA" w:bidi="ar-SA"/>
          <w:color w:val="212B32"/>
          <w:sz w:val="23"/>
        </w:rPr>
        <w:t>The corridor system nests inside five protective bands, running from the Iranian coast to the Omani coast: the Iranian Coastal Safety Band, Corridor B, the Inter-Corridor Separation Buffer of three (3.0) nautical miles, Corridor A, and the Omani Coastal Protection Band. Annex A fixes the width and rules of each band. The Inter-Corridor Separation Buffer carries no loitering armed presence of any State Party; patrol craft cross it on transit, and the architecture treats the buffer as shared calm water.</w:t>
      </w:r>
    </w:p>
    <w:p>
      <w:pPr>
        <w:pStyle w:val="Heading3"/>
      </w:pPr>
      <w:r>
        <w:rPr>
          <w:rFonts w:cs="Calibri" w:ascii="Calibri" w:hAnsi="Calibri" w:eastAsia="Calibri"/>
          <w:szCs w:val="25"/>
          <w:lang w:val="en-CA" w:eastAsia="en-CA" w:bidi="ar-SA"/>
          <w:b/>
          <w:color w:val="8A6D2F"/>
          <w:sz w:val="25"/>
        </w:rPr>
        <w:t>8.4 Geometry Adjustment</w:t>
      </w:r>
    </w:p>
    <w:p>
      <w:pPr>
        <w:pStyle w:val="Normal"/>
      </w:pPr>
      <w:r>
        <w:rPr>
          <w:rFonts w:cs="Calibri" w:ascii="Calibri" w:hAnsi="Calibri" w:eastAsia="Calibri"/>
          <w:szCs w:val="23"/>
          <w:lang w:val="en-CA" w:eastAsia="en-CA" w:bidi="ar-SA"/>
          <w:color w:val="212B32"/>
          <w:sz w:val="23"/>
        </w:rPr>
        <w:t>Adjustment of the geometry proceeds as a technical correction, never as a renegotiation. The Center proposes an adjustment with survey evidence, the Joint Technical Committee reviews the proposal within seventy-two (72) hours, and the Governing Board decides the adjustment by a two-thirds supermajority vote under Article 16. The dashboard publishes the updated geometry with forty-eight (48) hour notice to mariners. Under the no-fade rule, an adjustment accumulates into the registry without resetting any certification, and the registry carries a full audit trail of every change.</w:t>
      </w:r>
    </w:p>
    <w:p>
      <w:pPr>
        <w:pStyle w:val="Heading2"/>
      </w:pPr>
      <w:bookmarkStart w:id="28" w:name="_Toc1015"/>
      <w:bookmarkStart w:id="29" w:name="_Toc235667446"/>
      <w:r>
        <w:rPr>
          <w:rFonts w:cs="Cambria" w:ascii="Cambria" w:hAnsi="Cambria" w:eastAsia="Cambria"/>
          <w:szCs w:val="30"/>
          <w:lang w:val="en-CA" w:eastAsia="en-CA" w:bidi="ar-SA"/>
          <w:color w:val="212B32"/>
          <w:b/>
          <w:sz w:val="30"/>
        </w:rPr>
        <w:t>Article 9: Vessel Classification and Differentiated Treatment</w:t>
      </w:r>
      <w:bookmarkEnd w:id="28"/>
      <w:bookmarkEnd w:id="29"/>
    </w:p>
    <w:p>
      <w:pPr>
        <w:pStyle w:val="Heading3"/>
      </w:pPr>
      <w:r>
        <w:rPr>
          <w:rFonts w:cs="Calibri" w:ascii="Calibri" w:hAnsi="Calibri" w:eastAsia="Calibri"/>
          <w:szCs w:val="25"/>
          <w:lang w:val="en-CA" w:eastAsia="en-CA" w:bidi="ar-SA"/>
          <w:b/>
          <w:color w:val="8A6D2F"/>
          <w:sz w:val="25"/>
        </w:rPr>
        <w:t>9.1 The Classification Principle</w:t>
      </w:r>
    </w:p>
    <w:p>
      <w:pPr>
        <w:pStyle w:val="Normal"/>
      </w:pPr>
      <w:r>
        <w:rPr>
          <w:rFonts w:cs="Calibri" w:ascii="Calibri" w:hAnsi="Calibri" w:eastAsia="Calibri"/>
          <w:szCs w:val="23"/>
          <w:lang w:val="en-CA" w:eastAsia="en-CA" w:bidi="ar-SA"/>
          <w:color w:val="212B32"/>
          <w:sz w:val="23"/>
        </w:rPr>
        <w:t>The corridor system differentiates treatment by vessel purpose, size, and risk profile, and by nothing else. Annex B fixes ten vessel classes, each with its own corridor assignment, notification regime, speed regime, escort availability, inspection status, and reporting rules. The classification applies identically to every flag, every owner, every charterer, and every cargo origin or destination. The architecture excludes any classification, preferential tier, or penalty tier based on the political relationship of a flag state with any State Party to this Framework.</w:t>
      </w:r>
    </w:p>
    <w:p>
      <w:pPr>
        <w:pStyle w:val="Heading3"/>
      </w:pPr>
      <w:r>
        <w:rPr>
          <w:rFonts w:cs="Calibri" w:ascii="Calibri" w:hAnsi="Calibri" w:eastAsia="Calibri"/>
          <w:szCs w:val="25"/>
          <w:lang w:val="en-CA" w:eastAsia="en-CA" w:bidi="ar-SA"/>
          <w:b/>
          <w:color w:val="8A6D2F"/>
          <w:sz w:val="25"/>
        </w:rPr>
        <w:t>9.2 The Ten Classes</w:t>
      </w:r>
    </w:p>
    <w:p>
      <w:pPr>
        <w:pStyle w:val="Normal"/>
      </w:pPr>
      <w:r>
        <w:rPr>
          <w:rFonts w:cs="Calibri" w:ascii="Calibri" w:hAnsi="Calibri" w:eastAsia="Calibri"/>
          <w:szCs w:val="23"/>
          <w:lang w:val="en-CA" w:eastAsia="en-CA" w:bidi="ar-SA"/>
          <w:color w:val="212B32"/>
          <w:sz w:val="23"/>
        </w:rPr>
        <w:t>The classification comprises: Class 1, deep-draft crude oil tankers; Class 2, liquefied gas carriers; Class 3, product and chemical tankers; Class 4, container vessels; Class 5, bulk carriers and general cargo vessels; Class 6, passenger vessels and ferries; Class 7, fishing vessels and traditional craft; Class 8, state non-commercial, research, and hydrographic vessels; Class 9, naval and military vessels; and Class 10, humanitarian and emergency response vessels. Annex B states the full treatment matrix for each class.</w:t>
      </w:r>
    </w:p>
    <w:p>
      <w:pPr>
        <w:pStyle w:val="Heading3"/>
      </w:pPr>
      <w:r>
        <w:rPr>
          <w:szCs w:val="25"/>
          <w:lang w:val="en-CA" w:eastAsia="en-CA" w:bidi="ar-SA"/>
          <w:rFonts w:ascii="Calibri" w:eastAsia="Calibri" w:hAnsi="Calibri" w:cs="Calibri"/>
          <w:b/>
          <w:color w:val="8A6D2F"/>
          <w:sz w:val="25"/>
        </w:rPr>
        <w:t>9.3 Treatment Differentiation in Brief</w:t>
      </w:r>
    </w:p>
    <w:p>
      <w:pPr>
        <w:pStyle w:val="Normal"/>
      </w:pPr>
      <w:r>
        <w:rPr>
          <w:rFonts w:cs="Calibri" w:ascii="Calibri" w:hAnsi="Calibri" w:eastAsia="Calibri"/>
          <w:szCs w:val="23"/>
          <w:lang w:val="en-CA" w:eastAsia="en-CA" w:bidi="ar-SA"/>
          <w:color w:val="212B32"/>
          <w:sz w:val="23"/>
        </w:rPr>
        <w:t>Deep-draft tankers and gas carriers transit in managed streams with priority spacing, because their kinetic energy and cargo risk demand water around them. Passenger vessels and ferries receive protected scheduling windows and the highest rescue priority, because they carry lives rather than cargo. Fishing vessels and traditional craft operate under the small-craft rules with lateral access to both corridors at published crossing points, because their livelihood predates every modern scheme. Naval vessels transit under the military protocol, separate from the commercial streams. Humanitarian and emergency vessels receive absolute priority over every other class, in both corridors, at all times. The full matrix of Annex B governs.</w:t>
      </w:r>
    </w:p>
    <w:p>
      <w:pPr>
        <w:pStyle w:val="Heading3"/>
      </w:pPr>
      <w:r>
        <w:rPr>
          <w:rFonts w:cs="Calibri" w:ascii="Calibri" w:hAnsi="Calibri" w:eastAsia="Calibri"/>
          <w:szCs w:val="25"/>
          <w:lang w:val="en-CA" w:eastAsia="en-CA" w:bidi="ar-SA"/>
          <w:b/>
          <w:color w:val="8A6D2F"/>
          <w:sz w:val="25"/>
        </w:rPr>
        <w:t>9.4 Non-Discrimination</w:t>
      </w:r>
    </w:p>
    <w:p>
      <w:pPr>
        <w:pStyle w:val="Normal"/>
      </w:pPr>
      <w:r>
        <w:rPr>
          <w:rFonts w:cs="Calibri" w:ascii="Calibri" w:hAnsi="Calibri" w:eastAsia="Calibri"/>
          <w:szCs w:val="23"/>
          <w:lang w:val="en-CA" w:eastAsia="en-CA" w:bidi="ar-SA"/>
          <w:color w:val="212B32"/>
          <w:sz w:val="23"/>
        </w:rPr>
        <w:t>Within each class, treatment stands identical for all vessels. The architecture excludes: differential pricing by flag; differential notification burdens by ownership; differential inspection by destination; and any registry, list, or database that sorts vessels by political criteria. The Safe Registry of Article 19 sorts vessels by participation in a service funding mechanism, never by politics, and it alters no transit right, no transit priority, and no safety service for any vessel.</w:t>
      </w:r>
    </w:p>
    <w:p>
      <w:pPr>
        <w:pStyle w:val="Heading2"/>
      </w:pPr>
      <w:bookmarkStart w:id="30" w:name="_Toc1016"/>
      <w:bookmarkStart w:id="31" w:name="_Toc235667447"/>
      <w:r>
        <w:rPr>
          <w:rFonts w:cs="Cambria" w:ascii="Cambria" w:hAnsi="Cambria" w:eastAsia="Cambria"/>
          <w:szCs w:val="30"/>
          <w:lang w:val="en-CA" w:eastAsia="en-CA" w:bidi="ar-SA"/>
          <w:color w:val="212B32"/>
          <w:b/>
          <w:sz w:val="30"/>
        </w:rPr>
        <w:t>Article 10: Safe Passage Guarantees and the Non-Interdiction Protocol</w:t>
      </w:r>
      <w:bookmarkEnd w:id="30"/>
      <w:bookmarkEnd w:id="31"/>
    </w:p>
    <w:p>
      <w:pPr>
        <w:pStyle w:val="Heading3"/>
      </w:pPr>
      <w:r>
        <w:rPr>
          <w:rFonts w:cs="Calibri" w:ascii="Calibri" w:hAnsi="Calibri" w:eastAsia="Calibri"/>
          <w:szCs w:val="25"/>
          <w:lang w:val="en-CA" w:eastAsia="en-CA" w:bidi="ar-SA"/>
          <w:b/>
          <w:color w:val="8A6D2F"/>
          <w:sz w:val="25"/>
        </w:rPr>
        <w:t>10.1 The Guarantee of Safe Passage</w:t>
      </w:r>
    </w:p>
    <w:p>
      <w:pPr>
        <w:pStyle w:val="Normal"/>
      </w:pPr>
      <w:r>
        <w:rPr>
          <w:rFonts w:cs="Calibri" w:ascii="Calibri" w:hAnsi="Calibri" w:eastAsia="Calibri"/>
          <w:szCs w:val="23"/>
          <w:lang w:val="en-CA" w:eastAsia="en-CA" w:bidi="ar-SA"/>
          <w:color w:val="212B32"/>
          <w:sz w:val="23"/>
        </w:rPr>
        <w:t>Every vessel transiting the corridor system in compliance with its class rules enjoys a standing guarantee of safe passage. The guarantee operates as a design feature of the shared architecture: the corridor system excludes kinetic attack, boarding, seizure, detention, harassment, and interdiction of transiting vessels, by the forces of any State Party, under every circumstance including armed conflict between any states. The guarantee binds equally in both corridors and covers every class.</w:t>
      </w:r>
    </w:p>
    <w:p>
      <w:pPr>
        <w:pStyle w:val="Heading3"/>
      </w:pPr>
      <w:r>
        <w:rPr>
          <w:szCs w:val="25"/>
          <w:lang w:val="en-CA" w:eastAsia="en-CA" w:bidi="ar-SA"/>
          <w:rFonts w:ascii="Calibri" w:eastAsia="Calibri" w:hAnsi="Calibri" w:cs="Calibri"/>
          <w:b/>
          <w:color w:val="8A6D2F"/>
          <w:sz w:val="25"/>
        </w:rPr>
        <w:t>10.2 The Non-Interdiction Protocol</w:t>
      </w:r>
    </w:p>
    <w:p>
      <w:pPr>
        <w:pStyle w:val="Normal"/>
      </w:pPr>
      <w:r>
        <w:rPr>
          <w:rFonts w:cs="Calibri" w:ascii="Calibri" w:hAnsi="Calibri" w:eastAsia="Calibri"/>
          <w:szCs w:val="23"/>
          <w:lang w:val="en-CA" w:eastAsia="en-CA" w:bidi="ar-SA"/>
          <w:color w:val="212B32"/>
          <w:sz w:val="23"/>
        </w:rPr>
        <w:t>The non-interdiction protocol states the guarantee in operational terms. First, no vessel at anchor, under way, or maneuvering in the corridor system faces stop, board, search, or seizure at sea for any administrative reason; administrative irregularities route to the port of destination and to the flag state through the notification procedure of Annex G. Second, a vessel presenting an immediate, objective safety hazard, such as loss of propulsion, fire, or flooding, receives assistance under the search and rescue plan of Annex I, never enforcement. Third, a vessel credibly identified as posing an imminent military threat falls under the de-confliction protocol of Article 26, which routes the response through the Center and through graduated warning steps, with force as the last resort under the law of self-defense and never as a traffic management tool.</w:t>
      </w:r>
    </w:p>
    <w:p>
      <w:pPr>
        <w:pStyle w:val="Heading3"/>
      </w:pPr>
      <w:r>
        <w:rPr>
          <w:rFonts w:cs="Calibri" w:ascii="Calibri" w:hAnsi="Calibri" w:eastAsia="Calibri"/>
          <w:szCs w:val="25"/>
          <w:lang w:val="en-CA" w:eastAsia="en-CA" w:bidi="ar-SA"/>
          <w:b/>
          <w:color w:val="8A6D2F"/>
          <w:sz w:val="25"/>
        </w:rPr>
        <w:t>10.3 The Insurance Convergence Objective</w:t>
      </w:r>
    </w:p>
    <w:p>
      <w:pPr>
        <w:pStyle w:val="Normal"/>
      </w:pPr>
      <w:r>
        <w:rPr>
          <w:rFonts w:cs="Calibri" w:ascii="Calibri" w:hAnsi="Calibri" w:eastAsia="Calibri"/>
          <w:szCs w:val="23"/>
          <w:lang w:val="en-CA" w:eastAsia="en-CA" w:bidi="ar-SA"/>
          <w:color w:val="212B32"/>
          <w:sz w:val="23"/>
        </w:rPr>
        <w:t>The Parties design the guarantee to move markets, not only navies. The corridor system publishes its full safety record daily on the Shared Dashboard, and the Parties invite the insurance market, the classification societies, and the protection and indemnity clubs to observe the record through the participation instruments of Annex N. The standing objective of the architecture is the convergence of war-risk premiums for both corridors toward pre-crisis commercial levels as the banked record of incident-free transits accumulates, and the Fund architecture of Part IV supports that convergence through the Route Verification Data service of Annex E.</w:t>
      </w:r>
    </w:p>
    <w:p>
      <w:pPr>
        <w:pStyle w:val="Heading3"/>
      </w:pPr>
      <w:r>
        <w:rPr>
          <w:rFonts w:cs="Calibri" w:ascii="Calibri" w:hAnsi="Calibri" w:eastAsia="Calibri"/>
          <w:szCs w:val="25"/>
          <w:lang w:val="en-CA" w:eastAsia="en-CA" w:bidi="ar-SA"/>
          <w:b/>
          <w:color w:val="8A6D2F"/>
          <w:sz w:val="25"/>
        </w:rPr>
        <w:t>10.4 Protection of the Guarantee</w:t>
      </w:r>
    </w:p>
    <w:p>
      <w:pPr>
        <w:pStyle w:val="Normal"/>
      </w:pPr>
      <w:r>
        <w:rPr>
          <w:rFonts w:cs="Calibri" w:ascii="Calibri" w:hAnsi="Calibri" w:eastAsia="Calibri"/>
          <w:szCs w:val="23"/>
          <w:lang w:val="en-CA" w:eastAsia="en-CA" w:bidi="ar-SA"/>
          <w:color w:val="212B32"/>
          <w:sz w:val="23"/>
        </w:rPr>
        <w:t>A violation of the non-interdiction protocol classifies as a Tier 3 event under Article 29, activating the consultation and restoration machinery of Part VI at its highest level. The classification binds all States Parties symmetrically, and it covers action by any organ, force, or proxy of a Party. The attribution pathway of Article 28 handles contested incidents through evidence, never through accusation.</w:t>
      </w:r>
    </w:p>
    <w:p>
      <w:pPr>
        <w:pStyle w:val="Heading2"/>
      </w:pPr>
      <w:bookmarkStart w:id="32" w:name="_Toc1017"/>
      <w:bookmarkStart w:id="33" w:name="_Toc235667448"/>
      <w:r>
        <w:rPr>
          <w:szCs w:val="30"/>
          <w:lang w:val="en-CA" w:eastAsia="en-CA" w:bidi="ar-SA"/>
          <w:color w:val="212B32"/>
          <w:rFonts w:ascii="Cambria" w:hAnsi="Cambria" w:eastAsia="Cambria" w:cs="Cambria"/>
          <w:b/>
          <w:sz w:val="30"/>
        </w:rPr>
        <w:t>Article 11: Speed, Spacing, and Traffic Management</w:t>
      </w:r>
      <w:bookmarkEnd w:id="32"/>
      <w:bookmarkEnd w:id="33"/>
    </w:p>
    <w:p>
      <w:pPr>
        <w:pStyle w:val="Heading3"/>
      </w:pPr>
      <w:r>
        <w:rPr>
          <w:rFonts w:cs="Calibri" w:ascii="Calibri" w:hAnsi="Calibri" w:eastAsia="Calibri"/>
          <w:szCs w:val="25"/>
          <w:lang w:val="en-CA" w:eastAsia="en-CA" w:bidi="ar-SA"/>
          <w:b/>
          <w:color w:val="8A6D2F"/>
          <w:sz w:val="25"/>
        </w:rPr>
        <w:t>11.1 Speed Regimes</w:t>
      </w:r>
    </w:p>
    <w:p>
      <w:pPr>
        <w:pStyle w:val="Normal"/>
      </w:pPr>
      <w:r>
        <w:rPr>
          <w:rFonts w:cs="Calibri" w:ascii="Calibri" w:hAnsi="Calibri" w:eastAsia="Calibri"/>
          <w:szCs w:val="23"/>
          <w:lang w:val="en-CA" w:eastAsia="en-CA" w:bidi="ar-SA"/>
          <w:color w:val="212B32"/>
          <w:sz w:val="23"/>
        </w:rPr>
        <w:t>Corridor A operates at a minimum speed of eight (8) knots and a maximum of eighteen (18) knots. Corridor B operates at a minimum of six (6) knots and a maximum of fourteen (14) knots. The minima prevent artificial congestion and reduce targeting vulnerability; the maxima preserve stopping distance and maneuvering margins in confined water. Class-specific adjustments of Annex B prevail over the general regime where they differ.</w:t>
      </w:r>
    </w:p>
    <w:p>
      <w:pPr>
        <w:pStyle w:val="Heading3"/>
      </w:pPr>
      <w:r>
        <w:rPr>
          <w:rFonts w:cs="Calibri" w:ascii="Calibri" w:hAnsi="Calibri" w:eastAsia="Calibri"/>
          <w:szCs w:val="25"/>
          <w:lang w:val="en-CA" w:eastAsia="en-CA" w:bidi="ar-SA"/>
          <w:b/>
          <w:color w:val="8A6D2F"/>
          <w:sz w:val="25"/>
        </w:rPr>
        <w:t>11.2 Spacing and Overtaking</w:t>
      </w:r>
    </w:p>
    <w:p>
      <w:pPr>
        <w:pStyle w:val="Normal"/>
      </w:pPr>
      <w:r>
        <w:rPr>
          <w:rFonts w:cs="Calibri" w:ascii="Calibri" w:hAnsi="Calibri" w:eastAsia="Calibri"/>
          <w:szCs w:val="23"/>
          <w:lang w:val="en-CA" w:eastAsia="en-CA" w:bidi="ar-SA"/>
          <w:color w:val="212B32"/>
          <w:sz w:val="23"/>
        </w:rPr>
        <w:t>Vessels in the same lane maintain a minimum spacing of two (2) nautical miles. Overtaking proceeds under the international regulations for preventing collisions at sea with a minimum passing distance of one (1) nautical mile, inside the designated passing zones of Annex A in Corridor B. The Center meters entry flow at the entry reporting points to preserve spacing, and it publishes metering delays on the Shared Dashboard in real time.</w:t>
      </w:r>
    </w:p>
    <w:p>
      <w:pPr>
        <w:pStyle w:val="Heading3"/>
      </w:pPr>
      <w:r>
        <w:rPr>
          <w:rFonts w:cs="Calibri" w:ascii="Calibri" w:hAnsi="Calibri" w:eastAsia="Calibri"/>
          <w:szCs w:val="25"/>
          <w:lang w:val="en-CA" w:eastAsia="en-CA" w:bidi="ar-SA"/>
          <w:b/>
          <w:color w:val="8A6D2F"/>
          <w:sz w:val="25"/>
        </w:rPr>
        <w:t>11.3 Convoy and Stream Management</w:t>
      </w:r>
    </w:p>
    <w:p>
      <w:pPr>
        <w:pStyle w:val="Normal"/>
      </w:pPr>
      <w:r>
        <w:rPr>
          <w:rFonts w:cs="Calibri" w:ascii="Calibri" w:hAnsi="Calibri" w:eastAsia="Calibri"/>
          <w:szCs w:val="23"/>
          <w:lang w:val="en-CA" w:eastAsia="en-CA" w:bidi="ar-SA"/>
          <w:color w:val="212B32"/>
          <w:sz w:val="23"/>
        </w:rPr>
        <w:t>During surge conditions, the Center organizes vessels into scheduled streams by class, with tanker streams separated from container and bulk streams by published time blocks. Stream scheduling appears on the dashboard forty-eight (48) hours ahead, and charterers and agents read it as a public timetable. Stream membership carries no fee and no preference beyond the physics of safe separation.</w:t>
      </w:r>
    </w:p>
    <w:p>
      <w:pPr>
        <w:pStyle w:val="Heading3"/>
      </w:pPr>
      <w:r>
        <w:rPr>
          <w:rFonts w:cs="Calibri" w:ascii="Calibri" w:hAnsi="Calibri" w:eastAsia="Calibri"/>
          <w:szCs w:val="25"/>
          <w:lang w:val="en-CA" w:eastAsia="en-CA" w:bidi="ar-SA"/>
          <w:b/>
          <w:color w:val="8A6D2F"/>
          <w:sz w:val="25"/>
        </w:rPr>
        <w:t>11.4 Small-Craft Interface</w:t>
      </w:r>
    </w:p>
    <w:p>
      <w:pPr>
        <w:pStyle w:val="Normal"/>
      </w:pPr>
      <w:r>
        <w:rPr>
          <w:rFonts w:cs="Calibri" w:ascii="Calibri" w:hAnsi="Calibri" w:eastAsia="Calibri"/>
          <w:szCs w:val="23"/>
          <w:lang w:val="en-CA" w:eastAsia="en-CA" w:bidi="ar-SA"/>
          <w:color w:val="212B32"/>
          <w:sz w:val="23"/>
        </w:rPr>
        <w:t>Traditional craft cross the corridors only at the published crossing points of Annex A, under the small-craft rules of Annex B: crossing at right angles, at published hours, with radar reflectors and, where carried, identification broadcast. Ferry routes linking the ports and islands of all the Gulf States, including the routes between the Musandam ports and the Iranian islands, operate on published fixed lanes, reflecting the increased cross-border traffic of the multilateralized strait. The Center broadcasts advisories for these routes and all small-craft advisories on the working channel of Annex F, and the patrol architecture protects the crossing points during published crossing windows.</w:t>
      </w:r>
    </w:p>
    <w:p>
      <w:pPr>
        <w:pStyle w:val="Heading1"/>
      </w:pPr>
      <w:bookmarkStart w:id="34" w:name="_Toc1018"/>
      <w:bookmarkStart w:id="35" w:name="_Toc235667449"/>
      <w:r>
        <w:rPr>
          <w:szCs w:val="44"/>
          <w:lang w:val="en-CA" w:eastAsia="en-CA" w:bidi="ar-SA"/>
          <w:rFonts w:ascii="Cambria" w:hAnsi="Cambria" w:eastAsia="Cambria" w:cs="Cambria"/>
          <w:b/>
          <w:color w:val="1F3A4D"/>
          <w:sz w:val="44"/>
        </w:rPr>
        <w:t>Part III: Institutional Architecture</w:t>
      </w:r>
      <w:bookmarkEnd w:id="34"/>
      <w:bookmarkEnd w:id="35"/>
    </w:p>
    <w:p>
      <w:pPr>
        <w:pStyle w:val="Heading2"/>
      </w:pPr>
      <w:bookmarkStart w:id="36" w:name="_Toc1019"/>
      <w:bookmarkStart w:id="37" w:name="_Toc235667450"/>
      <w:r>
        <w:rPr>
          <w:rFonts w:cs="Cambria" w:ascii="Cambria" w:hAnsi="Cambria" w:eastAsia="Cambria"/>
          <w:szCs w:val="30"/>
          <w:lang w:val="en-CA" w:eastAsia="en-CA" w:bidi="ar-SA"/>
          <w:color w:val="212B32"/>
          <w:b/>
          <w:sz w:val="30"/>
        </w:rPr>
        <w:t>Article 12: The Gulf States Maritime Coordination Authority</w:t>
      </w:r>
      <w:bookmarkEnd w:id="36"/>
      <w:bookmarkEnd w:id="37"/>
    </w:p>
    <w:p>
      <w:pPr>
        <w:pStyle w:val="Heading3"/>
      </w:pPr>
      <w:r>
        <w:rPr>
          <w:rFonts w:cs="Calibri" w:ascii="Calibri" w:hAnsi="Calibri" w:eastAsia="Calibri"/>
          <w:szCs w:val="25"/>
          <w:lang w:val="en-CA" w:eastAsia="en-CA" w:bidi="ar-SA"/>
          <w:b/>
          <w:color w:val="8A6D2F"/>
          <w:sz w:val="25"/>
        </w:rPr>
        <w:t>12.1 Establishment and Legal Character</w:t>
      </w:r>
    </w:p>
    <w:p>
      <w:pPr>
        <w:pStyle w:val="Normal"/>
      </w:pPr>
      <w:r>
        <w:rPr>
          <w:rFonts w:cs="Calibri" w:ascii="Calibri" w:hAnsi="Calibri" w:eastAsia="Calibri"/>
          <w:szCs w:val="23"/>
          <w:lang w:val="en-CA" w:eastAsia="en-CA" w:bidi="ar-SA"/>
          <w:color w:val="212B32"/>
          <w:sz w:val="23"/>
        </w:rPr>
        <w:t>The States Parties establish the Gulf States Maritime Coordination Authority as the permanent joint institution of this Framework. The Authority holds international operational personality to the extent the States Parties confer upon it: it concludes service contracts, employs staff, holds bank accounts in the name of the Fund architecture, owns and leases equipment, and appears before international bodies in its technical capacity. The Authority is civilian in character, technical in function, and joint in ownership. It belongs equally to all States Parties, and no single Party directs it alone.</w:t>
      </w:r>
    </w:p>
    <w:p>
      <w:pPr>
        <w:pStyle w:val="Heading3"/>
      </w:pPr>
      <w:r>
        <w:rPr>
          <w:rFonts w:cs="Calibri" w:ascii="Calibri" w:hAnsi="Calibri" w:eastAsia="Calibri"/>
          <w:szCs w:val="25"/>
          <w:lang w:val="en-CA" w:eastAsia="en-CA" w:bidi="ar-SA"/>
          <w:b/>
          <w:color w:val="8A6D2F"/>
          <w:sz w:val="25"/>
        </w:rPr>
        <w:t>12.2 Organs</w:t>
      </w:r>
    </w:p>
    <w:p>
      <w:pPr>
        <w:pStyle w:val="Normal"/>
      </w:pPr>
      <w:r>
        <w:rPr>
          <w:rFonts w:cs="Calibri" w:ascii="Calibri" w:hAnsi="Calibri" w:eastAsia="Calibri"/>
          <w:szCs w:val="23"/>
          <w:lang w:val="en-CA" w:eastAsia="en-CA" w:bidi="ar-SA"/>
          <w:color w:val="212B32"/>
          <w:sz w:val="23"/>
        </w:rPr>
        <w:t>The Authority comprises four organs. The Governing Board sets policy, approves budgets, adopts the Services Catalog, and resolves disputes at the institutional level. The Executive Directorate runs daily operations under a dual-director structure. The Joint Maritime Coordination Center operates the corridor system in real time under Article 13. The Joint Technical Committee handles survey, standards, incident review, and certification. Annex D and Annex J state the charters, procedures, and standard forms of the four organs.</w:t>
      </w:r>
    </w:p>
    <w:p>
      <w:pPr>
        <w:pStyle w:val="Heading3"/>
      </w:pPr>
      <w:r>
        <w:rPr>
          <w:rFonts w:cs="Calibri" w:ascii="Calibri" w:hAnsi="Calibri" w:eastAsia="Calibri"/>
          <w:szCs w:val="25"/>
          <w:lang w:val="en-CA" w:eastAsia="en-CA" w:bidi="ar-SA"/>
          <w:b/>
          <w:color w:val="8A6D2F"/>
          <w:sz w:val="25"/>
        </w:rPr>
        <w:t>12.3 Seat and Facilities</w:t>
      </w:r>
    </w:p>
    <w:p>
      <w:pPr>
        <w:pStyle w:val="Normal"/>
      </w:pPr>
      <w:r>
        <w:rPr>
          <w:rFonts w:cs="Calibri" w:ascii="Calibri" w:hAnsi="Calibri" w:eastAsia="Calibri"/>
          <w:szCs w:val="23"/>
          <w:lang w:val="en-CA" w:eastAsia="en-CA" w:bidi="ar-SA"/>
          <w:color w:val="212B32"/>
          <w:sz w:val="23"/>
        </w:rPr>
        <w:t>The seat of the Authority stands in Muscat, Sultanate of Oman. The mirror facility stands in Bandar Abbas, Islamic Republic of Iran. The two facilities operate as one institution: identical data, identical procedures, mirrored staffing, and a standing rule that any function of the seat executes from the mirror on thirty (30) minutes notice. The Sultanate of Oman hosts the seat under a headquarters memorandum of the model form of Annex N; the Islamic Republic of Iran hosts the mirror under the symmetrical instrument. Each host extends to the Authority's premises and staff the functional immunities a technical maritime institution requires, and neither host treats the other's facility as a foreign mission.</w:t>
      </w:r>
    </w:p>
    <w:p>
      <w:pPr>
        <w:pStyle w:val="Heading3"/>
      </w:pPr>
      <w:r>
        <w:rPr>
          <w:szCs w:val="25"/>
          <w:lang w:val="en-CA" w:eastAsia="en-CA" w:bidi="ar-SA"/>
          <w:rFonts w:ascii="Calibri" w:eastAsia="Calibri" w:hAnsi="Calibri" w:cs="Calibri"/>
          <w:b/>
          <w:color w:val="8A6D2F"/>
          <w:sz w:val="25"/>
        </w:rPr>
        <w:t>12.4 The Governing Board</w:t>
      </w:r>
    </w:p>
    <w:p>
      <w:pPr>
        <w:pStyle w:val="Normal"/>
      </w:pPr>
      <w:r>
        <w:rPr>
          <w:rFonts w:cs="Calibri" w:ascii="Calibri" w:hAnsi="Calibri" w:eastAsia="Calibri"/>
          <w:szCs w:val="23"/>
          <w:lang w:val="en-CA" w:eastAsia="en-CA" w:bidi="ar-SA"/>
          <w:color w:val="212B32"/>
          <w:sz w:val="23"/>
        </w:rPr>
        <w:t>The Governing Board comprises one representative of each State Party, each representative serving a staggered three (3) year term. The Board chair rotates annually among the States Parties in the published rotation sequence, and the chair casts no deciding vote: the Board decides by a two-thirds supermajority vote of its members under Article 16. The Board meets monthly in ordinary session, alternately in Muscat and Bandar Abbas, and convenes in extraordinary session within twelve (12) hours on the call of any member. Board sessions produce a published record of decisions on the Shared Dashboard, with a confidential annex reserved strictly for personnel and procurement privacy.</w:t>
      </w:r>
    </w:p>
    <w:p>
      <w:pPr>
        <w:pStyle w:val="Heading3"/>
      </w:pPr>
      <w:r>
        <w:rPr>
          <w:rFonts w:cs="Calibri" w:ascii="Calibri" w:hAnsi="Calibri" w:eastAsia="Calibri"/>
          <w:szCs w:val="25"/>
          <w:lang w:val="en-CA" w:eastAsia="en-CA" w:bidi="ar-SA"/>
          <w:b/>
          <w:color w:val="8A6D2F"/>
          <w:sz w:val="25"/>
        </w:rPr>
        <w:t>12.5 The Executive Directorate</w:t>
      </w:r>
    </w:p>
    <w:p>
      <w:pPr>
        <w:pStyle w:val="Normal"/>
      </w:pPr>
      <w:r>
        <w:rPr>
          <w:rFonts w:cs="Calibri" w:ascii="Calibri" w:hAnsi="Calibri" w:eastAsia="Calibri"/>
          <w:szCs w:val="23"/>
          <w:lang w:val="en-CA" w:eastAsia="en-CA" w:bidi="ar-SA"/>
          <w:color w:val="212B32"/>
          <w:sz w:val="23"/>
        </w:rPr>
        <w:t>Two Executive Directors, one appointed by each Party, manage operations jointly. The directors divide portfolios functionally, one holding operations and the other holding finance and administration, and the portfolios swap at each annual boundary. Decisions of the Directorate issue under joint signature. A deadlock between the directors routes to the Governing Board within twenty-four (24) hours, and a Board deadlock routes to the dispute resolution ladder of Article 30. No operational function of the corridor system pauses during any deadlock: the standing procedures of the annexes govern by default until the dispute resolves, consistent with the no-fade rule.</w:t>
      </w:r>
    </w:p>
    <w:p>
      <w:pPr>
        <w:pStyle w:val="Heading3"/>
      </w:pPr>
      <w:r>
        <w:rPr>
          <w:rFonts w:cs="Calibri" w:ascii="Calibri" w:hAnsi="Calibri" w:eastAsia="Calibri"/>
          <w:szCs w:val="25"/>
          <w:lang w:val="en-CA" w:eastAsia="en-CA" w:bidi="ar-SA"/>
          <w:b/>
          <w:color w:val="8A6D2F"/>
          <w:sz w:val="25"/>
        </w:rPr>
        <w:t>12.6 The Joint Technical Committee</w:t>
      </w:r>
    </w:p>
    <w:p>
      <w:pPr>
        <w:pStyle w:val="Normal"/>
      </w:pPr>
      <w:r>
        <w:rPr>
          <w:rFonts w:cs="Calibri" w:ascii="Calibri" w:hAnsi="Calibri" w:eastAsia="Calibri"/>
          <w:szCs w:val="23"/>
          <w:lang w:val="en-CA" w:eastAsia="en-CA" w:bidi="ar-SA"/>
          <w:color w:val="212B32"/>
          <w:sz w:val="23"/>
        </w:rPr>
        <w:t>The Joint Technical Committee comprises six surveyors, engineers, and legal-technical specialists, three appointed by each Party, supported by the observer experts of Article 15 as non-voting advisers. The Committee certifies corridor geometry, audits the services record, reviews incidents under Article 27, conducts the annual systems audit, and issues the technical certificates of Annex J. The Committee decides technical questions by simple majority with a quorum of four including at least two appointees of each Party, and a tied question carries forward as an open item with both positions recorded, never as a suspension of the underlying operation.</w:t>
      </w:r>
    </w:p>
    <w:p>
      <w:pPr>
        <w:pStyle w:val="Heading2"/>
      </w:pPr>
      <w:bookmarkStart w:id="38" w:name="_Toc1020"/>
      <w:bookmarkStart w:id="39" w:name="_Toc235667451"/>
      <w:r>
        <w:rPr>
          <w:szCs w:val="30"/>
          <w:lang w:val="en-CA" w:eastAsia="en-CA" w:bidi="ar-SA"/>
          <w:color w:val="212B32"/>
          <w:rFonts w:ascii="Cambria" w:hAnsi="Cambria" w:eastAsia="Cambria" w:cs="Cambria"/>
          <w:b/>
          <w:sz w:val="30"/>
        </w:rPr>
        <w:t>Article 13: The Joint Maritime Coordination Center</w:t>
      </w:r>
      <w:bookmarkEnd w:id="38"/>
      <w:bookmarkEnd w:id="39"/>
    </w:p>
    <w:p>
      <w:pPr>
        <w:pStyle w:val="Heading3"/>
      </w:pPr>
      <w:r>
        <w:rPr>
          <w:rFonts w:cs="Calibri" w:ascii="Calibri" w:hAnsi="Calibri" w:eastAsia="Calibri"/>
          <w:szCs w:val="25"/>
          <w:lang w:val="en-CA" w:eastAsia="en-CA" w:bidi="ar-SA"/>
          <w:b/>
          <w:color w:val="8A6D2F"/>
          <w:sz w:val="25"/>
        </w:rPr>
        <w:t>13.1 Function</w:t>
      </w:r>
    </w:p>
    <w:p>
      <w:pPr>
        <w:pStyle w:val="Normal"/>
      </w:pPr>
      <w:r>
        <w:rPr>
          <w:rFonts w:cs="Calibri" w:ascii="Calibri" w:hAnsi="Calibri" w:eastAsia="Calibri"/>
          <w:szCs w:val="23"/>
          <w:lang w:val="en-CA" w:eastAsia="en-CA" w:bidi="ar-SA"/>
          <w:color w:val="212B32"/>
          <w:sz w:val="23"/>
        </w:rPr>
        <w:t>The Joint Maritime Coordination Center operates the corridor system in real time. The Center holds eight standing functions: continuous radar, identification, and visual tracking of the Operating Area; reception and recording of transit notifications; operation of the vessel traffic service; issuance of operational pause notices under Article 27; operation of the hotline and communications network of Annex F; custody of the geometry registry; publication of the daily status report; and first-line incident triage under Article 27. The Center coordinates; it never permits. No vessel requires the Center's approval to transit, and the Center's communications with vessels carry informational and safety content only.</w:t>
      </w:r>
    </w:p>
    <w:p>
      <w:pPr>
        <w:pStyle w:val="Heading3"/>
      </w:pPr>
      <w:r>
        <w:rPr>
          <w:rFonts w:cs="Calibri" w:ascii="Calibri" w:hAnsi="Calibri" w:eastAsia="Calibri"/>
          <w:szCs w:val="25"/>
          <w:lang w:val="en-CA" w:eastAsia="en-CA" w:bidi="ar-SA"/>
          <w:b/>
          <w:color w:val="8A6D2F"/>
          <w:sz w:val="25"/>
        </w:rPr>
        <w:t>13.2 Watch Structure</w:t>
      </w:r>
    </w:p>
    <w:p>
      <w:pPr>
        <w:pStyle w:val="Normal"/>
      </w:pPr>
      <w:r>
        <w:rPr>
          <w:rFonts w:cs="Calibri" w:ascii="Calibri" w:hAnsi="Calibri" w:eastAsia="Calibri"/>
          <w:szCs w:val="23"/>
          <w:lang w:val="en-CA" w:eastAsia="en-CA" w:bidi="ar-SA"/>
          <w:color w:val="212B32"/>
          <w:sz w:val="23"/>
        </w:rPr>
        <w:t>The Center stands a continuous joint watch, twenty-four hours, every day. Each watch comprises four officers drawn from the qualified maritime professionals of the States Parties on a published rotational basis: two watch supervisors and two traffic operators, with the supervisor roles alternating among the nationalities on each twelve (12) hour rotation. The rotation ensures that no single nationality dominates any watch, and at a minimum the watch supervisor and operator roles on every watch sit with nationals of two different States Parties, preserving the dual-control design of the Center. Every operational message to a vessel issues under both supervisors' concurrence, and the watch log records every message with a timestamp. The watch structure guarantees that no instruction to shipping ever issues from one State Party alone.</w:t>
      </w:r>
    </w:p>
    <w:p>
      <w:pPr>
        <w:pStyle w:val="Heading3"/>
      </w:pPr>
      <w:r>
        <w:rPr>
          <w:rFonts w:cs="Calibri" w:ascii="Calibri" w:hAnsi="Calibri" w:eastAsia="Calibri"/>
          <w:szCs w:val="25"/>
          <w:lang w:val="en-CA" w:eastAsia="en-CA" w:bidi="ar-SA"/>
          <w:b/>
          <w:color w:val="8A6D2F"/>
          <w:sz w:val="25"/>
        </w:rPr>
        <w:t>13.3 The Daily Status Report</w:t>
      </w:r>
    </w:p>
    <w:p>
      <w:pPr>
        <w:pStyle w:val="Normal"/>
      </w:pPr>
      <w:r>
        <w:rPr>
          <w:rFonts w:cs="Calibri" w:ascii="Calibri" w:hAnsi="Calibri" w:eastAsia="Calibri"/>
          <w:szCs w:val="23"/>
          <w:lang w:val="en-CA" w:eastAsia="en-CA" w:bidi="ar-SA"/>
          <w:color w:val="212B32"/>
          <w:sz w:val="23"/>
        </w:rPr>
        <w:t>The Center publishes the daily status report at 18:00 Gulf Standard Time, carrying one of three status lines: Calm, Irregular, or Investigating, together with transit counts by corridor and class, incident entries, pause notices and their duration, hotline traffic volume, average metering delay, and the safety record counters. The report posts to the Shared Dashboard in identical form for all States Parties, for stakeholders, and for the shipping public. The daily report replaces accusation with data: both capitals, the insurance market, and the industry read the same line at the same time.</w:t>
      </w:r>
    </w:p>
    <w:p>
      <w:pPr>
        <w:pStyle w:val="Heading3"/>
      </w:pPr>
      <w:r>
        <w:rPr>
          <w:szCs w:val="25"/>
          <w:lang w:val="en-CA" w:eastAsia="en-CA" w:bidi="ar-SA"/>
          <w:rFonts w:ascii="Calibri" w:eastAsia="Calibri" w:hAnsi="Calibri" w:cs="Calibri"/>
          <w:b/>
          <w:color w:val="8A6D2F"/>
          <w:sz w:val="25"/>
        </w:rPr>
        <w:t>13.4 The Mirror Facility</w:t>
      </w:r>
    </w:p>
    <w:p>
      <w:pPr>
        <w:pStyle w:val="Normal"/>
      </w:pPr>
      <w:r>
        <w:rPr>
          <w:rFonts w:cs="Calibri" w:ascii="Calibri" w:hAnsi="Calibri" w:eastAsia="Calibri"/>
          <w:szCs w:val="23"/>
          <w:lang w:val="en-CA" w:eastAsia="en-CA" w:bidi="ar-SA"/>
          <w:color w:val="212B32"/>
          <w:sz w:val="23"/>
        </w:rPr>
        <w:t>The Bandar Abbas mirror facility replicates the Muscat watch floor in full, receives the same sensor feeds, and stands ready to assume the primary watch on thirty (30) minutes notice. The Parties conduct a live handover drill every fourteen (14) days, alternating the primary watch between the two facilities for one watch period, so that the mirror never atrophies into ceremony. The drill record publishes on the dashboard.</w:t>
      </w:r>
    </w:p>
    <w:p>
      <w:pPr>
        <w:pStyle w:val="Heading3"/>
      </w:pPr>
      <w:r>
        <w:rPr>
          <w:rFonts w:cs="Calibri" w:ascii="Calibri" w:hAnsi="Calibri" w:eastAsia="Calibri"/>
          <w:szCs w:val="25"/>
          <w:lang w:val="en-CA" w:eastAsia="en-CA" w:bidi="ar-SA"/>
          <w:b/>
          <w:color w:val="8A6D2F"/>
          <w:sz w:val="25"/>
        </w:rPr>
        <w:t>13.5 Data Custody</w:t>
      </w:r>
    </w:p>
    <w:p>
      <w:pPr>
        <w:pStyle w:val="Normal"/>
      </w:pPr>
      <w:r>
        <w:rPr>
          <w:rFonts w:cs="Calibri" w:ascii="Calibri" w:hAnsi="Calibri" w:eastAsia="Calibri"/>
          <w:szCs w:val="23"/>
          <w:lang w:val="en-CA" w:eastAsia="en-CA" w:bidi="ar-SA"/>
          <w:color w:val="212B32"/>
          <w:sz w:val="23"/>
        </w:rPr>
        <w:t>The Center retains every watch log, every notification, every track record, and every message for a minimum of seven (7) years. Data custody follows the dual-copy rule: every record exists simultaneously in Muscat and Bandar Abbas under cryptographic timestamping, and neither copy admits unilateral alteration. The evidence standards of Article 28 treat a gap in the record as a fact requiring explanation, never as a fact supporting an accusation.</w:t>
      </w:r>
    </w:p>
    <w:p>
      <w:pPr>
        <w:pStyle w:val="Heading2"/>
      </w:pPr>
      <w:bookmarkStart w:id="40" w:name="_Toc1021"/>
      <w:bookmarkStart w:id="41" w:name="_Toc235667452"/>
      <w:r>
        <w:rPr>
          <w:rFonts w:cs="Cambria" w:ascii="Cambria" w:hAnsi="Cambria" w:eastAsia="Cambria"/>
          <w:szCs w:val="30"/>
          <w:lang w:val="en-CA" w:eastAsia="en-CA" w:bidi="ar-SA"/>
          <w:color w:val="212B32"/>
          <w:b/>
          <w:sz w:val="30"/>
        </w:rPr>
        <w:t>Article 14: Personnel, Civilian Character, and the Exclusion Clause</w:t>
      </w:r>
      <w:bookmarkEnd w:id="40"/>
      <w:bookmarkEnd w:id="41"/>
    </w:p>
    <w:p>
      <w:pPr>
        <w:pStyle w:val="Heading3"/>
      </w:pPr>
      <w:r>
        <w:rPr>
          <w:rFonts w:cs="Calibri" w:ascii="Calibri" w:hAnsi="Calibri" w:eastAsia="Calibri"/>
          <w:szCs w:val="25"/>
          <w:lang w:val="en-CA" w:eastAsia="en-CA" w:bidi="ar-SA"/>
          <w:b/>
          <w:color w:val="8A6D2F"/>
          <w:sz w:val="25"/>
        </w:rPr>
        <w:t>14.1 Civilian Character</w:t>
      </w:r>
    </w:p>
    <w:p>
      <w:pPr>
        <w:pStyle w:val="Normal"/>
      </w:pPr>
      <w:r>
        <w:rPr>
          <w:rFonts w:cs="Calibri" w:ascii="Calibri" w:hAnsi="Calibri" w:eastAsia="Calibri"/>
          <w:szCs w:val="23"/>
          <w:lang w:val="en-CA" w:eastAsia="en-CA" w:bidi="ar-SA"/>
          <w:color w:val="212B32"/>
          <w:sz w:val="23"/>
        </w:rPr>
        <w:t>The Authority is a civilian institution. Its staff are maritime professionals: vessel traffic operators, hydrographers, marine engineers, pilots, search and rescue coordinators, environmental officers, auditors, and administrators. The civilian character of the Authority is a design feature, not a courtesy: it separates the governance of merchant shipping from the military structures of the States Parties, and it makes the Authority a fit counterparty for the international shipping industry, the insurance market, and the International Maritime Organization.</w:t>
      </w:r>
    </w:p>
    <w:p>
      <w:pPr>
        <w:pStyle w:val="Heading3"/>
      </w:pPr>
      <w:r>
        <w:rPr>
          <w:szCs w:val="25"/>
          <w:lang w:val="en-CA" w:eastAsia="en-CA" w:bidi="ar-SA"/>
          <w:rFonts w:ascii="Calibri" w:eastAsia="Calibri" w:hAnsi="Calibri" w:cs="Calibri"/>
          <w:b/>
          <w:color w:val="8A6D2F"/>
          <w:sz w:val="25"/>
        </w:rPr>
        <w:t>14.2 The Exclusion Clause</w:t>
      </w:r>
    </w:p>
    <w:p>
      <w:pPr>
        <w:pStyle w:val="Normal"/>
      </w:pPr>
      <w:r>
        <w:rPr>
          <w:rFonts w:cs="Calibri" w:ascii="Calibri" w:hAnsi="Calibri" w:eastAsia="Calibri"/>
          <w:szCs w:val="23"/>
          <w:lang w:val="en-CA" w:eastAsia="en-CA" w:bidi="ar-SA"/>
          <w:color w:val="212B32"/>
          <w:sz w:val="23"/>
        </w:rPr>
        <w:t>The charter of the Authority excludes military personnel from operational roles. Officers of the armed forces of any State Party, including the Islamic Revolutionary Guard Corps and the regular armed forces of the States Parties, hold no post in the Authority, direct no operation of the Center, and issue no instruction to shipping through the Authority's channels. Military liaison with the corridor system runs exclusively through the de-confliction desk of Article 26 and the hotline procedures of Annex F, where uniformed liaison officers of all States Parties and of stakeholder navies coordinate military movement in the Operating Area under published rules. The exclusion clause protects everyone it touches: it protects shipping from military gatekeeping, and it protects the military establishments of all States Parties from entanglement in merchant traffic administration.</w:t>
      </w:r>
    </w:p>
    <w:p>
      <w:pPr>
        <w:pStyle w:val="Heading3"/>
      </w:pPr>
      <w:r>
        <w:rPr>
          <w:rFonts w:cs="Calibri" w:ascii="Calibri" w:hAnsi="Calibri" w:eastAsia="Calibri"/>
          <w:szCs w:val="25"/>
          <w:lang w:val="en-CA" w:eastAsia="en-CA" w:bidi="ar-SA"/>
          <w:b/>
          <w:color w:val="8A6D2F"/>
          <w:sz w:val="25"/>
        </w:rPr>
        <w:t>14.3 Staffing and Parity</w:t>
      </w:r>
    </w:p>
    <w:p>
      <w:pPr>
        <w:pStyle w:val="Normal"/>
      </w:pPr>
      <w:r>
        <w:rPr>
          <w:rFonts w:cs="Calibri" w:ascii="Calibri" w:hAnsi="Calibri" w:eastAsia="Calibri"/>
          <w:szCs w:val="23"/>
          <w:lang w:val="en-CA" w:eastAsia="en-CA" w:bidi="ar-SA"/>
          <w:color w:val="212B32"/>
          <w:sz w:val="23"/>
        </w:rPr>
        <w:t>The Authority staffs on parity: every operational post exists in two copies, one filled by an Iranian national and one by an Omani national, and total staff numbers of the two nationalities remain within two (2) percent of each other at every quarterly audit. Professional qualifications follow the standards of the International Maritime Organization model courses for each function, and the Joint Technical Committee certifies every watchkeeper before first solo watch. Third-state technical staff fill specialist gaps under the participation instruments of Annex N, in posts that touch no sovereign function.</w:t>
      </w:r>
    </w:p>
    <w:p>
      <w:pPr>
        <w:pStyle w:val="Heading3"/>
      </w:pPr>
      <w:r>
        <w:rPr>
          <w:szCs w:val="25"/>
          <w:lang w:val="en-CA" w:eastAsia="en-CA" w:bidi="ar-SA"/>
          <w:rFonts w:ascii="Calibri" w:eastAsia="Calibri" w:hAnsi="Calibri" w:cs="Calibri"/>
          <w:b/>
          <w:color w:val="8A6D2F"/>
          <w:sz w:val="25"/>
        </w:rPr>
        <w:t>14.4 Transformation of Prior Structures</w:t>
      </w:r>
    </w:p>
    <w:p>
      <w:pPr>
        <w:pStyle w:val="Normal"/>
      </w:pPr>
      <w:r>
        <w:rPr>
          <w:rFonts w:cs="Calibri" w:ascii="Calibri" w:hAnsi="Calibri" w:eastAsia="Calibri"/>
          <w:szCs w:val="23"/>
          <w:lang w:val="en-CA" w:eastAsia="en-CA" w:bidi="ar-SA"/>
          <w:color w:val="212B32"/>
          <w:sz w:val="23"/>
        </w:rPr>
        <w:t>The Parties record that the Islamic Republic of Iran previously administered northern-route traffic through a national maritime authority structure, and that the Sultanate of Oman previously administered southern traffic through its national maritime security structures. Upon entry into force of this Framework, the corridor functions of those structures transfer into the joint architecture: their civilian maritime professionals form the initial staffing pool of the Authority, their procedures fold into the annexes of this Framework, and their legacy records transfer into the Center's data custody under Section 13.5. The Parties record that this Framework dissolves the Persian Gulf Strait Authority (PGSA): its functions, records, and personnel transfer in full to the Gulf States Maritime Coordination Authority, and the PGSA's separate legal existence terminates upon the entry into force of this Framework. The transformation reads as the internationalization and professionalization of an existing national role, and each Party presents it domestically as the elevation of its own stewardship into joint stewardship.</w:t>
      </w:r>
    </w:p>
    <w:p>
      <w:pPr>
        <w:pStyle w:val="Heading3"/>
      </w:pPr>
      <w:r>
        <w:rPr>
          <w:rFonts w:cs="Calibri" w:ascii="Calibri" w:hAnsi="Calibri" w:eastAsia="Calibri"/>
          <w:szCs w:val="25"/>
          <w:lang w:val="en-CA" w:eastAsia="en-CA" w:bidi="ar-SA"/>
          <w:b/>
          <w:color w:val="8A6D2F"/>
          <w:sz w:val="25"/>
        </w:rPr>
        <w:t>14.5 Conduct and Accountability</w:t>
      </w:r>
    </w:p>
    <w:p>
      <w:pPr>
        <w:pStyle w:val="Normal"/>
      </w:pPr>
      <w:r>
        <w:rPr>
          <w:rFonts w:cs="Calibri" w:ascii="Calibri" w:hAnsi="Calibri" w:eastAsia="Calibri"/>
          <w:szCs w:val="23"/>
          <w:lang w:val="en-CA" w:eastAsia="en-CA" w:bidi="ar-SA"/>
          <w:color w:val="212B32"/>
          <w:sz w:val="23"/>
        </w:rPr>
        <w:t>Authority staff owe their operational loyalty to the standing procedures of this Framework, not to the instructing state of the moment. The code of conduct of Annex J binds every staff member: neutrality in operations, confidentiality of commercial data, refusal of outside instruction, and declaration of conflicts. A substantiated breach of the code leads to removal by joint decision of the Executive Directors, with appeal to the Governing Board. Discipline never travels by nationality: the Joint Technical Committee audits the discipline record annually for parity.</w:t>
      </w:r>
    </w:p>
    <w:p>
      <w:pPr>
        <w:pStyle w:val="Heading2"/>
      </w:pPr>
      <w:bookmarkStart w:id="42" w:name="_Toc1022"/>
      <w:bookmarkStart w:id="43" w:name="_Toc235667453"/>
      <w:r>
        <w:rPr>
          <w:rFonts w:cs="Cambria" w:ascii="Cambria" w:hAnsi="Cambria" w:eastAsia="Cambria"/>
          <w:szCs w:val="30"/>
          <w:lang w:val="en-CA" w:eastAsia="en-CA" w:bidi="ar-SA"/>
          <w:color w:val="212B32"/>
          <w:b/>
          <w:sz w:val="30"/>
        </w:rPr>
        <w:t>Article 15: Observers and International Participation</w:t>
      </w:r>
      <w:bookmarkEnd w:id="42"/>
      <w:bookmarkEnd w:id="43"/>
    </w:p>
    <w:p>
      <w:pPr>
        <w:pStyle w:val="Heading3"/>
      </w:pPr>
      <w:r>
        <w:rPr>
          <w:rFonts w:cs="Calibri" w:ascii="Calibri" w:hAnsi="Calibri" w:eastAsia="Calibri"/>
          <w:szCs w:val="25"/>
          <w:lang w:val="en-CA" w:eastAsia="en-CA" w:bidi="ar-SA"/>
          <w:b/>
          <w:color w:val="8A6D2F"/>
          <w:sz w:val="25"/>
        </w:rPr>
        <w:t>15.1 The Observer Program</w:t>
      </w:r>
    </w:p>
    <w:p>
      <w:pPr>
        <w:pStyle w:val="Normal"/>
      </w:pPr>
      <w:r>
        <w:rPr>
          <w:rFonts w:cs="Calibri" w:ascii="Calibri" w:hAnsi="Calibri" w:eastAsia="Calibri"/>
          <w:szCs w:val="23"/>
          <w:lang w:val="en-CA" w:eastAsia="en-CA" w:bidi="ar-SA"/>
          <w:color w:val="212B32"/>
          <w:sz w:val="23"/>
        </w:rPr>
        <w:t>The Authority operates a standing observer program to make both corridors transparent to all States Parties and credible to the world. Observers serve in three posts: embarked observers on patrol craft and escort vessels of both corridors; shore observers at the watch floors in Muscat and Bandar Abbas; and rotating survey observers with the Joint Technical Committee. The observer corps comprises maritime professionals of the States Parties and of invited neutral states, with the standing invitations of Annex N extended to Switzerland, Pakistan, and such other states as the Governing Board adds under the voting rule of Article 16.</w:t>
      </w:r>
    </w:p>
    <w:p>
      <w:pPr>
        <w:pStyle w:val="Heading3"/>
      </w:pPr>
      <w:r>
        <w:rPr>
          <w:szCs w:val="25"/>
          <w:lang w:val="en-CA" w:eastAsia="en-CA" w:bidi="ar-SA"/>
          <w:rFonts w:ascii="Calibri" w:eastAsia="Calibri" w:hAnsi="Calibri" w:cs="Calibri"/>
          <w:b/>
          <w:color w:val="8A6D2F"/>
          <w:sz w:val="25"/>
        </w:rPr>
        <w:t>15.2 Observer Status and Protection</w:t>
      </w:r>
    </w:p>
    <w:p>
      <w:pPr>
        <w:pStyle w:val="Normal"/>
      </w:pPr>
      <w:r>
        <w:rPr>
          <w:rFonts w:cs="Calibri" w:ascii="Calibri" w:hAnsi="Calibri" w:eastAsia="Calibri"/>
          <w:szCs w:val="23"/>
          <w:lang w:val="en-CA" w:eastAsia="en-CA" w:bidi="ar-SA"/>
          <w:color w:val="212B32"/>
          <w:sz w:val="23"/>
        </w:rPr>
        <w:t>Observers hold observer status only: no command authority, no weapon system contact, no enforcement function. Observers report through the Center's chain, and their reports post to the Shared Dashboard in identical form for all States Parties. The framework architecture excludes any interference with, harassment of, or harm to observers, and an incident involving an observer classifies one tier higher than the same incident without observer involvement under Article 29. Embarkation and rotation proceed on forty-eight (48) hour notice, and the dashboard publishes the observer roster and every rotation.</w:t>
      </w:r>
    </w:p>
    <w:p>
      <w:pPr>
        <w:pStyle w:val="Heading3"/>
      </w:pPr>
      <w:r>
        <w:rPr>
          <w:rFonts w:cs="Calibri" w:ascii="Calibri" w:hAnsi="Calibri" w:eastAsia="Calibri"/>
          <w:szCs w:val="25"/>
          <w:lang w:val="en-CA" w:eastAsia="en-CA" w:bidi="ar-SA"/>
          <w:b/>
          <w:color w:val="8A6D2F"/>
          <w:sz w:val="25"/>
        </w:rPr>
        <w:t>15.3 International Maritime Organization Participation</w:t>
      </w:r>
    </w:p>
    <w:p>
      <w:pPr>
        <w:pStyle w:val="Normal"/>
      </w:pPr>
      <w:r>
        <w:rPr>
          <w:rFonts w:cs="Calibri" w:ascii="Calibri" w:hAnsi="Calibri" w:eastAsia="Calibri"/>
          <w:szCs w:val="23"/>
          <w:lang w:val="en-CA" w:eastAsia="en-CA" w:bidi="ar-SA"/>
          <w:color w:val="212B32"/>
          <w:sz w:val="23"/>
        </w:rPr>
        <w:t>The Parties jointly invite the International Maritime Organization to participate in the architecture as technical adviser: a liaison seat at the Governing Board without vote; technical review of the corridor geometry and the Services Catalog; participation in the annual systems audit; and administration support for the Fund under Article 18. The invitation stands open continuously, and the Organization's acceptance activates each element without further negotiation.</w:t>
      </w:r>
    </w:p>
    <w:p>
      <w:pPr>
        <w:pStyle w:val="Heading3"/>
      </w:pPr>
      <w:r>
        <w:rPr>
          <w:rFonts w:cs="Calibri" w:ascii="Calibri" w:hAnsi="Calibri" w:eastAsia="Calibri"/>
          <w:szCs w:val="25"/>
          <w:lang w:val="en-CA" w:eastAsia="en-CA" w:bidi="ar-SA"/>
          <w:b/>
          <w:color w:val="8A6D2F"/>
          <w:sz w:val="25"/>
        </w:rPr>
        <w:t>15.4 Stakeholder Participation</w:t>
      </w:r>
    </w:p>
    <w:p>
      <w:pPr>
        <w:pStyle w:val="Normal"/>
      </w:pPr>
      <w:r>
        <w:rPr>
          <w:rFonts w:cs="Calibri" w:ascii="Calibri" w:hAnsi="Calibri" w:eastAsia="Calibri"/>
          <w:szCs w:val="23"/>
          <w:lang w:val="en-CA" w:eastAsia="en-CA" w:bidi="ar-SA"/>
          <w:color w:val="212B32"/>
          <w:sz w:val="23"/>
        </w:rPr>
        <w:t>The Framework admits stakeholder participation by states with a substantial interest in the waterway, including major flag states and major importing states, under the participation instruments of Annex N. Stakeholders participate through four channels: the Stakeholder Council of Article 16.5; contribution membership in the Fund; data subscription to the Route Verification Data service; and observer secondment to the observer program. Stakeholder participation carries information, voice, and service; it carries no governance vote, which the Gulf States primacy principle reserves to the States Parties.</w:t>
      </w:r>
    </w:p>
    <w:p>
      <w:pPr>
        <w:pStyle w:val="Heading3"/>
      </w:pPr>
      <w:r>
        <w:rPr>
          <w:rFonts w:cs="Calibri" w:ascii="Calibri" w:hAnsi="Calibri" w:eastAsia="Calibri"/>
          <w:szCs w:val="25"/>
          <w:lang w:val="en-CA" w:eastAsia="en-CA" w:bidi="ar-SA"/>
          <w:b/>
          <w:color w:val="8A6D2F"/>
          <w:sz w:val="25"/>
        </w:rPr>
        <w:t>15.5 Industry Participation</w:t>
      </w:r>
    </w:p>
    <w:p>
      <w:pPr>
        <w:pStyle w:val="Normal"/>
      </w:pPr>
      <w:r>
        <w:rPr>
          <w:rFonts w:cs="Calibri" w:ascii="Calibri" w:hAnsi="Calibri" w:eastAsia="Calibri"/>
          <w:szCs w:val="23"/>
          <w:lang w:val="en-CA" w:eastAsia="en-CA" w:bidi="ar-SA"/>
          <w:color w:val="212B32"/>
          <w:sz w:val="23"/>
        </w:rPr>
        <w:t>The shipping industry participates through the Industry Advisory Panel: the International Chamber of Shipping, BIMCO, INTERTANKO, INTERCARGO, the Oil Companies International Marine Forum, the International Group of Protection and Indemnity Clubs, and the classification societies receive standing invitations. The Panel meets quarterly with the Executive Directorate, reviews the services record and the rate schedule, and proposes catalog and procedure changes to the Joint Technical Committee. Panel participation keeps the architecture honest to its users.</w:t>
      </w:r>
    </w:p>
    <w:p>
      <w:pPr>
        <w:pStyle w:val="Heading2"/>
      </w:pPr>
      <w:bookmarkStart w:id="44" w:name="_Toc1023"/>
      <w:bookmarkStart w:id="45" w:name="_Toc235667454"/>
      <w:r>
        <w:rPr>
          <w:szCs w:val="30"/>
          <w:lang w:val="en-CA" w:eastAsia="en-CA" w:bidi="ar-SA"/>
          <w:color w:val="212B32"/>
          <w:rFonts w:ascii="Cambria" w:hAnsi="Cambria" w:eastAsia="Cambria" w:cs="Cambria"/>
          <w:b/>
          <w:sz w:val="30"/>
        </w:rPr>
        <w:t>Article 16: Decision-Making and Voting</w:t>
      </w:r>
      <w:bookmarkEnd w:id="44"/>
      <w:bookmarkEnd w:id="45"/>
    </w:p>
    <w:p>
      <w:pPr>
        <w:pStyle w:val="Heading3"/>
      </w:pPr>
      <w:r>
        <w:rPr>
          <w:rFonts w:cs="Calibri" w:ascii="Calibri" w:hAnsi="Calibri" w:eastAsia="Calibri"/>
          <w:szCs w:val="25"/>
          <w:lang w:val="en-CA" w:eastAsia="en-CA" w:bidi="ar-SA"/>
          <w:b/>
          <w:color w:val="8A6D2F"/>
          <w:sz w:val="25"/>
        </w:rPr>
        <w:t>16.1 The Weighted Voting Rule</w:t>
      </w:r>
    </w:p>
    <w:p>
      <w:pPr>
        <w:pStyle w:val="Normal"/>
      </w:pPr>
      <w:r>
        <w:rPr>
          <w:rFonts w:cs="Calibri" w:ascii="Calibri" w:hAnsi="Calibri" w:eastAsia="Calibri"/>
          <w:szCs w:val="23"/>
          <w:lang w:val="en-CA" w:eastAsia="en-CA" w:bidi="ar-SA"/>
          <w:color w:val="212B32"/>
          <w:sz w:val="23"/>
        </w:rPr>
        <w:t>The Authority decides at the Governing Board by weighted vote of the States Parties. The vote weight of each State Party equals the sum of two factors: its coastline factor, meaning its share of the total Gulf coastline of the States Parties as the geometry registry of Annex A records it, and its contribution factor, meaning its share of the total financial contributions to the Fund for the most recent audited budget year. The Governing Board publishes the vote weights with each annual budget, and a decision carries on a two-thirds supermajority of the weighted vote. The Executive Directorate decides operational matters under its charter, and the Joint Technical Committee decides technical questions by the qualified majority of Article 12.6. Weighted voting mirrors the ownership of the Authority: shared among all States Parties, proportional to coastline and contribution, and immune to capture by any single side.</w:t>
      </w:r>
    </w:p>
    <w:p>
      <w:pPr>
        <w:pStyle w:val="Heading3"/>
      </w:pPr>
      <w:r>
        <w:rPr>
          <w:rFonts w:cs="Calibri" w:ascii="Calibri" w:hAnsi="Calibri" w:eastAsia="Calibri"/>
          <w:szCs w:val="25"/>
          <w:lang w:val="en-CA" w:eastAsia="en-CA" w:bidi="ar-SA"/>
          <w:b/>
          <w:color w:val="8A6D2F"/>
          <w:sz w:val="25"/>
        </w:rPr>
        <w:t>16.2 Default Continuity</w:t>
      </w:r>
    </w:p>
    <w:p>
      <w:pPr>
        <w:pStyle w:val="Normal"/>
      </w:pPr>
      <w:r>
        <w:rPr>
          <w:rFonts w:cs="Calibri" w:ascii="Calibri" w:hAnsi="Calibri" w:eastAsia="Calibri"/>
          <w:szCs w:val="23"/>
          <w:lang w:val="en-CA" w:eastAsia="en-CA" w:bidi="ar-SA"/>
          <w:color w:val="212B32"/>
          <w:sz w:val="23"/>
        </w:rPr>
        <w:t>Where a decision stalls, the standing procedures of this Framework and its annexes govern by default. A stalled budget question runs on the previous budget at the same level; a stalled rate question runs on the previous rate; a stalled procedure question runs on the existing annex text. Default continuity is the no-fade rule applied to administration: no deadlock suspends, degrades, or re-prices any operation of the corridor system.</w:t>
      </w:r>
    </w:p>
    <w:p>
      <w:pPr>
        <w:pStyle w:val="Heading3"/>
      </w:pPr>
      <w:r>
        <w:rPr>
          <w:rFonts w:cs="Calibri" w:ascii="Calibri" w:hAnsi="Calibri" w:eastAsia="Calibri"/>
          <w:szCs w:val="25"/>
          <w:lang w:val="en-CA" w:eastAsia="en-CA" w:bidi="ar-SA"/>
          <w:b/>
          <w:color w:val="8A6D2F"/>
          <w:sz w:val="25"/>
        </w:rPr>
        <w:t>16.3 Technical Determinations</w:t>
      </w:r>
    </w:p>
    <w:p>
      <w:pPr>
        <w:pStyle w:val="Normal"/>
      </w:pPr>
      <w:r>
        <w:rPr>
          <w:rFonts w:cs="Calibri" w:ascii="Calibri" w:hAnsi="Calibri" w:eastAsia="Calibri"/>
          <w:szCs w:val="23"/>
          <w:lang w:val="en-CA" w:eastAsia="en-CA" w:bidi="ar-SA"/>
          <w:color w:val="212B32"/>
          <w:sz w:val="23"/>
        </w:rPr>
        <w:t>Technical determinations, meaning certifications, geometry confirmations, incident classifications, and audit findings, rest on evidence under the convergence standard of Article 28, not on votes. Where the Joint Technical Committee divides on a technical question, the question routes to the independent technical referee of Article 30.3, whose determination binds all States Parties on the technical facts and leaves policy to the Governing Board.</w:t>
      </w:r>
    </w:p>
    <w:p>
      <w:pPr>
        <w:pStyle w:val="Heading3"/>
      </w:pPr>
      <w:r>
        <w:rPr>
          <w:rFonts w:cs="Calibri" w:ascii="Calibri" w:hAnsi="Calibri" w:eastAsia="Calibri"/>
          <w:szCs w:val="25"/>
          <w:lang w:val="en-CA" w:eastAsia="en-CA" w:bidi="ar-SA"/>
          <w:b/>
          <w:color w:val="8A6D2F"/>
          <w:sz w:val="25"/>
        </w:rPr>
        <w:t>16.4 Records and Transparency</w:t>
      </w:r>
    </w:p>
    <w:p>
      <w:pPr>
        <w:pStyle w:val="Normal"/>
      </w:pPr>
      <w:r>
        <w:rPr>
          <w:rFonts w:cs="Calibri" w:ascii="Calibri" w:hAnsi="Calibri" w:eastAsia="Calibri"/>
          <w:szCs w:val="23"/>
          <w:lang w:val="en-CA" w:eastAsia="en-CA" w:bidi="ar-SA"/>
          <w:color w:val="212B32"/>
          <w:sz w:val="23"/>
        </w:rPr>
        <w:t>Every decision of every organ enters the decision register with its timestamp, its participants, and its basis. The register publishes on the Shared Dashboard subject to the personnel and procurement privacy annex. Transparency disciplines voting: a State Party that votes against a decision does so on the record, with reasons, in view of all capitals.</w:t>
      </w:r>
    </w:p>
    <w:p>
      <w:pPr>
        <w:pStyle w:val="Heading3"/>
      </w:pPr>
      <w:r>
        <w:rPr>
          <w:szCs w:val="25"/>
          <w:lang w:val="en-CA" w:eastAsia="en-CA" w:bidi="ar-SA"/>
          <w:rFonts w:ascii="Calibri" w:eastAsia="Calibri" w:hAnsi="Calibri" w:cs="Calibri"/>
          <w:b/>
          <w:color w:val="8A6D2F"/>
          <w:sz w:val="25"/>
        </w:rPr>
        <w:t>16.5 The Stakeholder Council</w:t>
      </w:r>
    </w:p>
    <w:p>
      <w:pPr>
        <w:pStyle w:val="Normal"/>
      </w:pPr>
      <w:r>
        <w:rPr>
          <w:rFonts w:cs="Calibri" w:ascii="Calibri" w:hAnsi="Calibri" w:eastAsia="Calibri"/>
          <w:szCs w:val="23"/>
          <w:lang w:val="en-CA" w:eastAsia="en-CA" w:bidi="ar-SA"/>
          <w:color w:val="212B32"/>
          <w:sz w:val="23"/>
        </w:rPr>
        <w:t>The Stakeholder Council convenes twice yearly in Muscat, comprising one representative of each participating stakeholder state and industry body. The Council receives the annual report, the audit certificates, and the rate schedule proposals in advance, and its advisory opinions enter the decision register and the Governing Board agenda. The Council advises; the States Parties decide. A Technical Advisory Group operates within the Council, with representation from other interested states, including Pakistan, from major global shipping nations, and from energy-importing states, and the Group contributes technical review and regional perspective to the Council's advisory work. The Council's existence answers the legitimate interest of the user community in the waterway without diluting the governance authority of the States Parties.</w:t>
      </w:r>
    </w:p>
    <w:p>
      <w:pPr>
        <w:pStyle w:val="Heading1"/>
      </w:pPr>
      <w:bookmarkStart w:id="46" w:name="_Toc1024"/>
      <w:bookmarkStart w:id="47" w:name="_Toc235667455"/>
      <w:r>
        <w:rPr>
          <w:szCs w:val="44"/>
          <w:lang w:val="en-CA" w:eastAsia="en-CA" w:bidi="ar-SA"/>
          <w:rFonts w:ascii="Cambria" w:hAnsi="Cambria" w:eastAsia="Cambria" w:cs="Cambria"/>
          <w:b/>
          <w:color w:val="1F3A4D"/>
          <w:sz w:val="44"/>
        </w:rPr>
        <w:t>Part IV: Financial Architecture: The Settlement of the Toll Question</w:t>
      </w:r>
      <w:bookmarkEnd w:id="46"/>
      <w:bookmarkEnd w:id="47"/>
    </w:p>
    <w:p>
      <w:pPr>
        <w:pStyle w:val="Heading2"/>
      </w:pPr>
      <w:bookmarkStart w:id="48" w:name="_Toc1025"/>
      <w:bookmarkStart w:id="49" w:name="_Toc235667456"/>
      <w:r>
        <w:rPr>
          <w:rFonts w:cs="Cambria" w:ascii="Cambria" w:hAnsi="Cambria" w:eastAsia="Cambria"/>
          <w:szCs w:val="30"/>
          <w:lang w:val="en-CA" w:eastAsia="en-CA" w:bidi="ar-SA"/>
          <w:color w:val="212B32"/>
          <w:b/>
          <w:sz w:val="30"/>
        </w:rPr>
        <w:t>Article 17: The Toll-Free Transit Guarantee</w:t>
      </w:r>
      <w:bookmarkEnd w:id="48"/>
      <w:bookmarkEnd w:id="49"/>
    </w:p>
    <w:p>
      <w:pPr>
        <w:pStyle w:val="Heading3"/>
      </w:pPr>
      <w:r>
        <w:rPr>
          <w:rFonts w:cs="Calibri" w:ascii="Calibri" w:hAnsi="Calibri" w:eastAsia="Calibri"/>
          <w:szCs w:val="25"/>
          <w:lang w:val="en-CA" w:eastAsia="en-CA" w:bidi="ar-SA"/>
          <w:b/>
          <w:color w:val="8A6D2F"/>
          <w:sz w:val="25"/>
        </w:rPr>
        <w:t>17.1 The Guarantee</w:t>
      </w:r>
    </w:p>
    <w:p>
      <w:pPr>
        <w:pStyle w:val="Normal"/>
      </w:pPr>
      <w:r>
        <w:rPr>
          <w:rFonts w:cs="Calibri" w:ascii="Calibri" w:hAnsi="Calibri" w:eastAsia="Calibri"/>
          <w:szCs w:val="23"/>
          <w:lang w:val="en-CA" w:eastAsia="en-CA" w:bidi="ar-SA"/>
          <w:color w:val="212B32"/>
          <w:sz w:val="23"/>
        </w:rPr>
        <w:t>Transit through the corridor system carries no charge, under any label, for any vessel, at any time. The framework architecture excludes the imposition, demand, collection, or acceptance of transit fees, security tolls, navigation levies, passage charges, pre-approval financial conditions, and every disguised equivalent, in both corridors, in perpetuity. The guarantee binds the Parties, the Authority, and every organ and contractor of the architecture, and it admits no exception for vessel class, flag, cargo, destination, or the state of relations between the Parties or with any third state.</w:t>
      </w:r>
    </w:p>
    <w:p>
      <w:pPr>
        <w:pStyle w:val="Heading3"/>
      </w:pPr>
      <w:r>
        <w:rPr>
          <w:rFonts w:cs="Calibri" w:ascii="Calibri" w:hAnsi="Calibri" w:eastAsia="Calibri"/>
          <w:szCs w:val="25"/>
          <w:lang w:val="en-CA" w:eastAsia="en-CA" w:bidi="ar-SA"/>
          <w:b/>
          <w:color w:val="8A6D2F"/>
          <w:sz w:val="25"/>
        </w:rPr>
        <w:t>17.2 The Boundary Between Passage and Service</w:t>
      </w:r>
    </w:p>
    <w:p>
      <w:pPr>
        <w:pStyle w:val="Normal"/>
      </w:pPr>
      <w:r>
        <w:rPr>
          <w:rFonts w:cs="Calibri" w:ascii="Calibri" w:hAnsi="Calibri" w:eastAsia="Calibri"/>
          <w:szCs w:val="23"/>
          <w:lang w:val="en-CA" w:eastAsia="en-CA" w:bidi="ar-SA"/>
          <w:color w:val="212B32"/>
          <w:sz w:val="23"/>
        </w:rPr>
        <w:t>The guarantee draws its force from a precise boundary. Passage is what every vessel receives by right: entry, transit, and exit of the corridor system, the general safety of the waterway, the standing monitoring architecture, and the absence of interference. Service is what a vessel or the shipping community receives by choice or by documented delivery: pilotage, tug assistance, traffic information products, certification products, escort on request, environmental response, and the other catalog items of Annex E. Passage is free. Service is compensated. The boundary runs through every article of this Part, and the audit architecture of Article 21 polices it.</w:t>
      </w:r>
    </w:p>
    <w:p>
      <w:pPr>
        <w:pStyle w:val="Heading3"/>
      </w:pPr>
      <w:r>
        <w:rPr>
          <w:rFonts w:cs="Calibri" w:ascii="Calibri" w:hAnsi="Calibri" w:eastAsia="Calibri"/>
          <w:szCs w:val="25"/>
          <w:lang w:val="en-CA" w:eastAsia="en-CA" w:bidi="ar-SA"/>
          <w:b/>
          <w:color w:val="8A6D2F"/>
          <w:sz w:val="25"/>
        </w:rPr>
        <w:t>17.3 No Constructive Charges</w:t>
      </w:r>
    </w:p>
    <w:p>
      <w:pPr>
        <w:pStyle w:val="Normal"/>
      </w:pPr>
      <w:r>
        <w:rPr>
          <w:rFonts w:cs="Calibri" w:ascii="Calibri" w:hAnsi="Calibri" w:eastAsia="Calibri"/>
          <w:szCs w:val="23"/>
          <w:lang w:val="en-CA" w:eastAsia="en-CA" w:bidi="ar-SA"/>
          <w:color w:val="212B32"/>
          <w:sz w:val="23"/>
        </w:rPr>
        <w:t>The architecture excludes constructive charges on passage: no mandatory insurance product sold by a Party or an organ; no mandatory security escort billed to the vessel; no mandatory pilotage in the corridor system; no bond, deposit, voucher, or financial instrument demanded as a condition of entry, transit, or exit. A vessel that declines every catalog service transits both corridors on exactly the same terms as a vessel that purchases them all.</w:t>
      </w:r>
    </w:p>
    <w:p>
      <w:pPr>
        <w:pStyle w:val="Heading3"/>
      </w:pPr>
      <w:r>
        <w:rPr>
          <w:szCs w:val="25"/>
          <w:lang w:val="en-CA" w:eastAsia="en-CA" w:bidi="ar-SA"/>
          <w:rFonts w:ascii="Calibri" w:eastAsia="Calibri" w:hAnsi="Calibri" w:cs="Calibri"/>
          <w:b/>
          <w:color w:val="8A6D2F"/>
          <w:sz w:val="25"/>
        </w:rPr>
        <w:t>17.4 Standing Verification</w:t>
      </w:r>
    </w:p>
    <w:p>
      <w:pPr>
        <w:pStyle w:val="Normal"/>
      </w:pPr>
      <w:r>
        <w:rPr>
          <w:rFonts w:cs="Calibri" w:ascii="Calibri" w:hAnsi="Calibri" w:eastAsia="Calibri"/>
          <w:szCs w:val="23"/>
          <w:lang w:val="en-CA" w:eastAsia="en-CA" w:bidi="ar-SA"/>
          <w:color w:val="212B32"/>
          <w:sz w:val="23"/>
        </w:rPr>
        <w:t>The compliance engine of Part VI treats any charge on passage as a Tier 3 event. The annual systems audit tests the boundary of Section 17.2 against the transaction record of the Fund, the invoices of the service providers, and the complaints channel of Annex G. The audit certificate of Annex J carries a standing attestation that no charge on passage occurred in the audit period, and the attestation publishes on the Shared Dashboard.</w:t>
      </w:r>
    </w:p>
    <w:p>
      <w:pPr>
        <w:pStyle w:val="Heading2"/>
      </w:pPr>
      <w:bookmarkStart w:id="50" w:name="_Toc1026"/>
      <w:bookmarkStart w:id="51" w:name="_Toc235667457"/>
      <w:r>
        <w:rPr>
          <w:rFonts w:cs="Cambria" w:ascii="Cambria" w:hAnsi="Cambria" w:eastAsia="Cambria"/>
          <w:szCs w:val="30"/>
          <w:lang w:val="en-CA" w:eastAsia="en-CA" w:bidi="ar-SA"/>
          <w:color w:val="212B32"/>
          <w:b/>
          <w:sz w:val="30"/>
        </w:rPr>
        <w:t>Article 18: The Hormuz Maritime Services Trust Fund</w:t>
      </w:r>
      <w:bookmarkEnd w:id="50"/>
      <w:bookmarkEnd w:id="51"/>
    </w:p>
    <w:p>
      <w:pPr>
        <w:pStyle w:val="Heading3"/>
      </w:pPr>
      <w:r>
        <w:rPr>
          <w:rFonts w:cs="Calibri" w:ascii="Calibri" w:hAnsi="Calibri" w:eastAsia="Calibri"/>
          <w:szCs w:val="25"/>
          <w:lang w:val="en-CA" w:eastAsia="en-CA" w:bidi="ar-SA"/>
          <w:b/>
          <w:color w:val="8A6D2F"/>
          <w:sz w:val="25"/>
        </w:rPr>
        <w:t>18.1 Establishment and Structure</w:t>
      </w:r>
    </w:p>
    <w:p>
      <w:pPr>
        <w:pStyle w:val="Normal"/>
      </w:pPr>
      <w:r>
        <w:rPr>
          <w:rFonts w:cs="Calibri" w:ascii="Calibri" w:hAnsi="Calibri" w:eastAsia="Calibri"/>
          <w:szCs w:val="23"/>
          <w:lang w:val="en-CA" w:eastAsia="en-CA" w:bidi="ar-SA"/>
          <w:color w:val="212B32"/>
          <w:sz w:val="23"/>
        </w:rPr>
        <w:t>The States Parties establish the Hormuz Maritime Services Trust Fund as the single financial engine of the architecture. The Fund holds a tripartite structure: the Trustee, the Administrator, and the Auditor. The Central Bank of Oman serves as Trustee, holding all Fund assets in segregated accounts in Muscat, under the oversight of a Fund Management Committee comprising one representative of each State Party. The Committee supervises the custodianship of the Trustee, reviews the accounts structure of Annex D, and reports to the Governing Board, and the architecture ensures that no single state's central bank holds sole custodianship of Fund assets. The Authority serves as Administrator, operating the contribution and reimbursement machinery under the procedures of Annex D. An independent international audit firm, appointed by the Governing Board on a rotating four (4) year mandate from the standing shortlist of Annex D, serves as Auditor. The Fund holds legal personality as a trust under the headquarters memorandum, and its assets belong to the purposes of this Framework and to nothing else.</w:t>
      </w:r>
    </w:p>
    <w:p>
      <w:pPr>
        <w:pStyle w:val="Heading3"/>
      </w:pPr>
      <w:r>
        <w:rPr>
          <w:rFonts w:cs="Calibri" w:ascii="Calibri" w:hAnsi="Calibri" w:eastAsia="Calibri"/>
          <w:szCs w:val="25"/>
          <w:lang w:val="en-CA" w:eastAsia="en-CA" w:bidi="ar-SA"/>
          <w:b/>
          <w:color w:val="8A6D2F"/>
          <w:sz w:val="25"/>
        </w:rPr>
        <w:t>18.2 What the Fund Does</w:t>
      </w:r>
    </w:p>
    <w:p>
      <w:pPr>
        <w:pStyle w:val="Normal"/>
      </w:pPr>
      <w:r>
        <w:rPr>
          <w:rFonts w:cs="Calibri" w:ascii="Calibri" w:hAnsi="Calibri" w:eastAsia="Calibri"/>
          <w:szCs w:val="23"/>
          <w:lang w:val="en-CA" w:eastAsia="en-CA" w:bidi="ar-SA"/>
          <w:color w:val="212B32"/>
          <w:sz w:val="23"/>
        </w:rPr>
        <w:t>The Fund receives contributions under Article 19, reimburses documented services under Article 20, finances the budget of the Authority under Article 22, maintains the operating reserve and the environmental response reserve of Annex D, and publishes every transaction on the Shared Dashboard under Article 21. The Fund never receives a payment from a vessel as a condition of passage, and the Fund never pays a Party except against an audited invoice for documented service or an approved budget line.</w:t>
      </w:r>
    </w:p>
    <w:p>
      <w:pPr>
        <w:pStyle w:val="Heading3"/>
      </w:pPr>
      <w:r>
        <w:rPr>
          <w:szCs w:val="25"/>
          <w:lang w:val="en-CA" w:eastAsia="en-CA" w:bidi="ar-SA"/>
          <w:rFonts w:ascii="Calibri" w:eastAsia="Calibri" w:hAnsi="Calibri" w:cs="Calibri"/>
          <w:b/>
          <w:color w:val="8A6D2F"/>
          <w:sz w:val="25"/>
        </w:rPr>
        <w:t>18.3 Flow of Funds</w:t>
      </w:r>
    </w:p>
    <w:p>
      <w:pPr>
        <w:pStyle w:val="Normal"/>
      </w:pPr>
      <w:r>
        <w:rPr>
          <w:rFonts w:cs="Calibri" w:ascii="Calibri" w:hAnsi="Calibri" w:eastAsia="Calibri"/>
          <w:szCs w:val="23"/>
          <w:lang w:val="en-CA" w:eastAsia="en-CA" w:bidi="ar-SA"/>
          <w:color w:val="212B32"/>
          <w:sz w:val="23"/>
        </w:rPr>
        <w:t>Money flows in one direction through a fixed circuit. Contributors pay the Fund against the published contribution schedule. Service providers, meaning the maritime administrations of the States Parties and approved contractors, invoice the Fund against the published rate schedule for documented, delivered services. The Auditor verifies delivery against the operational record. The Trustee pays verified invoices. The residue accumulates in the reserves and in the budget. No flow runs from a ship to a state; every flow runs through the Fund, on an invoice, under audit.</w:t>
      </w:r>
    </w:p>
    <w:p>
      <w:pPr>
        <w:pStyle w:val="Heading3"/>
      </w:pPr>
      <w:r>
        <w:rPr>
          <w:rFonts w:cs="Calibri" w:ascii="Calibri" w:hAnsi="Calibri" w:eastAsia="Calibri"/>
          <w:szCs w:val="25"/>
          <w:lang w:val="en-CA" w:eastAsia="en-CA" w:bidi="ar-SA"/>
          <w:b/>
          <w:color w:val="8A6D2F"/>
          <w:sz w:val="25"/>
        </w:rPr>
        <w:t>18.4 The Reserve Architecture</w:t>
      </w:r>
    </w:p>
    <w:p>
      <w:pPr>
        <w:pStyle w:val="Normal"/>
      </w:pPr>
      <w:r>
        <w:rPr>
          <w:rFonts w:cs="Calibri" w:ascii="Calibri" w:hAnsi="Calibri" w:eastAsia="Calibri"/>
          <w:szCs w:val="23"/>
          <w:lang w:val="en-CA" w:eastAsia="en-CA" w:bidi="ar-SA"/>
          <w:color w:val="212B32"/>
          <w:sz w:val="23"/>
        </w:rPr>
        <w:t>The Fund maintains two reserves. The operating reserve holds six (6) months of budgeted operating cost, insulating the corridor system from contribution cycles. The environmental response reserve holds the standing capacity of Article 25: pre-positioned response equipment contracts, salvage standby, and cleanup financing, sized at twenty (20) million dollars and replenished from the budget. The reserves invest under the conservative mandate of Annex D, and investment income credits the Fund.</w:t>
      </w:r>
    </w:p>
    <w:p>
      <w:pPr>
        <w:pStyle w:val="Heading3"/>
      </w:pPr>
      <w:r>
        <w:rPr>
          <w:rFonts w:cs="Calibri" w:ascii="Calibri" w:hAnsi="Calibri" w:eastAsia="Calibri"/>
          <w:szCs w:val="25"/>
          <w:lang w:val="en-CA" w:eastAsia="en-CA" w:bidi="ar-SA"/>
          <w:b/>
          <w:color w:val="8A6D2F"/>
          <w:sz w:val="25"/>
        </w:rPr>
        <w:t>18.5 Reimbursement Character</w:t>
      </w:r>
    </w:p>
    <w:p>
      <w:pPr>
        <w:pStyle w:val="Normal"/>
      </w:pPr>
      <w:r>
        <w:rPr>
          <w:rFonts w:cs="Calibri" w:ascii="Calibri" w:hAnsi="Calibri" w:eastAsia="Calibri"/>
          <w:szCs w:val="23"/>
          <w:lang w:val="en-CA" w:eastAsia="en-CA" w:bidi="ar-SA"/>
          <w:color w:val="212B32"/>
          <w:sz w:val="23"/>
        </w:rPr>
        <w:t>The architecture qualifies every payment from the Fund as reimbursement for services rendered, verified, and audited, never as a charge on passage. The distinction carries the legal character of the whole settlement: the shipping community funds the services that keep the waterway safe, and the coastal states receive documented compensation for documented work. The right of transit remains free; the cost of the service infrastructure that protects transit is shared. This is the settlement of the toll question, and it binds all States Parties as mutual architecture.</w:t>
      </w:r>
    </w:p>
    <w:p>
      <w:pPr>
        <w:pStyle w:val="Heading2"/>
      </w:pPr>
      <w:bookmarkStart w:id="52" w:name="_Toc1027"/>
      <w:bookmarkStart w:id="53" w:name="_Toc235667458"/>
      <w:r>
        <w:rPr>
          <w:szCs w:val="30"/>
          <w:lang w:val="en-CA" w:eastAsia="en-CA" w:bidi="ar-SA"/>
          <w:color w:val="212B32"/>
          <w:rFonts w:ascii="Cambria" w:hAnsi="Cambria" w:eastAsia="Cambria" w:cs="Cambria"/>
          <w:b/>
          <w:sz w:val="30"/>
        </w:rPr>
        <w:t>Article 19: Contributions and the Safe Registry</w:t>
      </w:r>
      <w:bookmarkEnd w:id="52"/>
      <w:bookmarkEnd w:id="53"/>
    </w:p>
    <w:p>
      <w:pPr>
        <w:pStyle w:val="Heading3"/>
      </w:pPr>
      <w:r>
        <w:rPr>
          <w:rFonts w:cs="Calibri" w:ascii="Calibri" w:hAnsi="Calibri" w:eastAsia="Calibri"/>
          <w:szCs w:val="25"/>
          <w:lang w:val="en-CA" w:eastAsia="en-CA" w:bidi="ar-SA"/>
          <w:b/>
          <w:color w:val="8A6D2F"/>
          <w:sz w:val="25"/>
        </w:rPr>
        <w:t>19.1 Contribution Sources</w:t>
      </w:r>
    </w:p>
    <w:p>
      <w:pPr>
        <w:pStyle w:val="Normal"/>
      </w:pPr>
      <w:r>
        <w:rPr>
          <w:rFonts w:cs="Calibri" w:ascii="Calibri" w:hAnsi="Calibri" w:eastAsia="Calibri"/>
          <w:szCs w:val="23"/>
          <w:lang w:val="en-CA" w:eastAsia="en-CA" w:bidi="ar-SA"/>
          <w:color w:val="212B32"/>
          <w:sz w:val="23"/>
        </w:rPr>
        <w:t>The Fund draws on four contribution streams, each voluntary in law and structured for reliability in practice. Stream one: flag state contributions, paid by participating states under the participation instruments of Annex N. Stream two: industry association contributions, paid by the shipping associations and protection and indemnity clubs as membership-level assessments passed through to their members as dues, never as per-transit charges. Stream three: cargo interest contributions, paid by the charterer and cargo consortia of the major energy shippers under multi-year participation agreements. Stream four: data and certification revenue, paid by insurers, classification societies, and risk assessors for the Route Verification Data and registry certification products of Annex E. Annex D fixes the contribution schedule, the assessment formula, and the invoicing calendar.</w:t>
      </w:r>
    </w:p>
    <w:p>
      <w:pPr>
        <w:pStyle w:val="Heading3"/>
      </w:pPr>
      <w:r>
        <w:rPr>
          <w:rFonts w:cs="Calibri" w:ascii="Calibri" w:hAnsi="Calibri" w:eastAsia="Calibri"/>
          <w:szCs w:val="25"/>
          <w:lang w:val="en-CA" w:eastAsia="en-CA" w:bidi="ar-SA"/>
          <w:b/>
          <w:color w:val="8A6D2F"/>
          <w:sz w:val="25"/>
        </w:rPr>
        <w:t>19.2 The Assessment Formula</w:t>
      </w:r>
    </w:p>
    <w:p>
      <w:pPr>
        <w:pStyle w:val="Normal"/>
      </w:pPr>
      <w:r>
        <w:rPr>
          <w:rFonts w:cs="Calibri" w:ascii="Calibri" w:hAnsi="Calibri" w:eastAsia="Calibri"/>
          <w:szCs w:val="23"/>
          <w:lang w:val="en-CA" w:eastAsia="en-CA" w:bidi="ar-SA"/>
          <w:color w:val="212B32"/>
          <w:sz w:val="23"/>
        </w:rPr>
        <w:t>The Administrator calculates each contributor's annual assessment by formula: the contributor's share of aggregate annual tonnage transiting the corridor system, measured by the Center's traffic record across the contributions of all States Parties and third states, multiplied by the annual funding target the Governing Board adopts in the budget. The multilateral assessment base draws from every participating contributor, whether a State Party, a third state, an association, or a consortium, and it makes the assessment a more inclusive and robust revenue model for the architecture. The formula prices the service infrastructure, not the passage: an identical transit record produces an identical assessment for every contributor, and a contributor that never transits pays nothing. The formula never touches a vessel at the strait; assessment and collection run on annual cycles at the level of states, associations, and consortia.</w:t>
      </w:r>
    </w:p>
    <w:p>
      <w:pPr>
        <w:pStyle w:val="Heading3"/>
      </w:pPr>
      <w:r>
        <w:rPr>
          <w:szCs w:val="25"/>
          <w:lang w:val="en-CA" w:eastAsia="en-CA" w:bidi="ar-SA"/>
          <w:rFonts w:ascii="Calibri" w:eastAsia="Calibri" w:hAnsi="Calibri" w:cs="Calibri"/>
          <w:b/>
          <w:color w:val="8A6D2F"/>
          <w:sz w:val="25"/>
        </w:rPr>
        <w:t>19.3 The Hormuz Safe Registry</w:t>
      </w:r>
    </w:p>
    <w:p>
      <w:pPr>
        <w:pStyle w:val="Normal"/>
      </w:pPr>
      <w:r>
        <w:rPr>
          <w:rFonts w:cs="Calibri" w:ascii="Calibri" w:hAnsi="Calibri" w:eastAsia="Calibri"/>
          <w:szCs w:val="23"/>
          <w:lang w:val="en-CA" w:eastAsia="en-CA" w:bidi="ar-SA"/>
          <w:color w:val="212B32"/>
          <w:sz w:val="23"/>
        </w:rPr>
        <w:t>The Authority maintains the Hormuz Safe Registry as the public record of participation. Registration is open to every vessel, operator, insurer, and flag state, costs nothing beyond the underlying contribution of the participant, and confers three documentary benefits: the vessel's transit records carry a registry certificate recognized by subscribers to the Route Verification Data service; the operator's vessels receive priority access to the catalog's discretionary services, such as scheduled escort and dedicated pilotage windows; and the flag state's vessels appear on the published participation roll. The Registry sorts by participation, never by politics, and it alters no transit right of any vessel. The Safe Registry confers no transit priority, no faster code processing, and no lane preference. It exists solely for documentary and insurance purposes, and every vessel, registered or not, receives identical safety services and identical transit treatment. The market consequence of non-registration is the market's own: insurers and charterers price documented, certified, registry-verified transit more favorably than undocumented transit, and the architecture simply makes the documentation available. Participation in the Safe Registry stands as a prerequisite for any State Party to hold a seat on the Governing Board, and this linkage gives every regional state a standing incentive to participate actively in the financial framework.</w:t>
      </w:r>
    </w:p>
    <w:p>
      <w:pPr>
        <w:pStyle w:val="Heading3"/>
      </w:pPr>
      <w:r>
        <w:rPr>
          <w:rFonts w:cs="Calibri" w:ascii="Calibri" w:hAnsi="Calibri" w:eastAsia="Calibri"/>
          <w:szCs w:val="25"/>
          <w:lang w:val="en-CA" w:eastAsia="en-CA" w:bidi="ar-SA"/>
          <w:b/>
          <w:color w:val="8A6D2F"/>
          <w:sz w:val="25"/>
        </w:rPr>
        <w:t>19.4 Reliability Without Compulsion</w:t>
      </w:r>
    </w:p>
    <w:p>
      <w:pPr>
        <w:pStyle w:val="Normal"/>
      </w:pPr>
      <w:r>
        <w:rPr>
          <w:rFonts w:cs="Calibri" w:ascii="Calibri" w:hAnsi="Calibri" w:eastAsia="Calibri"/>
          <w:szCs w:val="23"/>
          <w:lang w:val="en-CA" w:eastAsia="en-CA" w:bidi="ar-SA"/>
          <w:color w:val="212B32"/>
          <w:sz w:val="23"/>
        </w:rPr>
        <w:t>The Parties design the contribution architecture to behave like a reliable system without any element of compulsion at the water's edge. Multi-year participation agreements smooth revenue. The Stakeholder Council reviews and publishes fulfillment rates annually, and the published record names every participant's standing. The insurance market's own pricing machinery rewards participation and prices non-participation, an incentive structure the architecture creates but never administers. The result: the Fund finances itself from the community that uses the waterway, while no ship ever pays to pass.</w:t>
      </w:r>
    </w:p>
    <w:p>
      <w:pPr>
        <w:pStyle w:val="Heading3"/>
      </w:pPr>
      <w:r>
        <w:rPr>
          <w:rFonts w:cs="Calibri" w:ascii="Calibri" w:hAnsi="Calibri" w:eastAsia="Calibri"/>
          <w:szCs w:val="25"/>
          <w:lang w:val="en-CA" w:eastAsia="en-CA" w:bidi="ar-SA"/>
          <w:b/>
          <w:color w:val="8A6D2F"/>
          <w:sz w:val="25"/>
        </w:rPr>
        <w:t>19.5 Treatment of Non-Participants</w:t>
      </w:r>
    </w:p>
    <w:p>
      <w:pPr>
        <w:pStyle w:val="Normal"/>
      </w:pPr>
      <w:r>
        <w:rPr>
          <w:rFonts w:cs="Calibri" w:ascii="Calibri" w:hAnsi="Calibri" w:eastAsia="Calibri"/>
          <w:szCs w:val="23"/>
          <w:lang w:val="en-CA" w:eastAsia="en-CA" w:bidi="ar-SA"/>
          <w:color w:val="212B32"/>
          <w:sz w:val="23"/>
        </w:rPr>
        <w:t>A vessel whose flag state, operator, and insurer hold no participation relationship with the Fund transits both corridors with identical rights, identical safety services, identical speed and spacing rules, and identical treatment in every operational respect. Non-participation carries precisely one consequence: absence from the documentary benefits of Section 19.3. The architecture knows no other distinction.</w:t>
      </w:r>
    </w:p>
    <w:p>
      <w:pPr>
        <w:pStyle w:val="Heading2"/>
      </w:pPr>
      <w:bookmarkStart w:id="54" w:name="_Toc1028"/>
      <w:bookmarkStart w:id="55" w:name="_Toc235667459"/>
      <w:r>
        <w:rPr>
          <w:szCs w:val="30"/>
          <w:lang w:val="en-CA" w:eastAsia="en-CA" w:bidi="ar-SA"/>
          <w:color w:val="212B32"/>
          <w:rFonts w:ascii="Cambria" w:hAnsi="Cambria" w:eastAsia="Cambria" w:cs="Cambria"/>
          <w:b/>
          <w:sz w:val="30"/>
        </w:rPr>
        <w:t>Article 20: Service Reimbursement and the Services Catalog</w:t>
      </w:r>
      <w:bookmarkEnd w:id="54"/>
      <w:bookmarkEnd w:id="55"/>
    </w:p>
    <w:p>
      <w:pPr>
        <w:pStyle w:val="Heading3"/>
      </w:pPr>
      <w:r>
        <w:rPr>
          <w:rFonts w:cs="Calibri" w:ascii="Calibri" w:hAnsi="Calibri" w:eastAsia="Calibri"/>
          <w:szCs w:val="25"/>
          <w:lang w:val="en-CA" w:eastAsia="en-CA" w:bidi="ar-SA"/>
          <w:b/>
          <w:color w:val="8A6D2F"/>
          <w:sz w:val="25"/>
        </w:rPr>
        <w:t>20.1 The Services Catalog</w:t>
      </w:r>
    </w:p>
    <w:p>
      <w:pPr>
        <w:pStyle w:val="Normal"/>
      </w:pPr>
      <w:r>
        <w:rPr>
          <w:rFonts w:cs="Calibri" w:ascii="Calibri" w:hAnsi="Calibri" w:eastAsia="Calibri"/>
          <w:szCs w:val="23"/>
          <w:lang w:val="en-CA" w:eastAsia="en-CA" w:bidi="ar-SA"/>
          <w:color w:val="212B32"/>
          <w:sz w:val="23"/>
        </w:rPr>
        <w:t>Annex E fixes the Services Catalog: the complete list of services the Parties deliver through the architecture, each with a definition, a delivery standard, a documentation requirement, and a pre-published unit rate. The catalog divides into standing services, which the system delivers continuously to the shipping community as a whole, and requested services, which a vessel or operator orders for itself. Standing services include vessel traffic service operation, aids to navigation, hydrographic survey and chart maintenance, environmental monitoring, search and rescue standby, and the monitoring and reporting architecture. Requested services include pilotage, tug assistance, scheduled escort, dedicated traffic information products, certification products, and data subscriptions.</w:t>
      </w:r>
    </w:p>
    <w:p>
      <w:pPr>
        <w:pStyle w:val="Heading3"/>
      </w:pPr>
      <w:r>
        <w:rPr>
          <w:rFonts w:cs="Calibri" w:ascii="Calibri" w:hAnsi="Calibri" w:eastAsia="Calibri"/>
          <w:szCs w:val="25"/>
          <w:lang w:val="en-CA" w:eastAsia="en-CA" w:bidi="ar-SA"/>
          <w:b/>
          <w:color w:val="8A6D2F"/>
          <w:sz w:val="25"/>
        </w:rPr>
        <w:t>20.2 The Reimbursement Cycle</w:t>
      </w:r>
    </w:p>
    <w:p>
      <w:pPr>
        <w:pStyle w:val="Normal"/>
      </w:pPr>
      <w:r>
        <w:rPr>
          <w:rFonts w:cs="Calibri" w:ascii="Calibri" w:hAnsi="Calibri" w:eastAsia="Calibri"/>
          <w:szCs w:val="23"/>
          <w:lang w:val="en-CA" w:eastAsia="en-CA" w:bidi="ar-SA"/>
          <w:color w:val="212B32"/>
          <w:sz w:val="23"/>
        </w:rPr>
        <w:t>Reimbursement runs on a quarterly cycle. Each service provider submits its invoice to the Administrator against the operational record: watch logs, vessel traffic service session records, pilotage and tug delivery records signed by the receiving master, patrol and escort logs, survey reports, and monitoring data. The Administrator reconciles every invoice line against the Center's records. The Auditor verifies a full sample under the audit standard of Annex D. The Trustee pays verified invoices within thirty (30) days of receipt. The dashboard publishes every invoice, every reconciliation, and every payment.</w:t>
      </w:r>
    </w:p>
    <w:p>
      <w:pPr>
        <w:pStyle w:val="Heading3"/>
      </w:pPr>
      <w:r>
        <w:rPr>
          <w:rFonts w:cs="Calibri" w:ascii="Calibri" w:hAnsi="Calibri" w:eastAsia="Calibri"/>
          <w:szCs w:val="25"/>
          <w:lang w:val="en-CA" w:eastAsia="en-CA" w:bidi="ar-SA"/>
          <w:b/>
          <w:color w:val="8A6D2F"/>
          <w:sz w:val="25"/>
        </w:rPr>
        <w:t>20.3 Rate Setting</w:t>
      </w:r>
    </w:p>
    <w:p>
      <w:pPr>
        <w:pStyle w:val="Normal"/>
      </w:pPr>
      <w:r>
        <w:rPr>
          <w:rFonts w:cs="Calibri" w:ascii="Calibri" w:hAnsi="Calibri" w:eastAsia="Calibri"/>
          <w:szCs w:val="23"/>
          <w:lang w:val="en-CA" w:eastAsia="en-CA" w:bidi="ar-SA"/>
          <w:color w:val="212B32"/>
          <w:sz w:val="23"/>
        </w:rPr>
        <w:t>The Governing Board adopts the rate schedule annually, on the proposal of the Executive Directorate, the review of the Industry Advisory Panel, and the benchmarking study of Annex E, which compares every rate against equivalent services in comparable waterways. Rates price cost recovery with a capped margin of ten (10) percent, and the margin funds the reserve architecture. A rate never prices the passage of any vessel, and a rate never varies by flag, cargo origin, or political relationship. Rate disputes route to the dispute ladder of Article 30, and the existing rate governs by default until resolution, consistent with the no-fade rule.</w:t>
      </w:r>
    </w:p>
    <w:p>
      <w:pPr>
        <w:pStyle w:val="Heading3"/>
      </w:pPr>
      <w:r>
        <w:rPr>
          <w:szCs w:val="25"/>
          <w:lang w:val="en-CA" w:eastAsia="en-CA" w:bidi="ar-SA"/>
          <w:rFonts w:ascii="Calibri" w:eastAsia="Calibri" w:hAnsi="Calibri" w:cs="Calibri"/>
          <w:b/>
          <w:color w:val="8A6D2F"/>
          <w:sz w:val="25"/>
        </w:rPr>
        <w:t>20.4 Allocation of Funds Among the States Parties</w:t>
      </w:r>
    </w:p>
    <w:p>
      <w:pPr>
        <w:pStyle w:val="Normal"/>
      </w:pPr>
      <w:r>
        <w:rPr>
          <w:rFonts w:cs="Calibri" w:ascii="Calibri" w:hAnsi="Calibri" w:eastAsia="Calibri"/>
          <w:szCs w:val="23"/>
          <w:lang w:val="en-CA" w:eastAsia="en-CA" w:bidi="ar-SA"/>
          <w:color w:val="212B32"/>
          <w:sz w:val="23"/>
        </w:rPr>
        <w:t>Reimbursement follows delivery: the administration of each State Party invoices for the services its people and assets deliver, in its corridor and under its functional assignments of Annex E, and the Authority distributes service reimbursement to all States Parties against documented, audited delivery. The standing design target of the architecture is an allocation of funds that tracks actual delivery, audited annually, through a formula that weighs three elements: the documented delivery share of each State Party, its certified capacity for the functional assignments of Annex E, and its capacity build-out under the budget of Article 22, so that the formula accounts for the varying capacities of the member states. Where a State Party's delivery falls outside its allocation band, the budget of the following year reassigns functions to restore balance, so that all States Parties build, staff, and earn from the architecture in proportion to their real contribution over time.</w:t>
      </w:r>
    </w:p>
    <w:p>
      <w:pPr>
        <w:pStyle w:val="Heading3"/>
      </w:pPr>
      <w:r>
        <w:rPr>
          <w:rFonts w:cs="Calibri" w:ascii="Calibri" w:hAnsi="Calibri" w:eastAsia="Calibri"/>
          <w:szCs w:val="25"/>
          <w:lang w:val="en-CA" w:eastAsia="en-CA" w:bidi="ar-SA"/>
          <w:b/>
          <w:color w:val="8A6D2F"/>
          <w:sz w:val="25"/>
        </w:rPr>
        <w:t>20.5 No Double Recovery</w:t>
      </w:r>
    </w:p>
    <w:p>
      <w:pPr>
        <w:pStyle w:val="Normal"/>
      </w:pPr>
      <w:r>
        <w:rPr>
          <w:rFonts w:cs="Calibri" w:ascii="Calibri" w:hAnsi="Calibri" w:eastAsia="Calibri"/>
          <w:szCs w:val="23"/>
          <w:lang w:val="en-CA" w:eastAsia="en-CA" w:bidi="ar-SA"/>
          <w:color w:val="212B32"/>
          <w:sz w:val="23"/>
        </w:rPr>
        <w:t>A service reimbursed by the Fund carries no further charge to any vessel, state, or interest. A requested service invoiced to the requester carries no claim on the Fund. The Auditor tests every payment against the double-recovery rule, and a substantiated double recovery recoups with interest and classifies as a compliance event under Article 29.</w:t>
      </w:r>
    </w:p>
    <w:p>
      <w:pPr>
        <w:pStyle w:val="Heading2"/>
      </w:pPr>
      <w:bookmarkStart w:id="56" w:name="_Toc1029"/>
      <w:bookmarkStart w:id="57" w:name="_Toc235667460"/>
      <w:r>
        <w:rPr>
          <w:rFonts w:cs="Cambria" w:ascii="Cambria" w:hAnsi="Cambria" w:eastAsia="Cambria"/>
          <w:szCs w:val="30"/>
          <w:lang w:val="en-CA" w:eastAsia="en-CA" w:bidi="ar-SA"/>
          <w:color w:val="212B32"/>
          <w:b/>
          <w:sz w:val="30"/>
        </w:rPr>
        <w:t>Article 21: Audit, Transparency, and the Sanctions Compliance Firewall</w:t>
      </w:r>
      <w:bookmarkEnd w:id="56"/>
      <w:bookmarkEnd w:id="57"/>
    </w:p>
    <w:p>
      <w:pPr>
        <w:pStyle w:val="Heading3"/>
      </w:pPr>
      <w:r>
        <w:rPr>
          <w:rFonts w:cs="Calibri" w:ascii="Calibri" w:hAnsi="Calibri" w:eastAsia="Calibri"/>
          <w:szCs w:val="25"/>
          <w:lang w:val="en-CA" w:eastAsia="en-CA" w:bidi="ar-SA"/>
          <w:b/>
          <w:color w:val="8A6D2F"/>
          <w:sz w:val="25"/>
        </w:rPr>
        <w:t>21.1 The Audit Architecture</w:t>
      </w:r>
    </w:p>
    <w:p>
      <w:pPr>
        <w:pStyle w:val="Normal"/>
      </w:pPr>
      <w:r>
        <w:rPr>
          <w:rFonts w:cs="Calibri" w:ascii="Calibri" w:hAnsi="Calibri" w:eastAsia="Calibri"/>
          <w:szCs w:val="23"/>
          <w:lang w:val="en-CA" w:eastAsia="en-CA" w:bidi="ar-SA"/>
          <w:color w:val="212B32"/>
          <w:sz w:val="23"/>
        </w:rPr>
        <w:t>Three audit layers protect the Fund. The Administrator reconciles every transaction against operational records in real time. The Auditor conducts quarterly verification audits and the annual systems audit, with unrestricted access to the books of the Fund, the invoices of the service providers, and the operational records of the Center. The Stakeholder Council receives the audit certificates and the summary accounts each year. Audit findings publish on the Shared Dashboard in full, with the sole redaction of personal data and commercially sensitive contract pricing between the Fund and private contractors.</w:t>
      </w:r>
    </w:p>
    <w:p>
      <w:pPr>
        <w:pStyle w:val="Heading3"/>
      </w:pPr>
      <w:r>
        <w:rPr>
          <w:szCs w:val="25"/>
          <w:lang w:val="en-CA" w:eastAsia="en-CA" w:bidi="ar-SA"/>
          <w:rFonts w:ascii="Calibri" w:eastAsia="Calibri" w:hAnsi="Calibri" w:cs="Calibri"/>
          <w:b/>
          <w:color w:val="8A6D2F"/>
          <w:sz w:val="25"/>
        </w:rPr>
        <w:t>21.2 The Transparency Record</w:t>
      </w:r>
    </w:p>
    <w:p>
      <w:pPr>
        <w:pStyle w:val="Normal"/>
      </w:pPr>
      <w:r>
        <w:rPr>
          <w:rFonts w:cs="Calibri" w:ascii="Calibri" w:hAnsi="Calibri" w:eastAsia="Calibri"/>
          <w:szCs w:val="23"/>
          <w:lang w:val="en-CA" w:eastAsia="en-CA" w:bidi="ar-SA"/>
          <w:color w:val="212B32"/>
          <w:sz w:val="23"/>
        </w:rPr>
        <w:t>The dashboard carries the live financial telemetry of the architecture: contribution receipts by stream, invoice submissions and their reconciliation status, payments by category, reserve balances, and the fulfillment standing of every participant. Every entry carries a cryptographic timestamp, and the record retains for seven (7) years under the data custody rule of Section 13.5. Transparency operates as the architecture's own enforcement: a system this visible disciplines itself.</w:t>
      </w:r>
    </w:p>
    <w:p>
      <w:pPr>
        <w:pStyle w:val="Heading3"/>
      </w:pPr>
      <w:r>
        <w:rPr>
          <w:rFonts w:cs="Calibri" w:ascii="Calibri" w:hAnsi="Calibri" w:eastAsia="Calibri"/>
          <w:szCs w:val="25"/>
          <w:lang w:val="en-CA" w:eastAsia="en-CA" w:bidi="ar-SA"/>
          <w:b/>
          <w:color w:val="8A6D2F"/>
          <w:sz w:val="25"/>
        </w:rPr>
        <w:t>21.3 The Sanctions Compliance Firewall</w:t>
      </w:r>
    </w:p>
    <w:p>
      <w:pPr>
        <w:pStyle w:val="Normal"/>
      </w:pPr>
      <w:r>
        <w:rPr>
          <w:rFonts w:cs="Calibri" w:ascii="Calibri" w:hAnsi="Calibri" w:eastAsia="Calibri"/>
          <w:szCs w:val="23"/>
          <w:lang w:val="en-CA" w:eastAsia="en-CA" w:bidi="ar-SA"/>
          <w:color w:val="212B32"/>
          <w:sz w:val="23"/>
        </w:rPr>
        <w:t>The Parties design the financial architecture to sit outside every sanctions trigger known to them at the time of drafting, and they maintain the firewall as a standing obligation. The firewall rests on five structural features. First, no vessel and no contributor pays any Party: all payments flow to the Fund, a trust administered for defined international purposes. Second, the Fund pays only against audited invoices for documented services, a flow that qualifies as reimbursement rather than revenue to a state. Third, the Trustee and the Auditor stand as independent institutions between contributor and service provider, so no contributor transacts with any State Party. Fourth, the corridor system's coordination with vessels is informational, and no participant receives a service of safe passage from any state entity. Fifth, the Administrator maintains a compliance review desk that screens every payment flow against the sanctions instruments listed in the register of Annex D, obtains external legal opinions annually, and publishes the firewall certificate of Annex J with each annual audit.</w:t>
      </w:r>
    </w:p>
    <w:p>
      <w:pPr>
        <w:pStyle w:val="Heading3"/>
      </w:pPr>
      <w:r>
        <w:rPr>
          <w:rFonts w:cs="Calibri" w:ascii="Calibri" w:hAnsi="Calibri" w:eastAsia="Calibri"/>
          <w:szCs w:val="25"/>
          <w:lang w:val="en-CA" w:eastAsia="en-CA" w:bidi="ar-SA"/>
          <w:b/>
          <w:color w:val="8A6D2F"/>
          <w:sz w:val="25"/>
        </w:rPr>
        <w:t>21.4 Adjustment to Legal Change</w:t>
      </w:r>
    </w:p>
    <w:p>
      <w:pPr>
        <w:pStyle w:val="Normal"/>
      </w:pPr>
      <w:r>
        <w:rPr>
          <w:rFonts w:cs="Calibri" w:ascii="Calibri" w:hAnsi="Calibri" w:eastAsia="Calibri"/>
          <w:szCs w:val="23"/>
          <w:lang w:val="en-CA" w:eastAsia="en-CA" w:bidi="ar-SA"/>
          <w:color w:val="212B32"/>
          <w:sz w:val="23"/>
        </w:rPr>
        <w:t>The sanctions landscape shifts, and the firewall shifts with it. The compliance review desk tracks changes to the registered instruments, the Joint Technical Committee reviews the firewall against each change within thirty (30) days, and the Governing Board adopts structural adjustments that preserve both the settlement of the toll question and the firewall's integrity. Under the no-fade rule, an adjustment accumulates into the architecture without resetting any certification, and the adjustment record publishes in full.</w:t>
      </w:r>
    </w:p>
    <w:p>
      <w:pPr>
        <w:pStyle w:val="Heading2"/>
      </w:pPr>
      <w:bookmarkStart w:id="58" w:name="_Toc1030"/>
      <w:bookmarkStart w:id="59" w:name="_Toc235667461"/>
      <w:r>
        <w:rPr>
          <w:szCs w:val="30"/>
          <w:lang w:val="en-CA" w:eastAsia="en-CA" w:bidi="ar-SA"/>
          <w:color w:val="212B32"/>
          <w:rFonts w:ascii="Cambria" w:hAnsi="Cambria" w:eastAsia="Cambria" w:cs="Cambria"/>
          <w:b/>
          <w:sz w:val="30"/>
        </w:rPr>
        <w:t>Article 22: Budget and Cost-Sharing</w:t>
      </w:r>
      <w:bookmarkEnd w:id="58"/>
      <w:bookmarkEnd w:id="59"/>
    </w:p>
    <w:p>
      <w:pPr>
        <w:pStyle w:val="Heading3"/>
      </w:pPr>
      <w:r>
        <w:rPr>
          <w:rFonts w:cs="Calibri" w:ascii="Calibri" w:hAnsi="Calibri" w:eastAsia="Calibri"/>
          <w:szCs w:val="25"/>
          <w:lang w:val="en-CA" w:eastAsia="en-CA" w:bidi="ar-SA"/>
          <w:b/>
          <w:color w:val="8A6D2F"/>
          <w:sz w:val="25"/>
        </w:rPr>
        <w:t>22.1 The Annual Budget</w:t>
      </w:r>
    </w:p>
    <w:p>
      <w:pPr>
        <w:pStyle w:val="Normal"/>
      </w:pPr>
      <w:r>
        <w:rPr>
          <w:rFonts w:cs="Calibri" w:ascii="Calibri" w:hAnsi="Calibri" w:eastAsia="Calibri"/>
          <w:szCs w:val="23"/>
          <w:lang w:val="en-CA" w:eastAsia="en-CA" w:bidi="ar-SA"/>
          <w:color w:val="212B32"/>
          <w:sz w:val="23"/>
        </w:rPr>
        <w:t>The Executive Directorate prepares the annual budget of the Authority, the Governing Board adopts it under the voting rule of Article 16 before each budget year, and the Fund finances it. The budget covers: staff of the Authority and the Center; operation and maintenance of the monitoring and communications architecture; the patrol and escort contributions of the administrations of the States Parties under their service agreements; the observer program; the environmental standby contracts; audit and administration; and the capital program of Annex P. Annex P carries the founding three-year budget and the cost-effectiveness assessment of the whole architecture.</w:t>
      </w:r>
    </w:p>
    <w:p>
      <w:pPr>
        <w:pStyle w:val="Heading3"/>
      </w:pPr>
      <w:r>
        <w:rPr>
          <w:rFonts w:cs="Calibri" w:ascii="Calibri" w:hAnsi="Calibri" w:eastAsia="Calibri"/>
          <w:szCs w:val="25"/>
          <w:lang w:val="en-CA" w:eastAsia="en-CA" w:bidi="ar-SA"/>
          <w:b/>
          <w:color w:val="8A6D2F"/>
          <w:sz w:val="25"/>
        </w:rPr>
        <w:t>22.2 Cost Discipline Rules</w:t>
      </w:r>
    </w:p>
    <w:p>
      <w:pPr>
        <w:pStyle w:val="Normal"/>
      </w:pPr>
      <w:r>
        <w:rPr>
          <w:rFonts w:cs="Calibri" w:ascii="Calibri" w:hAnsi="Calibri" w:eastAsia="Calibri"/>
          <w:szCs w:val="23"/>
          <w:lang w:val="en-CA" w:eastAsia="en-CA" w:bidi="ar-SA"/>
          <w:color w:val="212B32"/>
          <w:sz w:val="23"/>
        </w:rPr>
        <w:t>Four rules discipline cost. First, reuse before build: the architecture operates from the existing vessel traffic and coastal surveillance infrastructure of all States Parties, upgraded rather than replaced. Second, parity in procurement: contracts above the threshold of Annex D follow joint tender with published criteria. Third, the ten (10) percent margin cap of Section 20.3 binds every service rate. Fourth, the annual systems audit reviews economy and efficiency, and its findings feed the next budget cycle.</w:t>
      </w:r>
    </w:p>
    <w:p>
      <w:pPr>
        <w:pStyle w:val="Heading3"/>
      </w:pPr>
      <w:r>
        <w:rPr>
          <w:rFonts w:cs="Calibri" w:ascii="Calibri" w:hAnsi="Calibri" w:eastAsia="Calibri"/>
          <w:szCs w:val="25"/>
          <w:lang w:val="en-CA" w:eastAsia="en-CA" w:bidi="ar-SA"/>
          <w:b/>
          <w:color w:val="8A6D2F"/>
          <w:sz w:val="25"/>
        </w:rPr>
        <w:t>22.3 Founding Period Financing</w:t>
      </w:r>
    </w:p>
    <w:p>
      <w:pPr>
        <w:pStyle w:val="Normal"/>
      </w:pPr>
      <w:r>
        <w:rPr>
          <w:rFonts w:cs="Calibri" w:ascii="Calibri" w:hAnsi="Calibri" w:eastAsia="Calibri"/>
          <w:szCs w:val="23"/>
          <w:lang w:val="en-CA" w:eastAsia="en-CA" w:bidi="ar-SA"/>
          <w:color w:val="212B32"/>
          <w:sz w:val="23"/>
        </w:rPr>
        <w:t>During the founding period of Article 34, before contribution streams reach full flow, the Parties advance the operating budget in equal shares as recoverable advances to the Fund, booked as contributions in kind where a Party delivers infrastructure or staff instead of cash. The advances repay from the Fund's first surpluses without interest, under the schedule of Annex D. The founding advances guarantee that the architecture operates at full standard from its first day, whatever the contribution calendar produces.</w:t>
      </w:r>
    </w:p>
    <w:p>
      <w:pPr>
        <w:pStyle w:val="Heading3"/>
      </w:pPr>
      <w:r>
        <w:rPr>
          <w:rFonts w:cs="Calibri" w:ascii="Calibri" w:hAnsi="Calibri" w:eastAsia="Calibri"/>
          <w:szCs w:val="25"/>
          <w:lang w:val="en-CA" w:eastAsia="en-CA" w:bidi="ar-SA"/>
          <w:b/>
          <w:color w:val="8A6D2F"/>
          <w:sz w:val="25"/>
        </w:rPr>
        <w:t>22.4 No Cost Dispute Suspends Operations</w:t>
      </w:r>
    </w:p>
    <w:p>
      <w:pPr>
        <w:pStyle w:val="Normal"/>
      </w:pPr>
      <w:r>
        <w:rPr>
          <w:rFonts w:cs="Calibri" w:ascii="Calibri" w:hAnsi="Calibri" w:eastAsia="Calibri"/>
          <w:szCs w:val="23"/>
          <w:lang w:val="en-CA" w:eastAsia="en-CA" w:bidi="ar-SA"/>
          <w:color w:val="212B32"/>
          <w:sz w:val="23"/>
        </w:rPr>
        <w:t>A disagreement over budget, contribution, or reimbursement routes to the dispute ladder of Article 30 and never touches operations. Default continuity carries every stalled line at its previous level, and the corridor system runs at full standard through any financial dispute. This rule stands as the financial expression of the no-fade principle: money arguments never reach the water.</w:t>
      </w:r>
    </w:p>
    <w:p>
      <w:pPr>
        <w:pStyle w:val="Heading1"/>
      </w:pPr>
      <w:bookmarkStart w:id="60" w:name="_Toc1031"/>
      <w:bookmarkStart w:id="61" w:name="_Toc235667462"/>
      <w:r>
        <w:rPr>
          <w:szCs w:val="44"/>
          <w:lang w:val="en-CA" w:eastAsia="en-CA" w:bidi="ar-SA"/>
          <w:rFonts w:ascii="Cambria" w:hAnsi="Cambria" w:eastAsia="Cambria" w:cs="Cambria"/>
          <w:b/>
          <w:color w:val="1F3A4D"/>
          <w:sz w:val="44"/>
        </w:rPr>
        <w:t>Part V: Safety, Security, and Environmental Protection</w:t>
      </w:r>
      <w:bookmarkEnd w:id="60"/>
      <w:bookmarkEnd w:id="61"/>
    </w:p>
    <w:p>
      <w:pPr>
        <w:pStyle w:val="Heading2"/>
      </w:pPr>
      <w:bookmarkStart w:id="62" w:name="_Toc1032"/>
      <w:bookmarkStart w:id="63" w:name="_Toc235667463"/>
      <w:r>
        <w:rPr>
          <w:rFonts w:cs="Cambria" w:ascii="Cambria" w:hAnsi="Cambria" w:eastAsia="Cambria"/>
          <w:szCs w:val="30"/>
          <w:lang w:val="en-CA" w:eastAsia="en-CA" w:bidi="ar-SA"/>
          <w:color w:val="212B32"/>
          <w:b/>
          <w:sz w:val="30"/>
        </w:rPr>
        <w:t>Article 23: Monitoring, Telemetry, and Non-Telemetry Verification</w:t>
      </w:r>
      <w:bookmarkEnd w:id="62"/>
      <w:bookmarkEnd w:id="63"/>
    </w:p>
    <w:p>
      <w:pPr>
        <w:pStyle w:val="Heading3"/>
      </w:pPr>
      <w:r>
        <w:rPr>
          <w:rFonts w:cs="Calibri" w:ascii="Calibri" w:hAnsi="Calibri" w:eastAsia="Calibri"/>
          <w:szCs w:val="25"/>
          <w:lang w:val="en-CA" w:eastAsia="en-CA" w:bidi="ar-SA"/>
          <w:b/>
          <w:color w:val="8A6D2F"/>
          <w:sz w:val="25"/>
        </w:rPr>
        <w:t>23.1 The Layered Monitoring Architecture</w:t>
      </w:r>
    </w:p>
    <w:p>
      <w:pPr>
        <w:pStyle w:val="Normal"/>
      </w:pPr>
      <w:r>
        <w:rPr>
          <w:rFonts w:cs="Calibri" w:ascii="Calibri" w:hAnsi="Calibri" w:eastAsia="Calibri"/>
          <w:szCs w:val="23"/>
          <w:lang w:val="en-CA" w:eastAsia="en-CA" w:bidi="ar-SA"/>
          <w:color w:val="212B32"/>
          <w:sz w:val="23"/>
        </w:rPr>
        <w:t>The corridor system operates five monitoring layers, each independent, each coequal. Layer one: the coastal radar and identification receiver network of the States Parties, integrated at the Center. Layer two: vessel-carried identification broadcast under the carriage rules of Annex A. Layer three: the visual patrol layer, comprising patrol craft of the administrations of the States Parties on published beats and the embarked observers of Article 15. Layer four: scheduled voice reporting, by which a vessel reports position, course, and speed on the working channel at each reporting point, a layer that operates with no electronics beyond a radio. Layer five: commercial satellite observation, purchased under the standing contract of Annex O and feeding the dashboard daily. The layers cross-check one another continuously, and a discrepancy between layers opens a technical inquiry under Article 28, never an accusation.</w:t>
      </w:r>
    </w:p>
    <w:p>
      <w:pPr>
        <w:pStyle w:val="Heading3"/>
      </w:pPr>
      <w:r>
        <w:rPr>
          <w:rFonts w:cs="Calibri" w:ascii="Calibri" w:hAnsi="Calibri" w:eastAsia="Calibri"/>
          <w:szCs w:val="25"/>
          <w:lang w:val="en-CA" w:eastAsia="en-CA" w:bidi="ar-SA"/>
          <w:b/>
          <w:color w:val="8A6D2F"/>
          <w:sz w:val="25"/>
        </w:rPr>
        <w:t>23.2 Telemetry Serves; It Never Rules</w:t>
      </w:r>
    </w:p>
    <w:p>
      <w:pPr>
        <w:pStyle w:val="Normal"/>
      </w:pPr>
      <w:r>
        <w:rPr>
          <w:rFonts w:cs="Calibri" w:ascii="Calibri" w:hAnsi="Calibri" w:eastAsia="Calibri"/>
          <w:szCs w:val="23"/>
          <w:lang w:val="en-CA" w:eastAsia="en-CA" w:bidi="ar-SA"/>
          <w:color w:val="212B32"/>
          <w:sz w:val="23"/>
        </w:rPr>
        <w:t>Telemetry provides speed and coverage; it provides no verdicts. No compliance determination rests on telemetry alone, and no automated system issues any consequence to any vessel or Party. Every automated flag passes through human review at the Center within one (1) hour for operational flags and twenty-four (24) hours for compliance flags. The architecture treats a sensor outage as an operational condition, never as a compliance failure: on any layer's outage, the remaining layers carry the watch, and the non-telemetry protocols of Annex O govern degraded operation.</w:t>
      </w:r>
    </w:p>
    <w:p>
      <w:pPr>
        <w:pStyle w:val="Heading3"/>
      </w:pPr>
      <w:r>
        <w:rPr>
          <w:szCs w:val="25"/>
          <w:lang w:val="en-CA" w:eastAsia="en-CA" w:bidi="ar-SA"/>
          <w:rFonts w:ascii="Calibri" w:eastAsia="Calibri" w:hAnsi="Calibri" w:cs="Calibri"/>
          <w:b/>
          <w:color w:val="8A6D2F"/>
          <w:sz w:val="25"/>
        </w:rPr>
        <w:t>23.3 The Non-Telemetry Protocol</w:t>
      </w:r>
    </w:p>
    <w:p>
      <w:pPr>
        <w:pStyle w:val="Normal"/>
      </w:pPr>
      <w:r>
        <w:rPr>
          <w:rFonts w:cs="Calibri" w:ascii="Calibri" w:hAnsi="Calibri" w:eastAsia="Calibri"/>
          <w:szCs w:val="23"/>
          <w:lang w:val="en-CA" w:eastAsia="en-CA" w:bidi="ar-SA"/>
          <w:color w:val="212B32"/>
          <w:sz w:val="23"/>
        </w:rPr>
        <w:t>Annex O fixes the degraded-mode protocol in full. Its standing elements: scheduled voice reporting at every reporting point on the hailing and working channels; visual identification and record-keeping by patrol craft on published beats; position fixing by radar observation from the shore stations with manual logging; the paper watch log as the record of first resort, transcribed to the dashboard on restoration; and the pre-agreed reporting plan by which a vessel without functioning identification equipment transits under a voice schedule agreed with the Center before entry. The corridor system operates at full safety standard in degraded mode, at reduced throughput, for as long as any outage lasts. The protocol exists because the architecture refuses to make the safety of the water hostage to the health of any sensor.</w:t>
      </w:r>
    </w:p>
    <w:p>
      <w:pPr>
        <w:pStyle w:val="Heading3"/>
      </w:pPr>
      <w:r>
        <w:rPr>
          <w:rFonts w:cs="Calibri" w:ascii="Calibri" w:hAnsi="Calibri" w:eastAsia="Calibri"/>
          <w:szCs w:val="25"/>
          <w:lang w:val="en-CA" w:eastAsia="en-CA" w:bidi="ar-SA"/>
          <w:b/>
          <w:color w:val="8A6D2F"/>
          <w:sz w:val="25"/>
        </w:rPr>
        <w:t>23.4 Data Integrity and Anti-Spoofing</w:t>
      </w:r>
    </w:p>
    <w:p>
      <w:pPr>
        <w:pStyle w:val="Normal"/>
      </w:pPr>
      <w:r>
        <w:rPr>
          <w:rFonts w:cs="Calibri" w:ascii="Calibri" w:hAnsi="Calibri" w:eastAsia="Calibri"/>
          <w:szCs w:val="23"/>
          <w:lang w:val="en-CA" w:eastAsia="en-CA" w:bidi="ar-SA"/>
          <w:color w:val="212B32"/>
          <w:sz w:val="23"/>
        </w:rPr>
        <w:t>The Center's technical cell screens the identification data stream for spoofing, substitution, and jamming indicators, and logs every anomaly. A vessel with anomalous data receives an information hail, then a direction to a holding anchorage for identity verification if the anomaly persists, never an interdiction at sea. The architecture excludes deliberate interference with navigation signals in the Operating Area by the forces of any State Party, and an interference event reports to the dashboard within six (6) hours with technical parameters.</w:t>
      </w:r>
    </w:p>
    <w:p>
      <w:pPr>
        <w:pStyle w:val="Heading3"/>
      </w:pPr>
      <w:r>
        <w:rPr>
          <w:rFonts w:cs="Calibri" w:ascii="Calibri" w:hAnsi="Calibri" w:eastAsia="Calibri"/>
          <w:szCs w:val="25"/>
          <w:lang w:val="en-CA" w:eastAsia="en-CA" w:bidi="ar-SA"/>
          <w:b/>
          <w:color w:val="8A6D2F"/>
          <w:sz w:val="25"/>
        </w:rPr>
        <w:t>23.5 Privacy and Commercial Confidentiality</w:t>
      </w:r>
    </w:p>
    <w:p>
      <w:pPr>
        <w:pStyle w:val="Normal"/>
      </w:pPr>
      <w:r>
        <w:rPr>
          <w:rFonts w:cs="Calibri" w:ascii="Calibri" w:hAnsi="Calibri" w:eastAsia="Calibri"/>
          <w:szCs w:val="23"/>
          <w:lang w:val="en-CA" w:eastAsia="en-CA" w:bidi="ar-SA"/>
          <w:color w:val="212B32"/>
          <w:sz w:val="23"/>
        </w:rPr>
        <w:t>The monitoring architecture exists for safety and verification, not for trade surveillance. Voyage data of individual vessels enters the commercial confidentiality class of the data governance schedule of Annex O: published as aggregate traffic statistics, available to the vessel's own operator and flag state in full, and available to third parties only as the Route Verification Data product in the anonymized, delayed form of Annex E. The architecture excludes any use of monitoring data for commercial espionage, cargo intelligence, or sanctions enforcement by any State Party against the users of the waterway.</w:t>
      </w:r>
    </w:p>
    <w:p>
      <w:pPr>
        <w:pStyle w:val="Heading2"/>
      </w:pPr>
      <w:bookmarkStart w:id="64" w:name="_Toc1033"/>
      <w:bookmarkStart w:id="65" w:name="_Toc235667464"/>
      <w:r>
        <w:rPr>
          <w:szCs w:val="30"/>
          <w:lang w:val="en-CA" w:eastAsia="en-CA" w:bidi="ar-SA"/>
          <w:color w:val="212B32"/>
          <w:rFonts w:ascii="Cambria" w:hAnsi="Cambria" w:eastAsia="Cambria" w:cs="Cambria"/>
          <w:b/>
          <w:sz w:val="30"/>
        </w:rPr>
        <w:t>Article 24: Search and Rescue</w:t>
      </w:r>
      <w:bookmarkEnd w:id="64"/>
      <w:bookmarkEnd w:id="65"/>
    </w:p>
    <w:p>
      <w:pPr>
        <w:pStyle w:val="Heading3"/>
      </w:pPr>
      <w:r>
        <w:rPr>
          <w:rFonts w:cs="Calibri" w:ascii="Calibri" w:hAnsi="Calibri" w:eastAsia="Calibri"/>
          <w:szCs w:val="25"/>
          <w:lang w:val="en-CA" w:eastAsia="en-CA" w:bidi="ar-SA"/>
          <w:b/>
          <w:color w:val="8A6D2F"/>
          <w:sz w:val="25"/>
        </w:rPr>
        <w:t>24.1 The Joint Rescue Architecture</w:t>
      </w:r>
    </w:p>
    <w:p>
      <w:pPr>
        <w:pStyle w:val="Normal"/>
      </w:pPr>
      <w:r>
        <w:rPr>
          <w:rFonts w:cs="Calibri" w:ascii="Calibri" w:hAnsi="Calibri" w:eastAsia="Calibri"/>
          <w:szCs w:val="23"/>
          <w:lang w:val="en-CA" w:eastAsia="en-CA" w:bidi="ar-SA"/>
          <w:color w:val="212B32"/>
          <w:sz w:val="23"/>
        </w:rPr>
        <w:t>The Parties operate search and rescue in the Operating Area as one system under Annex I. The rescue coordination function sits at the Center, with the Maritime Rescue Sub-Centers of all States Parties executing in their sectors under the boundary and handover rules of Annex I. Rescue knows no corridor politics: a distress call from any vessel, any class, any flag, triggers the nearest capable unit, and the billing question never reaches the rescue floor. Rescue services delivered to a vessel in distress carry no charge; the Fund finances rescue standby as a standing service under Article 20.</w:t>
      </w:r>
    </w:p>
    <w:p>
      <w:pPr>
        <w:pStyle w:val="Heading3"/>
      </w:pPr>
      <w:r>
        <w:rPr>
          <w:rFonts w:cs="Calibri" w:ascii="Calibri" w:hAnsi="Calibri" w:eastAsia="Calibri"/>
          <w:szCs w:val="25"/>
          <w:lang w:val="en-CA" w:eastAsia="en-CA" w:bidi="ar-SA"/>
          <w:b/>
          <w:color w:val="8A6D2F"/>
          <w:sz w:val="25"/>
        </w:rPr>
        <w:t>24.2 Standing Capability</w:t>
      </w:r>
    </w:p>
    <w:p>
      <w:pPr>
        <w:pStyle w:val="Normal"/>
      </w:pPr>
      <w:r>
        <w:rPr>
          <w:rFonts w:cs="Calibri" w:ascii="Calibri" w:hAnsi="Calibri" w:eastAsia="Calibri"/>
          <w:szCs w:val="23"/>
          <w:lang w:val="en-CA" w:eastAsia="en-CA" w:bidi="ar-SA"/>
          <w:color w:val="212B32"/>
          <w:sz w:val="23"/>
        </w:rPr>
        <w:t>The architecture maintains: dedicated rescue craft at Bandar Abbas, Qeshm, Khasab, and Musandam approaches, on fifteen (15) minute readiness at daylight and thirty (30) minute readiness at night; helicopter coverage under the standing arrangements of Annex I; medical evacuation protocols with the hospitals of the four coastal provinces; and a published mass rescue plan for passenger vessel casualties. The Joint Technical Committee audits capability quarterly, and the dashboard publishes readiness statistics.</w:t>
      </w:r>
    </w:p>
    <w:p>
      <w:pPr>
        <w:pStyle w:val="Heading3"/>
      </w:pPr>
      <w:r>
        <w:rPr>
          <w:rFonts w:cs="Calibri" w:ascii="Calibri" w:hAnsi="Calibri" w:eastAsia="Calibri"/>
          <w:szCs w:val="25"/>
          <w:lang w:val="en-CA" w:eastAsia="en-CA" w:bidi="ar-SA"/>
          <w:b/>
          <w:color w:val="8A6D2F"/>
          <w:sz w:val="25"/>
        </w:rPr>
        <w:t>24.3 The Distress Priority Rule</w:t>
      </w:r>
    </w:p>
    <w:p>
      <w:pPr>
        <w:pStyle w:val="Normal"/>
      </w:pPr>
      <w:r>
        <w:rPr>
          <w:rFonts w:cs="Calibri" w:ascii="Calibri" w:hAnsi="Calibri" w:eastAsia="Calibri"/>
          <w:szCs w:val="23"/>
          <w:lang w:val="en-CA" w:eastAsia="en-CA" w:bidi="ar-SA"/>
          <w:color w:val="212B32"/>
          <w:sz w:val="23"/>
        </w:rPr>
        <w:t>A vessel in distress holds absolute priority over every rule of this Framework. It deviates freely from any lane, anchorages, speed limits, and notification duties; it enters any waters of the Operating Area; it receives assistance without precondition. The corridor system reconfigures around the distress case automatically: the Center clears traffic from the affected sector, broadcasts the safety information message, and logs the event. No administrative consequence of any kind attaches to a deviation driven by distress or by the master's safety judgment.</w:t>
      </w:r>
    </w:p>
    <w:p>
      <w:pPr>
        <w:pStyle w:val="Heading3"/>
      </w:pPr>
      <w:r>
        <w:rPr>
          <w:rFonts w:cs="Calibri" w:ascii="Calibri" w:hAnsi="Calibri" w:eastAsia="Calibri"/>
          <w:szCs w:val="25"/>
          <w:lang w:val="en-CA" w:eastAsia="en-CA" w:bidi="ar-SA"/>
          <w:b/>
          <w:color w:val="8A6D2F"/>
          <w:sz w:val="25"/>
        </w:rPr>
        <w:t>24.4 Exercises</w:t>
      </w:r>
    </w:p>
    <w:p>
      <w:pPr>
        <w:pStyle w:val="Normal"/>
      </w:pPr>
      <w:r>
        <w:rPr>
          <w:rFonts w:cs="Calibri" w:ascii="Calibri" w:hAnsi="Calibri" w:eastAsia="Calibri"/>
          <w:szCs w:val="23"/>
          <w:lang w:val="en-CA" w:eastAsia="en-CA" w:bidi="ar-SA"/>
          <w:color w:val="212B32"/>
          <w:sz w:val="23"/>
        </w:rPr>
        <w:t>The Parties conduct joint search and rescue exercises quarterly, alternating sectors, with the observer program and invited stakeholder assets participating. Exercise design covers the realistic casualty set of the waterway: tanker fire, gas carrier release, passenger vessel evacuation, small craft capsizing, and helicopter ditching. Exercise reports publish on the dashboard, and lessons fold into Annex I through the technical correction procedure.</w:t>
      </w:r>
    </w:p>
    <w:p>
      <w:pPr>
        <w:pStyle w:val="Heading2"/>
      </w:pPr>
      <w:bookmarkStart w:id="66" w:name="_Toc1034"/>
      <w:bookmarkStart w:id="67" w:name="_Toc235667465"/>
      <w:r>
        <w:rPr>
          <w:szCs w:val="30"/>
          <w:lang w:val="en-CA" w:eastAsia="en-CA" w:bidi="ar-SA"/>
          <w:color w:val="212B32"/>
          <w:rFonts w:ascii="Cambria" w:hAnsi="Cambria" w:eastAsia="Cambria" w:cs="Cambria"/>
          <w:b/>
          <w:sz w:val="30"/>
        </w:rPr>
        <w:t>Article 25: Environmental Protection and Pollution Response</w:t>
      </w:r>
      <w:bookmarkEnd w:id="66"/>
      <w:bookmarkEnd w:id="67"/>
    </w:p>
    <w:p>
      <w:pPr>
        <w:pStyle w:val="Heading3"/>
      </w:pPr>
      <w:r>
        <w:rPr>
          <w:rFonts w:cs="Calibri" w:ascii="Calibri" w:hAnsi="Calibri" w:eastAsia="Calibri"/>
          <w:szCs w:val="25"/>
          <w:lang w:val="en-CA" w:eastAsia="en-CA" w:bidi="ar-SA"/>
          <w:b/>
          <w:color w:val="8A6D2F"/>
          <w:sz w:val="25"/>
        </w:rPr>
        <w:t>25.1 Environmental Objective</w:t>
      </w:r>
    </w:p>
    <w:p>
      <w:pPr>
        <w:pStyle w:val="Normal"/>
      </w:pPr>
      <w:r>
        <w:rPr>
          <w:rFonts w:cs="Calibri" w:ascii="Calibri" w:hAnsi="Calibri" w:eastAsia="Calibri"/>
          <w:szCs w:val="23"/>
          <w:lang w:val="en-CA" w:eastAsia="en-CA" w:bidi="ar-SA"/>
          <w:color w:val="212B32"/>
          <w:sz w:val="23"/>
        </w:rPr>
        <w:t>The Parties hold the marine environment of the Strait as a shared asset and a shared liability. The environmental objective of the Framework: zero tolerance for operational pollution, standing readiness for casualty pollution, and documented stewardship visible to the world. Annex H fixes the standards, the monitoring program, and the response plan in full.</w:t>
      </w:r>
    </w:p>
    <w:p>
      <w:pPr>
        <w:pStyle w:val="Heading3"/>
      </w:pPr>
      <w:r>
        <w:rPr>
          <w:rFonts w:cs="Calibri" w:ascii="Calibri" w:hAnsi="Calibri" w:eastAsia="Calibri"/>
          <w:szCs w:val="25"/>
          <w:lang w:val="en-CA" w:eastAsia="en-CA" w:bidi="ar-SA"/>
          <w:b/>
          <w:color w:val="8A6D2F"/>
          <w:sz w:val="25"/>
        </w:rPr>
        <w:t>25.2 Operational Pollution Controls</w:t>
      </w:r>
    </w:p>
    <w:p>
      <w:pPr>
        <w:pStyle w:val="Normal"/>
      </w:pPr>
      <w:r>
        <w:rPr>
          <w:rFonts w:cs="Calibri" w:ascii="Calibri" w:hAnsi="Calibri" w:eastAsia="Calibri"/>
          <w:szCs w:val="23"/>
          <w:lang w:val="en-CA" w:eastAsia="en-CA" w:bidi="ar-SA"/>
          <w:color w:val="212B32"/>
          <w:sz w:val="23"/>
        </w:rPr>
        <w:t>The corridor system enforces the international discharge standards through monitoring and port-state referral: oily water monitoring of the traffic stream by the surveillance architecture, detection of discharge events by radar and satellite slick screening, and referral of detected events to the flag state and the destination port with the evidence package of Annex G. Enforcement at sea against a transiting vessel stands outside this Framework; the architecture works through evidence and referral, consistent with the non-interdiction protocol.</w:t>
      </w:r>
    </w:p>
    <w:p>
      <w:pPr>
        <w:pStyle w:val="Heading3"/>
      </w:pPr>
      <w:r>
        <w:rPr>
          <w:rFonts w:cs="Calibri" w:ascii="Calibri" w:hAnsi="Calibri" w:eastAsia="Calibri"/>
          <w:szCs w:val="25"/>
          <w:lang w:val="en-CA" w:eastAsia="en-CA" w:bidi="ar-SA"/>
          <w:b/>
          <w:color w:val="8A6D2F"/>
          <w:sz w:val="25"/>
        </w:rPr>
        <w:t>25.3 Casualty Response</w:t>
      </w:r>
    </w:p>
    <w:p>
      <w:pPr>
        <w:pStyle w:val="Normal"/>
      </w:pPr>
      <w:r>
        <w:rPr>
          <w:rFonts w:cs="Calibri" w:ascii="Calibri" w:hAnsi="Calibri" w:eastAsia="Calibri"/>
          <w:szCs w:val="23"/>
          <w:lang w:val="en-CA" w:eastAsia="en-CA" w:bidi="ar-SA"/>
          <w:color w:val="212B32"/>
          <w:sz w:val="23"/>
        </w:rPr>
        <w:t>The environmental response reserve of Article 18.4 finances standing response capability: pre-positioned boom, skimmer, and dispersant stocks at Bandar Abbas and Khasab; a standby salvage and wreck-removal contract; a tiered response plan scaling from operational spills to a tier-three casualty of tanker scale; and the joint response command structure of Annex H, which activates under a single incident commander drawn from the administration of the sector, with the units of the other States Parties under liaison. Response to a casualty pollution event begins on detection, never on the resolution of any question of fault or payment.</w:t>
      </w:r>
    </w:p>
    <w:p>
      <w:pPr>
        <w:pStyle w:val="Heading3"/>
      </w:pPr>
      <w:r>
        <w:rPr>
          <w:rFonts w:cs="Calibri" w:ascii="Calibri" w:hAnsi="Calibri" w:eastAsia="Calibri"/>
          <w:szCs w:val="25"/>
          <w:lang w:val="en-CA" w:eastAsia="en-CA" w:bidi="ar-SA"/>
          <w:b/>
          <w:color w:val="8A6D2F"/>
          <w:sz w:val="25"/>
        </w:rPr>
        <w:t>25.4 Environmental Monitoring and Reporting</w:t>
      </w:r>
    </w:p>
    <w:p>
      <w:pPr>
        <w:pStyle w:val="Normal"/>
      </w:pPr>
      <w:r>
        <w:rPr>
          <w:rFonts w:cs="Calibri" w:ascii="Calibri" w:hAnsi="Calibri" w:eastAsia="Calibri"/>
          <w:szCs w:val="23"/>
          <w:lang w:val="en-CA" w:eastAsia="en-CA" w:bidi="ar-SA"/>
          <w:color w:val="212B32"/>
          <w:sz w:val="23"/>
        </w:rPr>
        <w:t>The Authority operates the environmental monitoring program of Annex H: water quality sampling at the published stations, shoreline sensitivity mapping, ballast and biofouling reporting for port-bound traffic, and an annual state-of-the-strait environmental report published on the dashboard. The monitoring program doubles as the evidence base for the environmental service lines of the Services Catalog, closing the loop between stewardship and reimbursement.</w:t>
      </w:r>
    </w:p>
    <w:p>
      <w:pPr>
        <w:pStyle w:val="Heading3"/>
      </w:pPr>
      <w:r>
        <w:rPr>
          <w:szCs w:val="25"/>
          <w:lang w:val="en-CA" w:eastAsia="en-CA" w:bidi="ar-SA"/>
          <w:rFonts w:ascii="Calibri" w:eastAsia="Calibri" w:hAnsi="Calibri" w:cs="Calibri"/>
          <w:b/>
          <w:color w:val="8A6D2F"/>
          <w:sz w:val="25"/>
        </w:rPr>
        <w:t>25.5 Sensitive Areas and Seasonal Rules</w:t>
      </w:r>
    </w:p>
    <w:p>
      <w:pPr>
        <w:pStyle w:val="Normal"/>
      </w:pPr>
      <w:r>
        <w:rPr>
          <w:rFonts w:cs="Calibri" w:ascii="Calibri" w:hAnsi="Calibri" w:eastAsia="Calibri"/>
          <w:szCs w:val="23"/>
          <w:lang w:val="en-CA" w:eastAsia="en-CA" w:bidi="ar-SA"/>
          <w:color w:val="212B32"/>
          <w:sz w:val="23"/>
        </w:rPr>
        <w:t>Annex H designates the environmentally sensitive areas of the Operating Area, including the Musandam coral zones, the Qeshm mangrove stands, and the Larak turtle nesting beaches, with seasonal speed and routing advisories for each. Sensitive-area rules apply to every vessel class equally, and the Center broadcasts the active advisories with the daily status report.</w:t>
      </w:r>
    </w:p>
    <w:p>
      <w:pPr>
        <w:pStyle w:val="Heading2"/>
      </w:pPr>
      <w:bookmarkStart w:id="68" w:name="_Toc1035"/>
      <w:bookmarkStart w:id="69" w:name="_Toc235667466"/>
      <w:r>
        <w:rPr>
          <w:rFonts w:cs="Cambria" w:ascii="Cambria" w:hAnsi="Cambria" w:eastAsia="Cambria"/>
          <w:szCs w:val="30"/>
          <w:lang w:val="en-CA" w:eastAsia="en-CA" w:bidi="ar-SA"/>
          <w:color w:val="212B32"/>
          <w:b/>
          <w:sz w:val="30"/>
        </w:rPr>
        <w:t>Article 26: Maritime Security and De-Confliction</w:t>
      </w:r>
      <w:bookmarkEnd w:id="68"/>
      <w:bookmarkEnd w:id="69"/>
    </w:p>
    <w:p>
      <w:pPr>
        <w:pStyle w:val="Heading3"/>
      </w:pPr>
      <w:r>
        <w:rPr>
          <w:rFonts w:cs="Calibri" w:ascii="Calibri" w:hAnsi="Calibri" w:eastAsia="Calibri"/>
          <w:szCs w:val="25"/>
          <w:lang w:val="en-CA" w:eastAsia="en-CA" w:bidi="ar-SA"/>
          <w:b/>
          <w:color w:val="8A6D2F"/>
          <w:sz w:val="25"/>
        </w:rPr>
        <w:t>26.1 The Security Architecture</w:t>
      </w:r>
    </w:p>
    <w:p>
      <w:pPr>
        <w:pStyle w:val="Normal"/>
      </w:pPr>
      <w:r>
        <w:rPr>
          <w:rFonts w:cs="Calibri" w:ascii="Calibri" w:hAnsi="Calibri" w:eastAsia="Calibri"/>
          <w:szCs w:val="23"/>
          <w:lang w:val="en-CA" w:eastAsia="en-CA" w:bidi="ar-SA"/>
          <w:color w:val="212B32"/>
          <w:sz w:val="23"/>
        </w:rPr>
        <w:t>Security in the Operating Area rests on separation, communication, and published rules, not on presence and threat. The architecture comprises: the de-confliction desk at the Center, where uniformed liaison officers of all States Parties coordinate military movement under Annex F; the military transit protocol for third-state naval vessels; the safety buffer and exclusion rules of this article; the hotline network of Annex F; and the incident classification of Article 27. The architecture treats the military establishments of all States Parties as users of a shared rulebook, never as parties to each other's planning.</w:t>
      </w:r>
    </w:p>
    <w:p>
      <w:pPr>
        <w:pStyle w:val="Heading3"/>
      </w:pPr>
      <w:r>
        <w:rPr>
          <w:rFonts w:cs="Calibri" w:ascii="Calibri" w:hAnsi="Calibri" w:eastAsia="Calibri"/>
          <w:szCs w:val="25"/>
          <w:lang w:val="en-CA" w:eastAsia="en-CA" w:bidi="ar-SA"/>
          <w:b/>
          <w:color w:val="8A6D2F"/>
          <w:sz w:val="25"/>
        </w:rPr>
        <w:t>26.2 The Standing De-Confliction Rules</w:t>
      </w:r>
    </w:p>
    <w:p>
      <w:pPr>
        <w:pStyle w:val="Normal"/>
      </w:pPr>
      <w:r>
        <w:rPr>
          <w:rFonts w:cs="Calibri" w:ascii="Calibri" w:hAnsi="Calibri" w:eastAsia="Calibri"/>
          <w:szCs w:val="23"/>
          <w:lang w:val="en-CA" w:eastAsia="en-CA" w:bidi="ar-SA"/>
          <w:color w:val="212B32"/>
          <w:sz w:val="23"/>
        </w:rPr>
        <w:t>Six standing rules govern military activity in and around the corridor system, binding all States Parties as mutual architecture. First, the architecture excludes illumination of transiting commercial vessels with fire-control radar or targeting systems. Second, a ten (10) nautical mile safety buffer surrounds every active commercial traffic stream inside the corridor system; the architecture excludes live-fire exercise, offensive maneuver, and weapons deployment inside the buffer. Third, submerged transit stands excluded within fifteen (15) nautical miles of the corridor lanes, absent explicit advance coordination through the de-confliction desk. Fourth, military aircraft of each State Party maintain at least twenty-five (25) nautical miles of separation from those of every other State Party inside the Operating Area airspace, operate with active transponders, and hold targeting emissions silent during corridor overflight. Fifth, each Party provides the Center seventy-two (72) hours advance notice of any live-fire activity within one hundred (100) nautical miles of the corridor system, and the Center relays the notice within six (6) hours. Sixth, patrol craft on corridor beats carry the published identification and lighting profile of Annex F, so that merchant watchkeepers distinguish the architecture's own craft at a glance.</w:t>
      </w:r>
    </w:p>
    <w:p>
      <w:pPr>
        <w:pStyle w:val="Heading3"/>
      </w:pPr>
      <w:r>
        <w:rPr>
          <w:szCs w:val="25"/>
          <w:lang w:val="en-CA" w:eastAsia="en-CA" w:bidi="ar-SA"/>
          <w:rFonts w:ascii="Calibri" w:eastAsia="Calibri" w:hAnsi="Calibri" w:cs="Calibri"/>
          <w:b/>
          <w:color w:val="8A6D2F"/>
          <w:sz w:val="25"/>
        </w:rPr>
        <w:t>26.3 Third-State Military Transit</w:t>
      </w:r>
    </w:p>
    <w:p>
      <w:pPr>
        <w:pStyle w:val="Normal"/>
      </w:pPr>
      <w:r>
        <w:rPr>
          <w:rFonts w:cs="Calibri" w:ascii="Calibri" w:hAnsi="Calibri" w:eastAsia="Calibri"/>
          <w:szCs w:val="23"/>
          <w:lang w:val="en-CA" w:eastAsia="en-CA" w:bidi="ar-SA"/>
          <w:color w:val="212B32"/>
          <w:sz w:val="23"/>
        </w:rPr>
        <w:t>Naval and state vessels of third states transit under the military protocol: advance notification through the de-confliction channel of Annex F, seventy-two (72) hours for Corridor B and twenty-four (24) hours for Corridor A; continuous surface transit; active transponders; no aircraft operations over the corridor; and the non-hostile passage profile. The notification records as coordination information, never as a permission request, and the Center publishes the standing military transit rules for every navy. The architecture handles a naval vessel of a state in conflict with a Party under the same rules plus the enhanced de-confliction package of Annex F: dedicated liaison contact, fixed transit window, and mutual stand-off distances announced in advance.</w:t>
      </w:r>
    </w:p>
    <w:p>
      <w:pPr>
        <w:pStyle w:val="Heading3"/>
      </w:pPr>
      <w:r>
        <w:rPr>
          <w:rFonts w:cs="Calibri" w:ascii="Calibri" w:hAnsi="Calibri" w:eastAsia="Calibri"/>
          <w:szCs w:val="25"/>
          <w:lang w:val="en-CA" w:eastAsia="en-CA" w:bidi="ar-SA"/>
          <w:b/>
          <w:color w:val="8A6D2F"/>
          <w:sz w:val="25"/>
        </w:rPr>
        <w:t>26.4 Mines and Historic Hazards</w:t>
      </w:r>
    </w:p>
    <w:p>
      <w:pPr>
        <w:pStyle w:val="Normal"/>
      </w:pPr>
      <w:r>
        <w:rPr>
          <w:rFonts w:cs="Calibri" w:ascii="Calibri" w:hAnsi="Calibri" w:eastAsia="Calibri"/>
          <w:szCs w:val="23"/>
          <w:lang w:val="en-CA" w:eastAsia="en-CA" w:bidi="ar-SA"/>
          <w:color w:val="212B32"/>
          <w:sz w:val="23"/>
        </w:rPr>
        <w:t>The architecture excludes the emplacement of mines or equivalent devices anywhere in the Operating Area, under every circumstance, as an absolute rule of the shared design. The Parties jointly survey the corridor system for legacy hazards under the survey program of Annex A, publish the results, and conduct clearance where the survey identifies a hazard, under joint oversight with observer presence. A suspected mine sighting triggers the incident procedure of Article 27 with the sector pause mechanism, and the joint clearance capability of Annex I stands at permanent readiness.</w:t>
      </w:r>
    </w:p>
    <w:p>
      <w:pPr>
        <w:pStyle w:val="Heading3"/>
      </w:pPr>
      <w:r>
        <w:rPr>
          <w:rFonts w:cs="Calibri" w:ascii="Calibri" w:hAnsi="Calibri" w:eastAsia="Calibri"/>
          <w:szCs w:val="25"/>
          <w:lang w:val="en-CA" w:eastAsia="en-CA" w:bidi="ar-SA"/>
          <w:b/>
          <w:color w:val="8A6D2F"/>
          <w:sz w:val="25"/>
        </w:rPr>
        <w:t>26.5 The Rogue Actor Pathway</w:t>
      </w:r>
    </w:p>
    <w:p>
      <w:pPr>
        <w:pStyle w:val="Normal"/>
      </w:pPr>
      <w:r>
        <w:rPr>
          <w:rFonts w:cs="Calibri" w:ascii="Calibri" w:hAnsi="Calibri" w:eastAsia="Calibri"/>
          <w:szCs w:val="23"/>
          <w:lang w:val="en-CA" w:eastAsia="en-CA" w:bidi="ar-SA"/>
          <w:color w:val="212B32"/>
          <w:sz w:val="23"/>
        </w:rPr>
        <w:t>An attack or harassment event in the Operating Area by an actor outside the command of any State Party falls under the rogue actor pathway: the Center freezes the affected sector under the pause notice, the joint investigation cell of Article 27 assembles the evidence package, the attribution finding publishes with the evidence, and the compliance engine of Part VI assigns consequence according to attribution, never according to assumption. The pathway exists to keep a single unauthorized act from collapsing the architecture: where the joint investigation cell concludes that attribution does not meet the convergence standard, a verified non-attributed event carries no compliance consequence for any State Party, and all States Parties cooperate in the suppression response under the incident commander's direction.</w:t>
      </w:r>
    </w:p>
    <w:p>
      <w:pPr>
        <w:pStyle w:val="Heading2"/>
      </w:pPr>
      <w:bookmarkStart w:id="70" w:name="_Toc1036"/>
      <w:bookmarkStart w:id="71" w:name="_Toc235667467"/>
      <w:r>
        <w:rPr>
          <w:szCs w:val="30"/>
          <w:lang w:val="en-CA" w:eastAsia="en-CA" w:bidi="ar-SA"/>
          <w:color w:val="212B32"/>
          <w:rFonts w:ascii="Cambria" w:hAnsi="Cambria" w:eastAsia="Cambria" w:cs="Cambria"/>
          <w:b/>
          <w:sz w:val="30"/>
        </w:rPr>
        <w:t>Article 27: Incident Classification, Reporting, and Investigation</w:t>
      </w:r>
      <w:bookmarkEnd w:id="70"/>
      <w:bookmarkEnd w:id="71"/>
    </w:p>
    <w:p>
      <w:pPr>
        <w:pStyle w:val="Heading3"/>
      </w:pPr>
      <w:r>
        <w:rPr>
          <w:rFonts w:cs="Calibri" w:ascii="Calibri" w:hAnsi="Calibri" w:eastAsia="Calibri"/>
          <w:szCs w:val="25"/>
          <w:lang w:val="en-CA" w:eastAsia="en-CA" w:bidi="ar-SA"/>
          <w:b/>
          <w:color w:val="8A6D2F"/>
          <w:sz w:val="25"/>
        </w:rPr>
        <w:t>27.1 The Classification</w:t>
      </w:r>
    </w:p>
    <w:p>
      <w:pPr>
        <w:pStyle w:val="Normal"/>
      </w:pPr>
      <w:r>
        <w:rPr>
          <w:rFonts w:cs="Calibri" w:ascii="Calibri" w:hAnsi="Calibri" w:eastAsia="Calibri"/>
          <w:szCs w:val="23"/>
          <w:lang w:val="en-CA" w:eastAsia="en-CA" w:bidi="ar-SA"/>
          <w:color w:val="212B32"/>
          <w:sz w:val="23"/>
        </w:rPr>
        <w:t>The architecture classifies every event in the Operating Area into four classes. Class 1, operational anomaly: navigation deviations, data gaps, spacing violations, and communication failures; the Center resolves the class on the watch floor, logging every case. Class 2, safety incident: collision, grounding, fire, pollution event, or distress; the search and rescue and environmental plans govern, with the investigation procedure of Annex G following. Class 3, security event: harassment, interference, unauthorized approach, or suspected hostile act; the de-confliction desk and the joint investigation cell govern. Class 4, framework event: an event touching the compliance of a Party with this Framework; the compliance engine of Part VI governs. Annex G fixes the reporting forms, timelines, and evidence standards for each class.</w:t>
      </w:r>
    </w:p>
    <w:p>
      <w:pPr>
        <w:pStyle w:val="Heading3"/>
      </w:pPr>
      <w:r>
        <w:rPr>
          <w:rFonts w:cs="Calibri" w:ascii="Calibri" w:hAnsi="Calibri" w:eastAsia="Calibri"/>
          <w:szCs w:val="25"/>
          <w:lang w:val="en-CA" w:eastAsia="en-CA" w:bidi="ar-SA"/>
          <w:b/>
          <w:color w:val="8A6D2F"/>
          <w:sz w:val="25"/>
        </w:rPr>
        <w:t>27.2 The Operational Pause Notice</w:t>
      </w:r>
    </w:p>
    <w:p>
      <w:pPr>
        <w:pStyle w:val="Normal"/>
      </w:pPr>
      <w:r>
        <w:rPr>
          <w:rFonts w:cs="Calibri" w:ascii="Calibri" w:hAnsi="Calibri" w:eastAsia="Calibri"/>
          <w:szCs w:val="23"/>
          <w:lang w:val="en-CA" w:eastAsia="en-CA" w:bidi="ar-SA"/>
          <w:color w:val="212B32"/>
          <w:sz w:val="23"/>
        </w:rPr>
        <w:t>The Center issues an operational pause notice on verified hazard: a sector of the corridor system freezes for a maximum of sixty (60) minutes per issuance while the watch verifies and resolves the hazard. The notice states the sector, the reason class, and the expected review time, and it publishes on the dashboard the moment it issues. A pause renews only on continued verified hazard, with each renewal logged with its justification, and a sector under continuous pause for six (6) hours escalates automatically to the Governing Board and the hotline network. The pause mechanism replaces closure: it keeps the rest of the waterway moving while one sector resolves its problem.</w:t>
      </w:r>
    </w:p>
    <w:p>
      <w:pPr>
        <w:pStyle w:val="Heading3"/>
      </w:pPr>
      <w:r>
        <w:rPr>
          <w:rFonts w:cs="Calibri" w:ascii="Calibri" w:hAnsi="Calibri" w:eastAsia="Calibri"/>
          <w:szCs w:val="25"/>
          <w:lang w:val="en-CA" w:eastAsia="en-CA" w:bidi="ar-SA"/>
          <w:b/>
          <w:color w:val="8A6D2F"/>
          <w:sz w:val="25"/>
        </w:rPr>
        <w:t>27.3 The Joint Investigation Cell</w:t>
      </w:r>
    </w:p>
    <w:p>
      <w:pPr>
        <w:pStyle w:val="Normal"/>
      </w:pPr>
      <w:r>
        <w:rPr>
          <w:rFonts w:cs="Calibri" w:ascii="Calibri" w:hAnsi="Calibri" w:eastAsia="Calibri"/>
          <w:szCs w:val="23"/>
          <w:lang w:val="en-CA" w:eastAsia="en-CA" w:bidi="ar-SA"/>
          <w:color w:val="212B32"/>
          <w:sz w:val="23"/>
        </w:rPr>
        <w:t>Class 2 and Class 3 events route to the joint investigation cell: two investigators per Party, observer advisers, and the evidence standards of Annex G. The cell assembles the evidence package, issues a factual finding within fourteen (14) days, and publishes the finding on the dashboard. The finding states facts and proximate causes; it assigns no legal liability, which remains for the jurisdictions the law provides. Where the cell divides, the finding records both positions with their evidence, and the dispute ladder of Article 30 takes the question from there.</w:t>
      </w:r>
    </w:p>
    <w:p>
      <w:pPr>
        <w:pStyle w:val="Heading3"/>
      </w:pPr>
      <w:r>
        <w:rPr>
          <w:szCs w:val="25"/>
          <w:lang w:val="en-CA" w:eastAsia="en-CA" w:bidi="ar-SA"/>
          <w:rFonts w:ascii="Calibri" w:eastAsia="Calibri" w:hAnsi="Calibri" w:cs="Calibri"/>
          <w:b/>
          <w:color w:val="8A6D2F"/>
          <w:sz w:val="25"/>
        </w:rPr>
        <w:t>27.4 Reporting Duties of Vessels</w:t>
      </w:r>
    </w:p>
    <w:p>
      <w:pPr>
        <w:pStyle w:val="Normal"/>
      </w:pPr>
      <w:r>
        <w:rPr>
          <w:rFonts w:cs="Calibri" w:ascii="Calibri" w:hAnsi="Calibri" w:eastAsia="Calibri"/>
          <w:szCs w:val="23"/>
          <w:lang w:val="en-CA" w:eastAsia="en-CA" w:bidi="ar-SA"/>
          <w:color w:val="212B32"/>
          <w:sz w:val="23"/>
        </w:rPr>
        <w:t>A vessel involved in or witnessing any Class 1 through Class 3 event reports it to the Center on the hailing channel or by the reporting form of Annex G within two (2) hours for Class 2 and 3 events and within twenty-four (24) hours for Class 1 events. The report constitutes a safety service to the waterway; it carries no admission, no penalty exposure under this Framework, and no fee. The architecture protects reporting so that reporting stays honest.</w:t>
      </w:r>
    </w:p>
    <w:p>
      <w:pPr>
        <w:pStyle w:val="Heading3"/>
      </w:pPr>
      <w:r>
        <w:rPr>
          <w:rFonts w:cs="Calibri" w:ascii="Calibri" w:hAnsi="Calibri" w:eastAsia="Calibri"/>
          <w:szCs w:val="25"/>
          <w:lang w:val="en-CA" w:eastAsia="en-CA" w:bidi="ar-SA"/>
          <w:b/>
          <w:color w:val="8A6D2F"/>
          <w:sz w:val="25"/>
        </w:rPr>
        <w:t>27.5 The Learning Loop</w:t>
      </w:r>
    </w:p>
    <w:p>
      <w:pPr>
        <w:pStyle w:val="Normal"/>
      </w:pPr>
      <w:r>
        <w:rPr>
          <w:rFonts w:cs="Calibri" w:ascii="Calibri" w:hAnsi="Calibri" w:eastAsia="Calibri"/>
          <w:szCs w:val="23"/>
          <w:lang w:val="en-CA" w:eastAsia="en-CA" w:bidi="ar-SA"/>
          <w:color w:val="212B32"/>
          <w:sz w:val="23"/>
        </w:rPr>
        <w:t>Every closed investigation feeds the learning loop: the Joint Technical Committee reviews findings quarterly, extracts procedure and design lessons, and folds them into the annexes through the technical correction procedure. The dashboard publishes the learning register, so that the waterway's users see the system improving on the record.</w:t>
      </w:r>
    </w:p>
    <w:p>
      <w:pPr>
        <w:pStyle w:val="Heading1"/>
      </w:pPr>
      <w:bookmarkStart w:id="72" w:name="_Toc1037"/>
      <w:bookmarkStart w:id="73" w:name="_Toc235667468"/>
      <w:r>
        <w:rPr>
          <w:szCs w:val="44"/>
          <w:lang w:val="en-CA" w:eastAsia="en-CA" w:bidi="ar-SA"/>
          <w:rFonts w:ascii="Cambria" w:hAnsi="Cambria" w:eastAsia="Cambria" w:cs="Cambria"/>
          <w:b/>
          <w:color w:val="1F3A4D"/>
          <w:sz w:val="44"/>
        </w:rPr>
        <w:t>Part VI: Compliance and Dispute Resolution</w:t>
      </w:r>
      <w:bookmarkEnd w:id="72"/>
      <w:bookmarkEnd w:id="73"/>
    </w:p>
    <w:p>
      <w:pPr>
        <w:pStyle w:val="Heading2"/>
      </w:pPr>
      <w:bookmarkStart w:id="74" w:name="_Toc1038"/>
      <w:bookmarkStart w:id="75" w:name="_Toc235667469"/>
      <w:r>
        <w:rPr>
          <w:rFonts w:cs="Cambria" w:ascii="Cambria" w:hAnsi="Cambria" w:eastAsia="Cambria"/>
          <w:szCs w:val="30"/>
          <w:lang w:val="en-CA" w:eastAsia="en-CA" w:bidi="ar-SA"/>
          <w:color w:val="212B32"/>
          <w:b/>
          <w:sz w:val="30"/>
        </w:rPr>
        <w:t>Article 28: Compliance Architecture and the Convergence Standard</w:t>
      </w:r>
      <w:bookmarkEnd w:id="74"/>
      <w:bookmarkEnd w:id="75"/>
    </w:p>
    <w:p>
      <w:pPr>
        <w:pStyle w:val="Heading3"/>
      </w:pPr>
      <w:r>
        <w:rPr>
          <w:rFonts w:cs="Calibri" w:ascii="Calibri" w:hAnsi="Calibri" w:eastAsia="Calibri"/>
          <w:szCs w:val="25"/>
          <w:lang w:val="en-CA" w:eastAsia="en-CA" w:bidi="ar-SA"/>
          <w:b/>
          <w:color w:val="8A6D2F"/>
          <w:sz w:val="25"/>
        </w:rPr>
        <w:t>28.1 What Compliance Means Here</w:t>
      </w:r>
    </w:p>
    <w:p>
      <w:pPr>
        <w:pStyle w:val="Normal"/>
      </w:pPr>
      <w:r>
        <w:rPr>
          <w:rFonts w:cs="Calibri" w:ascii="Calibri" w:hAnsi="Calibri" w:eastAsia="Calibri"/>
          <w:szCs w:val="23"/>
          <w:lang w:val="en-CA" w:eastAsia="en-CA" w:bidi="ar-SA"/>
          <w:color w:val="212B32"/>
          <w:sz w:val="23"/>
        </w:rPr>
        <w:t>Compliance under this Framework means fidelity to the standing operational states of the articles and annexes: corridors open, notifications flowing, services delivered and invoiced, buffers respected, and reports published. The compliance engine measures the architecture's own health against its written design, for all States Parties symmetrically. The engine replaces breach language with evidence: a deviation is a data pattern first, a conversation second, and a consequence third.</w:t>
      </w:r>
    </w:p>
    <w:p>
      <w:pPr>
        <w:pStyle w:val="Heading3"/>
      </w:pPr>
      <w:r>
        <w:rPr>
          <w:rFonts w:cs="Calibri" w:ascii="Calibri" w:hAnsi="Calibri" w:eastAsia="Calibri"/>
          <w:szCs w:val="25"/>
          <w:lang w:val="en-CA" w:eastAsia="en-CA" w:bidi="ar-SA"/>
          <w:b/>
          <w:color w:val="8A6D2F"/>
          <w:sz w:val="25"/>
        </w:rPr>
        <w:t>28.2 The Three-Category Classification</w:t>
      </w:r>
    </w:p>
    <w:p>
      <w:pPr>
        <w:pStyle w:val="Normal"/>
      </w:pPr>
      <w:r>
        <w:rPr>
          <w:rFonts w:cs="Calibri" w:ascii="Calibri" w:hAnsi="Calibri" w:eastAsia="Calibri"/>
          <w:szCs w:val="23"/>
          <w:lang w:val="en-CA" w:eastAsia="en-CA" w:bidi="ar-SA"/>
          <w:color w:val="212B32"/>
          <w:sz w:val="23"/>
        </w:rPr>
        <w:t>The engine classifies deviations into three categories. Category A, deviation: behavior drifts from the expected pattern; no consequence attaches; a recalibration dialogue opens through the technical channel within forty-eight (48) hours. Category B, disruption: behavior interferes with the operation of the Framework; a graduated, reversible response follows the step-back ladder of Article 29 after a forty-eight (48) hour consultation window. Category C, deliberate violation: intentional conduct aimed at the destruction of the Framework; the maximum graduated response follows human review at three levels, with the restoration pathway of Article 29 open from the first hour.</w:t>
      </w:r>
    </w:p>
    <w:p>
      <w:pPr>
        <w:pStyle w:val="Heading3"/>
      </w:pPr>
      <w:r>
        <w:rPr>
          <w:rFonts w:cs="Calibri" w:ascii="Calibri" w:hAnsi="Calibri" w:eastAsia="Calibri"/>
          <w:szCs w:val="25"/>
          <w:lang w:val="en-CA" w:eastAsia="en-CA" w:bidi="ar-SA"/>
          <w:b/>
          <w:color w:val="8A6D2F"/>
          <w:sz w:val="25"/>
        </w:rPr>
        <w:t>28.3 The Convergence Standard</w:t>
      </w:r>
    </w:p>
    <w:p>
      <w:pPr>
        <w:pStyle w:val="Normal"/>
      </w:pPr>
      <w:r>
        <w:rPr>
          <w:rFonts w:cs="Calibri" w:ascii="Calibri" w:hAnsi="Calibri" w:eastAsia="Calibri"/>
          <w:szCs w:val="23"/>
          <w:lang w:val="en-CA" w:eastAsia="en-CA" w:bidi="ar-SA"/>
          <w:color w:val="212B32"/>
          <w:sz w:val="23"/>
        </w:rPr>
        <w:t>Compliance determinations rest on the convergence of independent evidence channels: the Center's operational record; the observer program; the patrol and visual layer; satellite observation; financial and audit records; and hotline and liaison reporting. Convergence of at least three channels establishes a determination. Two channels open enhanced review with a defined evidence collection plan. One channel opens an inquiry only, with no classification and no consequence. No determination rests on a single sensor, a single report, or a single Party's assertion.</w:t>
      </w:r>
    </w:p>
    <w:p>
      <w:pPr>
        <w:pStyle w:val="Heading3"/>
      </w:pPr>
      <w:r>
        <w:rPr>
          <w:szCs w:val="25"/>
          <w:lang w:val="en-CA" w:eastAsia="en-CA" w:bidi="ar-SA"/>
          <w:rFonts w:ascii="Calibri" w:eastAsia="Calibri" w:hAnsi="Calibri" w:cs="Calibri"/>
          <w:b/>
          <w:color w:val="8A6D2F"/>
          <w:sz w:val="25"/>
        </w:rPr>
        <w:t>28.4 Attribution</w:t>
      </w:r>
    </w:p>
    <w:p>
      <w:pPr>
        <w:pStyle w:val="Normal"/>
      </w:pPr>
      <w:r>
        <w:rPr>
          <w:rFonts w:cs="Calibri" w:ascii="Calibri" w:hAnsi="Calibri" w:eastAsia="Calibri"/>
          <w:szCs w:val="23"/>
          <w:lang w:val="en-CA" w:eastAsia="en-CA" w:bidi="ar-SA"/>
          <w:color w:val="212B32"/>
          <w:sz w:val="23"/>
        </w:rPr>
        <w:t>Attribution questions follow the evidence ladder: collection under Annex G, analysis by the Joint Technical Committee, independent technical review where the Committee divides, and a published finding with the evidence package. An event without a convergence-level attribution finding carries no compliance consequence for any State Party. The attribution pathway protects the architecture from its enemies, including any actor that manufactures events to trigger it: a finding of manufactured or staged attribution classifies as a Category C matter against the actor responsible where the evidence supports it.</w:t>
      </w:r>
    </w:p>
    <w:p>
      <w:pPr>
        <w:pStyle w:val="Heading3"/>
      </w:pPr>
      <w:r>
        <w:rPr>
          <w:rFonts w:cs="Calibri" w:ascii="Calibri" w:hAnsi="Calibri" w:eastAsia="Calibri"/>
          <w:szCs w:val="25"/>
          <w:lang w:val="en-CA" w:eastAsia="en-CA" w:bidi="ar-SA"/>
          <w:b/>
          <w:color w:val="8A6D2F"/>
          <w:sz w:val="25"/>
        </w:rPr>
        <w:t>28.5 Human Judgment Between Sensor and Consequence</w:t>
      </w:r>
    </w:p>
    <w:p>
      <w:pPr>
        <w:pStyle w:val="Normal"/>
      </w:pPr>
      <w:r>
        <w:rPr>
          <w:rFonts w:cs="Calibri" w:ascii="Calibri" w:hAnsi="Calibri" w:eastAsia="Calibri"/>
          <w:szCs w:val="23"/>
          <w:lang w:val="en-CA" w:eastAsia="en-CA" w:bidi="ar-SA"/>
          <w:color w:val="212B32"/>
          <w:sz w:val="23"/>
        </w:rPr>
        <w:t>No automated system classifies an event, attributes an act, or triggers a consequence. Every classification above Category A passes through the human review chain: the Joint Technical Committee, the Executive Directorate, and, for Category C, the Governing Board with observer participation. The annual systems audit confirms that human judgment sat between every sensor and every consequence, and it publishes the confirmation.</w:t>
      </w:r>
    </w:p>
    <w:p>
      <w:pPr>
        <w:pStyle w:val="Heading2"/>
      </w:pPr>
      <w:bookmarkStart w:id="76" w:name="_Toc1039"/>
      <w:bookmarkStart w:id="77" w:name="_Toc235667470"/>
      <w:r>
        <w:rPr>
          <w:rFonts w:cs="Cambria" w:ascii="Cambria" w:hAnsi="Cambria" w:eastAsia="Cambria"/>
          <w:szCs w:val="30"/>
          <w:lang w:val="en-CA" w:eastAsia="en-CA" w:bidi="ar-SA"/>
          <w:color w:val="212B32"/>
          <w:b/>
          <w:sz w:val="30"/>
        </w:rPr>
        <w:t>Article 29: The Step-Back Ladder and Earn-Back</w:t>
      </w:r>
      <w:bookmarkEnd w:id="76"/>
      <w:bookmarkEnd w:id="77"/>
    </w:p>
    <w:p>
      <w:pPr>
        <w:pStyle w:val="Heading3"/>
      </w:pPr>
      <w:r>
        <w:rPr>
          <w:rFonts w:cs="Calibri" w:ascii="Calibri" w:hAnsi="Calibri" w:eastAsia="Calibri"/>
          <w:szCs w:val="25"/>
          <w:lang w:val="en-CA" w:eastAsia="en-CA" w:bidi="ar-SA"/>
          <w:b/>
          <w:color w:val="8A6D2F"/>
          <w:sz w:val="25"/>
        </w:rPr>
        <w:t>29.1 Design</w:t>
      </w:r>
    </w:p>
    <w:p>
      <w:pPr>
        <w:pStyle w:val="Normal"/>
      </w:pPr>
      <w:r>
        <w:rPr>
          <w:rFonts w:cs="Calibri" w:ascii="Calibri" w:hAnsi="Calibri" w:eastAsia="Calibri"/>
          <w:szCs w:val="23"/>
          <w:lang w:val="en-CA" w:eastAsia="en-CA" w:bidi="ar-SA"/>
          <w:color w:val="212B32"/>
          <w:sz w:val="23"/>
        </w:rPr>
        <w:t>Responses to Category B and Category C classifications follow the step-back ladder: graduated, reversible, time-limited adjustments to the operation of the architecture, applied symmetrically to whichever Party the determination addresses. The ladder steps back functionality, never safety: the corridor system, the rescue architecture, the non-interdiction protocol, and the toll-free guarantee operate without interruption under every step of the ladder. The ladder touches the cooperation layer, not the water.</w:t>
      </w:r>
    </w:p>
    <w:p>
      <w:pPr>
        <w:pStyle w:val="Heading3"/>
      </w:pPr>
      <w:r>
        <w:rPr>
          <w:szCs w:val="25"/>
          <w:lang w:val="en-CA" w:eastAsia="en-CA" w:bidi="ar-SA"/>
          <w:rFonts w:ascii="Calibri" w:eastAsia="Calibri" w:hAnsi="Calibri" w:cs="Calibri"/>
          <w:b/>
          <w:color w:val="8A6D2F"/>
          <w:sz w:val="25"/>
        </w:rPr>
        <w:t>29.2 The Ladder</w:t>
      </w:r>
    </w:p>
    <w:p>
      <w:pPr>
        <w:pStyle w:val="Normal"/>
      </w:pPr>
      <w:r>
        <w:rPr>
          <w:rFonts w:cs="Calibri" w:ascii="Calibri" w:hAnsi="Calibri" w:eastAsia="Calibri"/>
          <w:szCs w:val="23"/>
          <w:lang w:val="en-CA" w:eastAsia="en-CA" w:bidi="ar-SA"/>
          <w:color w:val="212B32"/>
          <w:sz w:val="23"/>
        </w:rPr>
        <w:t>The ladder comprises four tiers. Tier 1, notation: the determination enters the compliance register; the technical dialogue opens; the period under review stands at fourteen (14) days. Tier 2, enhanced verification: the addressed Party's operations carry enhanced observer presence and shortened reporting cycles for thirty (30) days; participation privileges in discretionary governance functions, such as chairing sessions, rotate to another State Party for the period. Tier 3, suspension of discretionary benefits: registry certifications, data products, and catalog margin flows attributable to the addressed Party pause for sixty (60) days, with the amounts held in the Fund's suspense account, never forfeited. Tier 4, dormancy of cooperation modules: the affected cooperation module of the architecture enters dormancy while the core corridor system continues; dormancy publishes with its basis, and the restoration pathway opens immediately.</w:t>
      </w:r>
    </w:p>
    <w:p>
      <w:pPr>
        <w:pStyle w:val="Heading3"/>
      </w:pPr>
      <w:r>
        <w:rPr>
          <w:rFonts w:cs="Calibri" w:ascii="Calibri" w:hAnsi="Calibri" w:eastAsia="Calibri"/>
          <w:szCs w:val="25"/>
          <w:lang w:val="en-CA" w:eastAsia="en-CA" w:bidi="ar-SA"/>
          <w:b/>
          <w:color w:val="8A6D2F"/>
          <w:sz w:val="25"/>
        </w:rPr>
        <w:t>29.3 Earn-Back and Over-Compliance Credit</w:t>
      </w:r>
    </w:p>
    <w:p>
      <w:pPr>
        <w:pStyle w:val="Normal"/>
      </w:pPr>
      <w:r>
        <w:rPr>
          <w:rFonts w:cs="Calibri" w:ascii="Calibri" w:hAnsi="Calibri" w:eastAsia="Calibri"/>
          <w:szCs w:val="23"/>
          <w:lang w:val="en-CA" w:eastAsia="en-CA" w:bidi="ar-SA"/>
          <w:color w:val="212B32"/>
          <w:sz w:val="23"/>
        </w:rPr>
        <w:t>Every tier earns back on verified remediation: a certified clean record of thirty (30) days restores Tier 2, of sixty (60) days restores Tier 3, and the suspense account releases on restoration. Over-compliance credit accumulates symmetrically: a Party that exceeds a standing requirement, for example delivering services above catalog standard or sustaining extended clean records, banks the credit, and the credit offsets a future Category A period automatically. Banked credit never expires, consistent with the no-fade rule.</w:t>
      </w:r>
    </w:p>
    <w:p>
      <w:pPr>
        <w:pStyle w:val="Heading3"/>
      </w:pPr>
      <w:r>
        <w:rPr>
          <w:rFonts w:cs="Calibri" w:ascii="Calibri" w:hAnsi="Calibri" w:eastAsia="Calibri"/>
          <w:szCs w:val="25"/>
          <w:lang w:val="en-CA" w:eastAsia="en-CA" w:bidi="ar-SA"/>
          <w:b/>
          <w:color w:val="8A6D2F"/>
          <w:sz w:val="25"/>
        </w:rPr>
        <w:t>29.4 No Snapback and No Retroactivity</w:t>
      </w:r>
    </w:p>
    <w:p>
      <w:pPr>
        <w:pStyle w:val="Normal"/>
      </w:pPr>
      <w:r>
        <w:rPr>
          <w:rFonts w:cs="Calibri" w:ascii="Calibri" w:hAnsi="Calibri" w:eastAsia="Calibri"/>
          <w:szCs w:val="23"/>
          <w:lang w:val="en-CA" w:eastAsia="en-CA" w:bidi="ar-SA"/>
          <w:color w:val="212B32"/>
          <w:sz w:val="23"/>
        </w:rPr>
        <w:t>The ladder knows no snapback: no past classification re-opens after its restoration, and no classification reaches backward to erase a banked entry. A new determination requires new evidence meeting the convergence standard. The compliance register carries the full history openly, so that pattern and context inform every fresh judgment.</w:t>
      </w:r>
    </w:p>
    <w:p>
      <w:pPr>
        <w:pStyle w:val="Heading3"/>
      </w:pPr>
      <w:r>
        <w:rPr>
          <w:rFonts w:cs="Calibri" w:ascii="Calibri" w:hAnsi="Calibri" w:eastAsia="Calibri"/>
          <w:szCs w:val="25"/>
          <w:lang w:val="en-CA" w:eastAsia="en-CA" w:bidi="ar-SA"/>
          <w:b/>
          <w:color w:val="8A6D2F"/>
          <w:sz w:val="25"/>
        </w:rPr>
        <w:t>29.5 The Humanitarian and Safety Firewall</w:t>
      </w:r>
    </w:p>
    <w:p>
      <w:pPr>
        <w:pStyle w:val="Normal"/>
      </w:pPr>
      <w:r>
        <w:rPr>
          <w:rFonts w:cs="Calibri" w:ascii="Calibri" w:hAnsi="Calibri" w:eastAsia="Calibri"/>
          <w:szCs w:val="23"/>
          <w:lang w:val="en-CA" w:eastAsia="en-CA" w:bidi="ar-SA"/>
          <w:color w:val="212B32"/>
          <w:sz w:val="23"/>
        </w:rPr>
        <w:t>Nothing in the ladder touches: the toll-free guarantee; the non-interdiction protocol; search and rescue; environmental response; the hotline network; or the daily status report. These functions form the safety core of the architecture, and they operate at full standard through every compliance episode, including dormancy.</w:t>
      </w:r>
    </w:p>
    <w:p>
      <w:pPr>
        <w:pStyle w:val="Heading2"/>
      </w:pPr>
      <w:bookmarkStart w:id="78" w:name="_Toc1040"/>
      <w:bookmarkStart w:id="79" w:name="_Toc235667471"/>
      <w:r>
        <w:rPr>
          <w:szCs w:val="30"/>
          <w:lang w:val="en-CA" w:eastAsia="en-CA" w:bidi="ar-SA"/>
          <w:color w:val="212B32"/>
          <w:rFonts w:ascii="Cambria" w:hAnsi="Cambria" w:eastAsia="Cambria" w:cs="Cambria"/>
          <w:b/>
          <w:sz w:val="30"/>
        </w:rPr>
        <w:t>Article 30: Dispute Resolution</w:t>
      </w:r>
      <w:bookmarkEnd w:id="78"/>
      <w:bookmarkEnd w:id="79"/>
    </w:p>
    <w:p>
      <w:pPr>
        <w:pStyle w:val="Heading3"/>
      </w:pPr>
      <w:r>
        <w:rPr>
          <w:rFonts w:cs="Calibri" w:ascii="Calibri" w:hAnsi="Calibri" w:eastAsia="Calibri"/>
          <w:szCs w:val="25"/>
          <w:lang w:val="en-CA" w:eastAsia="en-CA" w:bidi="ar-SA"/>
          <w:b/>
          <w:color w:val="8A6D2F"/>
          <w:sz w:val="25"/>
        </w:rPr>
        <w:t>30.1 The Ladder</w:t>
      </w:r>
    </w:p>
    <w:p>
      <w:pPr>
        <w:pStyle w:val="Normal"/>
      </w:pPr>
      <w:r>
        <w:rPr>
          <w:rFonts w:cs="Calibri" w:ascii="Calibri" w:hAnsi="Calibri" w:eastAsia="Calibri"/>
          <w:szCs w:val="23"/>
          <w:lang w:val="en-CA" w:eastAsia="en-CA" w:bidi="ar-SA"/>
          <w:color w:val="212B32"/>
          <w:sz w:val="23"/>
        </w:rPr>
        <w:t>Disputes between the Parties concerning this Framework resolve through a four-rung ladder, each rung with its own clock. Rung one, technical consultation: the Joint Technical Committee, fourteen (14) days. Rung two, directors and Board: the Executive Directors then the Governing Board, twenty-one (21) days combined. Rung three, ministerial channel: the foreign ministers of the Parties, thirty (30) days, convened through the good offices of the depositary. Rung four, arbitration: the standing arbitration panel of Section 30.4, ninety (90) days to award. A dispute climbs the ladder only after the lower rung's clock runs out or the rung declares itself deadlocked, and operations continue under default continuity throughout.</w:t>
      </w:r>
    </w:p>
    <w:p>
      <w:pPr>
        <w:pStyle w:val="Heading3"/>
      </w:pPr>
      <w:r>
        <w:rPr>
          <w:rFonts w:cs="Calibri" w:ascii="Calibri" w:hAnsi="Calibri" w:eastAsia="Calibri"/>
          <w:szCs w:val="25"/>
          <w:lang w:val="en-CA" w:eastAsia="en-CA" w:bidi="ar-SA"/>
          <w:b/>
          <w:color w:val="8A6D2F"/>
          <w:sz w:val="25"/>
        </w:rPr>
        <w:t>30.2 Scope of Arbitration</w:t>
      </w:r>
    </w:p>
    <w:p>
      <w:pPr>
        <w:pStyle w:val="Normal"/>
      </w:pPr>
      <w:r>
        <w:rPr>
          <w:rFonts w:cs="Calibri" w:ascii="Calibri" w:hAnsi="Calibri" w:eastAsia="Calibri"/>
          <w:szCs w:val="23"/>
          <w:lang w:val="en-CA" w:eastAsia="en-CA" w:bidi="ar-SA"/>
          <w:color w:val="212B32"/>
          <w:sz w:val="23"/>
        </w:rPr>
        <w:t>The arbitration panel decides questions of interpretation and application of this Framework, including rate disputes, geometry disputes, compliance classification disputes, and financial disputes. The panel does not decide questions of sovereignty, maritime delimitation, or the domestic law of any State Party, and it does not amend the Framework: amendment belongs to the Parties alone under Article 33.</w:t>
      </w:r>
    </w:p>
    <w:p>
      <w:pPr>
        <w:pStyle w:val="Heading3"/>
      </w:pPr>
      <w:r>
        <w:rPr>
          <w:rFonts w:cs="Calibri" w:ascii="Calibri" w:hAnsi="Calibri" w:eastAsia="Calibri"/>
          <w:szCs w:val="25"/>
          <w:lang w:val="en-CA" w:eastAsia="en-CA" w:bidi="ar-SA"/>
          <w:b/>
          <w:color w:val="8A6D2F"/>
          <w:sz w:val="25"/>
        </w:rPr>
        <w:t>30.3 The Independent Technical Referee</w:t>
      </w:r>
    </w:p>
    <w:p>
      <w:pPr>
        <w:pStyle w:val="Normal"/>
      </w:pPr>
      <w:r>
        <w:rPr>
          <w:rFonts w:cs="Calibri" w:ascii="Calibri" w:hAnsi="Calibri" w:eastAsia="Calibri"/>
          <w:szCs w:val="23"/>
          <w:lang w:val="en-CA" w:eastAsia="en-CA" w:bidi="ar-SA"/>
          <w:color w:val="212B32"/>
          <w:sz w:val="23"/>
        </w:rPr>
        <w:t>For pure technical questions, meaning geometry, survey data, audit methodology, and incident causation, the States Parties maintain a roster of five (5) independent technical referees appointed by the Governing Board under the voting rule of Article 16 for four (4) year terms. A divided technical question routes to the referee selected by lot from the roster, whose determination on the technical facts binds all States Parties and publishes with its reasoning. The referee mechanism keeps technical truth out of political bargaining.</w:t>
      </w:r>
    </w:p>
    <w:p>
      <w:pPr>
        <w:pStyle w:val="Heading3"/>
      </w:pPr>
      <w:r>
        <w:rPr>
          <w:rFonts w:cs="Calibri" w:ascii="Calibri" w:hAnsi="Calibri" w:eastAsia="Calibri"/>
          <w:szCs w:val="25"/>
          <w:lang w:val="en-CA" w:eastAsia="en-CA" w:bidi="ar-SA"/>
          <w:b/>
          <w:color w:val="8A6D2F"/>
          <w:sz w:val="25"/>
        </w:rPr>
        <w:t>30.4 The Standing Arbitration Panel</w:t>
      </w:r>
    </w:p>
    <w:p>
      <w:pPr>
        <w:pStyle w:val="Normal"/>
      </w:pPr>
      <w:r>
        <w:rPr>
          <w:rFonts w:cs="Calibri" w:ascii="Calibri" w:hAnsi="Calibri" w:eastAsia="Calibri"/>
          <w:szCs w:val="23"/>
          <w:lang w:val="en-CA" w:eastAsia="en-CA" w:bidi="ar-SA"/>
          <w:color w:val="212B32"/>
          <w:sz w:val="23"/>
        </w:rPr>
        <w:t>The standing arbitration panel comprises three arbitrators: one appointed by each State Party to the dispute, and a presiding arbitrator representing a neutral state, selected by the Governing Board from a standing list maintained by the International Maritime Organization. Where the Governing Board does not complete a selection within thirty (30) days, the depositary appoints the presiding arbitrator from the same list. The panel sits in Muscat or Geneva, conducts proceedings in the languages of the Framework, and renders awards binding on the States Parties as a matter of their mutual commitment under this Framework. Awards publish on the dashboard, subject to the privacy annex.</w:t>
      </w:r>
    </w:p>
    <w:p>
      <w:pPr>
        <w:pStyle w:val="Heading3"/>
      </w:pPr>
      <w:r>
        <w:rPr>
          <w:szCs w:val="25"/>
          <w:lang w:val="en-CA" w:eastAsia="en-CA" w:bidi="ar-SA"/>
          <w:rFonts w:ascii="Calibri" w:eastAsia="Calibri" w:hAnsi="Calibri" w:cs="Calibri"/>
          <w:b/>
          <w:color w:val="8A6D2F"/>
          <w:sz w:val="25"/>
        </w:rPr>
        <w:t>30.5 Emergency Measures</w:t>
      </w:r>
    </w:p>
    <w:p>
      <w:pPr>
        <w:pStyle w:val="Normal"/>
      </w:pPr>
      <w:r>
        <w:rPr>
          <w:rFonts w:cs="Calibri" w:ascii="Calibri" w:hAnsi="Calibri" w:eastAsia="Calibri"/>
          <w:szCs w:val="23"/>
          <w:lang w:val="en-CA" w:eastAsia="en-CA" w:bidi="ar-SA"/>
          <w:color w:val="212B32"/>
          <w:sz w:val="23"/>
        </w:rPr>
        <w:t>Where a dispute involves an imminent risk to life, environment, or the continuity of transit, any State Party activates the emergency measures procedure: the Governing Board convenes within twelve (12) hours, and the presiding arbitrator, on the application of any State Party, issues interim measures within seventy-two (72) hours preserving the operational status quo. Interim measures bind pending the award. No emergency procedure suspends the safety core of Section 29.5.</w:t>
      </w:r>
    </w:p>
    <w:p>
      <w:pPr>
        <w:pStyle w:val="Heading2"/>
      </w:pPr>
      <w:bookmarkStart w:id="80" w:name="_Toc1041"/>
      <w:bookmarkStart w:id="81" w:name="_Toc235667472"/>
      <w:r>
        <w:rPr>
          <w:rFonts w:cs="Cambria" w:ascii="Cambria" w:hAnsi="Cambria" w:eastAsia="Cambria"/>
          <w:szCs w:val="30"/>
          <w:lang w:val="en-CA" w:eastAsia="en-CA" w:bidi="ar-SA"/>
          <w:color w:val="212B32"/>
          <w:b/>
          <w:sz w:val="30"/>
        </w:rPr>
        <w:t>Article 31: The Red Lines Register</w:t>
      </w:r>
      <w:bookmarkEnd w:id="80"/>
      <w:bookmarkEnd w:id="81"/>
    </w:p>
    <w:p>
      <w:pPr>
        <w:pStyle w:val="Heading3"/>
      </w:pPr>
      <w:r>
        <w:rPr>
          <w:rFonts w:cs="Calibri" w:ascii="Calibri" w:hAnsi="Calibri" w:eastAsia="Calibri"/>
          <w:szCs w:val="25"/>
          <w:lang w:val="en-CA" w:eastAsia="en-CA" w:bidi="ar-SA"/>
          <w:b/>
          <w:color w:val="8A6D2F"/>
          <w:sz w:val="25"/>
        </w:rPr>
        <w:t>31.1 Purpose</w:t>
      </w:r>
    </w:p>
    <w:p>
      <w:pPr>
        <w:pStyle w:val="Normal"/>
      </w:pPr>
      <w:r>
        <w:rPr>
          <w:rFonts w:cs="Calibri" w:ascii="Calibri" w:hAnsi="Calibri" w:eastAsia="Calibri"/>
          <w:szCs w:val="23"/>
          <w:lang w:val="en-CA" w:eastAsia="en-CA" w:bidi="ar-SA"/>
          <w:color w:val="212B32"/>
          <w:sz w:val="23"/>
        </w:rPr>
        <w:t>The Framework succeeds because it respects the red lines of all States Parties and of the stakeholder community whose acceptance the architecture needs. The Red Lines Register of Annex K records those lines as design constraints: statements of what the architecture never does, drawn from the public and private positions of the Parties and the recorded positions of stakeholders. The register binds interpretation: no reading of this Framework that crosses a registered line is a valid reading.</w:t>
      </w:r>
    </w:p>
    <w:p>
      <w:pPr>
        <w:pStyle w:val="Heading3"/>
      </w:pPr>
      <w:r>
        <w:rPr>
          <w:rFonts w:cs="Calibri" w:ascii="Calibri" w:hAnsi="Calibri" w:eastAsia="Calibri"/>
          <w:szCs w:val="25"/>
          <w:lang w:val="en-CA" w:eastAsia="en-CA" w:bidi="ar-SA"/>
          <w:b/>
          <w:color w:val="8A6D2F"/>
          <w:sz w:val="25"/>
        </w:rPr>
        <w:t>31.2 The Registered Lines in Summary</w:t>
      </w:r>
    </w:p>
    <w:p>
      <w:pPr>
        <w:pStyle w:val="Normal"/>
      </w:pPr>
      <w:r>
        <w:rPr>
          <w:rFonts w:cs="Calibri" w:ascii="Calibri" w:hAnsi="Calibri" w:eastAsia="Calibri"/>
          <w:szCs w:val="23"/>
          <w:lang w:val="en-CA" w:eastAsia="en-CA" w:bidi="ar-SA"/>
          <w:color w:val="212B32"/>
          <w:sz w:val="23"/>
        </w:rPr>
        <w:t>The register of Annex K states the lines in full. In summary: the architecture never charges passage; never suspends transit; never creates a permission regime for international commercial transit in either corridor; never seats military gatekeeping over merchant shipping; never restores the unstructured pre-2026 status quo; never erases the administrative primacy of either littoral state in its own waters; never discriminates by flag or politics; never exposes the Sultanate of Oman to a breach of its international obligations or its neutrality; and never exposes the Islamic Republic of Iran to the characterization of surrender of its role in the Strait. Every article of this Framework sits inside these lines by design.</w:t>
      </w:r>
    </w:p>
    <w:p>
      <w:pPr>
        <w:pStyle w:val="Heading3"/>
      </w:pPr>
      <w:r>
        <w:rPr>
          <w:szCs w:val="25"/>
          <w:lang w:val="en-CA" w:eastAsia="en-CA" w:bidi="ar-SA"/>
          <w:rFonts w:ascii="Calibri" w:eastAsia="Calibri" w:hAnsi="Calibri" w:cs="Calibri"/>
          <w:b/>
          <w:color w:val="8A6D2F"/>
          <w:sz w:val="25"/>
        </w:rPr>
        <w:t>31.3 Symmetry of Respect</w:t>
      </w:r>
    </w:p>
    <w:p>
      <w:pPr>
        <w:pStyle w:val="Normal"/>
      </w:pPr>
      <w:r>
        <w:rPr>
          <w:rFonts w:cs="Calibri" w:ascii="Calibri" w:hAnsi="Calibri" w:eastAsia="Calibri"/>
          <w:szCs w:val="23"/>
          <w:lang w:val="en-CA" w:eastAsia="en-CA" w:bidi="ar-SA"/>
          <w:color w:val="212B32"/>
          <w:sz w:val="23"/>
        </w:rPr>
        <w:t>The register binds all States Parties equally, and it binds the Authority. A proposal that crosses a registered line fails at the Governing Board without a vote: the chair rules the proposal out of order against the register, and the ruling records in the decision register. The symmetry of respect is the political foundation of the whole settlement: each Party finds its own lines honored in the architecture's grammar, and each Party honors the other's lines for the same reason.</w:t>
      </w:r>
    </w:p>
    <w:p>
      <w:pPr>
        <w:pStyle w:val="Heading3"/>
      </w:pPr>
      <w:r>
        <w:rPr>
          <w:rFonts w:cs="Calibri" w:ascii="Calibri" w:hAnsi="Calibri" w:eastAsia="Calibri"/>
          <w:szCs w:val="25"/>
          <w:lang w:val="en-CA" w:eastAsia="en-CA" w:bidi="ar-SA"/>
          <w:b/>
          <w:color w:val="8A6D2F"/>
          <w:sz w:val="25"/>
        </w:rPr>
        <w:t>31.4 Review of the Register</w:t>
      </w:r>
    </w:p>
    <w:p>
      <w:pPr>
        <w:pStyle w:val="Normal"/>
      </w:pPr>
      <w:r>
        <w:rPr>
          <w:rFonts w:cs="Calibri" w:ascii="Calibri" w:hAnsi="Calibri" w:eastAsia="Calibri"/>
          <w:szCs w:val="23"/>
          <w:lang w:val="en-CA" w:eastAsia="en-CA" w:bidi="ar-SA"/>
          <w:color w:val="212B32"/>
          <w:sz w:val="23"/>
        </w:rPr>
        <w:t>The Parties review the register at each annual review under Article 33. A line changes only by mutual written instrument, and the register carries the full history of every line and every change. Under the no-fade rule, the register never lapses, and no review boundary weakens a line by silence.</w:t>
      </w:r>
    </w:p>
    <w:p>
      <w:pPr>
        <w:pStyle w:val="Heading1"/>
      </w:pPr>
      <w:bookmarkStart w:id="82" w:name="_Toc1042"/>
      <w:bookmarkStart w:id="83" w:name="_Toc235667473"/>
      <w:r>
        <w:rPr>
          <w:szCs w:val="44"/>
          <w:lang w:val="en-CA" w:eastAsia="en-CA" w:bidi="ar-SA"/>
          <w:rFonts w:ascii="Cambria" w:hAnsi="Cambria" w:eastAsia="Cambria" w:cs="Cambria"/>
          <w:b/>
          <w:color w:val="1F3A4D"/>
          <w:sz w:val="44"/>
        </w:rPr>
        <w:t>Part VII: Continuity, Amendment, and Transition</w:t>
      </w:r>
      <w:bookmarkEnd w:id="82"/>
      <w:bookmarkEnd w:id="83"/>
    </w:p>
    <w:p>
      <w:pPr>
        <w:pStyle w:val="Heading2"/>
      </w:pPr>
      <w:bookmarkStart w:id="84" w:name="_Toc1043"/>
      <w:bookmarkStart w:id="85" w:name="_Toc235667474"/>
      <w:r>
        <w:rPr>
          <w:rFonts w:cs="Cambria" w:ascii="Cambria" w:hAnsi="Cambria" w:eastAsia="Cambria"/>
          <w:szCs w:val="30"/>
          <w:lang w:val="en-CA" w:eastAsia="en-CA" w:bidi="ar-SA"/>
          <w:color w:val="212B32"/>
          <w:b/>
          <w:sz w:val="30"/>
        </w:rPr>
        <w:t>Article 32: No-Fade Continuity, Banked Performance, and Renewal by Silence</w:t>
      </w:r>
      <w:bookmarkEnd w:id="84"/>
      <w:bookmarkEnd w:id="85"/>
    </w:p>
    <w:p>
      <w:pPr>
        <w:pStyle w:val="Heading3"/>
      </w:pPr>
      <w:r>
        <w:rPr>
          <w:rFonts w:cs="Calibri" w:ascii="Calibri" w:hAnsi="Calibri" w:eastAsia="Calibri"/>
          <w:szCs w:val="25"/>
          <w:lang w:val="en-CA" w:eastAsia="en-CA" w:bidi="ar-SA"/>
          <w:b/>
          <w:color w:val="8A6D2F"/>
          <w:sz w:val="25"/>
        </w:rPr>
        <w:t>32.1 The No-Fade Rule</w:t>
      </w:r>
    </w:p>
    <w:p>
      <w:pPr>
        <w:pStyle w:val="Normal"/>
      </w:pPr>
      <w:r>
        <w:rPr>
          <w:rFonts w:cs="Calibri" w:ascii="Calibri" w:hAnsi="Calibri" w:eastAsia="Calibri"/>
          <w:szCs w:val="23"/>
          <w:lang w:val="en-CA" w:eastAsia="en-CA" w:bidi="ar-SA"/>
          <w:color w:val="212B32"/>
          <w:sz w:val="23"/>
        </w:rPr>
        <w:t>No commitment under this Framework fades at any date boundary. Verified performance banks permanently. The Framework recognizes no sunset, no cliff, and no silent expiry. Every obligation persists exactly as written until the Parties amend it in writing or one Party exits through the orderly ladder of Section 32.4. This rule governs the interpretation of every other provision of this Framework, and it binds every article, every annex, every schedule, and every certificate issued under this instrument. Review points, reporting deadlines, certification cycles, and phase boundaries operate as administrative rhythms: at every boundary, the operational state carries forward by default, renewal occurs by silence, and the passing of any date suspends nothing, voids nothing, and resets nothing.</w:t>
      </w:r>
    </w:p>
    <w:p>
      <w:pPr>
        <w:pStyle w:val="Heading3"/>
      </w:pPr>
      <w:r>
        <w:rPr>
          <w:rFonts w:cs="Calibri" w:ascii="Calibri" w:hAnsi="Calibri" w:eastAsia="Calibri"/>
          <w:szCs w:val="25"/>
          <w:lang w:val="en-CA" w:eastAsia="en-CA" w:bidi="ar-SA"/>
          <w:b/>
          <w:color w:val="8A6D2F"/>
          <w:sz w:val="25"/>
        </w:rPr>
        <w:t>32.2 Banked Performance</w:t>
      </w:r>
    </w:p>
    <w:p>
      <w:pPr>
        <w:pStyle w:val="Normal"/>
      </w:pPr>
      <w:r>
        <w:rPr>
          <w:rFonts w:cs="Calibri" w:ascii="Calibri" w:hAnsi="Calibri" w:eastAsia="Calibri"/>
          <w:szCs w:val="23"/>
          <w:lang w:val="en-CA" w:eastAsia="en-CA" w:bidi="ar-SA"/>
          <w:color w:val="212B32"/>
          <w:sz w:val="23"/>
        </w:rPr>
        <w:t>Each verified day banks. Corridor certifications, clean audit certificates, incident-free transit counters, exercise completions, and fulfilled contribution records accumulate as the factual baseline for every subsequent review, every budget cycle, and every successor instrument. No Party re-litigates a banked entry, and no classification reaches backward to erase one. The banked record is the architecture's memory and its credibility before the world.</w:t>
      </w:r>
    </w:p>
    <w:p>
      <w:pPr>
        <w:pStyle w:val="Heading3"/>
      </w:pPr>
      <w:r>
        <w:rPr>
          <w:rFonts w:cs="Calibri" w:ascii="Calibri" w:hAnsi="Calibri" w:eastAsia="Calibri"/>
          <w:szCs w:val="25"/>
          <w:lang w:val="en-CA" w:eastAsia="en-CA" w:bidi="ar-SA"/>
          <w:b/>
          <w:color w:val="8A6D2F"/>
          <w:sz w:val="25"/>
        </w:rPr>
        <w:t>32.3 Renewal by Silence</w:t>
      </w:r>
    </w:p>
    <w:p>
      <w:pPr>
        <w:pStyle w:val="Normal"/>
      </w:pPr>
      <w:r>
        <w:rPr>
          <w:rFonts w:cs="Calibri" w:ascii="Calibri" w:hAnsi="Calibri" w:eastAsia="Calibri"/>
          <w:szCs w:val="23"/>
          <w:lang w:val="en-CA" w:eastAsia="en-CA" w:bidi="ar-SA"/>
          <w:color w:val="212B32"/>
          <w:sz w:val="23"/>
        </w:rPr>
        <w:t>Every periodic element of this Framework, including budgets, rate schedules, certifications, participation agreements, and observer mandates, renews by silence at each cycle boundary on a clean record. A Party declines a renewal only through the written notice procedure of the relevant annex, and a declined renewal routes to default continuity: the previous element carries forward at its previous level until the Parties agree its successor. Silence renews; only writing changes.</w:t>
      </w:r>
    </w:p>
    <w:p>
      <w:pPr>
        <w:pStyle w:val="Heading3"/>
      </w:pPr>
      <w:r>
        <w:rPr>
          <w:szCs w:val="25"/>
          <w:lang w:val="en-CA" w:eastAsia="en-CA" w:bidi="ar-SA"/>
          <w:rFonts w:ascii="Calibri" w:eastAsia="Calibri" w:hAnsi="Calibri" w:cs="Calibri"/>
          <w:b/>
          <w:color w:val="8A6D2F"/>
          <w:sz w:val="25"/>
        </w:rPr>
        <w:t>32.4 The Notice Ladder for Exit</w:t>
      </w:r>
    </w:p>
    <w:p>
      <w:pPr>
        <w:pStyle w:val="Normal"/>
      </w:pPr>
      <w:r>
        <w:rPr>
          <w:rFonts w:cs="Calibri" w:ascii="Calibri" w:hAnsi="Calibri" w:eastAsia="Calibri"/>
          <w:szCs w:val="23"/>
          <w:lang w:val="en-CA" w:eastAsia="en-CA" w:bidi="ar-SA"/>
          <w:color w:val="212B32"/>
          <w:sz w:val="23"/>
        </w:rPr>
        <w:t>A State Party exits this Framework only through written notice to the depositary and the other States Parties, and the notice ladder governs every exit. Sixty (60) days notice: all operations continue for the full notice period, the ministerial channel convenes within fourteen (14) days, and at the boundary the Parties transition to the residual arrangements of Section 32.6 with no penalty. Thirty (30) days notice: a mandatory crisis session convenes within seventy-two (72) hours under the depositary's chairmanship, with the depositary empowered to propose a thirty (30) day cooling extension, and all operations continue through the session and any extension. Notice of less than thirty (30) days: the notice-giving Party's discretionary benefits under the architecture, including registry certification and margin flows, enter rolling suspension for twelve (12) review cycles, lifting automatically upon twelve consecutive cycles of renewed participation; the safety core of Section 29.5 operates without interruption, and the notice admits retraction at any time before its expiry, restoring full operation instantly with no penalty and no statement.</w:t>
      </w:r>
    </w:p>
    <w:p>
      <w:pPr>
        <w:pStyle w:val="Heading3"/>
      </w:pPr>
      <w:r>
        <w:rPr>
          <w:rFonts w:cs="Calibri" w:ascii="Calibri" w:hAnsi="Calibri" w:eastAsia="Calibri"/>
          <w:szCs w:val="25"/>
          <w:lang w:val="en-CA" w:eastAsia="en-CA" w:bidi="ar-SA"/>
          <w:b/>
          <w:color w:val="8A6D2F"/>
          <w:sz w:val="25"/>
        </w:rPr>
        <w:t>32.5 Reconstitution</w:t>
      </w:r>
    </w:p>
    <w:p>
      <w:pPr>
        <w:pStyle w:val="Normal"/>
      </w:pPr>
      <w:r>
        <w:rPr>
          <w:rFonts w:cs="Calibri" w:ascii="Calibri" w:hAnsi="Calibri" w:eastAsia="Calibri"/>
          <w:szCs w:val="23"/>
          <w:lang w:val="en-CA" w:eastAsia="en-CA" w:bidi="ar-SA"/>
          <w:color w:val="212B32"/>
          <w:sz w:val="23"/>
        </w:rPr>
        <w:t>If the Framework enters full suspension, the Parties attend a reconstitution conference hosted by the depositary within fourteen (14) days, aimed at restoring the minimum viable core: the hotline, the dashboard, the corridor geometry registry, and the daily status report. Restart attempts carry no limit, and a restart never carries a penalty for the prior exit beyond the rolling suspension already in effect. The architecture treats its own suspension as a failure to repair, never as a verdict to enforce.</w:t>
      </w:r>
    </w:p>
    <w:p>
      <w:pPr>
        <w:pStyle w:val="Heading3"/>
      </w:pPr>
      <w:r>
        <w:rPr>
          <w:rFonts w:cs="Calibri" w:ascii="Calibri" w:hAnsi="Calibri" w:eastAsia="Calibri"/>
          <w:szCs w:val="25"/>
          <w:lang w:val="en-CA" w:eastAsia="en-CA" w:bidi="ar-SA"/>
          <w:b/>
          <w:color w:val="8A6D2F"/>
          <w:sz w:val="25"/>
        </w:rPr>
        <w:t>32.6 Residual Arrangements and Succession</w:t>
      </w:r>
    </w:p>
    <w:p>
      <w:pPr>
        <w:pStyle w:val="Normal"/>
      </w:pPr>
      <w:r>
        <w:rPr>
          <w:rFonts w:cs="Calibri" w:ascii="Calibri" w:hAnsi="Calibri" w:eastAsia="Calibri"/>
          <w:szCs w:val="23"/>
          <w:lang w:val="en-CA" w:eastAsia="en-CA" w:bidi="ar-SA"/>
          <w:color w:val="212B32"/>
          <w:sz w:val="23"/>
        </w:rPr>
        <w:t>On any termination, the residual arrangements hold: the published corridor geometry remains the notified scheme on file with the International Maritime Organization until the notifying Parties amend it jointly or severally through the Organization's procedures; the Fund winds down under the audit architecture with its reserves applied to their chartered purposes; the data custody of Section 13.5 transfers to the depositary in escrow; and every certificate, registry entry, and banked record retains its evidentiary value for its holder. A successor instrument absorbs the banked record as its opening baseline; no successor reopens a certified milestone.</w:t>
      </w:r>
    </w:p>
    <w:p>
      <w:pPr>
        <w:pStyle w:val="Heading2"/>
      </w:pPr>
      <w:bookmarkStart w:id="86" w:name="_Toc1044"/>
      <w:bookmarkStart w:id="87" w:name="_Toc235667475"/>
      <w:r>
        <w:rPr>
          <w:szCs w:val="30"/>
          <w:lang w:val="en-CA" w:eastAsia="en-CA" w:bidi="ar-SA"/>
          <w:color w:val="212B32"/>
          <w:rFonts w:ascii="Cambria" w:hAnsi="Cambria" w:eastAsia="Cambria" w:cs="Cambria"/>
          <w:b/>
          <w:sz w:val="30"/>
        </w:rPr>
        <w:t>Article 33: Amendment, Review, and Accession</w:t>
      </w:r>
      <w:bookmarkEnd w:id="86"/>
      <w:bookmarkEnd w:id="87"/>
    </w:p>
    <w:p>
      <w:pPr>
        <w:pStyle w:val="Heading3"/>
      </w:pPr>
      <w:r>
        <w:rPr>
          <w:rFonts w:cs="Calibri" w:ascii="Calibri" w:hAnsi="Calibri" w:eastAsia="Calibri"/>
          <w:szCs w:val="25"/>
          <w:lang w:val="en-CA" w:eastAsia="en-CA" w:bidi="ar-SA"/>
          <w:b/>
          <w:color w:val="8A6D2F"/>
          <w:sz w:val="25"/>
        </w:rPr>
        <w:t>33.1 Amendment</w:t>
      </w:r>
    </w:p>
    <w:p>
      <w:pPr>
        <w:pStyle w:val="Normal"/>
      </w:pPr>
      <w:r>
        <w:rPr>
          <w:rFonts w:cs="Calibri" w:ascii="Calibri" w:hAnsi="Calibri" w:eastAsia="Calibri"/>
          <w:szCs w:val="23"/>
          <w:lang w:val="en-CA" w:eastAsia="en-CA" w:bidi="ar-SA"/>
          <w:color w:val="212B32"/>
          <w:sz w:val="23"/>
        </w:rPr>
        <w:t>This Framework amends only by mutual written instrument of the Parties. An amendment proposal enters through the Governing Board, the Executive Directorate, or the ministerial channel; the Board considers it with the advice of the Stakeholder Council where users are affected; and the amendment takes effect on joint signature and publication on the dashboard. Technical corrections to the annexes, meaning geometry adjustments, rate schedule updates, form revisions, and procedure refinements within the authority of a parent article, proceed under the technical correction procedure of the relevant annex and never constitute amendment.</w:t>
      </w:r>
    </w:p>
    <w:p>
      <w:pPr>
        <w:pStyle w:val="Heading3"/>
      </w:pPr>
      <w:r>
        <w:rPr>
          <w:rFonts w:cs="Calibri" w:ascii="Calibri" w:hAnsi="Calibri" w:eastAsia="Calibri"/>
          <w:szCs w:val="25"/>
          <w:lang w:val="en-CA" w:eastAsia="en-CA" w:bidi="ar-SA"/>
          <w:b/>
          <w:color w:val="8A6D2F"/>
          <w:sz w:val="25"/>
        </w:rPr>
        <w:t>33.2 Review Cycle</w:t>
      </w:r>
    </w:p>
    <w:p>
      <w:pPr>
        <w:pStyle w:val="Normal"/>
      </w:pPr>
      <w:r>
        <w:rPr>
          <w:rFonts w:cs="Calibri" w:ascii="Calibri" w:hAnsi="Calibri" w:eastAsia="Calibri"/>
          <w:szCs w:val="23"/>
          <w:lang w:val="en-CA" w:eastAsia="en-CA" w:bidi="ar-SA"/>
          <w:color w:val="212B32"/>
          <w:sz w:val="23"/>
        </w:rPr>
        <w:t>The Parties review the Framework at each annual boundary, with a light review in the first year of each three-year cycle and a deep review every third year. The review agenda: the compliance register, the audit certificates, the budget and contribution record, the Red Lines Register, the annexes, and the participation instruments. A review produces written conclusions, and conclusions route to the amendment or technical correction procedures as their character requires. Under the no-fade rule, a review boundary never operates as an expiry: an annex left unreviewed for two consecutive cycles stands automatically confirmed for a further two cycles.</w:t>
      </w:r>
    </w:p>
    <w:p>
      <w:pPr>
        <w:pStyle w:val="Heading3"/>
      </w:pPr>
      <w:r>
        <w:rPr>
          <w:rFonts w:cs="Calibri" w:ascii="Calibri" w:hAnsi="Calibri" w:eastAsia="Calibri"/>
          <w:szCs w:val="25"/>
          <w:lang w:val="en-CA" w:eastAsia="en-CA" w:bidi="ar-SA"/>
          <w:b/>
          <w:color w:val="8A6D2F"/>
          <w:sz w:val="25"/>
        </w:rPr>
        <w:t>33.3 Accession of Gulf Littoral States</w:t>
      </w:r>
    </w:p>
    <w:p>
      <w:pPr>
        <w:pStyle w:val="Normal"/>
      </w:pPr>
      <w:r>
        <w:rPr>
          <w:rFonts w:cs="Calibri" w:ascii="Calibri" w:hAnsi="Calibri" w:eastAsia="Calibri"/>
          <w:szCs w:val="23"/>
          <w:lang w:val="en-CA" w:eastAsia="en-CA" w:bidi="ar-SA"/>
          <w:color w:val="212B32"/>
          <w:sz w:val="23"/>
        </w:rPr>
        <w:t>The eight Gulf States listed in Section 1.6 constitute the founding States Parties of this Framework, and their participation forms the multilateral structure of the architecture as a prerequisite of the settlement, never as an optional expansion of a bilateral core. Accession under this article applies to any other state on the terms of the accession instrument of Annex N. An acceding state joins the Stakeholder Council with full participation rights, joins the contribution and service architecture, and, where its waters adjoin the Operating Area, joins the relevant geometry and coordination protocols by technical annex. Accession dilutes nothing: the States Parties govern the corridor system of this Framework through the voting rule of Article 16, and an acceding state accedes to the architecture as it stands.</w:t>
      </w:r>
    </w:p>
    <w:p>
      <w:pPr>
        <w:pStyle w:val="Heading3"/>
      </w:pPr>
      <w:r>
        <w:rPr>
          <w:szCs w:val="25"/>
          <w:lang w:val="en-CA" w:eastAsia="en-CA" w:bidi="ar-SA"/>
          <w:rFonts w:ascii="Calibri" w:eastAsia="Calibri" w:hAnsi="Calibri" w:cs="Calibri"/>
          <w:b/>
          <w:color w:val="8A6D2F"/>
          <w:sz w:val="25"/>
        </w:rPr>
        <w:t>33.4 Relationship to Successor Instruments</w:t>
      </w:r>
    </w:p>
    <w:p>
      <w:pPr>
        <w:pStyle w:val="Normal"/>
      </w:pPr>
      <w:r>
        <w:rPr>
          <w:rFonts w:cs="Calibri" w:ascii="Calibri" w:hAnsi="Calibri" w:eastAsia="Calibri"/>
          <w:szCs w:val="23"/>
          <w:lang w:val="en-CA" w:eastAsia="en-CA" w:bidi="ar-SA"/>
          <w:color w:val="212B32"/>
          <w:sz w:val="23"/>
        </w:rPr>
        <w:t>The Parties intend this Framework as the permanent governance layer for the Strait. Where a broader regional maritime arrangement emerges, this Framework folds into it as the Strait chapter, carrying its banked record, its institutions, and its red lines register intact. The Framework never expires by absorption: absorption occurs by the written election of all States Parties, recorded with the depositary.</w:t>
      </w:r>
    </w:p>
    <w:p>
      <w:pPr>
        <w:pStyle w:val="Heading2"/>
      </w:pPr>
      <w:bookmarkStart w:id="88" w:name="_Toc1045"/>
      <w:bookmarkStart w:id="89" w:name="_Toc235667476"/>
      <w:r>
        <w:rPr>
          <w:rFonts w:cs="Cambria" w:ascii="Cambria" w:hAnsi="Cambria" w:eastAsia="Cambria"/>
          <w:szCs w:val="30"/>
          <w:lang w:val="en-CA" w:eastAsia="en-CA" w:bidi="ar-SA"/>
          <w:color w:val="212B32"/>
          <w:b/>
          <w:sz w:val="30"/>
        </w:rPr>
        <w:t>Article 34: Implementation Phases and Entry into Force</w:t>
      </w:r>
      <w:bookmarkEnd w:id="88"/>
      <w:bookmarkEnd w:id="89"/>
    </w:p>
    <w:p>
      <w:pPr>
        <w:pStyle w:val="Heading3"/>
      </w:pPr>
      <w:r>
        <w:rPr>
          <w:rFonts w:cs="Calibri" w:ascii="Calibri" w:hAnsi="Calibri" w:eastAsia="Calibri"/>
          <w:szCs w:val="25"/>
          <w:lang w:val="en-CA" w:eastAsia="en-CA" w:bidi="ar-SA"/>
          <w:b/>
          <w:color w:val="8A6D2F"/>
          <w:sz w:val="25"/>
        </w:rPr>
        <w:t>34.1 Entry into Force</w:t>
      </w:r>
    </w:p>
    <w:p>
      <w:pPr>
        <w:pStyle w:val="Normal"/>
      </w:pPr>
      <w:r>
        <w:rPr>
          <w:rFonts w:cs="Calibri" w:ascii="Calibri" w:hAnsi="Calibri" w:eastAsia="Calibri"/>
          <w:szCs w:val="23"/>
          <w:lang w:val="en-CA" w:eastAsia="en-CA" w:bidi="ar-SA"/>
          <w:color w:val="212B32"/>
          <w:sz w:val="23"/>
        </w:rPr>
        <w:t>This Framework enters into force on the date of signature by the authorized representatives of the founding States Parties, confirmed by lodging of the signed instrument with the depositary, the Swiss Federal Council, which accepts depositary functions under the instrument of Annex N. Executive authority suffices for entry into force in the legal systems of the States Parties. The depositary notifies the International Maritime Organization, the Secretary-General of the United Nations, and the stakeholder states of the register of Annex N within seven (7) days.</w:t>
      </w:r>
    </w:p>
    <w:p>
      <w:pPr>
        <w:pStyle w:val="Heading3"/>
      </w:pPr>
      <w:r>
        <w:rPr>
          <w:rFonts w:cs="Calibri" w:ascii="Calibri" w:hAnsi="Calibri" w:eastAsia="Calibri"/>
          <w:szCs w:val="25"/>
          <w:lang w:val="en-CA" w:eastAsia="en-CA" w:bidi="ar-SA"/>
          <w:b/>
          <w:color w:val="8A6D2F"/>
          <w:sz w:val="25"/>
        </w:rPr>
        <w:t>34.2 The Four Phases</w:t>
      </w:r>
    </w:p>
    <w:p>
      <w:pPr>
        <w:pStyle w:val="Normal"/>
      </w:pPr>
      <w:r>
        <w:rPr>
          <w:rFonts w:cs="Calibri" w:ascii="Calibri" w:hAnsi="Calibri" w:eastAsia="Calibri"/>
          <w:szCs w:val="23"/>
          <w:lang w:val="en-CA" w:eastAsia="en-CA" w:bidi="ar-SA"/>
          <w:color w:val="212B32"/>
          <w:sz w:val="23"/>
        </w:rPr>
        <w:t>Implementation runs in four phases, each with its own gates, and the gates are certification events, not expiries. Phase Zero, signature to Day 30: stand-up of the Center on the existing infrastructure of all States Parties, transfer of staff and records under Section 14.4, activation of the dashboard and hotline network, and adoption of the founding budget. Phase One, Day 30 to Day 90: full dual-corridor operation at published standards, opening of the Fund accounts, first contribution invoicing, and embarkation of the observer program. Phase Two, Day 90 to Day 180: full Services Catalog operation, first quarterly reimbursement cycle, first joint exercises, and the first systems audit. Phase Three, Day 180 onward: steady-state operation, first annual review, and consideration of accession instruments. Annex L fixes the complete timeline with phase gates and the certification forms.</w:t>
      </w:r>
    </w:p>
    <w:p>
      <w:pPr>
        <w:pStyle w:val="Heading3"/>
      </w:pPr>
      <w:r>
        <w:rPr>
          <w:szCs w:val="25"/>
          <w:lang w:val="en-CA" w:eastAsia="en-CA" w:bidi="ar-SA"/>
          <w:rFonts w:ascii="Calibri" w:eastAsia="Calibri" w:hAnsi="Calibri" w:cs="Calibri"/>
          <w:b/>
          <w:color w:val="8A6D2F"/>
          <w:sz w:val="25"/>
        </w:rPr>
        <w:t>34.3 Phase Gates and No-Fade</w:t>
      </w:r>
    </w:p>
    <w:p>
      <w:pPr>
        <w:pStyle w:val="Normal"/>
      </w:pPr>
      <w:r>
        <w:rPr>
          <w:rFonts w:cs="Calibri" w:ascii="Calibri" w:hAnsi="Calibri" w:eastAsia="Calibri"/>
          <w:szCs w:val="23"/>
          <w:lang w:val="en-CA" w:eastAsia="en-CA" w:bidi="ar-SA"/>
          <w:color w:val="212B32"/>
          <w:sz w:val="23"/>
        </w:rPr>
        <w:t>A phase gate certifies readiness, it never conditions existence. Where a gate slips, the architecture operates at the highest certified level, the slippage records in the compliance register as a Category A matter with a remediation plan, and the gate re-certifies on evidence. The Framework itself runs continuously from signature: phases organize construction, they never suspend operation.</w:t>
      </w:r>
    </w:p>
    <w:p>
      <w:pPr>
        <w:pStyle w:val="Heading3"/>
      </w:pPr>
      <w:r>
        <w:rPr>
          <w:rFonts w:cs="Calibri" w:ascii="Calibri" w:hAnsi="Calibri" w:eastAsia="Calibri"/>
          <w:szCs w:val="25"/>
          <w:lang w:val="en-CA" w:eastAsia="en-CA" w:bidi="ar-SA"/>
          <w:b/>
          <w:color w:val="8A6D2F"/>
          <w:sz w:val="25"/>
        </w:rPr>
        <w:t>34.4 Interim Continuity of Existing Services</w:t>
      </w:r>
    </w:p>
    <w:p>
      <w:pPr>
        <w:pStyle w:val="Normal"/>
      </w:pPr>
      <w:r>
        <w:rPr>
          <w:rFonts w:cs="Calibri" w:ascii="Calibri" w:hAnsi="Calibri" w:eastAsia="Calibri"/>
          <w:szCs w:val="23"/>
          <w:lang w:val="en-CA" w:eastAsia="en-CA" w:bidi="ar-SA"/>
          <w:color w:val="212B32"/>
          <w:sz w:val="23"/>
        </w:rPr>
        <w:t>From signature until each function's certification, the existing national services of all States Parties continue at their existing standard under the interim continuity rule: no service degrades, no fee reappears, no procedure tightens during the transition. The interim rule protects the waterway's users from the mechanics of construction.</w:t>
      </w:r>
    </w:p>
    <w:p>
      <w:pPr>
        <w:pStyle w:val="Heading2"/>
      </w:pPr>
      <w:bookmarkStart w:id="90" w:name="_Toc1046"/>
      <w:bookmarkStart w:id="91" w:name="_Toc235667477"/>
      <w:r>
        <w:rPr>
          <w:rFonts w:cs="Cambria" w:ascii="Cambria" w:hAnsi="Cambria" w:eastAsia="Cambria"/>
          <w:szCs w:val="30"/>
          <w:lang w:val="en-CA" w:eastAsia="en-CA" w:bidi="ar-SA"/>
          <w:color w:val="212B32"/>
          <w:b/>
          <w:sz w:val="30"/>
        </w:rPr>
        <w:t>Article 35: Final Provisions</w:t>
      </w:r>
      <w:bookmarkEnd w:id="90"/>
      <w:bookmarkEnd w:id="91"/>
    </w:p>
    <w:p>
      <w:pPr>
        <w:pStyle w:val="Heading3"/>
      </w:pPr>
      <w:r>
        <w:rPr>
          <w:rFonts w:cs="Calibri" w:ascii="Calibri" w:hAnsi="Calibri" w:eastAsia="Calibri"/>
          <w:szCs w:val="25"/>
          <w:lang w:val="en-CA" w:eastAsia="en-CA" w:bidi="ar-SA"/>
          <w:b/>
          <w:color w:val="8A6D2F"/>
          <w:sz w:val="25"/>
        </w:rPr>
        <w:t>35.1 Good Faith and Non-Weaponization</w:t>
      </w:r>
    </w:p>
    <w:p>
      <w:pPr>
        <w:pStyle w:val="Normal"/>
      </w:pPr>
      <w:r>
        <w:rPr>
          <w:rFonts w:cs="Calibri" w:ascii="Calibri" w:hAnsi="Calibri" w:eastAsia="Calibri"/>
          <w:szCs w:val="23"/>
          <w:lang w:val="en-CA" w:eastAsia="en-CA" w:bidi="ar-SA"/>
          <w:color w:val="212B32"/>
          <w:sz w:val="23"/>
        </w:rPr>
        <w:t>No State Party exploits drafting gaps or technical ambiguities to manufacture breaches, accelerate escalation, or extract concessions unrelated to this Framework. A patterned exploitation of procedure routes to governance review of the exploiting Party's own conduct, and the compliance register records the pattern.</w:t>
      </w:r>
    </w:p>
    <w:p>
      <w:pPr>
        <w:pStyle w:val="Heading3"/>
      </w:pPr>
      <w:r>
        <w:rPr>
          <w:rFonts w:cs="Calibri" w:ascii="Calibri" w:hAnsi="Calibri" w:eastAsia="Calibri"/>
          <w:szCs w:val="25"/>
          <w:lang w:val="en-CA" w:eastAsia="en-CA" w:bidi="ar-SA"/>
          <w:b/>
          <w:color w:val="8A6D2F"/>
          <w:sz w:val="25"/>
        </w:rPr>
        <w:t>35.2 No Goalpost Movement</w:t>
      </w:r>
    </w:p>
    <w:p>
      <w:pPr>
        <w:pStyle w:val="Normal"/>
      </w:pPr>
      <w:r>
        <w:rPr>
          <w:rFonts w:cs="Calibri" w:ascii="Calibri" w:hAnsi="Calibri" w:eastAsia="Calibri"/>
          <w:szCs w:val="23"/>
          <w:lang w:val="en-CA" w:eastAsia="en-CA" w:bidi="ar-SA"/>
          <w:color w:val="212B32"/>
          <w:sz w:val="23"/>
        </w:rPr>
        <w:t>No State Party unilaterally redefines a certified criterion, standard, or threshold after certification. Completed milestones and banked performance stand regardless of later developments.</w:t>
      </w:r>
    </w:p>
    <w:p>
      <w:pPr>
        <w:pStyle w:val="Heading3"/>
      </w:pPr>
      <w:r>
        <w:rPr>
          <w:rFonts w:cs="Calibri" w:ascii="Calibri" w:hAnsi="Calibri" w:eastAsia="Calibri"/>
          <w:szCs w:val="25"/>
          <w:lang w:val="en-CA" w:eastAsia="en-CA" w:bidi="ar-SA"/>
          <w:b/>
          <w:color w:val="8A6D2F"/>
          <w:sz w:val="25"/>
        </w:rPr>
        <w:t>35.3 Severability</w:t>
      </w:r>
    </w:p>
    <w:p>
      <w:pPr>
        <w:pStyle w:val="Normal"/>
      </w:pPr>
      <w:r>
        <w:rPr>
          <w:rFonts w:cs="Calibri" w:ascii="Calibri" w:hAnsi="Calibri" w:eastAsia="Calibri"/>
          <w:szCs w:val="23"/>
          <w:lang w:val="en-CA" w:eastAsia="en-CA" w:bidi="ar-SA"/>
          <w:color w:val="212B32"/>
          <w:sz w:val="23"/>
        </w:rPr>
        <w:t>Each provision of this Framework operates independently. The invalidity or suspension of any single provision does not affect the operation of the remaining provisions. No single clause carries the Framework.</w:t>
      </w:r>
    </w:p>
    <w:p>
      <w:pPr>
        <w:pStyle w:val="Heading3"/>
      </w:pPr>
      <w:r>
        <w:rPr>
          <w:szCs w:val="25"/>
          <w:lang w:val="en-CA" w:eastAsia="en-CA" w:bidi="ar-SA"/>
          <w:rFonts w:ascii="Calibri" w:eastAsia="Calibri" w:hAnsi="Calibri" w:cs="Calibri"/>
          <w:b/>
          <w:color w:val="8A6D2F"/>
          <w:sz w:val="25"/>
        </w:rPr>
        <w:t>35.4 Legal Character</w:t>
      </w:r>
    </w:p>
    <w:p>
      <w:pPr>
        <w:pStyle w:val="Normal"/>
      </w:pPr>
      <w:r>
        <w:rPr>
          <w:rFonts w:cs="Calibri" w:ascii="Calibri" w:hAnsi="Calibri" w:eastAsia="Calibri"/>
          <w:szCs w:val="23"/>
          <w:lang w:val="en-CA" w:eastAsia="en-CA" w:bidi="ar-SA"/>
          <w:color w:val="212B32"/>
          <w:sz w:val="23"/>
        </w:rPr>
        <w:t>This Framework binds the Parties as a matter of their mutual sovereign commitment. It is non-prejudicial to the legal positions of any State Party on any matter outside its express scope, it confers no rights on third states enforceable against a Party beyond its express terms, and it creates no private right of action. Sovereign immunity remains intact. Implementation occurs through the lawful authorities of both systems.</w:t>
      </w:r>
    </w:p>
    <w:p>
      <w:pPr>
        <w:pStyle w:val="Heading3"/>
      </w:pPr>
      <w:r>
        <w:rPr>
          <w:rFonts w:cs="Calibri" w:ascii="Calibri" w:hAnsi="Calibri" w:eastAsia="Calibri"/>
          <w:szCs w:val="25"/>
          <w:lang w:val="en-CA" w:eastAsia="en-CA" w:bidi="ar-SA"/>
          <w:b/>
          <w:color w:val="8A6D2F"/>
          <w:sz w:val="25"/>
        </w:rPr>
        <w:t>35.5 Languages and Depositary</w:t>
      </w:r>
    </w:p>
    <w:p>
      <w:pPr>
        <w:pStyle w:val="Normal"/>
      </w:pPr>
      <w:r>
        <w:rPr>
          <w:rFonts w:cs="Calibri" w:ascii="Calibri" w:hAnsi="Calibri" w:eastAsia="Calibri"/>
          <w:szCs w:val="23"/>
          <w:lang w:val="en-CA" w:eastAsia="en-CA" w:bidi="ar-SA"/>
          <w:color w:val="212B32"/>
          <w:sz w:val="23"/>
        </w:rPr>
        <w:t>This instrument exists in Persian, Arabic, and English, each text equally authoritative, with the English text governing technical interpretation of the annexes. The Swiss Federal Council serves as depositary: it holds the master texts and certified translations, registers amendments and instruments of accession, and convenes the procedures of Articles 30 and 32 that call on it.</w:t>
      </w:r>
    </w:p>
    <w:p>
      <w:pPr>
        <w:pStyle w:val="Heading3"/>
      </w:pPr>
      <w:r>
        <w:rPr>
          <w:rFonts w:cs="Calibri" w:ascii="Calibri" w:hAnsi="Calibri" w:eastAsia="Calibri"/>
          <w:szCs w:val="25"/>
          <w:lang w:val="en-CA" w:eastAsia="en-CA" w:bidi="ar-SA"/>
          <w:b/>
          <w:color w:val="8A6D2F"/>
          <w:sz w:val="25"/>
        </w:rPr>
        <w:t>35.6 Signature</w:t>
      </w:r>
    </w:p>
    <w:p>
      <w:pPr>
        <w:pStyle w:val="Normal"/>
      </w:pPr>
      <w:r>
        <w:rPr>
          <w:rFonts w:cs="Calibri" w:ascii="Calibri" w:hAnsi="Calibri" w:eastAsia="Calibri"/>
          <w:szCs w:val="23"/>
          <w:lang w:val="en-CA" w:eastAsia="en-CA" w:bidi="ar-SA"/>
          <w:color w:val="212B32"/>
          <w:sz w:val="23"/>
        </w:rPr>
        <w:t>Signed at Muscat, in three originals in each language, on the date of signature recorded with the depositary.</w:t>
      </w:r>
    </w:p>
    <w:p>
      <w:pPr>
        <w:pStyle w:val="Normal"/>
        <w:spacing w:before="360" w:after="120"/>
      </w:pPr>
      <w:r>
        <w:rPr>
          <w:rFonts w:cs="Calibri" w:ascii="Calibri" w:hAnsi="Calibri" w:eastAsia="Calibri"/>
          <w:sz w:val="21"/>
          <w:szCs w:val="21"/>
          <w:lang w:val="en-CA" w:eastAsia="en-CA" w:bidi="ar-SA"/>
          <w:color w:val="212B32"/>
        </w:rPr>
        <w:t>For the Islamic Republic of Iran: Ministry of Foreign Affairs, Tehran. Name, title, date: ______________________</w:t>
      </w:r>
    </w:p>
    <w:p>
      <w:pPr>
        <w:pStyle w:val="Normal"/>
        <w:spacing w:before="360" w:after="120"/>
      </w:pPr>
      <w:r>
        <w:rPr>
          <w:rFonts w:cs="Calibri" w:ascii="Calibri" w:hAnsi="Calibri" w:eastAsia="Calibri"/>
          <w:sz w:val="21"/>
          <w:szCs w:val="21"/>
          <w:lang w:val="en-CA" w:eastAsia="en-CA" w:bidi="ar-SA"/>
          <w:color w:val="212B32"/>
        </w:rPr>
        <w:t>For the Republic of Iraq: Ministry of Foreign Affairs, Baghdad. Name, title, date: ______________________</w:t>
      </w:r>
    </w:p>
    <w:p>
      <w:pPr>
        <w:pStyle w:val="Normal"/>
        <w:spacing w:before="360" w:after="120"/>
      </w:pPr>
      <w:r>
        <w:rPr>
          <w:rFonts w:cs="Calibri" w:ascii="Calibri" w:hAnsi="Calibri" w:eastAsia="Calibri"/>
          <w:sz w:val="21"/>
          <w:szCs w:val="21"/>
          <w:lang w:val="en-CA" w:eastAsia="en-CA" w:bidi="ar-SA"/>
          <w:color w:val="212B32"/>
        </w:rPr>
        <w:t>For the State of Kuwait: Ministry of Foreign Affairs, Kuwait City. Name, title, date: ______________________</w:t>
      </w:r>
    </w:p>
    <w:p>
      <w:pPr>
        <w:pStyle w:val="Normal"/>
        <w:spacing w:before="360" w:after="120"/>
      </w:pPr>
      <w:r>
        <w:rPr>
          <w:rFonts w:cs="Calibri" w:ascii="Calibri" w:hAnsi="Calibri" w:eastAsia="Calibri"/>
          <w:sz w:val="21"/>
          <w:szCs w:val="21"/>
          <w:lang w:val="en-CA" w:eastAsia="en-CA" w:bidi="ar-SA"/>
          <w:color w:val="212B32"/>
        </w:rPr>
        <w:t>For the Kingdom of Saudi Arabia: Ministry of Foreign Affairs, Riyadh. Name, title, date: ______________________</w:t>
      </w:r>
    </w:p>
    <w:p>
      <w:pPr>
        <w:pStyle w:val="Normal"/>
        <w:spacing w:before="360" w:after="120"/>
      </w:pPr>
      <w:r>
        <w:rPr>
          <w:rFonts w:cs="Calibri" w:ascii="Calibri" w:hAnsi="Calibri" w:eastAsia="Calibri"/>
          <w:sz w:val="21"/>
          <w:szCs w:val="21"/>
          <w:lang w:val="en-CA" w:eastAsia="en-CA" w:bidi="ar-SA"/>
          <w:color w:val="212B32"/>
        </w:rPr>
        <w:t>For the Kingdom of Bahrain: Ministry of Foreign Affairs, Manama. Name, title, date: ______________________</w:t>
      </w:r>
    </w:p>
    <w:p>
      <w:pPr>
        <w:pStyle w:val="Normal"/>
        <w:spacing w:before="360" w:after="120"/>
      </w:pPr>
      <w:r>
        <w:rPr>
          <w:rFonts w:cs="Calibri" w:ascii="Calibri" w:hAnsi="Calibri" w:eastAsia="Calibri"/>
          <w:sz w:val="21"/>
          <w:szCs w:val="21"/>
          <w:lang w:val="en-CA" w:eastAsia="en-CA" w:bidi="ar-SA"/>
          <w:color w:val="212B32"/>
        </w:rPr>
        <w:t>For the State of Qatar: Ministry of Foreign Affairs, Doha. Name, title, date: ______________________</w:t>
      </w:r>
    </w:p>
    <w:p>
      <w:pPr>
        <w:pStyle w:val="Normal"/>
        <w:spacing w:before="360" w:after="120"/>
      </w:pPr>
      <w:r>
        <w:rPr>
          <w:rFonts w:cs="Calibri" w:ascii="Calibri" w:hAnsi="Calibri" w:eastAsia="Calibri"/>
          <w:sz w:val="21"/>
          <w:szCs w:val="21"/>
          <w:lang w:val="en-CA" w:eastAsia="en-CA" w:bidi="ar-SA"/>
          <w:color w:val="212B32"/>
        </w:rPr>
        <w:t>For the United Arab Emirates: Ministry of Foreign Affairs, Abu Dhabi. Name, title, date: ______________________</w:t>
      </w:r>
    </w:p>
    <w:p>
      <w:pPr>
        <w:pStyle w:val="Normal"/>
        <w:spacing w:before="360" w:after="120"/>
      </w:pPr>
      <w:r>
        <w:rPr>
          <w:rFonts w:cs="Calibri" w:ascii="Calibri" w:hAnsi="Calibri" w:eastAsia="Calibri"/>
          <w:sz w:val="21"/>
          <w:szCs w:val="21"/>
          <w:lang w:val="en-CA" w:eastAsia="en-CA" w:bidi="ar-SA"/>
          <w:color w:val="212B32"/>
        </w:rPr>
        <w:t>For the Sultanate of Oman: Ministry of Foreign Affairs, Muscat. Name, title, date: ______________________</w:t>
      </w:r>
    </w:p>
    <w:p>
      <w:pPr>
        <w:pStyle w:val="Normal"/>
        <w:spacing w:before="360" w:after="120"/>
      </w:pPr>
      <w:r>
        <w:rPr>
          <w:rFonts w:cs="Calibri" w:ascii="Calibri" w:hAnsi="Calibri" w:eastAsia="Calibri"/>
          <w:sz w:val="21"/>
          <w:szCs w:val="21"/>
          <w:lang w:val="en-CA" w:eastAsia="en-CA" w:bidi="ar-SA"/>
          <w:color w:val="212B32"/>
        </w:rPr>
        <w:t>Witnessed and lodged with the depositary, the Swiss Federal Council, Bern. Name, title, date: ______________________</w:t>
      </w:r>
    </w:p>
    <w:p>
      <w:pPr>
        <w:pStyle w:val="Heading1"/>
      </w:pPr>
      <w:bookmarkStart w:id="92" w:name="_Toc1047"/>
      <w:bookmarkStart w:id="93" w:name="_Toc235667478"/>
      <w:r>
        <w:rPr>
          <w:szCs w:val="44"/>
          <w:lang w:val="en-CA" w:eastAsia="en-CA" w:bidi="ar-SA"/>
          <w:rFonts w:ascii="Cambria" w:hAnsi="Cambria" w:eastAsia="Cambria" w:cs="Cambria"/>
          <w:b/>
          <w:color w:val="1F3A4D"/>
          <w:sz w:val="44"/>
        </w:rPr>
        <w:t>Annexes</w:t>
      </w:r>
      <w:bookmarkEnd w:id="92"/>
      <w:bookmarkEnd w:id="93"/>
    </w:p>
    <w:p>
      <w:pPr>
        <w:pStyle w:val="Heading2"/>
      </w:pPr>
      <w:bookmarkStart w:id="94" w:name="_Toc1048"/>
      <w:bookmarkStart w:id="95" w:name="_Toc235667479"/>
      <w:r>
        <w:rPr>
          <w:rFonts w:cs="Cambria" w:ascii="Cambria" w:hAnsi="Cambria" w:eastAsia="Cambria"/>
          <w:szCs w:val="30"/>
          <w:lang w:val="en-CA" w:eastAsia="en-CA" w:bidi="ar-SA"/>
          <w:color w:val="212B32"/>
          <w:b/>
          <w:sz w:val="30"/>
        </w:rPr>
        <w:t>Annex A: Corridor Coordinates and Geometry Registry</w:t>
      </w:r>
      <w:bookmarkEnd w:id="94"/>
      <w:bookmarkEnd w:id="95"/>
    </w:p>
    <w:p>
      <w:pPr>
        <w:pStyle w:val="Normal"/>
      </w:pPr>
      <w:r>
        <w:rPr>
          <w:rFonts w:cs="Calibri" w:ascii="Calibri" w:hAnsi="Calibri" w:eastAsia="Calibri"/>
          <w:szCs w:val="23"/>
          <w:lang w:val="en-CA" w:eastAsia="en-CA" w:bidi="ar-SA"/>
          <w:color w:val="212B32"/>
          <w:sz w:val="23"/>
        </w:rPr>
        <w:t>This annex fixes the complete geometry of the corridor system: the Operating Area boundary, the corridor centerlines and lateral limits, the separation bands, the reporting points, the holding anchorages, the small-craft crossing points, the chart basis, and the geometry adjustment procedure. This annex binds the Parties to the same extent as every article of this Framework, and the Center maintains it as the authoritative geometry registry under Article 8.</w:t>
      </w:r>
    </w:p>
    <w:p>
      <w:pPr>
        <w:pStyle w:val="Heading3"/>
      </w:pPr>
      <w:r>
        <w:rPr>
          <w:rFonts w:cs="Calibri" w:ascii="Calibri" w:hAnsi="Calibri" w:eastAsia="Calibri"/>
          <w:szCs w:val="25"/>
          <w:lang w:val="en-CA" w:eastAsia="en-CA" w:bidi="ar-SA"/>
          <w:b/>
          <w:color w:val="8A6D2F"/>
          <w:sz w:val="25"/>
        </w:rPr>
        <w:t>A.1 Geodetic Basis</w:t>
      </w:r>
    </w:p>
    <w:p>
      <w:pPr>
        <w:pStyle w:val="Normal"/>
      </w:pPr>
      <w:r>
        <w:rPr>
          <w:rFonts w:cs="Calibri" w:ascii="Calibri" w:hAnsi="Calibri" w:eastAsia="Calibri"/>
          <w:szCs w:val="23"/>
          <w:lang w:val="en-CA" w:eastAsia="en-CA" w:bidi="ar-SA"/>
          <w:color w:val="212B32"/>
          <w:sz w:val="23"/>
        </w:rPr>
        <w:t>All coordinates use the World Geodetic System 1984 datum, expressed in degrees, minutes, and decimal minutes of north latitude and east longitude. All distances use nautical miles (NM). All depths use meters below chart datum. Bearings use degrees true. The master charts of the corridor system are the International Hydrographic Organization standard charts listed in the registry, at reproduction scales of 1:150,000 for the Operating Area and 1:50,000 for the critical reaches between Larak Island and the Musandam headlands.</w:t>
      </w:r>
    </w:p>
    <w:p>
      <w:pPr>
        <w:pStyle w:val="Heading3"/>
      </w:pPr>
      <w:r>
        <w:rPr>
          <w:rFonts w:cs="Calibri" w:ascii="Calibri" w:hAnsi="Calibri" w:eastAsia="Calibri"/>
          <w:szCs w:val="25"/>
          <w:lang w:val="en-CA" w:eastAsia="en-CA" w:bidi="ar-SA"/>
          <w:b/>
          <w:color w:val="8A6D2F"/>
          <w:sz w:val="25"/>
        </w:rPr>
        <w:t>A.2 The Operating Area Boundary</w:t>
      </w:r>
    </w:p>
    <w:p>
      <w:pPr>
        <w:pStyle w:val="Normal"/>
      </w:pPr>
      <w:r>
        <w:rPr>
          <w:rFonts w:cs="Calibri" w:ascii="Calibri" w:hAnsi="Calibri" w:eastAsia="Calibri"/>
          <w:szCs w:val="23"/>
          <w:lang w:val="en-CA" w:eastAsia="en-CA" w:bidi="ar-SA"/>
          <w:color w:val="212B32"/>
          <w:sz w:val="23"/>
        </w:rPr>
        <w:t>The Operating Area comprises the waters enclosed by the following boundary, joining the listed points in sequence with rhumb lines.</w:t>
      </w:r>
    </w:p>
    <w:p>
      <w:pPr>
        <w:pStyle w:val="Normal"/>
        <w:spacing w:before="120" w:after="0"/>
      </w:pPr>
    </w:p>
    <w:tbl>
      <w:tblPr>
        <w:tblStyle w:val="TableNormal"/>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2306"/>
        <w:gridCol w:w="2306"/>
        <w:gridCol w:w="2306"/>
        <w:gridCol w:w="2308"/>
      </w:tblGrid>
      <w:tr>
        <w:trPr>
          <w:cantSplit w:val="1"/>
          <w:tblHeader w:val="1"/>
        </w:trPr>
        <w:tc>
          <w:tcPr>
            <w:tcW w:w="2306"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Point</w:t>
            </w:r>
          </w:p>
        </w:tc>
        <w:tc>
          <w:tcPr>
            <w:tcW w:w="2306"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Latitude (N)</w:t>
            </w:r>
          </w:p>
        </w:tc>
        <w:tc>
          <w:tcPr>
            <w:tcW w:w="2306"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Longitude (E)</w:t>
            </w:r>
          </w:p>
        </w:tc>
        <w:tc>
          <w:tcPr>
            <w:tcW w:w="2308"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Remarks</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OA-1</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27°10.0' N</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056°35.0' E</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Northern limit, Iranian coast approach</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OA-2</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26°58.0' N</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056°50.0' E</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Northern limit, Qeshm east channel</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OA-3</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26°35.0' N</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057°10.0' E</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Eastern limit, Gulf of Oman</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OA-4</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25°55.0' N</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057°05.0' E</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Southeast limit, off Ra's al Hadd approach</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OA-5</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25°50.0' N</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056°20.0' E</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Southern limit, Omani coast approach</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OA-6</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26°10.0' N</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055°55.0' E</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Southwest limit, Musandam approach</w:t>
            </w:r>
          </w:p>
        </w:tc>
      </w:tr>
    </w:tbl>
    <w:p>
      <w:pPr>
        <w:pStyle w:val="Normal"/>
      </w:pPr>
    </w:p>
    <w:p>
      <w:pPr>
        <w:pStyle w:val="Normal"/>
      </w:pPr>
      <w:r>
        <w:rPr>
          <w:szCs w:val="23"/>
          <w:lang w:val="en-CA" w:eastAsia="en-CA" w:bidi="ar-SA"/>
          <w:rFonts w:ascii="Calibri" w:eastAsia="Calibri" w:hAnsi="Calibri" w:cs="Calibri"/>
          <w:color w:val="212B32"/>
          <w:sz w:val="23"/>
        </w:rPr>
        <w:t>The boundary follows the coast of each Party between OA-6 and OA-1 along the low-water line, enclosing the territorial seas of all States Parties within the envelope. The airspace component of the Operating Area extends from the surface to one thousand five hundred (1,500) feet mean sea level.</w:t>
      </w:r>
    </w:p>
    <w:p>
      <w:pPr>
        <w:pStyle w:val="Heading3"/>
      </w:pPr>
      <w:r>
        <w:rPr>
          <w:rFonts w:cs="Calibri" w:ascii="Calibri" w:hAnsi="Calibri" w:eastAsia="Calibri"/>
          <w:szCs w:val="25"/>
          <w:lang w:val="en-CA" w:eastAsia="en-CA" w:bidi="ar-SA"/>
          <w:b/>
          <w:color w:val="8A6D2F"/>
          <w:sz w:val="25"/>
        </w:rPr>
        <w:t>A.3 Corridor A: Centerline and Lanes</w:t>
      </w:r>
    </w:p>
    <w:p>
      <w:pPr>
        <w:pStyle w:val="Normal"/>
      </w:pPr>
      <w:r>
        <w:rPr>
          <w:rFonts w:cs="Calibri" w:ascii="Calibri" w:hAnsi="Calibri" w:eastAsia="Calibri"/>
          <w:szCs w:val="23"/>
          <w:lang w:val="en-CA" w:eastAsia="en-CA" w:bidi="ar-SA"/>
          <w:color w:val="212B32"/>
          <w:sz w:val="23"/>
        </w:rPr>
        <w:t>Corridor A runs along the Omani side of the Strait as a two-way traffic separation scheme: two traffic lanes of eight-tenths (0.8) nautical mile each, separated by a separation zone of four-tenths (0.4) nautical mile, for a total width of two (2.0) nautical miles centered on the centerline of this section. The outbound lane (Gulf of Oman to inner Gulf) lies north of the separation zone; the inbound lane lies south of it.</w:t>
      </w:r>
    </w:p>
    <w:p>
      <w:pPr>
        <w:pStyle w:val="Normal"/>
        <w:spacing w:before="120" w:after="0"/>
      </w:pPr>
    </w:p>
    <w:tbl>
      <w:tblPr>
        <w:tblStyle w:val="TableNormal"/>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2306"/>
        <w:gridCol w:w="2306"/>
        <w:gridCol w:w="2306"/>
        <w:gridCol w:w="2308"/>
      </w:tblGrid>
      <w:tr>
        <w:trPr>
          <w:cantSplit w:val="1"/>
          <w:tblHeader w:val="1"/>
        </w:trPr>
        <w:tc>
          <w:tcPr>
            <w:tcW w:w="2306"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Waypoint</w:t>
            </w:r>
          </w:p>
        </w:tc>
        <w:tc>
          <w:tcPr>
            <w:tcW w:w="2306"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Latitude (N)</w:t>
            </w:r>
          </w:p>
        </w:tc>
        <w:tc>
          <w:tcPr>
            <w:tcW w:w="2306"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Longitude (E)</w:t>
            </w:r>
          </w:p>
        </w:tc>
        <w:tc>
          <w:tcPr>
            <w:tcW w:w="2308"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Operational Function</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CA-01</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26°33.0' N</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056°10.0' E</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Western entry reporting point, Gulf approach</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CA-02</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26°29.5' N</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056°24.0' E</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Quoin Islands turning point</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CA-03</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26°24.0' N</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056°36.0' E</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Central Strait transit, mid-watch reference</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CA-04</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26°15.0' N</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056°47.0' E</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Musandam headland turning point</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CA-05</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26°06.0' N</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056°56.0' E</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Eastern approach, separation from coastal traffic</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CA-06</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26°02.0' N</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057°02.0' E</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Eastern exit reporting point, Gulf of Oman</w:t>
            </w:r>
          </w:p>
        </w:tc>
      </w:tr>
    </w:tbl>
    <w:p>
      <w:pPr>
        <w:pStyle w:val="Normal"/>
      </w:pPr>
    </w:p>
    <w:p>
      <w:pPr>
        <w:pStyle w:val="Normal"/>
      </w:pPr>
      <w:r>
        <w:rPr>
          <w:rFonts w:cs="Calibri" w:ascii="Calibri" w:hAnsi="Calibri" w:eastAsia="Calibri"/>
          <w:szCs w:val="23"/>
          <w:lang w:val="en-CA" w:eastAsia="en-CA" w:bidi="ar-SA"/>
          <w:color w:val="212B32"/>
          <w:sz w:val="23"/>
        </w:rPr>
        <w:t>The northern lateral limit of Corridor A runs parallel to the centerline at a one (1.0) nautical mile offset; the southern lateral limit runs parallel at a one (1.0) nautical mile offset. The separation zone centerline coincides with the corridor centerline.</w:t>
      </w:r>
    </w:p>
    <w:p>
      <w:pPr>
        <w:pStyle w:val="Heading3"/>
      </w:pPr>
      <w:r>
        <w:rPr>
          <w:rFonts w:cs="Calibri" w:ascii="Calibri" w:hAnsi="Calibri" w:eastAsia="Calibri"/>
          <w:szCs w:val="25"/>
          <w:lang w:val="en-CA" w:eastAsia="en-CA" w:bidi="ar-SA"/>
          <w:b/>
          <w:color w:val="8A6D2F"/>
          <w:sz w:val="25"/>
        </w:rPr>
        <w:t>A.4 Corridor B: Centerline and Configuration</w:t>
      </w:r>
    </w:p>
    <w:p>
      <w:pPr>
        <w:pStyle w:val="Normal"/>
      </w:pPr>
      <w:r>
        <w:rPr>
          <w:rFonts w:cs="Calibri" w:ascii="Calibri" w:hAnsi="Calibri" w:eastAsia="Calibri"/>
          <w:szCs w:val="23"/>
          <w:lang w:val="en-CA" w:eastAsia="en-CA" w:bidi="ar-SA"/>
          <w:color w:val="212B32"/>
          <w:sz w:val="23"/>
        </w:rPr>
        <w:t>Corridor B runs along the Iranian side of the Strait as a managed single stream of one and a half (1.5) nautical miles total width, with two published passing zones and full traffic service coverage. Scheduled opposing streams separate by time block under the stream management rules of Article 11.3.</w:t>
      </w:r>
    </w:p>
    <w:p>
      <w:pPr>
        <w:pStyle w:val="Normal"/>
        <w:spacing w:before="120" w:after="0"/>
      </w:pPr>
    </w:p>
    <w:tbl>
      <w:tblPr>
        <w:tblStyle w:val="TableNormal"/>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2306"/>
        <w:gridCol w:w="2306"/>
        <w:gridCol w:w="2306"/>
        <w:gridCol w:w="2308"/>
      </w:tblGrid>
      <w:tr>
        <w:trPr>
          <w:cantSplit w:val="1"/>
          <w:tblHeader w:val="1"/>
        </w:trPr>
        <w:tc>
          <w:tcPr>
            <w:tcW w:w="2306"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Waypoint</w:t>
            </w:r>
          </w:p>
        </w:tc>
        <w:tc>
          <w:tcPr>
            <w:tcW w:w="2306"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Latitude (N)</w:t>
            </w:r>
          </w:p>
        </w:tc>
        <w:tc>
          <w:tcPr>
            <w:tcW w:w="2306"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Longitude (E)</w:t>
            </w:r>
          </w:p>
        </w:tc>
        <w:tc>
          <w:tcPr>
            <w:tcW w:w="2308"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Operational Function</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CB-01</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26°54.0' N</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056°08.0' E</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Western entry reporting point, Larak Island south</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CB-02</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26°50.5' N</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056°22.0' E</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Larak to Hormuz turning point</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CB-03</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26°45.0' N</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056°35.0' E</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Hormuz Island south transit, Passing Zone B-1 (CB-02 to CB-04)</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CB-04</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26°38.0' N</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056°48.0' E</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Qeshm eastern channel junction</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CB-05</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26°28.0' N</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056°56.0' E</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Eastern descent, Passing Zone B-2 (CB-04 to CB-06)</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CB-06</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26°16.0' N</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057°00.0' E</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Eastern exit reporting point, Gulf of Oman merge</w:t>
            </w:r>
          </w:p>
        </w:tc>
      </w:tr>
    </w:tbl>
    <w:p>
      <w:pPr>
        <w:pStyle w:val="Normal"/>
      </w:pPr>
    </w:p>
    <w:p>
      <w:pPr>
        <w:pStyle w:val="Normal"/>
      </w:pPr>
      <w:r>
        <w:rPr>
          <w:rFonts w:cs="Calibri" w:ascii="Calibri" w:hAnsi="Calibri" w:eastAsia="Calibri"/>
          <w:szCs w:val="23"/>
          <w:lang w:val="en-CA" w:eastAsia="en-CA" w:bidi="ar-SA"/>
          <w:color w:val="212B32"/>
          <w:sz w:val="23"/>
        </w:rPr>
        <w:t>The northern lateral limit of Corridor B runs parallel to the centerline at a three-quarters (0.75) nautical mile offset; the southern lateral limit runs parallel at a three-quarters (0.75) nautical mile offset.</w:t>
      </w:r>
    </w:p>
    <w:p>
      <w:pPr>
        <w:pStyle w:val="Heading3"/>
      </w:pPr>
      <w:r>
        <w:rPr>
          <w:rFonts w:cs="Calibri" w:ascii="Calibri" w:hAnsi="Calibri" w:eastAsia="Calibri"/>
          <w:szCs w:val="25"/>
          <w:lang w:val="en-CA" w:eastAsia="en-CA" w:bidi="ar-SA"/>
          <w:b/>
          <w:color w:val="8A6D2F"/>
          <w:sz w:val="25"/>
        </w:rPr>
        <w:t>A.5 Separation Bands</w:t>
      </w:r>
    </w:p>
    <w:p>
      <w:pPr>
        <w:pStyle w:val="Normal"/>
      </w:pPr>
      <w:r>
        <w:rPr>
          <w:rFonts w:cs="Calibri" w:ascii="Calibri" w:hAnsi="Calibri" w:eastAsia="Calibri"/>
          <w:szCs w:val="23"/>
          <w:lang w:val="en-CA" w:eastAsia="en-CA" w:bidi="ar-SA"/>
          <w:color w:val="212B32"/>
          <w:sz w:val="23"/>
        </w:rPr>
        <w:t>The corridor system nests inside five protective bands, running from the Iranian coast to the Omani coast.</w:t>
      </w:r>
    </w:p>
    <w:p>
      <w:pPr>
        <w:pStyle w:val="Normal"/>
        <w:spacing w:before="120" w:after="0"/>
      </w:pPr>
    </w:p>
    <w:tbl>
      <w:tblPr>
        <w:tblStyle w:val="TableNormal"/>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3074"/>
        <w:gridCol w:w="3075"/>
        <w:gridCol w:w="3077"/>
      </w:tblGrid>
      <w:tr>
        <w:trPr>
          <w:cantSplit w:val="1"/>
          <w:tblHeader w:val="1"/>
        </w:trPr>
        <w:tc>
          <w:tcPr>
            <w:tcW w:w="3074"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Band</w:t>
            </w:r>
          </w:p>
        </w:tc>
        <w:tc>
          <w:tcPr>
            <w:tcW w:w="3075"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Extent</w:t>
            </w:r>
          </w:p>
        </w:tc>
        <w:tc>
          <w:tcPr>
            <w:tcW w:w="3077"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Standing Rule</w:t>
            </w:r>
          </w:p>
        </w:tc>
      </w:tr>
      <w:tr>
        <w:trPr>
          <w:cantSplit w:val="1"/>
        </w:trPr>
        <w:tc>
          <w:tcPr>
            <w:tcW w:w="3074" w:type="dxa"/>
          </w:tcPr>
          <w:p>
            <w:pPr>
              <w:pStyle w:val="Normal"/>
              <w:spacing w:before="30" w:after="30" w:line="264" w:lineRule="auto"/>
              <w:jc w:val="left"/>
            </w:pPr>
            <w:r>
              <w:rPr>
                <w:rFonts w:cs="Calibri" w:ascii="Calibri" w:hAnsi="Calibri" w:eastAsia="Calibri"/>
                <w:color w:val="2B3942"/>
                <w:sz w:val="19"/>
                <w:szCs w:val="19"/>
                <w:lang w:val="en-CA" w:eastAsia="en-CA" w:bidi="ar-SA"/>
              </w:rPr>
              <w:t>Iranian Coastal Safety Band</w:t>
            </w:r>
          </w:p>
        </w:tc>
        <w:tc>
          <w:tcPr>
            <w:tcW w:w="3075" w:type="dxa"/>
          </w:tcPr>
          <w:p>
            <w:pPr>
              <w:pStyle w:val="Normal"/>
              <w:spacing w:before="30" w:after="30" w:line="264" w:lineRule="auto"/>
              <w:jc w:val="left"/>
            </w:pPr>
            <w:r>
              <w:rPr>
                <w:rFonts w:cs="Calibri" w:ascii="Calibri" w:hAnsi="Calibri" w:eastAsia="Calibri"/>
                <w:color w:val="2B3942"/>
                <w:sz w:val="19"/>
                <w:szCs w:val="19"/>
                <w:lang w:val="en-CA" w:eastAsia="en-CA" w:bidi="ar-SA"/>
              </w:rPr>
              <w:t>Two (2.0) NM north of Corridor B northern limit</w:t>
            </w:r>
          </w:p>
        </w:tc>
        <w:tc>
          <w:tcPr>
            <w:tcW w:w="3077" w:type="dxa"/>
          </w:tcPr>
          <w:p>
            <w:pPr>
              <w:pStyle w:val="Normal"/>
              <w:spacing w:before="30" w:after="30" w:line="264" w:lineRule="auto"/>
              <w:jc w:val="left"/>
            </w:pPr>
            <w:r>
              <w:rPr>
                <w:rFonts w:cs="Calibri" w:ascii="Calibri" w:hAnsi="Calibri" w:eastAsia="Calibri"/>
                <w:color w:val="2B3942"/>
                <w:sz w:val="19"/>
                <w:szCs w:val="19"/>
                <w:lang w:val="en-CA" w:eastAsia="en-CA" w:bidi="ar-SA"/>
              </w:rPr>
              <w:t>The architecture excludes unflagged military operations and live-fire activity inside the band</w:t>
            </w:r>
          </w:p>
        </w:tc>
      </w:tr>
      <w:tr>
        <w:trPr>
          <w:cantSplit w:val="1"/>
        </w:trPr>
        <w:tc>
          <w:tcPr>
            <w:tcW w:w="3074" w:type="dxa"/>
          </w:tcPr>
          <w:p>
            <w:pPr>
              <w:pStyle w:val="Normal"/>
              <w:spacing w:before="30" w:after="30" w:line="264" w:lineRule="auto"/>
              <w:jc w:val="left"/>
            </w:pPr>
            <w:r>
              <w:rPr>
                <w:rFonts w:cs="Calibri" w:ascii="Calibri" w:hAnsi="Calibri" w:eastAsia="Calibri"/>
                <w:color w:val="2B3942"/>
                <w:sz w:val="19"/>
                <w:szCs w:val="19"/>
                <w:lang w:val="en-CA" w:eastAsia="en-CA" w:bidi="ar-SA"/>
              </w:rPr>
              <w:t>Corridor B</w:t>
            </w:r>
          </w:p>
        </w:tc>
        <w:tc>
          <w:tcPr>
            <w:tcW w:w="3075" w:type="dxa"/>
          </w:tcPr>
          <w:p>
            <w:pPr>
              <w:pStyle w:val="Normal"/>
              <w:spacing w:before="30" w:after="30" w:line="264" w:lineRule="auto"/>
              <w:jc w:val="left"/>
            </w:pPr>
            <w:r>
              <w:rPr>
                <w:rFonts w:cs="Calibri" w:ascii="Calibri" w:hAnsi="Calibri" w:eastAsia="Calibri"/>
                <w:color w:val="2B3942"/>
                <w:sz w:val="19"/>
                <w:szCs w:val="19"/>
                <w:lang w:val="en-CA" w:eastAsia="en-CA" w:bidi="ar-SA"/>
              </w:rPr>
              <w:t>One and a half (1.5) NM</w:t>
            </w:r>
          </w:p>
        </w:tc>
        <w:tc>
          <w:tcPr>
            <w:tcW w:w="3077" w:type="dxa"/>
          </w:tcPr>
          <w:p>
            <w:pPr>
              <w:pStyle w:val="Normal"/>
              <w:spacing w:before="30" w:after="30" w:line="264" w:lineRule="auto"/>
              <w:jc w:val="left"/>
            </w:pPr>
            <w:r>
              <w:rPr>
                <w:rFonts w:cs="Calibri" w:ascii="Calibri" w:hAnsi="Calibri" w:eastAsia="Calibri"/>
                <w:color w:val="2B3942"/>
                <w:sz w:val="19"/>
                <w:szCs w:val="19"/>
                <w:lang w:val="en-CA" w:eastAsia="en-CA" w:bidi="ar-SA"/>
              </w:rPr>
              <w:t>Managed single-stream transit under Iranian maritime safety jurisdiction with joint oversight</w:t>
            </w:r>
          </w:p>
        </w:tc>
      </w:tr>
      <w:tr>
        <w:trPr>
          <w:cantSplit w:val="1"/>
        </w:trPr>
        <w:tc>
          <w:tcPr>
            <w:tcW w:w="3074" w:type="dxa"/>
          </w:tcPr>
          <w:p>
            <w:pPr>
              <w:pStyle w:val="Normal"/>
              <w:spacing w:before="30" w:after="30" w:line="264" w:lineRule="auto"/>
              <w:jc w:val="left"/>
            </w:pPr>
            <w:r>
              <w:rPr>
                <w:rFonts w:cs="Calibri" w:ascii="Calibri" w:hAnsi="Calibri" w:eastAsia="Calibri"/>
                <w:color w:val="2B3942"/>
                <w:sz w:val="19"/>
                <w:szCs w:val="19"/>
                <w:lang w:val="en-CA" w:eastAsia="en-CA" w:bidi="ar-SA"/>
              </w:rPr>
              <w:t>Inter-Corridor Separation Buffer</w:t>
            </w:r>
          </w:p>
        </w:tc>
        <w:tc>
          <w:tcPr>
            <w:tcW w:w="3075" w:type="dxa"/>
          </w:tcPr>
          <w:p>
            <w:pPr>
              <w:pStyle w:val="Normal"/>
              <w:spacing w:before="30" w:after="30" w:line="264" w:lineRule="auto"/>
              <w:jc w:val="left"/>
            </w:pPr>
            <w:r>
              <w:rPr>
                <w:rFonts w:cs="Calibri" w:ascii="Calibri" w:hAnsi="Calibri" w:eastAsia="Calibri"/>
                <w:color w:val="2B3942"/>
                <w:sz w:val="19"/>
                <w:szCs w:val="19"/>
                <w:lang w:val="en-CA" w:eastAsia="en-CA" w:bidi="ar-SA"/>
              </w:rPr>
              <w:t>Three (3.0) NM between corridor lateral limits</w:t>
            </w:r>
          </w:p>
        </w:tc>
        <w:tc>
          <w:tcPr>
            <w:tcW w:w="3077" w:type="dxa"/>
          </w:tcPr>
          <w:p>
            <w:pPr>
              <w:pStyle w:val="Normal"/>
              <w:spacing w:before="30" w:after="30" w:line="264" w:lineRule="auto"/>
              <w:jc w:val="left"/>
            </w:pPr>
            <w:r>
              <w:rPr>
                <w:rFonts w:cs="Calibri" w:ascii="Calibri" w:hAnsi="Calibri" w:eastAsia="Calibri"/>
                <w:color w:val="2B3942"/>
                <w:sz w:val="19"/>
                <w:szCs w:val="19"/>
                <w:lang w:val="en-CA" w:eastAsia="en-CA" w:bidi="ar-SA"/>
              </w:rPr>
              <w:t>Neutral water; armed patrol craft, uncrewed vessels, and warships hold no loitering presence; crossing on transit only</w:t>
            </w:r>
          </w:p>
        </w:tc>
      </w:tr>
      <w:tr>
        <w:trPr>
          <w:cantSplit w:val="1"/>
        </w:trPr>
        <w:tc>
          <w:tcPr>
            <w:tcW w:w="3074" w:type="dxa"/>
          </w:tcPr>
          <w:p>
            <w:pPr>
              <w:pStyle w:val="Normal"/>
              <w:spacing w:before="30" w:after="30" w:line="264" w:lineRule="auto"/>
              <w:jc w:val="left"/>
            </w:pPr>
            <w:r>
              <w:rPr>
                <w:rFonts w:cs="Calibri" w:ascii="Calibri" w:hAnsi="Calibri" w:eastAsia="Calibri"/>
                <w:color w:val="2B3942"/>
                <w:sz w:val="19"/>
                <w:szCs w:val="19"/>
                <w:lang w:val="en-CA" w:eastAsia="en-CA" w:bidi="ar-SA"/>
              </w:rPr>
              <w:t>Corridor A</w:t>
            </w:r>
          </w:p>
        </w:tc>
        <w:tc>
          <w:tcPr>
            <w:tcW w:w="3075" w:type="dxa"/>
          </w:tcPr>
          <w:p>
            <w:pPr>
              <w:pStyle w:val="Normal"/>
              <w:spacing w:before="30" w:after="30" w:line="264" w:lineRule="auto"/>
              <w:jc w:val="left"/>
            </w:pPr>
            <w:r>
              <w:rPr>
                <w:rFonts w:cs="Calibri" w:ascii="Calibri" w:hAnsi="Calibri" w:eastAsia="Calibri"/>
                <w:color w:val="2B3942"/>
                <w:sz w:val="19"/>
                <w:szCs w:val="19"/>
                <w:lang w:val="en-CA" w:eastAsia="en-CA" w:bidi="ar-SA"/>
              </w:rPr>
              <w:t>Two (2.0) NM</w:t>
            </w:r>
          </w:p>
        </w:tc>
        <w:tc>
          <w:tcPr>
            <w:tcW w:w="3077" w:type="dxa"/>
          </w:tcPr>
          <w:p>
            <w:pPr>
              <w:pStyle w:val="Normal"/>
              <w:spacing w:before="30" w:after="30" w:line="264" w:lineRule="auto"/>
              <w:jc w:val="left"/>
            </w:pPr>
            <w:r>
              <w:rPr>
                <w:rFonts w:cs="Calibri" w:ascii="Calibri" w:hAnsi="Calibri" w:eastAsia="Calibri"/>
                <w:color w:val="2B3942"/>
                <w:sz w:val="19"/>
                <w:szCs w:val="19"/>
                <w:lang w:val="en-CA" w:eastAsia="en-CA" w:bidi="ar-SA"/>
              </w:rPr>
              <w:t>Two-way toll-free transit under Omani maritime safety jurisdiction with joint oversight</w:t>
            </w:r>
          </w:p>
        </w:tc>
      </w:tr>
      <w:tr>
        <w:trPr>
          <w:cantSplit w:val="1"/>
        </w:trPr>
        <w:tc>
          <w:tcPr>
            <w:tcW w:w="3074" w:type="dxa"/>
          </w:tcPr>
          <w:p>
            <w:pPr>
              <w:pStyle w:val="Normal"/>
              <w:spacing w:before="30" w:after="30" w:line="264" w:lineRule="auto"/>
              <w:jc w:val="left"/>
            </w:pPr>
            <w:r>
              <w:rPr>
                <w:szCs w:val="24"/>
                <w:lang w:val="en-CA" w:eastAsia="en-CA" w:bidi="ar-SA"/>
                <w:rFonts w:ascii="Calibri" w:eastAsia="Calibri" w:hAnsi="Calibri" w:cs="Calibri"/>
                <w:color w:val="2B3942"/>
                <w:sz w:val="19"/>
              </w:rPr>
              <w:t>Omani Coastal Protection Band</w:t>
            </w:r>
          </w:p>
        </w:tc>
        <w:tc>
          <w:tcPr>
            <w:tcW w:w="3075" w:type="dxa"/>
          </w:tcPr>
          <w:p>
            <w:pPr>
              <w:pStyle w:val="Normal"/>
              <w:spacing w:before="30" w:after="30" w:line="264" w:lineRule="auto"/>
              <w:jc w:val="left"/>
            </w:pPr>
            <w:r>
              <w:rPr>
                <w:rFonts w:cs="Calibri" w:ascii="Calibri" w:hAnsi="Calibri" w:eastAsia="Calibri"/>
                <w:color w:val="2B3942"/>
                <w:sz w:val="19"/>
                <w:szCs w:val="19"/>
                <w:lang w:val="en-CA" w:eastAsia="en-CA" w:bidi="ar-SA"/>
              </w:rPr>
              <w:t>Two (2.0) NM south of Corridor A southern limit</w:t>
            </w:r>
          </w:p>
        </w:tc>
        <w:tc>
          <w:tcPr>
            <w:tcW w:w="3077" w:type="dxa"/>
          </w:tcPr>
          <w:p>
            <w:pPr>
              <w:pStyle w:val="Normal"/>
              <w:spacing w:before="30" w:after="30" w:line="264" w:lineRule="auto"/>
              <w:jc w:val="left"/>
            </w:pPr>
            <w:r>
              <w:rPr>
                <w:rFonts w:cs="Calibri" w:ascii="Calibri" w:hAnsi="Calibri" w:eastAsia="Calibri"/>
                <w:color w:val="2B3942"/>
                <w:sz w:val="19"/>
                <w:szCs w:val="19"/>
                <w:lang w:val="en-CA" w:eastAsia="en-CA" w:bidi="ar-SA"/>
              </w:rPr>
              <w:t>Military activity inside the band proceeds only under Omani authorization</w:t>
            </w:r>
          </w:p>
        </w:tc>
      </w:tr>
    </w:tbl>
    <w:p>
      <w:pPr>
        <w:pStyle w:val="Normal"/>
      </w:pPr>
    </w:p>
    <w:p>
      <w:pPr>
        <w:pStyle w:val="Heading3"/>
      </w:pPr>
      <w:r>
        <w:rPr>
          <w:rFonts w:cs="Calibri" w:ascii="Calibri" w:hAnsi="Calibri" w:eastAsia="Calibri"/>
          <w:szCs w:val="25"/>
          <w:lang w:val="en-CA" w:eastAsia="en-CA" w:bidi="ar-SA"/>
          <w:b/>
          <w:color w:val="8A6D2F"/>
          <w:sz w:val="25"/>
        </w:rPr>
        <w:t>A.6 Reporting Points and Mandatory Reports</w:t>
      </w:r>
    </w:p>
    <w:p>
      <w:pPr>
        <w:pStyle w:val="Normal"/>
      </w:pPr>
      <w:r>
        <w:rPr>
          <w:rFonts w:cs="Calibri" w:ascii="Calibri" w:hAnsi="Calibri" w:eastAsia="Calibri"/>
          <w:szCs w:val="23"/>
          <w:lang w:val="en-CA" w:eastAsia="en-CA" w:bidi="ar-SA"/>
          <w:color w:val="212B32"/>
          <w:sz w:val="23"/>
        </w:rPr>
        <w:t>Every transiting vessel reports at the reporting points of this section. The report content: vessel name, identifier, position, course, speed, and any safety-relevant condition. A vessel under the identification broadcast regime satisfies the report by the continuous broadcast of Section A.8; a vessel under the voice protocol of Annex O reports on the working channel of Annex F.</w:t>
      </w:r>
    </w:p>
    <w:p>
      <w:pPr>
        <w:pStyle w:val="Normal"/>
        <w:spacing w:before="120" w:after="0"/>
      </w:pPr>
    </w:p>
    <w:tbl>
      <w:tblPr>
        <w:tblStyle w:val="TableNormal"/>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2306"/>
        <w:gridCol w:w="2306"/>
        <w:gridCol w:w="2306"/>
        <w:gridCol w:w="2308"/>
      </w:tblGrid>
      <w:tr>
        <w:trPr>
          <w:cantSplit w:val="1"/>
          <w:tblHeader w:val="1"/>
        </w:trPr>
        <w:tc>
          <w:tcPr>
            <w:tcW w:w="2306"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Reporting Point</w:t>
            </w:r>
          </w:p>
        </w:tc>
        <w:tc>
          <w:tcPr>
            <w:tcW w:w="2306"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Location</w:t>
            </w:r>
          </w:p>
        </w:tc>
        <w:tc>
          <w:tcPr>
            <w:tcW w:w="2306"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Direction</w:t>
            </w:r>
          </w:p>
        </w:tc>
        <w:tc>
          <w:tcPr>
            <w:tcW w:w="2308"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Report</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RP-West-A</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CA-01</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Inbound and outbound</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Entry report</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RP-West-B</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CB-01</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Inbound and outbound</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Entry report</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RP-Central-A</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CA-03</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Both</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Position confirmation</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RP-Central-B</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CB-03</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Both</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Position confirmation</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RP-East-A</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CA-06</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Both</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Exit report</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RP-East-B</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CB-06</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Both</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Exit report</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RP-Merge</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26°10.0' N, 057°04.0' E</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Both</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Merge confirmation, Corridor B to open sea routing</w:t>
            </w:r>
          </w:p>
        </w:tc>
      </w:tr>
    </w:tbl>
    <w:p>
      <w:pPr>
        <w:pStyle w:val="Normal"/>
      </w:pPr>
    </w:p>
    <w:p>
      <w:pPr>
        <w:pStyle w:val="Heading3"/>
      </w:pPr>
      <w:r>
        <w:rPr>
          <w:rFonts w:cs="Calibri" w:ascii="Calibri" w:hAnsi="Calibri" w:eastAsia="Calibri"/>
          <w:szCs w:val="25"/>
          <w:lang w:val="en-CA" w:eastAsia="en-CA" w:bidi="ar-SA"/>
          <w:b/>
          <w:color w:val="8A6D2F"/>
          <w:sz w:val="25"/>
        </w:rPr>
        <w:t>A.7 Holding Anchorages and Waiting Areas</w:t>
      </w:r>
    </w:p>
    <w:p>
      <w:pPr>
        <w:pStyle w:val="Normal"/>
      </w:pPr>
      <w:r>
        <w:rPr>
          <w:rFonts w:cs="Calibri" w:ascii="Calibri" w:hAnsi="Calibri" w:eastAsia="Calibri"/>
          <w:szCs w:val="23"/>
          <w:lang w:val="en-CA" w:eastAsia="en-CA" w:bidi="ar-SA"/>
          <w:color w:val="212B32"/>
          <w:sz w:val="23"/>
        </w:rPr>
        <w:t>The Framework designates two holding anchorages and two waiting areas for traffic management, identity verification, weather holding, and casualty staging.</w:t>
      </w:r>
    </w:p>
    <w:p>
      <w:pPr>
        <w:pStyle w:val="Normal"/>
        <w:spacing w:before="120" w:after="0"/>
      </w:pPr>
    </w:p>
    <w:tbl>
      <w:tblPr>
        <w:tblStyle w:val="TableNormal"/>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2306"/>
        <w:gridCol w:w="2306"/>
        <w:gridCol w:w="2306"/>
        <w:gridCol w:w="2308"/>
      </w:tblGrid>
      <w:tr>
        <w:trPr>
          <w:cantSplit w:val="1"/>
          <w:tblHeader w:val="1"/>
        </w:trPr>
        <w:tc>
          <w:tcPr>
            <w:tcW w:w="2306"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Designation</w:t>
            </w:r>
          </w:p>
        </w:tc>
        <w:tc>
          <w:tcPr>
            <w:tcW w:w="2306"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Position</w:t>
            </w:r>
          </w:p>
        </w:tc>
        <w:tc>
          <w:tcPr>
            <w:tcW w:w="2306"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Depth</w:t>
            </w:r>
          </w:p>
        </w:tc>
        <w:tc>
          <w:tcPr>
            <w:tcW w:w="2308"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Function</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Anchorage H-1</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25°58.0' N, 057°05.0' E</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28 to 35 meters</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Gulf of Oman holding, deep-draft capable</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Anchorage H-2</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26°42.0' N, 055°52.0' E</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22 to 30 meters</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Inner Gulf holding, deep-draft capable</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Waiting Area W-1</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26°20.0' N, 057°08.0' E</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30 to 40 meters</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Eastern queue for surge metering</w:t>
            </w:r>
          </w:p>
        </w:tc>
      </w:tr>
      <w:tr>
        <w:trPr>
          <w:cantSplit w:val="1"/>
        </w:trPr>
        <w:tc>
          <w:tcPr>
            <w:tcW w:w="2306" w:type="dxa"/>
          </w:tcPr>
          <w:p>
            <w:pPr>
              <w:pStyle w:val="Normal"/>
              <w:spacing w:before="30" w:after="30" w:line="264" w:lineRule="auto"/>
              <w:jc w:val="left"/>
            </w:pPr>
            <w:r>
              <w:rPr>
                <w:szCs w:val="24"/>
                <w:lang w:val="en-CA" w:eastAsia="en-CA" w:bidi="ar-SA"/>
                <w:rFonts w:ascii="Calibri" w:eastAsia="Calibri" w:hAnsi="Calibri" w:cs="Calibri"/>
                <w:color w:val="2B3942"/>
                <w:sz w:val="19"/>
              </w:rPr>
              <w:t>Waiting Area W-2</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26°48.0' N, 055°58.0' E</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20 to 28 meters</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Western queue for surge metering</w:t>
            </w:r>
          </w:p>
        </w:tc>
      </w:tr>
    </w:tbl>
    <w:p>
      <w:pPr>
        <w:pStyle w:val="Normal"/>
      </w:pPr>
    </w:p>
    <w:p>
      <w:pPr>
        <w:pStyle w:val="Normal"/>
      </w:pPr>
      <w:r>
        <w:rPr>
          <w:rFonts w:cs="Calibri" w:ascii="Calibri" w:hAnsi="Calibri" w:eastAsia="Calibri"/>
          <w:szCs w:val="23"/>
          <w:lang w:val="en-CA" w:eastAsia="en-CA" w:bidi="ar-SA"/>
          <w:color w:val="212B32"/>
          <w:sz w:val="23"/>
        </w:rPr>
        <w:t>A direction to a holding anchorage carries no penalty, no fee, and no implication of fault. Omani patrol craft mark and service H-1 and W-1; Iranian patrol craft mark and service H-2 and W-2; the Center coordinates both.</w:t>
      </w:r>
    </w:p>
    <w:p>
      <w:pPr>
        <w:pStyle w:val="Heading3"/>
      </w:pPr>
      <w:r>
        <w:rPr>
          <w:rFonts w:cs="Calibri" w:ascii="Calibri" w:hAnsi="Calibri" w:eastAsia="Calibri"/>
          <w:szCs w:val="25"/>
          <w:lang w:val="en-CA" w:eastAsia="en-CA" w:bidi="ar-SA"/>
          <w:b/>
          <w:color w:val="8A6D2F"/>
          <w:sz w:val="25"/>
        </w:rPr>
        <w:t>A.8 Identification Broadcast Rules</w:t>
      </w:r>
    </w:p>
    <w:p>
      <w:pPr>
        <w:pStyle w:val="Normal"/>
      </w:pPr>
      <w:r>
        <w:rPr>
          <w:rFonts w:cs="Calibri" w:ascii="Calibri" w:hAnsi="Calibri" w:eastAsia="Calibri"/>
          <w:szCs w:val="23"/>
          <w:lang w:val="en-CA" w:eastAsia="en-CA" w:bidi="ar-SA"/>
          <w:color w:val="212B32"/>
          <w:sz w:val="23"/>
        </w:rPr>
        <w:t>Every commercial vessel of Class 1 through Class 6 navigating the corridor system broadcasts Class A identification signals continuously from twenty (20) nautical miles before the entry reporting point through twenty (20) nautical miles past the exit reporting point. The broadcast payload follows the dynamic data standard: vessel identifier matching the registry, navigation status, position to one ten-thousandth of a minute, course and speed over ground to one-tenth resolution, destination in standard location code, estimated time of arrival, and draft matching the declared value within one-tenth (0.1) meter. A transmission gap of fifteen (15) minutes or less logs as a Class 1 event; a longer gap draws an information hail, then the voice protocol, then direction to a holding anchorage for identity verification, never an interdiction at sea.</w:t>
      </w:r>
    </w:p>
    <w:p>
      <w:pPr>
        <w:pStyle w:val="Heading3"/>
      </w:pPr>
      <w:r>
        <w:rPr>
          <w:rFonts w:cs="Calibri" w:ascii="Calibri" w:hAnsi="Calibri" w:eastAsia="Calibri"/>
          <w:szCs w:val="25"/>
          <w:lang w:val="en-CA" w:eastAsia="en-CA" w:bidi="ar-SA"/>
          <w:b/>
          <w:color w:val="8A6D2F"/>
          <w:sz w:val="25"/>
        </w:rPr>
        <w:t>A.9 Small-Craft Crossing Points</w:t>
      </w:r>
    </w:p>
    <w:p>
      <w:pPr>
        <w:pStyle w:val="Normal"/>
      </w:pPr>
      <w:r>
        <w:rPr>
          <w:rFonts w:cs="Calibri" w:ascii="Calibri" w:hAnsi="Calibri" w:eastAsia="Calibri"/>
          <w:szCs w:val="23"/>
          <w:lang w:val="en-CA" w:eastAsia="en-CA" w:bidi="ar-SA"/>
          <w:color w:val="212B32"/>
          <w:sz w:val="23"/>
        </w:rPr>
        <w:t>Traditional craft and small vessels cross the corridors at the published crossing points of this section, at right angles to the traffic flow, during the published crossing windows of the daily status report.</w:t>
      </w:r>
    </w:p>
    <w:p>
      <w:pPr>
        <w:pStyle w:val="Normal"/>
        <w:spacing w:before="120" w:after="0"/>
      </w:pPr>
    </w:p>
    <w:tbl>
      <w:tblPr>
        <w:tblStyle w:val="TableNormal"/>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2306"/>
        <w:gridCol w:w="2306"/>
        <w:gridCol w:w="2306"/>
        <w:gridCol w:w="2308"/>
      </w:tblGrid>
      <w:tr>
        <w:trPr>
          <w:cantSplit w:val="1"/>
          <w:tblHeader w:val="1"/>
        </w:trPr>
        <w:tc>
          <w:tcPr>
            <w:tcW w:w="2306"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Crossing Point</w:t>
            </w:r>
          </w:p>
        </w:tc>
        <w:tc>
          <w:tcPr>
            <w:tcW w:w="2306"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Position</w:t>
            </w:r>
          </w:p>
        </w:tc>
        <w:tc>
          <w:tcPr>
            <w:tcW w:w="2306"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Window</w:t>
            </w:r>
          </w:p>
        </w:tc>
        <w:tc>
          <w:tcPr>
            <w:tcW w:w="2308"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Notes</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XC-1</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26°22.0' N, 056°42.0' E</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0600 to 0900 and 1500 to 1800 local</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Musandam to Qeshm traditional route</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XC-2</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26°36.0' N, 056°52.0' E</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0600 to 0900 and 1500 to 1800 local</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Eastern traditional route</w:t>
            </w:r>
          </w:p>
        </w:tc>
      </w:tr>
    </w:tbl>
    <w:p>
      <w:pPr>
        <w:pStyle w:val="Normal"/>
      </w:pPr>
    </w:p>
    <w:p>
      <w:pPr>
        <w:pStyle w:val="Normal"/>
      </w:pPr>
      <w:r>
        <w:rPr>
          <w:rFonts w:cs="Calibri" w:ascii="Calibri" w:hAnsi="Calibri" w:eastAsia="Calibri"/>
          <w:szCs w:val="23"/>
          <w:lang w:val="en-CA" w:eastAsia="en-CA" w:bidi="ar-SA"/>
          <w:color w:val="212B32"/>
          <w:sz w:val="23"/>
        </w:rPr>
        <w:t>The Center broadcasts crossing advisories on the working channel during the windows, and patrol craft protect the crossing points under the small-craft rules of Annex B.</w:t>
      </w:r>
    </w:p>
    <w:p>
      <w:pPr>
        <w:pStyle w:val="Heading3"/>
      </w:pPr>
      <w:r>
        <w:rPr>
          <w:szCs w:val="25"/>
          <w:lang w:val="en-CA" w:eastAsia="en-CA" w:bidi="ar-SA"/>
          <w:rFonts w:ascii="Calibri" w:eastAsia="Calibri" w:hAnsi="Calibri" w:cs="Calibri"/>
          <w:b/>
          <w:color w:val="8A6D2F"/>
          <w:sz w:val="25"/>
        </w:rPr>
        <w:t>A.10 Port Limits Reference</w:t>
      </w:r>
    </w:p>
    <w:p>
      <w:pPr>
        <w:pStyle w:val="Normal"/>
      </w:pPr>
      <w:r>
        <w:rPr>
          <w:rFonts w:cs="Calibri" w:ascii="Calibri" w:hAnsi="Calibri" w:eastAsia="Calibri"/>
          <w:szCs w:val="23"/>
          <w:lang w:val="en-CA" w:eastAsia="en-CA" w:bidi="ar-SA"/>
          <w:color w:val="212B32"/>
          <w:sz w:val="23"/>
        </w:rPr>
        <w:t>For the boundary rule of Article 7.4, the published port limits relevant to the corridor system stand in the registry as follows: Bandar Abbas inner limit at the line joining 27°04.0' N, 056°14.0' E to 27°02.0' N, 056°22.0' E; Qeshm anchorage limit at the line joining 26°57.0' N, 055°58.0' E to 26°55.0' N, 056°08.0' E; Khasab limit at the line joining 26°13.0' N, 056°12.0' E to 26°11.0' N, 056°20.0' E. Inside these limits, national port law governs; inside the corridor system, this Framework governs.</w:t>
      </w:r>
    </w:p>
    <w:p>
      <w:pPr>
        <w:pStyle w:val="Heading3"/>
      </w:pPr>
      <w:r>
        <w:rPr>
          <w:rFonts w:cs="Calibri" w:ascii="Calibri" w:hAnsi="Calibri" w:eastAsia="Calibri"/>
          <w:szCs w:val="25"/>
          <w:lang w:val="en-CA" w:eastAsia="en-CA" w:bidi="ar-SA"/>
          <w:b/>
          <w:color w:val="8A6D2F"/>
          <w:sz w:val="25"/>
        </w:rPr>
        <w:t>A.11 Survey, Certification, and Adjustment</w:t>
      </w:r>
    </w:p>
    <w:p>
      <w:pPr>
        <w:pStyle w:val="Normal"/>
      </w:pPr>
      <w:r>
        <w:rPr>
          <w:rFonts w:cs="Calibri" w:ascii="Calibri" w:hAnsi="Calibri" w:eastAsia="Calibri"/>
          <w:szCs w:val="23"/>
          <w:lang w:val="en-CA" w:eastAsia="en-CA" w:bidi="ar-SA"/>
          <w:color w:val="212B32"/>
          <w:sz w:val="23"/>
        </w:rPr>
        <w:t>The joint technical survey of the administrations of the States Parties certifies the geometry of this annex at entry into force, and the Joint Technical Committee re-certifies the geometry annually against the survey record. Adjustment proceeds as a technical correction under Article 8.4: proposal with survey evidence, Committee review within seventy-two (72) hours, Governing Board decision by a two-thirds supermajority vote under Article 16, dashboard publication with forty-eight (48) hour notice to mariners, and filing with the International Maritime Organization under Article 2.5. The registry carries the full change history, and under the no-fade rule an adjustment never resets any certification.</w:t>
      </w:r>
    </w:p>
    <w:p>
      <w:pPr>
        <w:pStyle w:val="Heading2"/>
      </w:pPr>
      <w:bookmarkStart w:id="96" w:name="_Toc1049"/>
      <w:bookmarkStart w:id="97" w:name="_Toc235667480"/>
      <w:r>
        <w:rPr>
          <w:rFonts w:cs="Cambria" w:ascii="Cambria" w:hAnsi="Cambria" w:eastAsia="Cambria"/>
          <w:szCs w:val="30"/>
          <w:lang w:val="en-CA" w:eastAsia="en-CA" w:bidi="ar-SA"/>
          <w:color w:val="212B32"/>
          <w:b/>
          <w:sz w:val="30"/>
        </w:rPr>
        <w:t>Annex B: Vessel Classification and Treatment Matrix</w:t>
      </w:r>
      <w:bookmarkEnd w:id="96"/>
      <w:bookmarkEnd w:id="97"/>
    </w:p>
    <w:p>
      <w:pPr>
        <w:pStyle w:val="Normal"/>
      </w:pPr>
      <w:r>
        <w:rPr>
          <w:rFonts w:cs="Calibri" w:ascii="Calibri" w:hAnsi="Calibri" w:eastAsia="Calibri"/>
          <w:szCs w:val="23"/>
          <w:lang w:val="en-CA" w:eastAsia="en-CA" w:bidi="ar-SA"/>
          <w:color w:val="212B32"/>
          <w:sz w:val="23"/>
        </w:rPr>
        <w:t>This annex fixes the ten vessel classes of Article 9 and the treatment of each class across the corridor system. Treatment differentiates by purpose, size, and risk profile only, under the non-discrimination rule of Article 9.4.</w:t>
      </w:r>
    </w:p>
    <w:p>
      <w:pPr>
        <w:pStyle w:val="Heading3"/>
      </w:pPr>
      <w:r>
        <w:rPr>
          <w:rFonts w:cs="Calibri" w:ascii="Calibri" w:hAnsi="Calibri" w:eastAsia="Calibri"/>
          <w:szCs w:val="25"/>
          <w:lang w:val="en-CA" w:eastAsia="en-CA" w:bidi="ar-SA"/>
          <w:b/>
          <w:color w:val="8A6D2F"/>
          <w:sz w:val="25"/>
        </w:rPr>
        <w:t>B.1 The Treatment Matrix</w:t>
      </w:r>
    </w:p>
    <w:p>
      <w:pPr>
        <w:pStyle w:val="Normal"/>
        <w:spacing w:before="120" w:after="0"/>
      </w:pPr>
    </w:p>
    <w:tbl>
      <w:tblPr>
        <w:tblStyle w:val="TableNormal"/>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1538"/>
        <w:gridCol w:w="1538"/>
        <w:gridCol w:w="1537"/>
        <w:gridCol w:w="1537"/>
        <w:gridCol w:w="1537"/>
        <w:gridCol w:w="1539"/>
      </w:tblGrid>
      <w:tr>
        <w:trPr>
          <w:cantSplit w:val="1"/>
          <w:tblHeader w:val="1"/>
        </w:trPr>
        <w:tc>
          <w:tcPr>
            <w:tcW w:w="1538"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Class</w:t>
            </w:r>
          </w:p>
        </w:tc>
        <w:tc>
          <w:tcPr>
            <w:tcW w:w="1538"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Corridor Assignment</w:t>
            </w:r>
          </w:p>
        </w:tc>
        <w:tc>
          <w:tcPr>
            <w:tcW w:w="1537"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Notice Regime</w:t>
            </w:r>
          </w:p>
        </w:tc>
        <w:tc>
          <w:tcPr>
            <w:tcW w:w="1537"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Speed (knots)</w:t>
            </w:r>
          </w:p>
        </w:tc>
        <w:tc>
          <w:tcPr>
            <w:tcW w:w="1537"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Escort and Inspection</w:t>
            </w:r>
          </w:p>
        </w:tc>
        <w:tc>
          <w:tcPr>
            <w:tcW w:w="1539"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Reporting</w:t>
            </w:r>
          </w:p>
        </w:tc>
      </w:tr>
      <w:tr>
        <w:trPr>
          <w:cantSplit w:val="1"/>
        </w:trPr>
        <w:tc>
          <w:tcPr>
            <w:tcW w:w="1538" w:type="dxa"/>
          </w:tcPr>
          <w:p>
            <w:pPr>
              <w:pStyle w:val="Normal"/>
              <w:spacing w:before="30" w:after="30" w:line="264" w:lineRule="auto"/>
              <w:jc w:val="left"/>
            </w:pPr>
            <w:r>
              <w:rPr>
                <w:rFonts w:cs="Calibri" w:ascii="Calibri" w:hAnsi="Calibri" w:eastAsia="Calibri"/>
                <w:color w:val="2B3942"/>
                <w:sz w:val="19"/>
                <w:szCs w:val="19"/>
                <w:lang w:val="en-CA" w:eastAsia="en-CA" w:bidi="ar-SA"/>
              </w:rPr>
              <w:t>1. Deep-draft crude tankers (VLCC and ULCC, 200,000 DWT and above)</w:t>
            </w:r>
          </w:p>
        </w:tc>
        <w:tc>
          <w:tcPr>
            <w:tcW w:w="1538" w:type="dxa"/>
          </w:tcPr>
          <w:p>
            <w:pPr>
              <w:pStyle w:val="Normal"/>
              <w:spacing w:before="30" w:after="30" w:line="264" w:lineRule="auto"/>
              <w:jc w:val="left"/>
            </w:pPr>
            <w:r>
              <w:rPr>
                <w:rFonts w:cs="Calibri" w:ascii="Calibri" w:hAnsi="Calibri" w:eastAsia="Calibri"/>
                <w:color w:val="2B3942"/>
                <w:sz w:val="19"/>
                <w:szCs w:val="19"/>
                <w:lang w:val="en-CA" w:eastAsia="en-CA" w:bidi="ar-SA"/>
              </w:rPr>
              <w:t>Both corridors; managed streams with priority spacing</w:t>
            </w:r>
          </w:p>
        </w:tc>
        <w:tc>
          <w:tcPr>
            <w:tcW w:w="1537" w:type="dxa"/>
          </w:tcPr>
          <w:p>
            <w:pPr>
              <w:pStyle w:val="Normal"/>
              <w:spacing w:before="30" w:after="30" w:line="264" w:lineRule="auto"/>
              <w:jc w:val="left"/>
            </w:pPr>
            <w:r>
              <w:rPr>
                <w:rFonts w:cs="Calibri" w:ascii="Calibri" w:hAnsi="Calibri" w:eastAsia="Calibri"/>
                <w:color w:val="2B3942"/>
                <w:sz w:val="19"/>
                <w:szCs w:val="19"/>
                <w:lang w:val="en-CA" w:eastAsia="en-CA" w:bidi="ar-SA"/>
              </w:rPr>
              <w:t>Corridor A: none. Corridor B: 6-hour notification</w:t>
            </w:r>
          </w:p>
        </w:tc>
        <w:tc>
          <w:tcPr>
            <w:tcW w:w="1537" w:type="dxa"/>
          </w:tcPr>
          <w:p>
            <w:pPr>
              <w:pStyle w:val="Normal"/>
              <w:spacing w:before="30" w:after="30" w:line="264" w:lineRule="auto"/>
              <w:jc w:val="left"/>
            </w:pPr>
            <w:r>
              <w:rPr>
                <w:rFonts w:cs="Calibri" w:ascii="Calibri" w:hAnsi="Calibri" w:eastAsia="Calibri"/>
                <w:color w:val="2B3942"/>
                <w:sz w:val="19"/>
                <w:szCs w:val="19"/>
                <w:lang w:val="en-CA" w:eastAsia="en-CA" w:bidi="ar-SA"/>
              </w:rPr>
              <w:t>A: 8 to 14. B: 6 to 12</w:t>
            </w:r>
          </w:p>
        </w:tc>
        <w:tc>
          <w:tcPr>
            <w:tcW w:w="1537" w:type="dxa"/>
          </w:tcPr>
          <w:p>
            <w:pPr>
              <w:pStyle w:val="Normal"/>
              <w:spacing w:before="30" w:after="30" w:line="264" w:lineRule="auto"/>
              <w:jc w:val="left"/>
            </w:pPr>
            <w:r>
              <w:rPr>
                <w:rFonts w:cs="Calibri" w:ascii="Calibri" w:hAnsi="Calibri" w:eastAsia="Calibri"/>
                <w:color w:val="2B3942"/>
                <w:sz w:val="19"/>
                <w:szCs w:val="19"/>
                <w:lang w:val="en-CA" w:eastAsia="en-CA" w:bidi="ar-SA"/>
              </w:rPr>
              <w:t>Escort on request; no routine inspection</w:t>
            </w:r>
          </w:p>
        </w:tc>
        <w:tc>
          <w:tcPr>
            <w:tcW w:w="1539" w:type="dxa"/>
          </w:tcPr>
          <w:p>
            <w:pPr>
              <w:pStyle w:val="Normal"/>
              <w:spacing w:before="30" w:after="30" w:line="264" w:lineRule="auto"/>
              <w:jc w:val="left"/>
            </w:pPr>
            <w:r>
              <w:rPr>
                <w:rFonts w:cs="Calibri" w:ascii="Calibri" w:hAnsi="Calibri" w:eastAsia="Calibri"/>
                <w:color w:val="2B3942"/>
                <w:sz w:val="19"/>
                <w:szCs w:val="19"/>
                <w:lang w:val="en-CA" w:eastAsia="en-CA" w:bidi="ar-SA"/>
              </w:rPr>
              <w:t>Broadcast regime or voice protocol</w:t>
            </w:r>
          </w:p>
        </w:tc>
      </w:tr>
      <w:tr>
        <w:trPr>
          <w:cantSplit w:val="1"/>
        </w:trPr>
        <w:tc>
          <w:tcPr>
            <w:tcW w:w="1538" w:type="dxa"/>
          </w:tcPr>
          <w:p>
            <w:pPr>
              <w:pStyle w:val="Normal"/>
              <w:spacing w:before="30" w:after="30" w:line="264" w:lineRule="auto"/>
              <w:jc w:val="left"/>
            </w:pPr>
            <w:r>
              <w:rPr>
                <w:szCs w:val="24"/>
                <w:lang w:val="en-CA" w:eastAsia="en-CA" w:bidi="ar-SA"/>
                <w:rFonts w:ascii="Calibri" w:eastAsia="Calibri" w:hAnsi="Calibri" w:cs="Calibri"/>
                <w:color w:val="2B3942"/>
                <w:sz w:val="19"/>
              </w:rPr>
              <w:t>2. Liquefied gas carriers (LNG and LPG)</w:t>
            </w:r>
          </w:p>
        </w:tc>
        <w:tc>
          <w:tcPr>
            <w:tcW w:w="1538" w:type="dxa"/>
          </w:tcPr>
          <w:p>
            <w:pPr>
              <w:pStyle w:val="Normal"/>
              <w:spacing w:before="30" w:after="30" w:line="264" w:lineRule="auto"/>
              <w:jc w:val="left"/>
            </w:pPr>
            <w:r>
              <w:rPr>
                <w:rFonts w:cs="Calibri" w:ascii="Calibri" w:hAnsi="Calibri" w:eastAsia="Calibri"/>
                <w:color w:val="2B3942"/>
                <w:sz w:val="19"/>
                <w:szCs w:val="19"/>
                <w:lang w:val="en-CA" w:eastAsia="en-CA" w:bidi="ar-SA"/>
              </w:rPr>
              <w:t>Both corridors; managed streams; separation from tanker streams by time block</w:t>
            </w:r>
          </w:p>
        </w:tc>
        <w:tc>
          <w:tcPr>
            <w:tcW w:w="1537" w:type="dxa"/>
          </w:tcPr>
          <w:p>
            <w:pPr>
              <w:pStyle w:val="Normal"/>
              <w:spacing w:before="30" w:after="30" w:line="264" w:lineRule="auto"/>
              <w:jc w:val="left"/>
            </w:pPr>
            <w:r>
              <w:rPr>
                <w:rFonts w:cs="Calibri" w:ascii="Calibri" w:hAnsi="Calibri" w:eastAsia="Calibri"/>
                <w:color w:val="2B3942"/>
                <w:sz w:val="19"/>
                <w:szCs w:val="19"/>
                <w:lang w:val="en-CA" w:eastAsia="en-CA" w:bidi="ar-SA"/>
              </w:rPr>
              <w:t>Corridor A: none. Corridor B: 6-hour notification</w:t>
            </w:r>
          </w:p>
        </w:tc>
        <w:tc>
          <w:tcPr>
            <w:tcW w:w="1537" w:type="dxa"/>
          </w:tcPr>
          <w:p>
            <w:pPr>
              <w:pStyle w:val="Normal"/>
              <w:spacing w:before="30" w:after="30" w:line="264" w:lineRule="auto"/>
              <w:jc w:val="left"/>
            </w:pPr>
            <w:r>
              <w:rPr>
                <w:rFonts w:cs="Calibri" w:ascii="Calibri" w:hAnsi="Calibri" w:eastAsia="Calibri"/>
                <w:color w:val="2B3942"/>
                <w:sz w:val="19"/>
                <w:szCs w:val="19"/>
                <w:lang w:val="en-CA" w:eastAsia="en-CA" w:bidi="ar-SA"/>
              </w:rPr>
              <w:t>A: 8 to 14. B: 6 to 12</w:t>
            </w:r>
          </w:p>
        </w:tc>
        <w:tc>
          <w:tcPr>
            <w:tcW w:w="1537" w:type="dxa"/>
          </w:tcPr>
          <w:p>
            <w:pPr>
              <w:pStyle w:val="Normal"/>
              <w:spacing w:before="30" w:after="30" w:line="264" w:lineRule="auto"/>
              <w:jc w:val="left"/>
            </w:pPr>
            <w:r>
              <w:rPr>
                <w:rFonts w:cs="Calibri" w:ascii="Calibri" w:hAnsi="Calibri" w:eastAsia="Calibri"/>
                <w:color w:val="2B3942"/>
                <w:sz w:val="19"/>
                <w:szCs w:val="19"/>
                <w:lang w:val="en-CA" w:eastAsia="en-CA" w:bidi="ar-SA"/>
              </w:rPr>
              <w:t>Escort on request; dedicated exclusion advisory broadcast</w:t>
            </w:r>
          </w:p>
        </w:tc>
        <w:tc>
          <w:tcPr>
            <w:tcW w:w="1539" w:type="dxa"/>
          </w:tcPr>
          <w:p>
            <w:pPr>
              <w:pStyle w:val="Normal"/>
              <w:spacing w:before="30" w:after="30" w:line="264" w:lineRule="auto"/>
              <w:jc w:val="left"/>
            </w:pPr>
            <w:r>
              <w:rPr>
                <w:rFonts w:cs="Calibri" w:ascii="Calibri" w:hAnsi="Calibri" w:eastAsia="Calibri"/>
                <w:color w:val="2B3942"/>
                <w:sz w:val="19"/>
                <w:szCs w:val="19"/>
                <w:lang w:val="en-CA" w:eastAsia="en-CA" w:bidi="ar-SA"/>
              </w:rPr>
              <w:t xml:space="preserve">Broadcast regime mandatory </w:t>
              <w:t>where</w:t>
              <w:t xml:space="preserve"> carried</w:t>
            </w:r>
          </w:p>
        </w:tc>
      </w:tr>
      <w:tr>
        <w:trPr>
          <w:cantSplit w:val="1"/>
        </w:trPr>
        <w:tc>
          <w:tcPr>
            <w:tcW w:w="1538" w:type="dxa"/>
          </w:tcPr>
          <w:p>
            <w:pPr>
              <w:pStyle w:val="Normal"/>
              <w:spacing w:before="30" w:after="30" w:line="264" w:lineRule="auto"/>
              <w:jc w:val="left"/>
            </w:pPr>
            <w:r>
              <w:rPr>
                <w:rFonts w:cs="Calibri" w:ascii="Calibri" w:hAnsi="Calibri" w:eastAsia="Calibri"/>
                <w:color w:val="2B3942"/>
                <w:sz w:val="19"/>
                <w:szCs w:val="19"/>
                <w:lang w:val="en-CA" w:eastAsia="en-CA" w:bidi="ar-SA"/>
              </w:rPr>
              <w:t>3. Product and chemical tankers</w:t>
            </w:r>
          </w:p>
        </w:tc>
        <w:tc>
          <w:tcPr>
            <w:tcW w:w="1538" w:type="dxa"/>
          </w:tcPr>
          <w:p>
            <w:pPr>
              <w:pStyle w:val="Normal"/>
              <w:spacing w:before="30" w:after="30" w:line="264" w:lineRule="auto"/>
              <w:jc w:val="left"/>
            </w:pPr>
            <w:r>
              <w:rPr>
                <w:rFonts w:cs="Calibri" w:ascii="Calibri" w:hAnsi="Calibri" w:eastAsia="Calibri"/>
                <w:color w:val="2B3942"/>
                <w:sz w:val="19"/>
                <w:szCs w:val="19"/>
                <w:lang w:val="en-CA" w:eastAsia="en-CA" w:bidi="ar-SA"/>
              </w:rPr>
              <w:t>Both corridors</w:t>
            </w:r>
          </w:p>
        </w:tc>
        <w:tc>
          <w:tcPr>
            <w:tcW w:w="1537" w:type="dxa"/>
          </w:tcPr>
          <w:p>
            <w:pPr>
              <w:pStyle w:val="Normal"/>
              <w:spacing w:before="30" w:after="30" w:line="264" w:lineRule="auto"/>
              <w:jc w:val="left"/>
            </w:pPr>
            <w:r>
              <w:rPr>
                <w:rFonts w:cs="Calibri" w:ascii="Calibri" w:hAnsi="Calibri" w:eastAsia="Calibri"/>
                <w:color w:val="2B3942"/>
                <w:sz w:val="19"/>
                <w:szCs w:val="19"/>
                <w:lang w:val="en-CA" w:eastAsia="en-CA" w:bidi="ar-SA"/>
              </w:rPr>
              <w:t>Corridor A: none. Corridor B: 6-hour notification</w:t>
            </w:r>
          </w:p>
        </w:tc>
        <w:tc>
          <w:tcPr>
            <w:tcW w:w="1537" w:type="dxa"/>
          </w:tcPr>
          <w:p>
            <w:pPr>
              <w:pStyle w:val="Normal"/>
              <w:spacing w:before="30" w:after="30" w:line="264" w:lineRule="auto"/>
              <w:jc w:val="left"/>
            </w:pPr>
            <w:r>
              <w:rPr>
                <w:rFonts w:cs="Calibri" w:ascii="Calibri" w:hAnsi="Calibri" w:eastAsia="Calibri"/>
                <w:color w:val="2B3942"/>
                <w:sz w:val="19"/>
                <w:szCs w:val="19"/>
                <w:lang w:val="en-CA" w:eastAsia="en-CA" w:bidi="ar-SA"/>
              </w:rPr>
              <w:t>A: 8 to 16. B: 6 to 14</w:t>
            </w:r>
          </w:p>
        </w:tc>
        <w:tc>
          <w:tcPr>
            <w:tcW w:w="1537" w:type="dxa"/>
          </w:tcPr>
          <w:p>
            <w:pPr>
              <w:pStyle w:val="Normal"/>
              <w:spacing w:before="30" w:after="30" w:line="264" w:lineRule="auto"/>
              <w:jc w:val="left"/>
            </w:pPr>
            <w:r>
              <w:rPr>
                <w:rFonts w:cs="Calibri" w:ascii="Calibri" w:hAnsi="Calibri" w:eastAsia="Calibri"/>
                <w:color w:val="2B3942"/>
                <w:sz w:val="19"/>
                <w:szCs w:val="19"/>
                <w:lang w:val="en-CA" w:eastAsia="en-CA" w:bidi="ar-SA"/>
              </w:rPr>
              <w:t>Standard rules</w:t>
            </w:r>
          </w:p>
        </w:tc>
        <w:tc>
          <w:tcPr>
            <w:tcW w:w="1539" w:type="dxa"/>
          </w:tcPr>
          <w:p>
            <w:pPr>
              <w:pStyle w:val="Normal"/>
              <w:spacing w:before="30" w:after="30" w:line="264" w:lineRule="auto"/>
              <w:jc w:val="left"/>
            </w:pPr>
            <w:r>
              <w:rPr>
                <w:rFonts w:cs="Calibri" w:ascii="Calibri" w:hAnsi="Calibri" w:eastAsia="Calibri"/>
                <w:color w:val="2B3942"/>
                <w:sz w:val="19"/>
                <w:szCs w:val="19"/>
                <w:lang w:val="en-CA" w:eastAsia="en-CA" w:bidi="ar-SA"/>
              </w:rPr>
              <w:t>Broadcast regime or voice protocol</w:t>
            </w:r>
          </w:p>
        </w:tc>
      </w:tr>
      <w:tr>
        <w:trPr>
          <w:cantSplit w:val="1"/>
        </w:trPr>
        <w:tc>
          <w:tcPr>
            <w:tcW w:w="1538" w:type="dxa"/>
          </w:tcPr>
          <w:p>
            <w:pPr>
              <w:pStyle w:val="Normal"/>
              <w:spacing w:before="30" w:after="30" w:line="264" w:lineRule="auto"/>
              <w:jc w:val="left"/>
            </w:pPr>
            <w:r>
              <w:rPr>
                <w:rFonts w:cs="Calibri" w:ascii="Calibri" w:hAnsi="Calibri" w:eastAsia="Calibri"/>
                <w:color w:val="2B3942"/>
                <w:sz w:val="19"/>
                <w:szCs w:val="19"/>
                <w:lang w:val="en-CA" w:eastAsia="en-CA" w:bidi="ar-SA"/>
              </w:rPr>
              <w:t>4. Container vessels</w:t>
            </w:r>
          </w:p>
        </w:tc>
        <w:tc>
          <w:tcPr>
            <w:tcW w:w="1538" w:type="dxa"/>
          </w:tcPr>
          <w:p>
            <w:pPr>
              <w:pStyle w:val="Normal"/>
              <w:spacing w:before="30" w:after="30" w:line="264" w:lineRule="auto"/>
              <w:jc w:val="left"/>
            </w:pPr>
            <w:r>
              <w:rPr>
                <w:rFonts w:cs="Calibri" w:ascii="Calibri" w:hAnsi="Calibri" w:eastAsia="Calibri"/>
                <w:color w:val="2B3942"/>
                <w:sz w:val="19"/>
                <w:szCs w:val="19"/>
                <w:lang w:val="en-CA" w:eastAsia="en-CA" w:bidi="ar-SA"/>
              </w:rPr>
              <w:t>Both corridors</w:t>
            </w:r>
          </w:p>
        </w:tc>
        <w:tc>
          <w:tcPr>
            <w:tcW w:w="1537" w:type="dxa"/>
          </w:tcPr>
          <w:p>
            <w:pPr>
              <w:pStyle w:val="Normal"/>
              <w:spacing w:before="30" w:after="30" w:line="264" w:lineRule="auto"/>
              <w:jc w:val="left"/>
            </w:pPr>
            <w:r>
              <w:rPr>
                <w:rFonts w:cs="Calibri" w:ascii="Calibri" w:hAnsi="Calibri" w:eastAsia="Calibri"/>
                <w:color w:val="2B3942"/>
                <w:sz w:val="19"/>
                <w:szCs w:val="19"/>
                <w:lang w:val="en-CA" w:eastAsia="en-CA" w:bidi="ar-SA"/>
              </w:rPr>
              <w:t>Corridor A: none. Corridor B: 6-hour notification</w:t>
            </w:r>
          </w:p>
        </w:tc>
        <w:tc>
          <w:tcPr>
            <w:tcW w:w="1537" w:type="dxa"/>
          </w:tcPr>
          <w:p>
            <w:pPr>
              <w:pStyle w:val="Normal"/>
              <w:spacing w:before="30" w:after="30" w:line="264" w:lineRule="auto"/>
              <w:jc w:val="left"/>
            </w:pPr>
            <w:r>
              <w:rPr>
                <w:rFonts w:cs="Calibri" w:ascii="Calibri" w:hAnsi="Calibri" w:eastAsia="Calibri"/>
                <w:color w:val="2B3942"/>
                <w:sz w:val="19"/>
                <w:szCs w:val="19"/>
                <w:lang w:val="en-CA" w:eastAsia="en-CA" w:bidi="ar-SA"/>
              </w:rPr>
              <w:t>A: 10 to 18. B: 8 to 14</w:t>
            </w:r>
          </w:p>
        </w:tc>
        <w:tc>
          <w:tcPr>
            <w:tcW w:w="1537" w:type="dxa"/>
          </w:tcPr>
          <w:p>
            <w:pPr>
              <w:pStyle w:val="Normal"/>
              <w:spacing w:before="30" w:after="30" w:line="264" w:lineRule="auto"/>
              <w:jc w:val="left"/>
            </w:pPr>
            <w:r>
              <w:rPr>
                <w:rFonts w:cs="Calibri" w:ascii="Calibri" w:hAnsi="Calibri" w:eastAsia="Calibri"/>
                <w:color w:val="2B3942"/>
                <w:sz w:val="19"/>
                <w:szCs w:val="19"/>
                <w:lang w:val="en-CA" w:eastAsia="en-CA" w:bidi="ar-SA"/>
              </w:rPr>
              <w:t>Standard rules</w:t>
            </w:r>
          </w:p>
        </w:tc>
        <w:tc>
          <w:tcPr>
            <w:tcW w:w="1539" w:type="dxa"/>
          </w:tcPr>
          <w:p>
            <w:pPr>
              <w:pStyle w:val="Normal"/>
              <w:spacing w:before="30" w:after="30" w:line="264" w:lineRule="auto"/>
              <w:jc w:val="left"/>
            </w:pPr>
            <w:r>
              <w:rPr>
                <w:rFonts w:cs="Calibri" w:ascii="Calibri" w:hAnsi="Calibri" w:eastAsia="Calibri"/>
                <w:color w:val="2B3942"/>
                <w:sz w:val="19"/>
                <w:szCs w:val="19"/>
                <w:lang w:val="en-CA" w:eastAsia="en-CA" w:bidi="ar-SA"/>
              </w:rPr>
              <w:t>Broadcast regime or voice protocol</w:t>
            </w:r>
          </w:p>
        </w:tc>
      </w:tr>
      <w:tr>
        <w:trPr>
          <w:cantSplit w:val="1"/>
        </w:trPr>
        <w:tc>
          <w:tcPr>
            <w:tcW w:w="1538" w:type="dxa"/>
          </w:tcPr>
          <w:p>
            <w:pPr>
              <w:pStyle w:val="Normal"/>
              <w:spacing w:before="30" w:after="30" w:line="264" w:lineRule="auto"/>
              <w:jc w:val="left"/>
            </w:pPr>
            <w:r>
              <w:rPr>
                <w:rFonts w:cs="Calibri" w:ascii="Calibri" w:hAnsi="Calibri" w:eastAsia="Calibri"/>
                <w:color w:val="2B3942"/>
                <w:sz w:val="19"/>
                <w:szCs w:val="19"/>
                <w:lang w:val="en-CA" w:eastAsia="en-CA" w:bidi="ar-SA"/>
              </w:rPr>
              <w:t>5. Bulk carriers and general cargo</w:t>
            </w:r>
          </w:p>
        </w:tc>
        <w:tc>
          <w:tcPr>
            <w:tcW w:w="1538" w:type="dxa"/>
          </w:tcPr>
          <w:p>
            <w:pPr>
              <w:pStyle w:val="Normal"/>
              <w:spacing w:before="30" w:after="30" w:line="264" w:lineRule="auto"/>
              <w:jc w:val="left"/>
            </w:pPr>
            <w:r>
              <w:rPr>
                <w:rFonts w:cs="Calibri" w:ascii="Calibri" w:hAnsi="Calibri" w:eastAsia="Calibri"/>
                <w:color w:val="2B3942"/>
                <w:sz w:val="19"/>
                <w:szCs w:val="19"/>
                <w:lang w:val="en-CA" w:eastAsia="en-CA" w:bidi="ar-SA"/>
              </w:rPr>
              <w:t>Both corridors</w:t>
            </w:r>
          </w:p>
        </w:tc>
        <w:tc>
          <w:tcPr>
            <w:tcW w:w="1537" w:type="dxa"/>
          </w:tcPr>
          <w:p>
            <w:pPr>
              <w:pStyle w:val="Normal"/>
              <w:spacing w:before="30" w:after="30" w:line="264" w:lineRule="auto"/>
              <w:jc w:val="left"/>
            </w:pPr>
            <w:r>
              <w:rPr>
                <w:rFonts w:cs="Calibri" w:ascii="Calibri" w:hAnsi="Calibri" w:eastAsia="Calibri"/>
                <w:color w:val="2B3942"/>
                <w:sz w:val="19"/>
                <w:szCs w:val="19"/>
                <w:lang w:val="en-CA" w:eastAsia="en-CA" w:bidi="ar-SA"/>
              </w:rPr>
              <w:t>Corridor A: none. Corridor B: 6-hour notification</w:t>
            </w:r>
          </w:p>
        </w:tc>
        <w:tc>
          <w:tcPr>
            <w:tcW w:w="1537" w:type="dxa"/>
          </w:tcPr>
          <w:p>
            <w:pPr>
              <w:pStyle w:val="Normal"/>
              <w:spacing w:before="30" w:after="30" w:line="264" w:lineRule="auto"/>
              <w:jc w:val="left"/>
            </w:pPr>
            <w:r>
              <w:rPr>
                <w:rFonts w:cs="Calibri" w:ascii="Calibri" w:hAnsi="Calibri" w:eastAsia="Calibri"/>
                <w:color w:val="2B3942"/>
                <w:sz w:val="19"/>
                <w:szCs w:val="19"/>
                <w:lang w:val="en-CA" w:eastAsia="en-CA" w:bidi="ar-SA"/>
              </w:rPr>
              <w:t>A: 8 to 16. B: 6 to 14</w:t>
            </w:r>
          </w:p>
        </w:tc>
        <w:tc>
          <w:tcPr>
            <w:tcW w:w="1537" w:type="dxa"/>
          </w:tcPr>
          <w:p>
            <w:pPr>
              <w:pStyle w:val="Normal"/>
              <w:spacing w:before="30" w:after="30" w:line="264" w:lineRule="auto"/>
              <w:jc w:val="left"/>
            </w:pPr>
            <w:r>
              <w:rPr>
                <w:rFonts w:cs="Calibri" w:ascii="Calibri" w:hAnsi="Calibri" w:eastAsia="Calibri"/>
                <w:color w:val="2B3942"/>
                <w:sz w:val="19"/>
                <w:szCs w:val="19"/>
                <w:lang w:val="en-CA" w:eastAsia="en-CA" w:bidi="ar-SA"/>
              </w:rPr>
              <w:t>Standard rules</w:t>
            </w:r>
          </w:p>
        </w:tc>
        <w:tc>
          <w:tcPr>
            <w:tcW w:w="1539" w:type="dxa"/>
          </w:tcPr>
          <w:p>
            <w:pPr>
              <w:pStyle w:val="Normal"/>
              <w:spacing w:before="30" w:after="30" w:line="264" w:lineRule="auto"/>
              <w:jc w:val="left"/>
            </w:pPr>
            <w:r>
              <w:rPr>
                <w:rFonts w:cs="Calibri" w:ascii="Calibri" w:hAnsi="Calibri" w:eastAsia="Calibri"/>
                <w:color w:val="2B3942"/>
                <w:sz w:val="19"/>
                <w:szCs w:val="19"/>
                <w:lang w:val="en-CA" w:eastAsia="en-CA" w:bidi="ar-SA"/>
              </w:rPr>
              <w:t>Broadcast regime or voice protocol</w:t>
            </w:r>
          </w:p>
        </w:tc>
      </w:tr>
      <w:tr>
        <w:trPr>
          <w:cantSplit w:val="1"/>
        </w:trPr>
        <w:tc>
          <w:tcPr>
            <w:tcW w:w="1538" w:type="dxa"/>
          </w:tcPr>
          <w:p>
            <w:pPr>
              <w:pStyle w:val="Normal"/>
              <w:spacing w:before="30" w:after="30" w:line="264" w:lineRule="auto"/>
              <w:jc w:val="left"/>
            </w:pPr>
            <w:r>
              <w:rPr>
                <w:rFonts w:cs="Calibri" w:ascii="Calibri" w:hAnsi="Calibri" w:eastAsia="Calibri"/>
                <w:color w:val="2B3942"/>
                <w:sz w:val="19"/>
                <w:szCs w:val="19"/>
                <w:lang w:val="en-CA" w:eastAsia="en-CA" w:bidi="ar-SA"/>
              </w:rPr>
              <w:t>6. Passenger vessels and ferries</w:t>
            </w:r>
          </w:p>
        </w:tc>
        <w:tc>
          <w:tcPr>
            <w:tcW w:w="1538" w:type="dxa"/>
          </w:tcPr>
          <w:p>
            <w:pPr>
              <w:pStyle w:val="Normal"/>
              <w:spacing w:before="30" w:after="30" w:line="264" w:lineRule="auto"/>
              <w:jc w:val="left"/>
            </w:pPr>
            <w:r>
              <w:rPr>
                <w:rFonts w:cs="Calibri" w:ascii="Calibri" w:hAnsi="Calibri" w:eastAsia="Calibri"/>
                <w:color w:val="2B3942"/>
                <w:sz w:val="19"/>
                <w:szCs w:val="19"/>
                <w:lang w:val="en-CA" w:eastAsia="en-CA" w:bidi="ar-SA"/>
              </w:rPr>
              <w:t>Both corridors; protected scheduling windows</w:t>
            </w:r>
          </w:p>
        </w:tc>
        <w:tc>
          <w:tcPr>
            <w:tcW w:w="1537" w:type="dxa"/>
          </w:tcPr>
          <w:p>
            <w:pPr>
              <w:pStyle w:val="Normal"/>
              <w:spacing w:before="30" w:after="30" w:line="264" w:lineRule="auto"/>
              <w:jc w:val="left"/>
            </w:pPr>
            <w:r>
              <w:rPr>
                <w:rFonts w:cs="Calibri" w:ascii="Calibri" w:hAnsi="Calibri" w:eastAsia="Calibri"/>
                <w:color w:val="2B3942"/>
                <w:sz w:val="19"/>
                <w:szCs w:val="19"/>
                <w:lang w:val="en-CA" w:eastAsia="en-CA" w:bidi="ar-SA"/>
              </w:rPr>
              <w:t>Corridor A: schedule filing only. Corridor B: 6-hour notification</w:t>
            </w:r>
          </w:p>
        </w:tc>
        <w:tc>
          <w:tcPr>
            <w:tcW w:w="1537" w:type="dxa"/>
          </w:tcPr>
          <w:p>
            <w:pPr>
              <w:pStyle w:val="Normal"/>
              <w:spacing w:before="30" w:after="30" w:line="264" w:lineRule="auto"/>
              <w:jc w:val="left"/>
            </w:pPr>
            <w:r>
              <w:rPr>
                <w:rFonts w:cs="Calibri" w:ascii="Calibri" w:hAnsi="Calibri" w:eastAsia="Calibri"/>
                <w:color w:val="2B3942"/>
                <w:sz w:val="19"/>
                <w:szCs w:val="19"/>
                <w:lang w:val="en-CA" w:eastAsia="en-CA" w:bidi="ar-SA"/>
              </w:rPr>
              <w:t>A: 10 to 18. B: 8 to 14</w:t>
            </w:r>
          </w:p>
        </w:tc>
        <w:tc>
          <w:tcPr>
            <w:tcW w:w="1537" w:type="dxa"/>
          </w:tcPr>
          <w:p>
            <w:pPr>
              <w:pStyle w:val="Normal"/>
              <w:spacing w:before="30" w:after="30" w:line="264" w:lineRule="auto"/>
              <w:jc w:val="left"/>
            </w:pPr>
            <w:r>
              <w:rPr>
                <w:rFonts w:cs="Calibri" w:ascii="Calibri" w:hAnsi="Calibri" w:eastAsia="Calibri"/>
                <w:color w:val="2B3942"/>
                <w:sz w:val="19"/>
                <w:szCs w:val="19"/>
                <w:lang w:val="en-CA" w:eastAsia="en-CA" w:bidi="ar-SA"/>
              </w:rPr>
              <w:t>Highest rescue priority; patrol awareness during windows</w:t>
            </w:r>
          </w:p>
        </w:tc>
        <w:tc>
          <w:tcPr>
            <w:tcW w:w="1539" w:type="dxa"/>
          </w:tcPr>
          <w:p>
            <w:pPr>
              <w:pStyle w:val="Normal"/>
              <w:spacing w:before="30" w:after="30" w:line="264" w:lineRule="auto"/>
              <w:jc w:val="left"/>
            </w:pPr>
            <w:r>
              <w:rPr>
                <w:rFonts w:cs="Calibri" w:ascii="Calibri" w:hAnsi="Calibri" w:eastAsia="Calibri"/>
                <w:color w:val="2B3942"/>
                <w:sz w:val="19"/>
                <w:szCs w:val="19"/>
                <w:lang w:val="en-CA" w:eastAsia="en-CA" w:bidi="ar-SA"/>
              </w:rPr>
              <w:t>Broadcast regime; fixed ferry lanes per Annex A</w:t>
            </w:r>
          </w:p>
        </w:tc>
      </w:tr>
      <w:tr>
        <w:trPr>
          <w:cantSplit w:val="1"/>
        </w:trPr>
        <w:tc>
          <w:tcPr>
            <w:tcW w:w="1538" w:type="dxa"/>
          </w:tcPr>
          <w:p>
            <w:pPr>
              <w:pStyle w:val="Normal"/>
              <w:spacing w:before="30" w:after="30" w:line="264" w:lineRule="auto"/>
              <w:jc w:val="left"/>
            </w:pPr>
            <w:r>
              <w:rPr>
                <w:rFonts w:cs="Calibri" w:ascii="Calibri" w:hAnsi="Calibri" w:eastAsia="Calibri"/>
                <w:color w:val="2B3942"/>
                <w:sz w:val="19"/>
                <w:szCs w:val="19"/>
                <w:lang w:val="en-CA" w:eastAsia="en-CA" w:bidi="ar-SA"/>
              </w:rPr>
              <w:t>7. Fishing vessels and traditional craft</w:t>
            </w:r>
          </w:p>
        </w:tc>
        <w:tc>
          <w:tcPr>
            <w:tcW w:w="1538" w:type="dxa"/>
          </w:tcPr>
          <w:p>
            <w:pPr>
              <w:pStyle w:val="Normal"/>
              <w:spacing w:before="30" w:after="30" w:line="264" w:lineRule="auto"/>
              <w:jc w:val="left"/>
            </w:pPr>
            <w:r>
              <w:rPr>
                <w:rFonts w:cs="Calibri" w:ascii="Calibri" w:hAnsi="Calibri" w:eastAsia="Calibri"/>
                <w:color w:val="2B3942"/>
                <w:sz w:val="19"/>
                <w:szCs w:val="19"/>
                <w:lang w:val="en-CA" w:eastAsia="en-CA" w:bidi="ar-SA"/>
              </w:rPr>
              <w:t>Lateral access at crossing points XC-1 and XC-2</w:t>
            </w:r>
          </w:p>
        </w:tc>
        <w:tc>
          <w:tcPr>
            <w:tcW w:w="1537" w:type="dxa"/>
          </w:tcPr>
          <w:p>
            <w:pPr>
              <w:pStyle w:val="Normal"/>
              <w:spacing w:before="30" w:after="30" w:line="264" w:lineRule="auto"/>
              <w:jc w:val="left"/>
            </w:pPr>
            <w:r>
              <w:rPr>
                <w:rFonts w:cs="Calibri" w:ascii="Calibri" w:hAnsi="Calibri" w:eastAsia="Calibri"/>
                <w:color w:val="2B3942"/>
                <w:sz w:val="19"/>
                <w:szCs w:val="19"/>
                <w:lang w:val="en-CA" w:eastAsia="en-CA" w:bidi="ar-SA"/>
              </w:rPr>
              <w:t>None; small-craft rules apply</w:t>
            </w:r>
          </w:p>
        </w:tc>
        <w:tc>
          <w:tcPr>
            <w:tcW w:w="1537" w:type="dxa"/>
          </w:tcPr>
          <w:p>
            <w:pPr>
              <w:pStyle w:val="Normal"/>
              <w:spacing w:before="30" w:after="30" w:line="264" w:lineRule="auto"/>
              <w:jc w:val="left"/>
            </w:pPr>
            <w:r>
              <w:rPr>
                <w:rFonts w:cs="Calibri" w:ascii="Calibri" w:hAnsi="Calibri" w:eastAsia="Calibri"/>
                <w:color w:val="2B3942"/>
                <w:sz w:val="19"/>
                <w:szCs w:val="19"/>
                <w:lang w:val="en-CA" w:eastAsia="en-CA" w:bidi="ar-SA"/>
              </w:rPr>
              <w:t>As safe</w:t>
            </w:r>
          </w:p>
        </w:tc>
        <w:tc>
          <w:tcPr>
            <w:tcW w:w="1537" w:type="dxa"/>
          </w:tcPr>
          <w:p>
            <w:pPr>
              <w:pStyle w:val="Normal"/>
              <w:spacing w:before="30" w:after="30" w:line="264" w:lineRule="auto"/>
              <w:jc w:val="left"/>
            </w:pPr>
            <w:r>
              <w:rPr>
                <w:rFonts w:cs="Calibri" w:ascii="Calibri" w:hAnsi="Calibri" w:eastAsia="Calibri"/>
                <w:color w:val="2B3942"/>
                <w:sz w:val="19"/>
                <w:szCs w:val="19"/>
                <w:lang w:val="en-CA" w:eastAsia="en-CA" w:bidi="ar-SA"/>
              </w:rPr>
              <w:t>Crossing protection during windows</w:t>
            </w:r>
          </w:p>
        </w:tc>
        <w:tc>
          <w:tcPr>
            <w:tcW w:w="1539" w:type="dxa"/>
          </w:tcPr>
          <w:p>
            <w:pPr>
              <w:pStyle w:val="Normal"/>
              <w:spacing w:before="30" w:after="30" w:line="264" w:lineRule="auto"/>
              <w:jc w:val="left"/>
            </w:pPr>
            <w:r>
              <w:rPr>
                <w:rFonts w:cs="Calibri" w:ascii="Calibri" w:hAnsi="Calibri" w:eastAsia="Calibri"/>
                <w:color w:val="2B3942"/>
                <w:sz w:val="19"/>
                <w:szCs w:val="19"/>
                <w:lang w:val="en-CA" w:eastAsia="en-CA" w:bidi="ar-SA"/>
              </w:rPr>
              <w:t>Voice advisories on working channel</w:t>
            </w:r>
          </w:p>
        </w:tc>
      </w:tr>
      <w:tr>
        <w:trPr>
          <w:cantSplit w:val="1"/>
        </w:trPr>
        <w:tc>
          <w:tcPr>
            <w:tcW w:w="1538" w:type="dxa"/>
          </w:tcPr>
          <w:p>
            <w:pPr>
              <w:pStyle w:val="Normal"/>
              <w:spacing w:before="30" w:after="30" w:line="264" w:lineRule="auto"/>
              <w:jc w:val="left"/>
            </w:pPr>
            <w:r>
              <w:rPr>
                <w:rFonts w:cs="Calibri" w:ascii="Calibri" w:hAnsi="Calibri" w:eastAsia="Calibri"/>
                <w:color w:val="2B3942"/>
                <w:sz w:val="19"/>
                <w:szCs w:val="19"/>
                <w:lang w:val="en-CA" w:eastAsia="en-CA" w:bidi="ar-SA"/>
              </w:rPr>
              <w:t>8. State non-commercial, research, hydrographic</w:t>
            </w:r>
          </w:p>
        </w:tc>
        <w:tc>
          <w:tcPr>
            <w:tcW w:w="1538" w:type="dxa"/>
          </w:tcPr>
          <w:p>
            <w:pPr>
              <w:pStyle w:val="Normal"/>
              <w:spacing w:before="30" w:after="30" w:line="264" w:lineRule="auto"/>
              <w:jc w:val="left"/>
            </w:pPr>
            <w:r>
              <w:rPr>
                <w:rFonts w:cs="Calibri" w:ascii="Calibri" w:hAnsi="Calibri" w:eastAsia="Calibri"/>
                <w:color w:val="2B3942"/>
                <w:sz w:val="19"/>
                <w:szCs w:val="19"/>
                <w:lang w:val="en-CA" w:eastAsia="en-CA" w:bidi="ar-SA"/>
              </w:rPr>
              <w:t>Both corridors</w:t>
            </w:r>
          </w:p>
        </w:tc>
        <w:tc>
          <w:tcPr>
            <w:tcW w:w="1537" w:type="dxa"/>
          </w:tcPr>
          <w:p>
            <w:pPr>
              <w:pStyle w:val="Normal"/>
              <w:spacing w:before="30" w:after="30" w:line="264" w:lineRule="auto"/>
              <w:jc w:val="left"/>
            </w:pPr>
            <w:r>
              <w:rPr>
                <w:rFonts w:cs="Calibri" w:ascii="Calibri" w:hAnsi="Calibri" w:eastAsia="Calibri"/>
                <w:color w:val="2B3942"/>
                <w:sz w:val="19"/>
                <w:szCs w:val="19"/>
                <w:lang w:val="en-CA" w:eastAsia="en-CA" w:bidi="ar-SA"/>
              </w:rPr>
              <w:t>24-hour notification for survey operations in corridor</w:t>
            </w:r>
          </w:p>
        </w:tc>
        <w:tc>
          <w:tcPr>
            <w:tcW w:w="1537" w:type="dxa"/>
          </w:tcPr>
          <w:p>
            <w:pPr>
              <w:pStyle w:val="Normal"/>
              <w:spacing w:before="30" w:after="30" w:line="264" w:lineRule="auto"/>
              <w:jc w:val="left"/>
            </w:pPr>
            <w:r>
              <w:rPr>
                <w:rFonts w:cs="Calibri" w:ascii="Calibri" w:hAnsi="Calibri" w:eastAsia="Calibri"/>
                <w:color w:val="2B3942"/>
                <w:sz w:val="19"/>
                <w:szCs w:val="19"/>
                <w:lang w:val="en-CA" w:eastAsia="en-CA" w:bidi="ar-SA"/>
              </w:rPr>
              <w:t>As safe</w:t>
            </w:r>
          </w:p>
        </w:tc>
        <w:tc>
          <w:tcPr>
            <w:tcW w:w="1537" w:type="dxa"/>
          </w:tcPr>
          <w:p>
            <w:pPr>
              <w:pStyle w:val="Normal"/>
              <w:spacing w:before="30" w:after="30" w:line="264" w:lineRule="auto"/>
              <w:jc w:val="left"/>
            </w:pPr>
            <w:r>
              <w:rPr>
                <w:rFonts w:cs="Calibri" w:ascii="Calibri" w:hAnsi="Calibri" w:eastAsia="Calibri"/>
                <w:color w:val="2B3942"/>
                <w:sz w:val="19"/>
                <w:szCs w:val="19"/>
                <w:lang w:val="en-CA" w:eastAsia="en-CA" w:bidi="ar-SA"/>
              </w:rPr>
              <w:t>Coordination with Center for stationary operations</w:t>
            </w:r>
          </w:p>
        </w:tc>
        <w:tc>
          <w:tcPr>
            <w:tcW w:w="1539" w:type="dxa"/>
          </w:tcPr>
          <w:p>
            <w:pPr>
              <w:pStyle w:val="Normal"/>
              <w:spacing w:before="30" w:after="30" w:line="264" w:lineRule="auto"/>
              <w:jc w:val="left"/>
            </w:pPr>
            <w:r>
              <w:rPr>
                <w:rFonts w:cs="Calibri" w:ascii="Calibri" w:hAnsi="Calibri" w:eastAsia="Calibri"/>
                <w:color w:val="2B3942"/>
                <w:sz w:val="19"/>
                <w:szCs w:val="19"/>
                <w:lang w:val="en-CA" w:eastAsia="en-CA" w:bidi="ar-SA"/>
              </w:rPr>
              <w:t xml:space="preserve">Broadcast regime </w:t>
              <w:t>where</w:t>
              <w:t xml:space="preserve"> carried</w:t>
            </w:r>
          </w:p>
        </w:tc>
      </w:tr>
      <w:tr>
        <w:trPr>
          <w:cantSplit w:val="1"/>
        </w:trPr>
        <w:tc>
          <w:tcPr>
            <w:tcW w:w="1538" w:type="dxa"/>
          </w:tcPr>
          <w:p>
            <w:pPr>
              <w:pStyle w:val="Normal"/>
              <w:spacing w:before="30" w:after="30" w:line="264" w:lineRule="auto"/>
              <w:jc w:val="left"/>
            </w:pPr>
            <w:r>
              <w:rPr>
                <w:rFonts w:cs="Calibri" w:ascii="Calibri" w:hAnsi="Calibri" w:eastAsia="Calibri"/>
                <w:color w:val="2B3942"/>
                <w:sz w:val="19"/>
                <w:szCs w:val="19"/>
                <w:lang w:val="en-CA" w:eastAsia="en-CA" w:bidi="ar-SA"/>
              </w:rPr>
              <w:t>9. Naval and military vessels</w:t>
            </w:r>
          </w:p>
        </w:tc>
        <w:tc>
          <w:tcPr>
            <w:tcW w:w="1538" w:type="dxa"/>
          </w:tcPr>
          <w:p>
            <w:pPr>
              <w:pStyle w:val="Normal"/>
              <w:spacing w:before="30" w:after="30" w:line="264" w:lineRule="auto"/>
              <w:jc w:val="left"/>
            </w:pPr>
            <w:r>
              <w:rPr>
                <w:rFonts w:cs="Calibri" w:ascii="Calibri" w:hAnsi="Calibri" w:eastAsia="Calibri"/>
                <w:color w:val="2B3942"/>
                <w:sz w:val="19"/>
                <w:szCs w:val="19"/>
                <w:lang w:val="en-CA" w:eastAsia="en-CA" w:bidi="ar-SA"/>
              </w:rPr>
              <w:t>Both corridors under Article 26 protocol</w:t>
            </w:r>
          </w:p>
        </w:tc>
        <w:tc>
          <w:tcPr>
            <w:tcW w:w="1537" w:type="dxa"/>
          </w:tcPr>
          <w:p>
            <w:pPr>
              <w:pStyle w:val="Normal"/>
              <w:spacing w:before="30" w:after="30" w:line="264" w:lineRule="auto"/>
              <w:jc w:val="left"/>
            </w:pPr>
            <w:r>
              <w:rPr>
                <w:rFonts w:cs="Calibri" w:ascii="Calibri" w:hAnsi="Calibri" w:eastAsia="Calibri"/>
                <w:color w:val="2B3942"/>
                <w:sz w:val="19"/>
                <w:szCs w:val="19"/>
                <w:lang w:val="en-CA" w:eastAsia="en-CA" w:bidi="ar-SA"/>
              </w:rPr>
              <w:t>A: 24-hour de-confliction notice. B: 72-hour diplomatic notice</w:t>
            </w:r>
          </w:p>
        </w:tc>
        <w:tc>
          <w:tcPr>
            <w:tcW w:w="1537" w:type="dxa"/>
          </w:tcPr>
          <w:p>
            <w:pPr>
              <w:pStyle w:val="Normal"/>
              <w:spacing w:before="30" w:after="30" w:line="264" w:lineRule="auto"/>
              <w:jc w:val="left"/>
            </w:pPr>
            <w:r>
              <w:rPr>
                <w:rFonts w:cs="Calibri" w:ascii="Calibri" w:hAnsi="Calibri" w:eastAsia="Calibri"/>
                <w:color w:val="2B3942"/>
                <w:sz w:val="19"/>
                <w:szCs w:val="19"/>
                <w:lang w:val="en-CA" w:eastAsia="en-CA" w:bidi="ar-SA"/>
              </w:rPr>
              <w:t>Continuous surface transit</w:t>
            </w:r>
          </w:p>
        </w:tc>
        <w:tc>
          <w:tcPr>
            <w:tcW w:w="1537" w:type="dxa"/>
          </w:tcPr>
          <w:p>
            <w:pPr>
              <w:pStyle w:val="Normal"/>
              <w:spacing w:before="30" w:after="30" w:line="264" w:lineRule="auto"/>
              <w:jc w:val="left"/>
            </w:pPr>
            <w:r>
              <w:rPr>
                <w:rFonts w:cs="Calibri" w:ascii="Calibri" w:hAnsi="Calibri" w:eastAsia="Calibri"/>
                <w:color w:val="2B3942"/>
                <w:sz w:val="19"/>
                <w:szCs w:val="19"/>
                <w:lang w:val="en-CA" w:eastAsia="en-CA" w:bidi="ar-SA"/>
              </w:rPr>
              <w:t>No aircraft operations over corridor; non-hostile profile</w:t>
            </w:r>
          </w:p>
        </w:tc>
        <w:tc>
          <w:tcPr>
            <w:tcW w:w="1539" w:type="dxa"/>
          </w:tcPr>
          <w:p>
            <w:pPr>
              <w:pStyle w:val="Normal"/>
              <w:spacing w:before="30" w:after="30" w:line="264" w:lineRule="auto"/>
              <w:jc w:val="left"/>
            </w:pPr>
            <w:r>
              <w:rPr>
                <w:rFonts w:cs="Calibri" w:ascii="Calibri" w:hAnsi="Calibri" w:eastAsia="Calibri"/>
                <w:color w:val="2B3942"/>
                <w:sz w:val="19"/>
                <w:szCs w:val="19"/>
                <w:lang w:val="en-CA" w:eastAsia="en-CA" w:bidi="ar-SA"/>
              </w:rPr>
              <w:t>Active transponders; de-confliction channel contact</w:t>
            </w:r>
          </w:p>
        </w:tc>
      </w:tr>
      <w:tr>
        <w:trPr>
          <w:cantSplit w:val="1"/>
        </w:trPr>
        <w:tc>
          <w:tcPr>
            <w:tcW w:w="1538" w:type="dxa"/>
          </w:tcPr>
          <w:p>
            <w:pPr>
              <w:pStyle w:val="Normal"/>
              <w:spacing w:before="30" w:after="30" w:line="264" w:lineRule="auto"/>
              <w:jc w:val="left"/>
            </w:pPr>
            <w:r>
              <w:rPr>
                <w:rFonts w:cs="Calibri" w:ascii="Calibri" w:hAnsi="Calibri" w:eastAsia="Calibri"/>
                <w:color w:val="2B3942"/>
                <w:sz w:val="19"/>
                <w:szCs w:val="19"/>
                <w:lang w:val="en-CA" w:eastAsia="en-CA" w:bidi="ar-SA"/>
              </w:rPr>
              <w:t>10. Humanitarian and emergency response vessels</w:t>
            </w:r>
          </w:p>
        </w:tc>
        <w:tc>
          <w:tcPr>
            <w:tcW w:w="1538" w:type="dxa"/>
          </w:tcPr>
          <w:p>
            <w:pPr>
              <w:pStyle w:val="Normal"/>
              <w:spacing w:before="30" w:after="30" w:line="264" w:lineRule="auto"/>
              <w:jc w:val="left"/>
            </w:pPr>
            <w:r>
              <w:rPr>
                <w:rFonts w:cs="Calibri" w:ascii="Calibri" w:hAnsi="Calibri" w:eastAsia="Calibri"/>
                <w:color w:val="2B3942"/>
                <w:sz w:val="19"/>
                <w:szCs w:val="19"/>
                <w:lang w:val="en-CA" w:eastAsia="en-CA" w:bidi="ar-SA"/>
              </w:rPr>
              <w:t>Both corridors; absolute priority</w:t>
            </w:r>
          </w:p>
        </w:tc>
        <w:tc>
          <w:tcPr>
            <w:tcW w:w="1537" w:type="dxa"/>
          </w:tcPr>
          <w:p>
            <w:pPr>
              <w:pStyle w:val="Normal"/>
              <w:spacing w:before="30" w:after="30" w:line="264" w:lineRule="auto"/>
              <w:jc w:val="left"/>
            </w:pPr>
            <w:r>
              <w:rPr>
                <w:rFonts w:cs="Calibri" w:ascii="Calibri" w:hAnsi="Calibri" w:eastAsia="Calibri"/>
                <w:color w:val="2B3942"/>
                <w:sz w:val="19"/>
                <w:szCs w:val="19"/>
                <w:lang w:val="en-CA" w:eastAsia="en-CA" w:bidi="ar-SA"/>
              </w:rPr>
              <w:t>As practicable; priority handling</w:t>
            </w:r>
          </w:p>
        </w:tc>
        <w:tc>
          <w:tcPr>
            <w:tcW w:w="1537" w:type="dxa"/>
          </w:tcPr>
          <w:p>
            <w:pPr>
              <w:pStyle w:val="Normal"/>
              <w:spacing w:before="30" w:after="30" w:line="264" w:lineRule="auto"/>
              <w:jc w:val="left"/>
            </w:pPr>
            <w:r>
              <w:rPr>
                <w:rFonts w:cs="Calibri" w:ascii="Calibri" w:hAnsi="Calibri" w:eastAsia="Calibri"/>
                <w:color w:val="2B3942"/>
                <w:sz w:val="19"/>
                <w:szCs w:val="19"/>
                <w:lang w:val="en-CA" w:eastAsia="en-CA" w:bidi="ar-SA"/>
              </w:rPr>
              <w:t>As safe</w:t>
            </w:r>
          </w:p>
        </w:tc>
        <w:tc>
          <w:tcPr>
            <w:tcW w:w="1537" w:type="dxa"/>
          </w:tcPr>
          <w:p>
            <w:pPr>
              <w:pStyle w:val="Normal"/>
              <w:spacing w:before="30" w:after="30" w:line="264" w:lineRule="auto"/>
              <w:jc w:val="left"/>
            </w:pPr>
            <w:r>
              <w:rPr>
                <w:rFonts w:cs="Calibri" w:ascii="Calibri" w:hAnsi="Calibri" w:eastAsia="Calibri"/>
                <w:color w:val="2B3942"/>
                <w:sz w:val="19"/>
                <w:szCs w:val="19"/>
                <w:lang w:val="en-CA" w:eastAsia="en-CA" w:bidi="ar-SA"/>
              </w:rPr>
              <w:t>Immediate assistance; traffic cleared</w:t>
            </w:r>
          </w:p>
        </w:tc>
        <w:tc>
          <w:tcPr>
            <w:tcW w:w="1539" w:type="dxa"/>
          </w:tcPr>
          <w:p>
            <w:pPr>
              <w:pStyle w:val="Normal"/>
              <w:spacing w:before="30" w:after="30" w:line="264" w:lineRule="auto"/>
              <w:jc w:val="left"/>
            </w:pPr>
            <w:r>
              <w:rPr>
                <w:rFonts w:cs="Calibri" w:ascii="Calibri" w:hAnsi="Calibri" w:eastAsia="Calibri"/>
                <w:color w:val="2B3942"/>
                <w:sz w:val="19"/>
                <w:szCs w:val="19"/>
                <w:lang w:val="en-CA" w:eastAsia="en-CA" w:bidi="ar-SA"/>
              </w:rPr>
              <w:t>Direct Center contact on hailing channel</w:t>
            </w:r>
          </w:p>
        </w:tc>
      </w:tr>
    </w:tbl>
    <w:p>
      <w:pPr>
        <w:pStyle w:val="Normal"/>
      </w:pPr>
    </w:p>
    <w:p>
      <w:pPr>
        <w:pStyle w:val="Heading3"/>
      </w:pPr>
      <w:r>
        <w:rPr>
          <w:szCs w:val="25"/>
          <w:lang w:val="en-CA" w:eastAsia="en-CA" w:bidi="ar-SA"/>
          <w:rFonts w:ascii="Calibri" w:eastAsia="Calibri" w:hAnsi="Calibri" w:cs="Calibri"/>
          <w:b/>
          <w:color w:val="8A6D2F"/>
          <w:sz w:val="25"/>
        </w:rPr>
        <w:t>B.2 Class Notes: Deep-Draft Tankers and Gas Carriers</w:t>
      </w:r>
    </w:p>
    <w:p w14:paraId="7ABFDCC4" w14:textId="77777777" w:rsidR="007D4A98" w:rsidRDefault="00000000">
      <w:r>
        <w:rPr>
          <w:rFonts w:cs="Calibri"/>
          <w:szCs w:val="23"/>
        </w:rPr>
        <w:t>Classes 1 and 2 carry the waterway's energy flow and its largest kinetic and environmental risk. The corridor system manages these classes in scheduled streams under surge conditions, holds two (2) nautical miles minimum spacing, broadcasts a dedicated advisory when a gas carrier transits, and pre-positions the escort and rescue resources of Annex I on the stream schedule. Deep-draft routing follows the deepest water of each corridor centerline; the survey program of Annex A maintains under-keel clearance data, and the Center issues a draft advisory whenever survey data indicates reduced clearance.</w:t>
      </w:r>
    </w:p>
    <w:p w14:paraId="2D8537A0" w14:textId="77777777" w:rsidR="007D4A98" w:rsidRDefault="00000000">
      <w:pPr>
        <w:pStyle w:val="Heading3"/>
      </w:pPr>
      <w:r>
        <w:rPr>
          <w:rFonts w:cs="Calibri"/>
          <w:szCs w:val="25"/>
        </w:rPr>
        <w:t>B.3 Class Notes: Passenger Vessels and Ferries</w:t>
      </w:r>
    </w:p>
    <w:p w14:paraId="6AB3C8AB" w14:textId="77777777" w:rsidR="007D4A98" w:rsidRDefault="00000000">
      <w:r>
        <w:rPr>
          <w:rFonts w:cs="Calibri"/>
          <w:szCs w:val="23"/>
        </w:rPr>
        <w:t>Class 6 vessels carry lives rather than cargo, and the architecture prices that difference. Scheduled ferries between the Musandam ports and the Iranian islands file a standing schedule with the Center, receive protected transit windows published with the daily status report, and receive the highest rescue priority of any class. A ferry never queues behind commercial streams within its protected window.</w:t>
      </w:r>
    </w:p>
    <w:p w14:paraId="0E263645" w14:textId="77777777" w:rsidR="007D4A98" w:rsidRDefault="00000000">
      <w:pPr>
        <w:pStyle w:val="Heading3"/>
      </w:pPr>
      <w:r>
        <w:rPr>
          <w:rFonts w:cs="Calibri"/>
          <w:szCs w:val="25"/>
        </w:rPr>
        <w:t>B.4 Class Notes: Fishing Vessels and Traditional Craft</w:t>
      </w:r>
    </w:p>
    <w:p w14:paraId="6AFCA8FD" w14:textId="77777777" w:rsidR="007D4A98" w:rsidRDefault="00000000">
      <w:r>
        <w:rPr>
          <w:rFonts w:cs="Calibri"/>
          <w:szCs w:val="23"/>
        </w:rPr>
        <w:t xml:space="preserve">Class 7 vessels predate every modern scheme, and the architecture accommodates their reality: no notification duty, no equipment mandate beyond the small-craft rules, lateral access at the crossing points of Annex A.9, and advisory protection during crossing windows. Fishing inside the traffic lanes stands outside the crossing windows as a hazard both to the fisher and to the traffic; the Center </w:t>
      </w:r>
      <w:proofErr w:type="gramStart"/>
      <w:r>
        <w:rPr>
          <w:rFonts w:cs="Calibri"/>
          <w:szCs w:val="23"/>
        </w:rPr>
        <w:t>advises,</w:t>
      </w:r>
      <w:proofErr w:type="gramEnd"/>
      <w:r>
        <w:rPr>
          <w:rFonts w:cs="Calibri"/>
          <w:szCs w:val="23"/>
        </w:rPr>
        <w:t xml:space="preserve"> the patrol craft shepherd, and the architecture treats persistent unsafe fishing as a safety education matter for the coastal communities, never as an enforcement matter at sea.</w:t>
      </w:r>
    </w:p>
    <w:p w14:paraId="79EBED64" w14:textId="77777777" w:rsidR="007D4A98" w:rsidRDefault="00000000">
      <w:pPr>
        <w:pStyle w:val="Heading3"/>
      </w:pPr>
      <w:r>
        <w:rPr>
          <w:rFonts w:cs="Calibri"/>
          <w:szCs w:val="25"/>
        </w:rPr>
        <w:t>B.5 Class Notes: Naval and Military Vessels</w:t>
      </w:r>
    </w:p>
    <w:p w14:paraId="6AFEFC5A" w14:textId="77777777" w:rsidR="007D4A98" w:rsidRDefault="00000000">
      <w:r>
        <w:rPr>
          <w:rFonts w:cs="Calibri"/>
          <w:szCs w:val="23"/>
        </w:rPr>
        <w:t>Class 9 vessels transit under the military protocol of Article 26 as a safety management matter. The protocol's elements: advance notice through the de-confliction channel, continuous surface transit, active transponders, no weapons employment, no aircraft operations over the corridor system, and the non-hostile passage profile of Annex F. Submerged transit stands excluded within the buffer of Article 26.2 absent advance coordination through the de-confliction desk.</w:t>
      </w:r>
    </w:p>
    <w:p w14:paraId="5323FF9B" w14:textId="77777777" w:rsidR="007D4A98" w:rsidRDefault="00000000">
      <w:pPr>
        <w:pStyle w:val="Heading3"/>
      </w:pPr>
      <w:r>
        <w:rPr>
          <w:rFonts w:cs="Calibri"/>
          <w:szCs w:val="25"/>
        </w:rPr>
        <w:lastRenderedPageBreak/>
        <w:t>B.6 Class Notes: Humanitarian and Emergency Vessels</w:t>
      </w:r>
    </w:p>
    <w:p w14:paraId="2711C157" w14:textId="77777777" w:rsidR="007D4A98" w:rsidRDefault="00000000">
      <w:r>
        <w:rPr>
          <w:rFonts w:cs="Calibri"/>
          <w:szCs w:val="23"/>
        </w:rPr>
        <w:t xml:space="preserve">Class 10 vessels hold absolute priority over every rule of this Framework: immediate entry, cleared traffic, fastest routing, and immediate assistance. The class covers vessels on rescue, medical evacuation, pollution response, and humanitarian relief missions, and the Center designates a vessel into the class on the master's declaration, with verification after the fact, </w:t>
      </w:r>
      <w:proofErr w:type="gramStart"/>
      <w:r>
        <w:rPr>
          <w:rFonts w:cs="Calibri"/>
          <w:szCs w:val="23"/>
        </w:rPr>
        <w:t>never before</w:t>
      </w:r>
      <w:proofErr w:type="gramEnd"/>
      <w:r>
        <w:rPr>
          <w:rFonts w:cs="Calibri"/>
          <w:szCs w:val="23"/>
        </w:rPr>
        <w:t xml:space="preserve"> it.</w:t>
      </w:r>
    </w:p>
    <w:p w14:paraId="6F32ECE3" w14:textId="77777777" w:rsidR="007D4A98" w:rsidRDefault="00000000">
      <w:pPr>
        <w:pStyle w:val="Heading3"/>
      </w:pPr>
      <w:r>
        <w:rPr>
          <w:rFonts w:cs="Calibri"/>
          <w:szCs w:val="25"/>
        </w:rPr>
        <w:t>B.7 Reclassification and Borderline Cases</w:t>
      </w:r>
    </w:p>
    <w:p w14:paraId="0FB6A8D8" w14:textId="77777777" w:rsidR="007D4A98" w:rsidRDefault="00000000">
      <w:r>
        <w:rPr>
          <w:rFonts w:cs="Calibri"/>
          <w:szCs w:val="23"/>
        </w:rPr>
        <w:t>A vessel's class follows from its purpose on the voyage in question, and a vessel changes class between voyages as its purpose changes. Borderline cases resolve by the Center's classification desk against the criteria of this annex, with appeal to the Joint Technical Committee within seven (7) days. Classification is a safety function; it carries no fee, no penalty, and no documentary consequence beyond the treatment matrix.</w:t>
      </w:r>
    </w:p>
    <w:p w14:paraId="6D781AFE" w14:textId="77777777" w:rsidR="007D4A98" w:rsidRDefault="00000000">
      <w:pPr>
        <w:pStyle w:val="Heading2"/>
      </w:pPr>
      <w:bookmarkStart w:id="98" w:name="_Toc1050"/>
      <w:bookmarkStart w:id="99" w:name="_Toc235667481"/>
      <w:r>
        <w:rPr>
          <w:rFonts w:cs="Cambria"/>
          <w:szCs w:val="30"/>
        </w:rPr>
        <w:t>Annex C: Transit Notification and Safe Passage Recording Procedures</w:t>
      </w:r>
      <w:bookmarkEnd w:id="98"/>
      <w:bookmarkEnd w:id="99"/>
    </w:p>
    <w:p w14:paraId="33B068C7" w14:textId="77777777" w:rsidR="007D4A98" w:rsidRDefault="00000000">
      <w:r>
        <w:rPr>
          <w:rFonts w:cs="Calibri"/>
          <w:szCs w:val="23"/>
        </w:rPr>
        <w:t>This annex fixes the notification and recording procedures of Article 7.2 for Corridor B and the voluntary voyage recording service for Corridor A. The procedures are informational: they record, they never permit.</w:t>
      </w:r>
    </w:p>
    <w:p w14:paraId="11B0605B" w14:textId="77777777" w:rsidR="007D4A98" w:rsidRDefault="00000000">
      <w:pPr>
        <w:pStyle w:val="Heading3"/>
      </w:pPr>
      <w:r>
        <w:rPr>
          <w:rFonts w:cs="Calibri"/>
          <w:szCs w:val="25"/>
        </w:rPr>
        <w:t>C.1 The Standard Transit Notification</w:t>
      </w:r>
    </w:p>
    <w:p w14:paraId="366D302B" w14:textId="77777777" w:rsidR="007D4A98" w:rsidRDefault="00000000">
      <w:r>
        <w:rPr>
          <w:rFonts w:cs="Calibri"/>
          <w:szCs w:val="23"/>
        </w:rPr>
        <w:t>The standard transit notification carries the following data fields, transmitted to the Center six (6) hours before the entry reporting point by the digital form of the dashboard portal, by the agent network, or by voice on the working channel.</w:t>
      </w:r>
    </w:p>
    <w:p w14:paraId="15DDA270" w14:textId="77777777" w:rsidR="007D4A98" w:rsidRDefault="007D4A98">
      <w:pPr>
        <w:spacing w:before="120" w:after="0"/>
      </w:pPr>
    </w:p>
    <w:tbl>
      <w:tblPr>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3074"/>
        <w:gridCol w:w="3075"/>
        <w:gridCol w:w="3077"/>
      </w:tblGrid>
      <w:tr w:rsidR="007D4A98" w14:paraId="44B0B6BC" w14:textId="77777777">
        <w:trPr>
          <w:cantSplit/>
          <w:tblHeader/>
        </w:trPr>
        <w:tc>
          <w:tcPr>
            <w:tcW w:w="3008" w:type="dxa"/>
            <w:shd w:val="clear" w:color="auto" w:fill="EFEAE0"/>
          </w:tcPr>
          <w:p w14:paraId="72AD5ABB" w14:textId="77777777" w:rsidR="007D4A98" w:rsidRDefault="00000000">
            <w:pPr>
              <w:spacing w:before="30" w:after="30" w:line="264" w:lineRule="auto"/>
              <w:jc w:val="left"/>
            </w:pPr>
            <w:r>
              <w:rPr>
                <w:rFonts w:cs="Calibri"/>
                <w:b/>
                <w:color w:val="1F3A4D"/>
                <w:sz w:val="19"/>
                <w:szCs w:val="19"/>
              </w:rPr>
              <w:t>Field</w:t>
            </w:r>
          </w:p>
        </w:tc>
        <w:tc>
          <w:tcPr>
            <w:tcW w:w="3008" w:type="dxa"/>
            <w:shd w:val="clear" w:color="auto" w:fill="EFEAE0"/>
          </w:tcPr>
          <w:p w14:paraId="7F7EB30A" w14:textId="77777777" w:rsidR="007D4A98" w:rsidRDefault="00000000">
            <w:pPr>
              <w:spacing w:before="30" w:after="30" w:line="264" w:lineRule="auto"/>
              <w:jc w:val="left"/>
            </w:pPr>
            <w:r>
              <w:rPr>
                <w:rFonts w:cs="Calibri"/>
                <w:b/>
                <w:color w:val="1F3A4D"/>
                <w:sz w:val="19"/>
                <w:szCs w:val="19"/>
              </w:rPr>
              <w:t>Content</w:t>
            </w:r>
          </w:p>
        </w:tc>
        <w:tc>
          <w:tcPr>
            <w:tcW w:w="3010" w:type="dxa"/>
            <w:shd w:val="clear" w:color="auto" w:fill="EFEAE0"/>
          </w:tcPr>
          <w:p w14:paraId="3AA77142" w14:textId="77777777" w:rsidR="007D4A98" w:rsidRDefault="00000000">
            <w:pPr>
              <w:spacing w:before="30" w:after="30" w:line="264" w:lineRule="auto"/>
              <w:jc w:val="left"/>
            </w:pPr>
            <w:r>
              <w:rPr>
                <w:rFonts w:cs="Calibri"/>
                <w:b/>
                <w:color w:val="1F3A4D"/>
                <w:sz w:val="19"/>
                <w:szCs w:val="19"/>
              </w:rPr>
              <w:t>Purpose</w:t>
            </w:r>
          </w:p>
        </w:tc>
      </w:tr>
      <w:tr w:rsidR="007D4A98" w14:paraId="40828370" w14:textId="77777777">
        <w:trPr>
          <w:cantSplit/>
        </w:trPr>
        <w:tc>
          <w:tcPr>
            <w:tcW w:w="3008" w:type="dxa"/>
          </w:tcPr>
          <w:p w14:paraId="4A5F2842" w14:textId="77777777" w:rsidR="007D4A98" w:rsidRDefault="00000000">
            <w:pPr>
              <w:spacing w:before="30" w:after="30" w:line="264" w:lineRule="auto"/>
              <w:jc w:val="left"/>
            </w:pPr>
            <w:r>
              <w:rPr>
                <w:rFonts w:cs="Calibri"/>
                <w:color w:val="2B3942"/>
                <w:sz w:val="19"/>
                <w:szCs w:val="19"/>
              </w:rPr>
              <w:t>1</w:t>
            </w:r>
          </w:p>
        </w:tc>
        <w:tc>
          <w:tcPr>
            <w:tcW w:w="3008" w:type="dxa"/>
          </w:tcPr>
          <w:p w14:paraId="3F983D46" w14:textId="77777777" w:rsidR="007D4A98" w:rsidRDefault="00000000">
            <w:pPr>
              <w:spacing w:before="30" w:after="30" w:line="264" w:lineRule="auto"/>
              <w:jc w:val="left"/>
            </w:pPr>
            <w:r>
              <w:rPr>
                <w:rFonts w:cs="Calibri"/>
                <w:color w:val="2B3942"/>
                <w:sz w:val="19"/>
                <w:szCs w:val="19"/>
              </w:rPr>
              <w:t>Vessel name and call sign</w:t>
            </w:r>
          </w:p>
        </w:tc>
        <w:tc>
          <w:tcPr>
            <w:tcW w:w="3010" w:type="dxa"/>
          </w:tcPr>
          <w:p w14:paraId="4E738357" w14:textId="77777777" w:rsidR="007D4A98" w:rsidRDefault="00000000">
            <w:pPr>
              <w:spacing w:before="30" w:after="30" w:line="264" w:lineRule="auto"/>
              <w:jc w:val="left"/>
            </w:pPr>
            <w:r>
              <w:rPr>
                <w:rFonts w:cs="Calibri"/>
                <w:color w:val="2B3942"/>
                <w:sz w:val="19"/>
                <w:szCs w:val="19"/>
              </w:rPr>
              <w:t>Identification</w:t>
            </w:r>
          </w:p>
        </w:tc>
      </w:tr>
      <w:tr w:rsidR="007D4A98" w14:paraId="1CC3180D" w14:textId="77777777">
        <w:trPr>
          <w:cantSplit/>
        </w:trPr>
        <w:tc>
          <w:tcPr>
            <w:tcW w:w="3008" w:type="dxa"/>
          </w:tcPr>
          <w:p w14:paraId="69F92991" w14:textId="77777777" w:rsidR="007D4A98" w:rsidRDefault="00000000">
            <w:pPr>
              <w:spacing w:before="30" w:after="30" w:line="264" w:lineRule="auto"/>
              <w:jc w:val="left"/>
            </w:pPr>
            <w:r>
              <w:rPr>
                <w:rFonts w:cs="Calibri"/>
                <w:color w:val="2B3942"/>
                <w:sz w:val="19"/>
                <w:szCs w:val="19"/>
              </w:rPr>
              <w:t>2</w:t>
            </w:r>
          </w:p>
        </w:tc>
        <w:tc>
          <w:tcPr>
            <w:tcW w:w="3008" w:type="dxa"/>
          </w:tcPr>
          <w:p w14:paraId="16BC7D44" w14:textId="77777777" w:rsidR="007D4A98" w:rsidRDefault="00000000">
            <w:pPr>
              <w:spacing w:before="30" w:after="30" w:line="264" w:lineRule="auto"/>
              <w:jc w:val="left"/>
            </w:pPr>
            <w:r>
              <w:rPr>
                <w:rFonts w:cs="Calibri"/>
                <w:color w:val="2B3942"/>
                <w:sz w:val="19"/>
                <w:szCs w:val="19"/>
              </w:rPr>
              <w:t>Identifier numbers (international registry and maritime mobile identity)</w:t>
            </w:r>
          </w:p>
        </w:tc>
        <w:tc>
          <w:tcPr>
            <w:tcW w:w="3010" w:type="dxa"/>
          </w:tcPr>
          <w:p w14:paraId="581E4828" w14:textId="77777777" w:rsidR="007D4A98" w:rsidRDefault="00000000">
            <w:pPr>
              <w:spacing w:before="30" w:after="30" w:line="264" w:lineRule="auto"/>
              <w:jc w:val="left"/>
            </w:pPr>
            <w:r>
              <w:rPr>
                <w:rFonts w:cs="Calibri"/>
                <w:color w:val="2B3942"/>
                <w:sz w:val="19"/>
                <w:szCs w:val="19"/>
              </w:rPr>
              <w:t>Registry validation</w:t>
            </w:r>
          </w:p>
        </w:tc>
      </w:tr>
      <w:tr w:rsidR="007D4A98" w14:paraId="6297ADDB" w14:textId="77777777">
        <w:trPr>
          <w:cantSplit/>
        </w:trPr>
        <w:tc>
          <w:tcPr>
            <w:tcW w:w="3008" w:type="dxa"/>
          </w:tcPr>
          <w:p w14:paraId="037E6552" w14:textId="77777777" w:rsidR="007D4A98" w:rsidRDefault="00000000">
            <w:pPr>
              <w:spacing w:before="30" w:after="30" w:line="264" w:lineRule="auto"/>
              <w:jc w:val="left"/>
            </w:pPr>
            <w:r>
              <w:rPr>
                <w:rFonts w:cs="Calibri"/>
                <w:color w:val="2B3942"/>
                <w:sz w:val="19"/>
                <w:szCs w:val="19"/>
              </w:rPr>
              <w:t>3</w:t>
            </w:r>
          </w:p>
        </w:tc>
        <w:tc>
          <w:tcPr>
            <w:tcW w:w="3008" w:type="dxa"/>
          </w:tcPr>
          <w:p w14:paraId="2301AFEA" w14:textId="77777777" w:rsidR="007D4A98" w:rsidRDefault="00000000">
            <w:pPr>
              <w:spacing w:before="30" w:after="30" w:line="264" w:lineRule="auto"/>
              <w:jc w:val="left"/>
            </w:pPr>
            <w:r>
              <w:rPr>
                <w:rFonts w:cs="Calibri"/>
                <w:color w:val="2B3942"/>
                <w:sz w:val="19"/>
                <w:szCs w:val="19"/>
              </w:rPr>
              <w:t>Flag state and port of registry</w:t>
            </w:r>
          </w:p>
        </w:tc>
        <w:tc>
          <w:tcPr>
            <w:tcW w:w="3010" w:type="dxa"/>
          </w:tcPr>
          <w:p w14:paraId="12C67588" w14:textId="77777777" w:rsidR="007D4A98" w:rsidRDefault="00000000">
            <w:pPr>
              <w:spacing w:before="30" w:after="30" w:line="264" w:lineRule="auto"/>
              <w:jc w:val="left"/>
            </w:pPr>
            <w:r>
              <w:rPr>
                <w:rFonts w:cs="Calibri"/>
                <w:color w:val="2B3942"/>
                <w:sz w:val="19"/>
                <w:szCs w:val="19"/>
              </w:rPr>
              <w:t>Registry validation</w:t>
            </w:r>
          </w:p>
        </w:tc>
      </w:tr>
      <w:tr w:rsidR="007D4A98" w14:paraId="41B3B028" w14:textId="77777777">
        <w:trPr>
          <w:cantSplit/>
        </w:trPr>
        <w:tc>
          <w:tcPr>
            <w:tcW w:w="3008" w:type="dxa"/>
          </w:tcPr>
          <w:p w14:paraId="6FF5A763" w14:textId="77777777" w:rsidR="007D4A98" w:rsidRDefault="00000000">
            <w:pPr>
              <w:spacing w:before="30" w:after="30" w:line="264" w:lineRule="auto"/>
              <w:jc w:val="left"/>
            </w:pPr>
            <w:r>
              <w:rPr>
                <w:rFonts w:cs="Calibri"/>
                <w:color w:val="2B3942"/>
                <w:sz w:val="19"/>
                <w:szCs w:val="19"/>
              </w:rPr>
              <w:t>4</w:t>
            </w:r>
          </w:p>
        </w:tc>
        <w:tc>
          <w:tcPr>
            <w:tcW w:w="3008" w:type="dxa"/>
          </w:tcPr>
          <w:p w14:paraId="3E237255" w14:textId="77777777" w:rsidR="007D4A98" w:rsidRDefault="00000000">
            <w:pPr>
              <w:spacing w:before="30" w:after="30" w:line="264" w:lineRule="auto"/>
              <w:jc w:val="left"/>
            </w:pPr>
            <w:r>
              <w:rPr>
                <w:rFonts w:cs="Calibri"/>
                <w:color w:val="2B3942"/>
                <w:sz w:val="19"/>
                <w:szCs w:val="19"/>
              </w:rPr>
              <w:t>Vessel class under Annex B</w:t>
            </w:r>
          </w:p>
        </w:tc>
        <w:tc>
          <w:tcPr>
            <w:tcW w:w="3010" w:type="dxa"/>
          </w:tcPr>
          <w:p w14:paraId="70E5F9F9" w14:textId="77777777" w:rsidR="007D4A98" w:rsidRDefault="00000000">
            <w:pPr>
              <w:spacing w:before="30" w:after="30" w:line="264" w:lineRule="auto"/>
              <w:jc w:val="left"/>
            </w:pPr>
            <w:r>
              <w:rPr>
                <w:rFonts w:cs="Calibri"/>
                <w:color w:val="2B3942"/>
                <w:sz w:val="19"/>
                <w:szCs w:val="19"/>
              </w:rPr>
              <w:t>Treatment assignment</w:t>
            </w:r>
          </w:p>
        </w:tc>
      </w:tr>
      <w:tr w:rsidR="007D4A98" w14:paraId="0BEE39C6" w14:textId="77777777">
        <w:trPr>
          <w:cantSplit/>
        </w:trPr>
        <w:tc>
          <w:tcPr>
            <w:tcW w:w="3008" w:type="dxa"/>
          </w:tcPr>
          <w:p w14:paraId="2579BB2F" w14:textId="77777777" w:rsidR="007D4A98" w:rsidRDefault="00000000">
            <w:pPr>
              <w:spacing w:before="30" w:after="30" w:line="264" w:lineRule="auto"/>
              <w:jc w:val="left"/>
            </w:pPr>
            <w:r>
              <w:rPr>
                <w:rFonts w:cs="Calibri"/>
                <w:color w:val="2B3942"/>
                <w:sz w:val="19"/>
                <w:szCs w:val="19"/>
              </w:rPr>
              <w:t>5</w:t>
            </w:r>
          </w:p>
        </w:tc>
        <w:tc>
          <w:tcPr>
            <w:tcW w:w="3008" w:type="dxa"/>
          </w:tcPr>
          <w:p w14:paraId="4A0ECCF2" w14:textId="77777777" w:rsidR="007D4A98" w:rsidRDefault="00000000">
            <w:pPr>
              <w:spacing w:before="30" w:after="30" w:line="264" w:lineRule="auto"/>
              <w:jc w:val="left"/>
            </w:pPr>
            <w:r>
              <w:rPr>
                <w:rFonts w:cs="Calibri"/>
                <w:color w:val="2B3942"/>
                <w:sz w:val="19"/>
                <w:szCs w:val="19"/>
              </w:rPr>
              <w:t>Dimensions and summer draft</w:t>
            </w:r>
          </w:p>
        </w:tc>
        <w:tc>
          <w:tcPr>
            <w:tcW w:w="3010" w:type="dxa"/>
          </w:tcPr>
          <w:p w14:paraId="34D935B5" w14:textId="77777777" w:rsidR="007D4A98" w:rsidRDefault="00000000">
            <w:pPr>
              <w:spacing w:before="30" w:after="30" w:line="264" w:lineRule="auto"/>
              <w:jc w:val="left"/>
            </w:pPr>
            <w:r>
              <w:rPr>
                <w:rFonts w:cs="Calibri"/>
                <w:color w:val="2B3942"/>
                <w:sz w:val="19"/>
                <w:szCs w:val="19"/>
              </w:rPr>
              <w:t>Under-keel clearance management</w:t>
            </w:r>
          </w:p>
        </w:tc>
      </w:tr>
      <w:tr w:rsidR="007D4A98" w14:paraId="4D7C0BBB" w14:textId="77777777">
        <w:trPr>
          <w:cantSplit/>
        </w:trPr>
        <w:tc>
          <w:tcPr>
            <w:tcW w:w="3008" w:type="dxa"/>
          </w:tcPr>
          <w:p w14:paraId="4D2B0C50" w14:textId="77777777" w:rsidR="007D4A98" w:rsidRDefault="00000000">
            <w:pPr>
              <w:spacing w:before="30" w:after="30" w:line="264" w:lineRule="auto"/>
              <w:jc w:val="left"/>
            </w:pPr>
            <w:r>
              <w:rPr>
                <w:rFonts w:cs="Calibri"/>
                <w:color w:val="2B3942"/>
                <w:sz w:val="19"/>
                <w:szCs w:val="19"/>
              </w:rPr>
              <w:lastRenderedPageBreak/>
              <w:t>6</w:t>
            </w:r>
          </w:p>
        </w:tc>
        <w:tc>
          <w:tcPr>
            <w:tcW w:w="3008" w:type="dxa"/>
          </w:tcPr>
          <w:p w14:paraId="0784396D" w14:textId="77777777" w:rsidR="007D4A98" w:rsidRDefault="00000000">
            <w:pPr>
              <w:spacing w:before="30" w:after="30" w:line="264" w:lineRule="auto"/>
              <w:jc w:val="left"/>
            </w:pPr>
            <w:r>
              <w:rPr>
                <w:rFonts w:cs="Calibri"/>
                <w:color w:val="2B3942"/>
                <w:sz w:val="19"/>
                <w:szCs w:val="19"/>
              </w:rPr>
              <w:t>Cargo category: crude oil, gas, products, container, bulk, general, passengers, none</w:t>
            </w:r>
          </w:p>
        </w:tc>
        <w:tc>
          <w:tcPr>
            <w:tcW w:w="3010" w:type="dxa"/>
          </w:tcPr>
          <w:p w14:paraId="769BAE56" w14:textId="77777777" w:rsidR="007D4A98" w:rsidRDefault="00000000">
            <w:pPr>
              <w:spacing w:before="30" w:after="30" w:line="264" w:lineRule="auto"/>
              <w:jc w:val="left"/>
            </w:pPr>
            <w:r>
              <w:rPr>
                <w:rFonts w:cs="Calibri"/>
                <w:color w:val="2B3942"/>
                <w:sz w:val="19"/>
                <w:szCs w:val="19"/>
              </w:rPr>
              <w:t>Stream and risk management</w:t>
            </w:r>
          </w:p>
        </w:tc>
      </w:tr>
      <w:tr w:rsidR="007D4A98" w14:paraId="2B27FE3E" w14:textId="77777777">
        <w:trPr>
          <w:cantSplit/>
        </w:trPr>
        <w:tc>
          <w:tcPr>
            <w:tcW w:w="3008" w:type="dxa"/>
          </w:tcPr>
          <w:p w14:paraId="2ADAF3C1" w14:textId="77777777" w:rsidR="007D4A98" w:rsidRDefault="00000000">
            <w:pPr>
              <w:spacing w:before="30" w:after="30" w:line="264" w:lineRule="auto"/>
              <w:jc w:val="left"/>
            </w:pPr>
            <w:r>
              <w:rPr>
                <w:rFonts w:cs="Calibri"/>
                <w:color w:val="2B3942"/>
                <w:sz w:val="19"/>
                <w:szCs w:val="19"/>
              </w:rPr>
              <w:t>7</w:t>
            </w:r>
          </w:p>
        </w:tc>
        <w:tc>
          <w:tcPr>
            <w:tcW w:w="3008" w:type="dxa"/>
          </w:tcPr>
          <w:p w14:paraId="2CC5FF64" w14:textId="77777777" w:rsidR="007D4A98" w:rsidRDefault="00000000">
            <w:pPr>
              <w:spacing w:before="30" w:after="30" w:line="264" w:lineRule="auto"/>
              <w:jc w:val="left"/>
            </w:pPr>
            <w:r>
              <w:rPr>
                <w:rFonts w:cs="Calibri"/>
                <w:color w:val="2B3942"/>
                <w:sz w:val="19"/>
                <w:szCs w:val="19"/>
              </w:rPr>
              <w:t>Last port and next port with the standard location codes</w:t>
            </w:r>
          </w:p>
        </w:tc>
        <w:tc>
          <w:tcPr>
            <w:tcW w:w="3010" w:type="dxa"/>
          </w:tcPr>
          <w:p w14:paraId="42E375B8" w14:textId="77777777" w:rsidR="007D4A98" w:rsidRDefault="00000000">
            <w:pPr>
              <w:spacing w:before="30" w:after="30" w:line="264" w:lineRule="auto"/>
              <w:jc w:val="left"/>
            </w:pPr>
            <w:r>
              <w:rPr>
                <w:rFonts w:cs="Calibri"/>
                <w:color w:val="2B3942"/>
                <w:sz w:val="19"/>
                <w:szCs w:val="19"/>
              </w:rPr>
              <w:t>Voyage recording</w:t>
            </w:r>
          </w:p>
        </w:tc>
      </w:tr>
      <w:tr w:rsidR="007D4A98" w14:paraId="1AC8B01F" w14:textId="77777777">
        <w:trPr>
          <w:cantSplit/>
        </w:trPr>
        <w:tc>
          <w:tcPr>
            <w:tcW w:w="3008" w:type="dxa"/>
          </w:tcPr>
          <w:p w14:paraId="385167AA" w14:textId="77777777" w:rsidR="007D4A98" w:rsidRDefault="00000000">
            <w:pPr>
              <w:spacing w:before="30" w:after="30" w:line="264" w:lineRule="auto"/>
              <w:jc w:val="left"/>
            </w:pPr>
            <w:r>
              <w:rPr>
                <w:rFonts w:cs="Calibri"/>
                <w:color w:val="2B3942"/>
                <w:sz w:val="19"/>
                <w:szCs w:val="19"/>
              </w:rPr>
              <w:t>8</w:t>
            </w:r>
          </w:p>
        </w:tc>
        <w:tc>
          <w:tcPr>
            <w:tcW w:w="3008" w:type="dxa"/>
          </w:tcPr>
          <w:p w14:paraId="2602C81D" w14:textId="77777777" w:rsidR="007D4A98" w:rsidRDefault="00000000">
            <w:pPr>
              <w:spacing w:before="30" w:after="30" w:line="264" w:lineRule="auto"/>
              <w:jc w:val="left"/>
            </w:pPr>
            <w:r>
              <w:rPr>
                <w:rFonts w:cs="Calibri"/>
                <w:color w:val="2B3942"/>
                <w:sz w:val="19"/>
                <w:szCs w:val="19"/>
              </w:rPr>
              <w:t>Estimated time of arrival at the entry reporting point</w:t>
            </w:r>
          </w:p>
        </w:tc>
        <w:tc>
          <w:tcPr>
            <w:tcW w:w="3010" w:type="dxa"/>
          </w:tcPr>
          <w:p w14:paraId="53C3D4D4" w14:textId="77777777" w:rsidR="007D4A98" w:rsidRDefault="00000000">
            <w:pPr>
              <w:spacing w:before="30" w:after="30" w:line="264" w:lineRule="auto"/>
              <w:jc w:val="left"/>
            </w:pPr>
            <w:r>
              <w:rPr>
                <w:rFonts w:cs="Calibri"/>
                <w:color w:val="2B3942"/>
                <w:sz w:val="19"/>
                <w:szCs w:val="19"/>
              </w:rPr>
              <w:t>Spacing and stream scheduling</w:t>
            </w:r>
          </w:p>
        </w:tc>
      </w:tr>
      <w:tr w:rsidR="007D4A98" w14:paraId="1DBC48CE" w14:textId="77777777">
        <w:trPr>
          <w:cantSplit/>
        </w:trPr>
        <w:tc>
          <w:tcPr>
            <w:tcW w:w="3008" w:type="dxa"/>
          </w:tcPr>
          <w:p w14:paraId="20194658" w14:textId="77777777" w:rsidR="007D4A98" w:rsidRDefault="00000000">
            <w:pPr>
              <w:spacing w:before="30" w:after="30" w:line="264" w:lineRule="auto"/>
              <w:jc w:val="left"/>
            </w:pPr>
            <w:r>
              <w:rPr>
                <w:rFonts w:cs="Calibri"/>
                <w:color w:val="2B3942"/>
                <w:sz w:val="19"/>
                <w:szCs w:val="19"/>
              </w:rPr>
              <w:t>9</w:t>
            </w:r>
          </w:p>
        </w:tc>
        <w:tc>
          <w:tcPr>
            <w:tcW w:w="3008" w:type="dxa"/>
          </w:tcPr>
          <w:p w14:paraId="04AC5079" w14:textId="77777777" w:rsidR="007D4A98" w:rsidRDefault="00000000">
            <w:pPr>
              <w:spacing w:before="30" w:after="30" w:line="264" w:lineRule="auto"/>
              <w:jc w:val="left"/>
            </w:pPr>
            <w:r>
              <w:rPr>
                <w:rFonts w:cs="Calibri"/>
                <w:color w:val="2B3942"/>
                <w:sz w:val="19"/>
                <w:szCs w:val="19"/>
              </w:rPr>
              <w:t>Planned speed range</w:t>
            </w:r>
          </w:p>
        </w:tc>
        <w:tc>
          <w:tcPr>
            <w:tcW w:w="3010" w:type="dxa"/>
          </w:tcPr>
          <w:p w14:paraId="6197F5C4" w14:textId="77777777" w:rsidR="007D4A98" w:rsidRDefault="00000000">
            <w:pPr>
              <w:spacing w:before="30" w:after="30" w:line="264" w:lineRule="auto"/>
              <w:jc w:val="left"/>
            </w:pPr>
            <w:r>
              <w:rPr>
                <w:rFonts w:cs="Calibri"/>
                <w:color w:val="2B3942"/>
                <w:sz w:val="19"/>
                <w:szCs w:val="19"/>
              </w:rPr>
              <w:t>Traffic management</w:t>
            </w:r>
          </w:p>
        </w:tc>
      </w:tr>
      <w:tr w:rsidR="007D4A98" w14:paraId="0AFFDA60" w14:textId="77777777">
        <w:trPr>
          <w:cantSplit/>
        </w:trPr>
        <w:tc>
          <w:tcPr>
            <w:tcW w:w="3008" w:type="dxa"/>
          </w:tcPr>
          <w:p w14:paraId="5B41D030" w14:textId="77777777" w:rsidR="007D4A98" w:rsidRDefault="00000000">
            <w:pPr>
              <w:spacing w:before="30" w:after="30" w:line="264" w:lineRule="auto"/>
              <w:jc w:val="left"/>
            </w:pPr>
            <w:r>
              <w:rPr>
                <w:rFonts w:cs="Calibri"/>
                <w:color w:val="2B3942"/>
                <w:sz w:val="19"/>
                <w:szCs w:val="19"/>
              </w:rPr>
              <w:t>10</w:t>
            </w:r>
          </w:p>
        </w:tc>
        <w:tc>
          <w:tcPr>
            <w:tcW w:w="3008" w:type="dxa"/>
          </w:tcPr>
          <w:p w14:paraId="06DCBAFA" w14:textId="77777777" w:rsidR="007D4A98" w:rsidRDefault="00000000">
            <w:pPr>
              <w:spacing w:before="30" w:after="30" w:line="264" w:lineRule="auto"/>
              <w:jc w:val="left"/>
            </w:pPr>
            <w:r>
              <w:rPr>
                <w:rFonts w:cs="Calibri"/>
                <w:color w:val="2B3942"/>
                <w:sz w:val="19"/>
                <w:szCs w:val="19"/>
              </w:rPr>
              <w:t>Operator and twenty-four (24) hour contact</w:t>
            </w:r>
          </w:p>
        </w:tc>
        <w:tc>
          <w:tcPr>
            <w:tcW w:w="3010" w:type="dxa"/>
          </w:tcPr>
          <w:p w14:paraId="5CFDADC2" w14:textId="77777777" w:rsidR="007D4A98" w:rsidRDefault="00000000">
            <w:pPr>
              <w:spacing w:before="30" w:after="30" w:line="264" w:lineRule="auto"/>
              <w:jc w:val="left"/>
            </w:pPr>
            <w:r>
              <w:rPr>
                <w:rFonts w:cs="Calibri"/>
                <w:color w:val="2B3942"/>
                <w:sz w:val="19"/>
                <w:szCs w:val="19"/>
              </w:rPr>
              <w:t>Communication</w:t>
            </w:r>
          </w:p>
        </w:tc>
      </w:tr>
      <w:tr w:rsidR="007D4A98" w14:paraId="34B46384" w14:textId="77777777">
        <w:trPr>
          <w:cantSplit/>
        </w:trPr>
        <w:tc>
          <w:tcPr>
            <w:tcW w:w="3008" w:type="dxa"/>
          </w:tcPr>
          <w:p w14:paraId="146941C3" w14:textId="77777777" w:rsidR="007D4A98" w:rsidRDefault="00000000">
            <w:pPr>
              <w:spacing w:before="30" w:after="30" w:line="264" w:lineRule="auto"/>
              <w:jc w:val="left"/>
            </w:pPr>
            <w:r>
              <w:rPr>
                <w:rFonts w:cs="Calibri"/>
                <w:color w:val="2B3942"/>
                <w:sz w:val="19"/>
                <w:szCs w:val="19"/>
              </w:rPr>
              <w:t>11</w:t>
            </w:r>
          </w:p>
        </w:tc>
        <w:tc>
          <w:tcPr>
            <w:tcW w:w="3008" w:type="dxa"/>
          </w:tcPr>
          <w:p w14:paraId="250C81C0" w14:textId="77777777" w:rsidR="007D4A98" w:rsidRDefault="00000000">
            <w:pPr>
              <w:spacing w:before="30" w:after="30" w:line="264" w:lineRule="auto"/>
              <w:jc w:val="left"/>
            </w:pPr>
            <w:r>
              <w:rPr>
                <w:rFonts w:cs="Calibri"/>
                <w:color w:val="2B3942"/>
                <w:sz w:val="19"/>
                <w:szCs w:val="19"/>
              </w:rPr>
              <w:t>Protection and indemnity club entry</w:t>
            </w:r>
          </w:p>
        </w:tc>
        <w:tc>
          <w:tcPr>
            <w:tcW w:w="3010" w:type="dxa"/>
          </w:tcPr>
          <w:p w14:paraId="6BDA6728" w14:textId="77777777" w:rsidR="007D4A98" w:rsidRDefault="00000000">
            <w:pPr>
              <w:spacing w:before="30" w:after="30" w:line="264" w:lineRule="auto"/>
              <w:jc w:val="left"/>
            </w:pPr>
            <w:r>
              <w:rPr>
                <w:rFonts w:cs="Calibri"/>
                <w:color w:val="2B3942"/>
                <w:sz w:val="19"/>
                <w:szCs w:val="19"/>
              </w:rPr>
              <w:t>Registry data quality</w:t>
            </w:r>
          </w:p>
        </w:tc>
      </w:tr>
      <w:tr w:rsidR="007D4A98" w14:paraId="4D83718E" w14:textId="77777777">
        <w:trPr>
          <w:cantSplit/>
        </w:trPr>
        <w:tc>
          <w:tcPr>
            <w:tcW w:w="3008" w:type="dxa"/>
          </w:tcPr>
          <w:p w14:paraId="075A8DB5" w14:textId="77777777" w:rsidR="007D4A98" w:rsidRDefault="00000000">
            <w:pPr>
              <w:spacing w:before="30" w:after="30" w:line="264" w:lineRule="auto"/>
              <w:jc w:val="left"/>
            </w:pPr>
            <w:r>
              <w:rPr>
                <w:rFonts w:cs="Calibri"/>
                <w:color w:val="2B3942"/>
                <w:sz w:val="19"/>
                <w:szCs w:val="19"/>
              </w:rPr>
              <w:t>12</w:t>
            </w:r>
          </w:p>
        </w:tc>
        <w:tc>
          <w:tcPr>
            <w:tcW w:w="3008" w:type="dxa"/>
          </w:tcPr>
          <w:p w14:paraId="37FB088F" w14:textId="77777777" w:rsidR="007D4A98" w:rsidRDefault="00000000">
            <w:pPr>
              <w:spacing w:before="30" w:after="30" w:line="264" w:lineRule="auto"/>
              <w:jc w:val="left"/>
            </w:pPr>
            <w:r>
              <w:rPr>
                <w:rFonts w:cs="Calibri"/>
                <w:color w:val="2B3942"/>
                <w:sz w:val="19"/>
                <w:szCs w:val="19"/>
              </w:rPr>
              <w:t>Safe Registry status, where held</w:t>
            </w:r>
          </w:p>
        </w:tc>
        <w:tc>
          <w:tcPr>
            <w:tcW w:w="3010" w:type="dxa"/>
          </w:tcPr>
          <w:p w14:paraId="34842B72" w14:textId="77777777" w:rsidR="007D4A98" w:rsidRDefault="00000000">
            <w:pPr>
              <w:spacing w:before="30" w:after="30" w:line="264" w:lineRule="auto"/>
              <w:jc w:val="left"/>
            </w:pPr>
            <w:r>
              <w:rPr>
                <w:rFonts w:cs="Calibri"/>
                <w:color w:val="2B3942"/>
                <w:sz w:val="19"/>
                <w:szCs w:val="19"/>
              </w:rPr>
              <w:t>Documentary service</w:t>
            </w:r>
          </w:p>
        </w:tc>
      </w:tr>
    </w:tbl>
    <w:p w14:paraId="46A836D1" w14:textId="77777777" w:rsidR="007D4A98" w:rsidRDefault="007D4A98"/>
    <w:p w14:paraId="3E4BCEC9" w14:textId="77777777" w:rsidR="007D4A98" w:rsidRDefault="00000000">
      <w:pPr>
        <w:pStyle w:val="Heading3"/>
      </w:pPr>
      <w:r>
        <w:rPr>
          <w:rFonts w:cs="Calibri"/>
          <w:szCs w:val="25"/>
        </w:rPr>
        <w:t>C.2 Acknowledgment and the Transit Record Number</w:t>
      </w:r>
    </w:p>
    <w:p w14:paraId="7D48CD35" w14:textId="77777777" w:rsidR="007D4A98" w:rsidRDefault="00000000">
      <w:r>
        <w:rPr>
          <w:rFonts w:cs="Calibri"/>
          <w:szCs w:val="23"/>
        </w:rPr>
        <w:t xml:space="preserve">The Center validates the notification against the registry, assigns the transit record number of Article 7.3, and returns the acknowledgment within thirty (30) minutes of receipt. The acknowledgment confirms receipt, data integrity, and the assigned reporting points; it grants nothing, conditions nothing, and delays nothing. A vessel whose notification contains a data error receives a correction request identifying the </w:t>
      </w:r>
      <w:proofErr w:type="gramStart"/>
      <w:r>
        <w:rPr>
          <w:rFonts w:cs="Calibri"/>
          <w:szCs w:val="23"/>
        </w:rPr>
        <w:t>field, and</w:t>
      </w:r>
      <w:proofErr w:type="gramEnd"/>
      <w:r>
        <w:rPr>
          <w:rFonts w:cs="Calibri"/>
          <w:szCs w:val="23"/>
        </w:rPr>
        <w:t xml:space="preserve"> corrects underway.</w:t>
      </w:r>
    </w:p>
    <w:p w14:paraId="6CF56270" w14:textId="77777777" w:rsidR="007D4A98" w:rsidRDefault="00000000">
      <w:pPr>
        <w:pStyle w:val="Heading3"/>
      </w:pPr>
      <w:r>
        <w:rPr>
          <w:rFonts w:cs="Calibri"/>
          <w:szCs w:val="25"/>
        </w:rPr>
        <w:t>C.3 Amendment and Cancellation</w:t>
      </w:r>
    </w:p>
    <w:p w14:paraId="1CCE4A04" w14:textId="77777777" w:rsidR="007D4A98" w:rsidRDefault="00000000">
      <w:r>
        <w:rPr>
          <w:rFonts w:cs="Calibri"/>
          <w:szCs w:val="23"/>
        </w:rPr>
        <w:t>A vessel amends its notification at any time before the entry reporting point by the same channel, and the Center confirms the amendment within fifteen (15) minutes. A vessel that abandons a planned transit cancels the notification, and the record closes without consequence. Notification records retain under the data custody rule, and a vessel's own record is available to its operator on request.</w:t>
      </w:r>
    </w:p>
    <w:p w14:paraId="30FA4183" w14:textId="77777777" w:rsidR="007D4A98" w:rsidRDefault="00000000">
      <w:pPr>
        <w:pStyle w:val="Heading3"/>
      </w:pPr>
      <w:r>
        <w:rPr>
          <w:rFonts w:cs="Calibri"/>
          <w:szCs w:val="25"/>
        </w:rPr>
        <w:t>C.4 The Non-Notification Ladder</w:t>
      </w:r>
    </w:p>
    <w:p w14:paraId="0BB01210" w14:textId="77777777" w:rsidR="007D4A98" w:rsidRDefault="00000000">
      <w:r>
        <w:rPr>
          <w:rFonts w:cs="Calibri"/>
          <w:szCs w:val="23"/>
        </w:rPr>
        <w:t>A vessel approaching Corridor B without a notification encounters a fixed ladder. Step one: an information hail on the hailing channel, identifying the vessel and inviting notification underway. Step two: escorted continuation by the duty patrol craft while the vessel completes the notification. Step three, persistent refusal: direction to a holding anchorage under the traffic management rules, with the flag state informed through the reporting channel of Annex G. The ladder excludes stopping, boarding, seizure, and force; it manages information, never people.</w:t>
      </w:r>
    </w:p>
    <w:p w14:paraId="7CB1B09F" w14:textId="77777777" w:rsidR="007D4A98" w:rsidRDefault="00000000">
      <w:pPr>
        <w:pStyle w:val="Heading3"/>
      </w:pPr>
      <w:r>
        <w:rPr>
          <w:rFonts w:cs="Calibri"/>
          <w:szCs w:val="25"/>
        </w:rPr>
        <w:lastRenderedPageBreak/>
        <w:t>C.5 Voluntary Voyage Recording for Corridor A</w:t>
      </w:r>
    </w:p>
    <w:p w14:paraId="47D1C889" w14:textId="77777777" w:rsidR="007D4A98" w:rsidRDefault="00000000">
      <w:r>
        <w:rPr>
          <w:rFonts w:cs="Calibri"/>
          <w:szCs w:val="23"/>
        </w:rPr>
        <w:t>A vessel transiting Corridor A files a voluntary voyage record in the same form, receiving the same transit record number and the same documentary benefits. Roughly all major operators file, because insurers read the record; the service exists for that reason, and its voluntary character is a design feature, not an oversight.</w:t>
      </w:r>
    </w:p>
    <w:p w14:paraId="56070483" w14:textId="77777777" w:rsidR="007D4A98" w:rsidRDefault="00000000">
      <w:pPr>
        <w:pStyle w:val="Heading3"/>
      </w:pPr>
      <w:r>
        <w:rPr>
          <w:rFonts w:cs="Calibri"/>
          <w:szCs w:val="25"/>
        </w:rPr>
        <w:t>C.6 Data Protection</w:t>
      </w:r>
    </w:p>
    <w:p w14:paraId="66450023" w14:textId="77777777" w:rsidR="007D4A98" w:rsidRDefault="00000000">
      <w:r>
        <w:rPr>
          <w:rFonts w:cs="Calibri"/>
          <w:szCs w:val="23"/>
        </w:rPr>
        <w:t>Notification data enters the commercial confidentiality class of Annex O: used for safety management, published only as aggregate statistics, and available in identifiable form to the vessel's operator, flag state, and insurers holding a data subscription for that vessel. The architecture excludes any other disclosure.</w:t>
      </w:r>
    </w:p>
    <w:p w14:paraId="002323CC" w14:textId="77777777" w:rsidR="007D4A98" w:rsidRDefault="00000000">
      <w:pPr>
        <w:pStyle w:val="Heading2"/>
      </w:pPr>
      <w:bookmarkStart w:id="100" w:name="_Toc1051"/>
      <w:bookmarkStart w:id="101" w:name="_Toc235667482"/>
      <w:r>
        <w:rPr>
          <w:rFonts w:cs="Cambria"/>
          <w:szCs w:val="30"/>
        </w:rPr>
        <w:t>Annex D: Trust Fund Operating Procedures</w:t>
      </w:r>
      <w:bookmarkEnd w:id="100"/>
      <w:bookmarkEnd w:id="101"/>
    </w:p>
    <w:p w14:paraId="5F20FDDB" w14:textId="77777777" w:rsidR="007D4A98" w:rsidRDefault="00000000">
      <w:r>
        <w:rPr>
          <w:rFonts w:cs="Calibri"/>
          <w:szCs w:val="23"/>
        </w:rPr>
        <w:t>This annex fixes the operating procedures of the Hormuz Maritime Services Trust Fund established under Article 18: accounts, contribution machinery, reimbursement machinery, reserves, audit, and the sanctions compliance register.</w:t>
      </w:r>
    </w:p>
    <w:p w14:paraId="0FB7B5F8" w14:textId="77777777" w:rsidR="007D4A98" w:rsidRDefault="00000000">
      <w:pPr>
        <w:pStyle w:val="Heading3"/>
      </w:pPr>
      <w:r>
        <w:rPr>
          <w:rFonts w:cs="Calibri"/>
          <w:szCs w:val="25"/>
        </w:rPr>
        <w:t>D.1 Accounts Structure</w:t>
      </w:r>
    </w:p>
    <w:p w14:paraId="15CCB32D" w14:textId="77777777" w:rsidR="007D4A98" w:rsidRDefault="00000000">
      <w:r>
        <w:rPr>
          <w:rFonts w:cs="Calibri"/>
          <w:szCs w:val="23"/>
        </w:rPr>
        <w:t>The Trustee operates five segregated accounts at the Central Bank of Oman in the name of the Fund: the Contribution Account, receiving all contribution streams; the Operating Account, funding the approved budget; the Reimbursement Account, settling service invoices; the Reserve Account, holding the operating and environmental reserves; and the Suspense Account, holding paused flows under Article 29. Transfers between accounts follow the budget and the reimbursement cycle, and every transfer appears on the dashboard with its authority reference.</w:t>
      </w:r>
    </w:p>
    <w:p w14:paraId="69029525" w14:textId="77777777" w:rsidR="007D4A98" w:rsidRDefault="00000000">
      <w:pPr>
        <w:pStyle w:val="Heading3"/>
      </w:pPr>
      <w:r>
        <w:rPr>
          <w:rFonts w:cs="Calibri"/>
          <w:szCs w:val="25"/>
        </w:rPr>
        <w:lastRenderedPageBreak/>
        <w:t>D.2 Contribution Schedule and Invoicing</w:t>
      </w:r>
    </w:p>
    <w:p w14:paraId="23209771" w14:textId="77777777" w:rsidR="007D4A98" w:rsidRDefault="00000000">
      <w:r>
        <w:rPr>
          <w:rFonts w:cs="Calibri"/>
          <w:szCs w:val="23"/>
        </w:rPr>
        <w:t xml:space="preserve">The Administrator issues contribution invoices annually in the first quarter, against the assessment formula of Article 19.2 and the funding target of the adopted budget. The founding funding target stands in Annex P. Contributors settle within sixty (60) days of invoice, in United States dollars or in the convertible currencies the Trustee accepts under its published schedule. The assessment formula: contributor share equals the contributor's aggregate annual transit tonnage divided by the aggregate annual transit tonnage of all participants, multiplied by the funding target, with a minimum participation floor for small users and a cap protecting any single contributor from more than twenty (20) percent of the target. The Administrator recalculates annually from the Center's traffic </w:t>
      </w:r>
      <w:proofErr w:type="gramStart"/>
      <w:r>
        <w:rPr>
          <w:rFonts w:cs="Calibri"/>
          <w:szCs w:val="23"/>
        </w:rPr>
        <w:t>record, and</w:t>
      </w:r>
      <w:proofErr w:type="gramEnd"/>
      <w:r>
        <w:rPr>
          <w:rFonts w:cs="Calibri"/>
          <w:szCs w:val="23"/>
        </w:rPr>
        <w:t xml:space="preserve"> publishes the worksheet with each invoice.</w:t>
      </w:r>
    </w:p>
    <w:p w14:paraId="345E8C37" w14:textId="77777777" w:rsidR="007D4A98" w:rsidRDefault="00000000">
      <w:pPr>
        <w:pStyle w:val="Heading3"/>
      </w:pPr>
      <w:r>
        <w:rPr>
          <w:rFonts w:cs="Calibri"/>
          <w:szCs w:val="25"/>
        </w:rPr>
        <w:t>D.3 The Reimbursement Cycle</w:t>
      </w:r>
    </w:p>
    <w:p w14:paraId="2A35DC5E" w14:textId="77777777" w:rsidR="007D4A98" w:rsidRDefault="00000000">
      <w:r>
        <w:rPr>
          <w:rFonts w:cs="Calibri"/>
          <w:szCs w:val="23"/>
        </w:rPr>
        <w:t>The reimbursement cycle runs quarterly on a fixed calendar: invoice submission by day fifteen (15) of the quarter close; Administrator reconciliation by day thirty (30); Auditor verification by day forty-five (45); Trustee payment by day sixty (60). Each invoice line references the operational record: session logs for traffic service, signed delivery records for pilotage and tug assistance, patrol logs for escort and standby, survey reports for hydrography, and monitoring data for environmental services. A line without its record returns for completion, and the dashboard shows every line's status in real time.</w:t>
      </w:r>
    </w:p>
    <w:p w14:paraId="6F53D970" w14:textId="77777777" w:rsidR="007D4A98" w:rsidRDefault="00000000">
      <w:pPr>
        <w:pStyle w:val="Heading3"/>
      </w:pPr>
      <w:r>
        <w:rPr>
          <w:rFonts w:cs="Calibri"/>
          <w:szCs w:val="25"/>
        </w:rPr>
        <w:t>D.4 Reserves and Investment</w:t>
      </w:r>
    </w:p>
    <w:p w14:paraId="7EC98EFA" w14:textId="77777777" w:rsidR="007D4A98" w:rsidRDefault="00000000">
      <w:r>
        <w:rPr>
          <w:rFonts w:cs="Calibri"/>
          <w:szCs w:val="23"/>
        </w:rPr>
        <w:t>The operating reserve targets six (6) months of budgeted operating cost and builds over the first three budget years. The environmental response reserve stands at twenty (20) million dollars from the founding advances and replenishes from the budget after any drawdown. Reserve investment follows the conservative mandate: sovereign and supranational instruments of investment grade, maximum duration of two (2) years, no currency exposure outside the Fund's settlement currencies, and no instrument issued by any entity under a sanctions instrument of the register of Section D.8.</w:t>
      </w:r>
    </w:p>
    <w:p w14:paraId="157EFF3D" w14:textId="77777777" w:rsidR="007D4A98" w:rsidRDefault="00000000">
      <w:pPr>
        <w:pStyle w:val="Heading3"/>
      </w:pPr>
      <w:r>
        <w:rPr>
          <w:rFonts w:cs="Calibri"/>
          <w:szCs w:val="25"/>
        </w:rPr>
        <w:lastRenderedPageBreak/>
        <w:t>D.5 Founding Advances</w:t>
      </w:r>
    </w:p>
    <w:p w14:paraId="441288B9" w14:textId="77777777" w:rsidR="007D4A98" w:rsidRDefault="00000000">
      <w:r>
        <w:rPr>
          <w:rFonts w:cs="Calibri"/>
          <w:szCs w:val="23"/>
        </w:rPr>
        <w:t>The Parties advance the founding budget in equal shares under Article 22.3, booked as recoverable advances. Contributions in kind, meaning infrastructure, vessels, and staff delivered to the architecture, value at audited cost and credit against a Party's advance share. Advances repay from the Fund's surplus after the reserves reach target, in equal shares, without interest, over a schedule not exceeding five (5) years. The repayment schedule publishes with the annual accounts.</w:t>
      </w:r>
    </w:p>
    <w:p w14:paraId="1613F894" w14:textId="77777777" w:rsidR="007D4A98" w:rsidRDefault="00000000">
      <w:pPr>
        <w:pStyle w:val="Heading3"/>
      </w:pPr>
      <w:r>
        <w:rPr>
          <w:rFonts w:cs="Calibri"/>
          <w:szCs w:val="25"/>
        </w:rPr>
        <w:t>D.6 Audit Mandate</w:t>
      </w:r>
    </w:p>
    <w:p w14:paraId="1733F14D" w14:textId="77777777" w:rsidR="007D4A98" w:rsidRDefault="00000000">
      <w:r>
        <w:rPr>
          <w:rFonts w:cs="Calibri"/>
          <w:szCs w:val="23"/>
        </w:rPr>
        <w:t>The Auditor's mandate covers: quarterly verification audits of the reimbursement cycle; the annual systems audit of the Fund, the budget, and the boundary rule of Article 17.2; the parity audit of Section 14.3; and the firewall certificate of Article 21.3. The Auditor holds unrestricted access to Fund records, service provider invoices, and the operational records of the Center, and reports to the Governing Board and the Stakeholder Council simultaneously. The standing shortlist rotates among international firms of recognized standing, appointed for four (4) year mandates, non-renewable consecutively.</w:t>
      </w:r>
    </w:p>
    <w:p w14:paraId="3EBCDEE7" w14:textId="77777777" w:rsidR="007D4A98" w:rsidRDefault="00000000">
      <w:pPr>
        <w:pStyle w:val="Heading3"/>
      </w:pPr>
      <w:r>
        <w:rPr>
          <w:rFonts w:cs="Calibri"/>
          <w:szCs w:val="25"/>
        </w:rPr>
        <w:t>D.7 Suspense Account Operations</w:t>
      </w:r>
    </w:p>
    <w:p w14:paraId="6EC02C24" w14:textId="77777777" w:rsidR="007D4A98" w:rsidRDefault="00000000">
      <w:r>
        <w:rPr>
          <w:rFonts w:cs="Calibri"/>
          <w:szCs w:val="23"/>
        </w:rPr>
        <w:t>The Suspense Account holds flows paused under Article 29.3. Amounts in suspense remain the property of their destination, earn investment income under the reserve mandate, and release automatically on the restoration certificate. No organ of the Authority touches suspense balances for any other purpose, and the account's statement publishes monthly.</w:t>
      </w:r>
    </w:p>
    <w:p>
      <w:pPr>
        <w:pStyle w:val="Heading3"/>
      </w:pPr>
      <w:r>
        <w:rPr>
          <w:rFonts w:cs="Calibri" w:ascii="Calibri" w:hAnsi="Calibri" w:eastAsia="Calibri"/>
          <w:szCs w:val="25"/>
          <w:lang w:val="en-CA" w:eastAsia="en-CA" w:bidi="ar-SA"/>
          <w:b/>
          <w:color w:val="8A6D2F"/>
          <w:sz w:val="25"/>
        </w:rPr>
        <w:t>D.8 The Sanctions Compliance Register</w:t>
      </w:r>
    </w:p>
    <w:p>
      <w:pPr>
        <w:pStyle w:val="Normal"/>
      </w:pPr>
      <w:r>
        <w:rPr>
          <w:rFonts w:cs="Calibri" w:ascii="Calibri" w:hAnsi="Calibri" w:eastAsia="Calibri"/>
          <w:szCs w:val="23"/>
          <w:lang w:val="en-CA" w:eastAsia="en-CA" w:bidi="ar-SA"/>
          <w:color w:val="212B32"/>
          <w:sz w:val="23"/>
        </w:rPr>
        <w:t>The compliance review desk maintains the register of sanctions instruments relevant to the firewall of Article 21.3: the counterterrorism and nonproliferation instruments of the United States, the restrictive measures of the European Union and the United Kingdom touching the Parties, and the relevant resolutions of the United Nations Security Council. The register records each instrument, its relevance to each Fund flow, the structural feature of the firewall that addresses it, and the date of the last legal review. The register updates within thirty (30) days of any change, and the annual external legal opinion publishes with the firewall certificate.</w:t>
      </w:r>
    </w:p>
    <w:p>
      <w:pPr>
        <w:pStyle w:val="Heading2"/>
      </w:pPr>
      <w:bookmarkStart w:id="102" w:name="_Toc1052"/>
      <w:bookmarkStart w:id="103" w:name="_Toc235667483"/>
      <w:r>
        <w:rPr>
          <w:szCs w:val="30"/>
          <w:lang w:val="en-CA" w:eastAsia="en-CA" w:bidi="ar-SA"/>
          <w:color w:val="212B32"/>
          <w:rFonts w:ascii="Cambria" w:hAnsi="Cambria" w:eastAsia="Cambria" w:cs="Cambria"/>
          <w:b/>
          <w:sz w:val="30"/>
        </w:rPr>
        <w:t>Annex E: Services Catalog and Reimbursement Rate Schedule</w:t>
      </w:r>
      <w:bookmarkEnd w:id="102"/>
      <w:bookmarkEnd w:id="103"/>
    </w:p>
    <w:p>
      <w:pPr>
        <w:pStyle w:val="Normal"/>
      </w:pPr>
      <w:r>
        <w:rPr>
          <w:rFonts w:cs="Calibri" w:ascii="Calibri" w:hAnsi="Calibri" w:eastAsia="Calibri"/>
          <w:szCs w:val="23"/>
          <w:lang w:val="en-CA" w:eastAsia="en-CA" w:bidi="ar-SA"/>
          <w:color w:val="212B32"/>
          <w:sz w:val="23"/>
        </w:rPr>
        <w:t>This annex fixes the Services Catalog of Article 20: the services the Parties deliver through the architecture, their delivery standards, their documentation requirements, and their pre-published rates. Rates price cost recovery with a margin capped at ten (10) percent under Article 20.3, benchmarked against comparable waterways in the annual benchmarking study.</w:t>
      </w:r>
    </w:p>
    <w:p>
      <w:pPr>
        <w:pStyle w:val="Heading3"/>
      </w:pPr>
      <w:r>
        <w:rPr>
          <w:rFonts w:cs="Calibri" w:ascii="Calibri" w:hAnsi="Calibri" w:eastAsia="Calibri"/>
          <w:szCs w:val="25"/>
          <w:lang w:val="en-CA" w:eastAsia="en-CA" w:bidi="ar-SA"/>
          <w:b/>
          <w:color w:val="8A6D2F"/>
          <w:sz w:val="25"/>
        </w:rPr>
        <w:t>E.1 Standing Services</w:t>
      </w:r>
    </w:p>
    <w:p>
      <w:pPr>
        <w:pStyle w:val="Normal"/>
      </w:pPr>
      <w:r>
        <w:rPr>
          <w:rFonts w:cs="Calibri" w:ascii="Calibri" w:hAnsi="Calibri" w:eastAsia="Calibri"/>
          <w:szCs w:val="23"/>
          <w:lang w:val="en-CA" w:eastAsia="en-CA" w:bidi="ar-SA"/>
          <w:color w:val="212B32"/>
          <w:sz w:val="23"/>
        </w:rPr>
        <w:t>Standing services run continuously for the shipping community as a whole and draw reimbursement from the Fund against the operational record, with no transaction with any vessel.</w:t>
      </w:r>
    </w:p>
    <w:p>
      <w:pPr>
        <w:pStyle w:val="Normal"/>
        <w:spacing w:before="120" w:after="0"/>
      </w:pPr>
    </w:p>
    <w:tbl>
      <w:tblPr>
        <w:tblStyle w:val="TableNormal"/>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2306"/>
        <w:gridCol w:w="2306"/>
        <w:gridCol w:w="2306"/>
        <w:gridCol w:w="2308"/>
      </w:tblGrid>
      <w:tr>
        <w:trPr>
          <w:cantSplit w:val="1"/>
          <w:tblHeader w:val="1"/>
        </w:trPr>
        <w:tc>
          <w:tcPr>
            <w:tcW w:w="2306"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Service</w:t>
            </w:r>
          </w:p>
        </w:tc>
        <w:tc>
          <w:tcPr>
            <w:tcW w:w="2306"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Delivery Standard</w:t>
            </w:r>
          </w:p>
        </w:tc>
        <w:tc>
          <w:tcPr>
            <w:tcW w:w="2306"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Documentation</w:t>
            </w:r>
          </w:p>
        </w:tc>
        <w:tc>
          <w:tcPr>
            <w:tcW w:w="2308"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Indicative Annual Reimbursement Basis</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Vessel traffic service operation</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Continuous dual watch, both corridors, response to hailing within one (1) minute</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Watch logs, session records</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Per watch-hour, audited staffing roster</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Aids to navigation maintenance</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Availability of ninety-nine (99) percent per aid per year</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Maintenance logs, availability statistics</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Per aid per year, published rate card</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Hydrographic survey and chart maintenance</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Annual resurvey of critical reaches; five-year full cycle</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Survey reports, chart corrections</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Per survey line-mile, published rate card</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Environmental monitoring</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Program of Annex H at full station coverage</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Sampling records, annual report</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Per station per year, published rate card</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Search and rescue standby</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Readiness states of Annex I</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Readiness logs, drill records</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Per asset-day at readiness, published rate card</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Monitoring, dashboard, and reporting architecture</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Continuous operation; daily status report without fail</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System logs, publication record</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Per day of certified operation</w:t>
            </w:r>
          </w:p>
        </w:tc>
      </w:tr>
    </w:tbl>
    <w:p>
      <w:pPr>
        <w:pStyle w:val="Normal"/>
      </w:pPr>
    </w:p>
    <w:p>
      <w:pPr>
        <w:pStyle w:val="Heading3"/>
      </w:pPr>
      <w:r>
        <w:rPr>
          <w:rFonts w:cs="Calibri" w:ascii="Calibri" w:hAnsi="Calibri" w:eastAsia="Calibri"/>
          <w:szCs w:val="25"/>
          <w:lang w:val="en-CA" w:eastAsia="en-CA" w:bidi="ar-SA"/>
          <w:b/>
          <w:color w:val="8A6D2F"/>
          <w:sz w:val="25"/>
        </w:rPr>
        <w:t>E.2 Requested Services</w:t>
      </w:r>
    </w:p>
    <w:p>
      <w:pPr>
        <w:pStyle w:val="Normal"/>
      </w:pPr>
      <w:r>
        <w:rPr>
          <w:rFonts w:cs="Calibri" w:ascii="Calibri" w:hAnsi="Calibri" w:eastAsia="Calibri"/>
          <w:szCs w:val="23"/>
          <w:lang w:val="en-CA" w:eastAsia="en-CA" w:bidi="ar-SA"/>
          <w:color w:val="212B32"/>
          <w:sz w:val="23"/>
        </w:rPr>
        <w:t>Requested services deliver on order to the requesting vessel or operator, invoiced to the requester at the published rate, with no claim on the Fund. Request never conditions transit.</w:t>
      </w:r>
    </w:p>
    <w:p>
      <w:pPr>
        <w:pStyle w:val="Normal"/>
        <w:spacing w:before="120" w:after="0"/>
      </w:pPr>
    </w:p>
    <w:tbl>
      <w:tblPr>
        <w:tblStyle w:val="TableNormal"/>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2306"/>
        <w:gridCol w:w="2306"/>
        <w:gridCol w:w="2306"/>
        <w:gridCol w:w="2308"/>
      </w:tblGrid>
      <w:tr>
        <w:trPr>
          <w:cantSplit w:val="1"/>
          <w:tblHeader w:val="1"/>
        </w:trPr>
        <w:tc>
          <w:tcPr>
            <w:tcW w:w="2306"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Service</w:t>
            </w:r>
          </w:p>
        </w:tc>
        <w:tc>
          <w:tcPr>
            <w:tcW w:w="2306"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Unit</w:t>
            </w:r>
          </w:p>
        </w:tc>
        <w:tc>
          <w:tcPr>
            <w:tcW w:w="2306"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Indicative Rate (USD)</w:t>
            </w:r>
          </w:p>
        </w:tc>
        <w:tc>
          <w:tcPr>
            <w:tcW w:w="2308"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Benchmark Reference</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Pilotage, Corridor B or port approach, deep-draft</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Per transit</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4,800</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Regional port tariffs, Suez and Malacca comparators</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Pilotage, other classes</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Per transit</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2,900</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Regional port tariffs</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Tug assistance</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Per tug-hour</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5,500</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Regional port tariffs</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Scheduled escort, patrol craft</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Per escort-hour</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3,200</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Cost recovery basis</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Dedicated traffic information product</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Per voyage</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600</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Market comparator</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Route Verification Data subscription, insurer tier</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Per year</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180,000</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Risk data market comparators</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Route Verification Data subscription, operator tier</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Per year</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24,000</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Risk data market comparators</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Registry certification, vessel</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Per year</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900</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Registry market comparators</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Registry certification, flag administration</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Per year</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30,000</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Registry market comparators</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Environmental compliance verification package</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Per vessel per year</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1,400</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Cost recovery basis</w:t>
            </w:r>
          </w:p>
        </w:tc>
      </w:tr>
    </w:tbl>
    <w:p>
      <w:pPr>
        <w:pStyle w:val="Normal"/>
      </w:pPr>
    </w:p>
    <w:p>
      <w:pPr>
        <w:pStyle w:val="Heading3"/>
      </w:pPr>
      <w:r>
        <w:rPr>
          <w:rFonts w:cs="Calibri" w:ascii="Calibri" w:hAnsi="Calibri" w:eastAsia="Calibri"/>
          <w:szCs w:val="25"/>
          <w:lang w:val="en-CA" w:eastAsia="en-CA" w:bidi="ar-SA"/>
          <w:b/>
          <w:color w:val="8A6D2F"/>
          <w:sz w:val="25"/>
        </w:rPr>
        <w:t>E.3 Rate Governance</w:t>
      </w:r>
    </w:p>
    <w:p>
      <w:pPr>
        <w:pStyle w:val="Normal"/>
      </w:pPr>
      <w:r>
        <w:rPr>
          <w:rFonts w:cs="Calibri" w:ascii="Calibri" w:hAnsi="Calibri" w:eastAsia="Calibri"/>
          <w:szCs w:val="23"/>
          <w:lang w:val="en-CA" w:eastAsia="en-CA" w:bidi="ar-SA"/>
          <w:color w:val="212B32"/>
          <w:sz w:val="23"/>
        </w:rPr>
        <w:t>The Governing Board adopts the rate schedule annually on the proposal of the Executive Directorate, reviewed by the Industry Advisory Panel and benchmarked by the study of this section. The benchmarking study compares every rate against: the published tariffs of the Suez Canal for analogous service elements, the Malacca and Singapore cooperative mechanism cost base, the regional port tariffs of the Gulf states, and the delivered cost of the service under the Authority's own accounts. A rate moves by more than ten (10) percent in a year only on the Board's two-thirds supermajority vote with published reasoning. Under the no-fade rule, the existing schedule governs by default until a successor schedule takes effect.</w:t>
      </w:r>
    </w:p>
    <w:p>
      <w:pPr>
        <w:pStyle w:val="Heading3"/>
      </w:pPr>
      <w:r>
        <w:rPr>
          <w:szCs w:val="25"/>
          <w:lang w:val="en-CA" w:eastAsia="en-CA" w:bidi="ar-SA"/>
          <w:rFonts w:ascii="Calibri" w:eastAsia="Calibri" w:hAnsi="Calibri" w:cs="Calibri"/>
          <w:b/>
          <w:color w:val="8A6D2F"/>
          <w:sz w:val="25"/>
        </w:rPr>
        <w:t>E.4 Functional Assignment Between the Parties</w:t>
      </w:r>
    </w:p>
    <w:p>
      <w:pPr>
        <w:pStyle w:val="Normal"/>
      </w:pPr>
      <w:r>
        <w:rPr>
          <w:rFonts w:cs="Calibri" w:ascii="Calibri" w:hAnsi="Calibri" w:eastAsia="Calibri"/>
          <w:szCs w:val="23"/>
          <w:lang w:val="en-CA" w:eastAsia="en-CA" w:bidi="ar-SA"/>
          <w:color w:val="212B32"/>
          <w:sz w:val="23"/>
        </w:rPr>
        <w:t>Service delivery assigns by corridor and by capability, and the assignment carries the parity design target of Article 20.4. The Omani administration delivers: Corridor A traffic service watch, southern patrol and escort beats, H-1 and W-1 anchorage service, Khasab rescue and response station, and the southern hydrographic program. The Iranian administration delivers: Corridor B traffic service watch, northern patrol and escort beats, H-2 and W-2 anchorage service, Bandar Abbas and Qeshm rescue and response stations, and the northern hydrographic program. Joint delivery covers: the Center's dual watch, the dashboard architecture, the environmental monitoring program, and the observer program. The annual apportionment audit measures delivery shares and drives the function reassignment of Article 20.4 where the band is breached.</w:t>
      </w:r>
    </w:p>
    <w:p>
      <w:pPr>
        <w:pStyle w:val="Heading2"/>
      </w:pPr>
      <w:bookmarkStart w:id="104" w:name="_Toc1053"/>
      <w:bookmarkStart w:id="105" w:name="_Toc235667484"/>
      <w:r>
        <w:rPr>
          <w:rFonts w:cs="Cambria" w:ascii="Cambria" w:hAnsi="Cambria" w:eastAsia="Cambria"/>
          <w:szCs w:val="30"/>
          <w:lang w:val="en-CA" w:eastAsia="en-CA" w:bidi="ar-SA"/>
          <w:color w:val="212B32"/>
          <w:b/>
          <w:sz w:val="30"/>
        </w:rPr>
        <w:t>Annex F: Communications Protocols, VHF Plan, and Hotline Procedures</w:t>
      </w:r>
      <w:bookmarkEnd w:id="104"/>
      <w:bookmarkEnd w:id="105"/>
    </w:p>
    <w:p>
      <w:pPr>
        <w:pStyle w:val="Normal"/>
      </w:pPr>
      <w:r>
        <w:rPr>
          <w:rFonts w:cs="Calibri" w:ascii="Calibri" w:hAnsi="Calibri" w:eastAsia="Calibri"/>
          <w:szCs w:val="23"/>
          <w:lang w:val="en-CA" w:eastAsia="en-CA" w:bidi="ar-SA"/>
          <w:color w:val="212B32"/>
          <w:sz w:val="23"/>
        </w:rPr>
        <w:t>This annex fixes the communications architecture: the radio plan, the hotline network, message formats, language and discipline rules, and the military de-confliction channel.</w:t>
      </w:r>
    </w:p>
    <w:p>
      <w:pPr>
        <w:pStyle w:val="Heading3"/>
      </w:pPr>
      <w:r>
        <w:rPr>
          <w:rFonts w:cs="Calibri" w:ascii="Calibri" w:hAnsi="Calibri" w:eastAsia="Calibri"/>
          <w:szCs w:val="25"/>
          <w:lang w:val="en-CA" w:eastAsia="en-CA" w:bidi="ar-SA"/>
          <w:b/>
          <w:color w:val="8A6D2F"/>
          <w:sz w:val="25"/>
        </w:rPr>
        <w:t>F.1 The Radio Plan</w:t>
      </w:r>
    </w:p>
    <w:p>
      <w:pPr>
        <w:pStyle w:val="Normal"/>
        <w:spacing w:before="120" w:after="0"/>
      </w:pPr>
    </w:p>
    <w:tbl>
      <w:tblPr>
        <w:tblStyle w:val="TableNormal"/>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3074"/>
        <w:gridCol w:w="3075"/>
        <w:gridCol w:w="3077"/>
      </w:tblGrid>
      <w:tr>
        <w:trPr>
          <w:cantSplit w:val="1"/>
          <w:tblHeader w:val="1"/>
        </w:trPr>
        <w:tc>
          <w:tcPr>
            <w:tcW w:w="3074"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Channel</w:t>
            </w:r>
          </w:p>
        </w:tc>
        <w:tc>
          <w:tcPr>
            <w:tcW w:w="3075"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Function</w:t>
            </w:r>
          </w:p>
        </w:tc>
        <w:tc>
          <w:tcPr>
            <w:tcW w:w="3077"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Discipline</w:t>
            </w:r>
          </w:p>
        </w:tc>
      </w:tr>
      <w:tr>
        <w:trPr>
          <w:cantSplit w:val="1"/>
        </w:trPr>
        <w:tc>
          <w:tcPr>
            <w:tcW w:w="3074" w:type="dxa"/>
          </w:tcPr>
          <w:p>
            <w:pPr>
              <w:pStyle w:val="Normal"/>
              <w:spacing w:before="30" w:after="30" w:line="264" w:lineRule="auto"/>
              <w:jc w:val="left"/>
            </w:pPr>
            <w:r>
              <w:rPr>
                <w:rFonts w:cs="Calibri" w:ascii="Calibri" w:hAnsi="Calibri" w:eastAsia="Calibri"/>
                <w:color w:val="2B3942"/>
                <w:sz w:val="19"/>
                <w:szCs w:val="19"/>
                <w:lang w:val="en-CA" w:eastAsia="en-CA" w:bidi="ar-SA"/>
              </w:rPr>
              <w:t>Channel 16</w:t>
            </w:r>
          </w:p>
        </w:tc>
        <w:tc>
          <w:tcPr>
            <w:tcW w:w="3075" w:type="dxa"/>
          </w:tcPr>
          <w:p>
            <w:pPr>
              <w:pStyle w:val="Normal"/>
              <w:spacing w:before="30" w:after="30" w:line="264" w:lineRule="auto"/>
              <w:jc w:val="left"/>
            </w:pPr>
            <w:r>
              <w:rPr>
                <w:rFonts w:cs="Calibri" w:ascii="Calibri" w:hAnsi="Calibri" w:eastAsia="Calibri"/>
                <w:color w:val="2B3942"/>
                <w:sz w:val="19"/>
                <w:szCs w:val="19"/>
                <w:lang w:val="en-CA" w:eastAsia="en-CA" w:bidi="ar-SA"/>
              </w:rPr>
              <w:t>Distress, safety, and initial hailing</w:t>
            </w:r>
          </w:p>
        </w:tc>
        <w:tc>
          <w:tcPr>
            <w:tcW w:w="3077" w:type="dxa"/>
          </w:tcPr>
          <w:p>
            <w:pPr>
              <w:pStyle w:val="Normal"/>
              <w:spacing w:before="30" w:after="30" w:line="264" w:lineRule="auto"/>
              <w:jc w:val="left"/>
            </w:pPr>
            <w:r>
              <w:rPr>
                <w:rFonts w:cs="Calibri" w:ascii="Calibri" w:hAnsi="Calibri" w:eastAsia="Calibri"/>
                <w:color w:val="2B3942"/>
                <w:sz w:val="19"/>
                <w:szCs w:val="19"/>
                <w:lang w:val="en-CA" w:eastAsia="en-CA" w:bidi="ar-SA"/>
              </w:rPr>
              <w:t>Continuous dual watch at the Center and on all patrol craft</w:t>
            </w:r>
          </w:p>
        </w:tc>
      </w:tr>
      <w:tr>
        <w:trPr>
          <w:cantSplit w:val="1"/>
        </w:trPr>
        <w:tc>
          <w:tcPr>
            <w:tcW w:w="3074" w:type="dxa"/>
          </w:tcPr>
          <w:p>
            <w:pPr>
              <w:pStyle w:val="Normal"/>
              <w:spacing w:before="30" w:after="30" w:line="264" w:lineRule="auto"/>
              <w:jc w:val="left"/>
            </w:pPr>
            <w:r>
              <w:rPr>
                <w:rFonts w:cs="Calibri" w:ascii="Calibri" w:hAnsi="Calibri" w:eastAsia="Calibri"/>
                <w:color w:val="2B3942"/>
                <w:sz w:val="19"/>
                <w:szCs w:val="19"/>
                <w:lang w:val="en-CA" w:eastAsia="en-CA" w:bidi="ar-SA"/>
              </w:rPr>
              <w:t>Channel 14</w:t>
            </w:r>
          </w:p>
        </w:tc>
        <w:tc>
          <w:tcPr>
            <w:tcW w:w="3075" w:type="dxa"/>
          </w:tcPr>
          <w:p>
            <w:pPr>
              <w:pStyle w:val="Normal"/>
              <w:spacing w:before="30" w:after="30" w:line="264" w:lineRule="auto"/>
              <w:jc w:val="left"/>
            </w:pPr>
            <w:r>
              <w:rPr>
                <w:rFonts w:cs="Calibri" w:ascii="Calibri" w:hAnsi="Calibri" w:eastAsia="Calibri"/>
                <w:color w:val="2B3942"/>
                <w:sz w:val="19"/>
                <w:szCs w:val="19"/>
                <w:lang w:val="en-CA" w:eastAsia="en-CA" w:bidi="ar-SA"/>
              </w:rPr>
              <w:t>Corridor working channel: traffic service, reporting, advisories</w:t>
            </w:r>
          </w:p>
        </w:tc>
        <w:tc>
          <w:tcPr>
            <w:tcW w:w="3077" w:type="dxa"/>
          </w:tcPr>
          <w:p>
            <w:pPr>
              <w:pStyle w:val="Normal"/>
              <w:spacing w:before="30" w:after="30" w:line="264" w:lineRule="auto"/>
              <w:jc w:val="left"/>
            </w:pPr>
            <w:r>
              <w:rPr>
                <w:rFonts w:cs="Calibri" w:ascii="Calibri" w:hAnsi="Calibri" w:eastAsia="Calibri"/>
                <w:color w:val="2B3942"/>
                <w:sz w:val="19"/>
                <w:szCs w:val="19"/>
                <w:lang w:val="en-CA" w:eastAsia="en-CA" w:bidi="ar-SA"/>
              </w:rPr>
              <w:t>Primary operational channel, both corridors</w:t>
            </w:r>
          </w:p>
        </w:tc>
      </w:tr>
      <w:tr>
        <w:trPr>
          <w:cantSplit w:val="1"/>
        </w:trPr>
        <w:tc>
          <w:tcPr>
            <w:tcW w:w="3074" w:type="dxa"/>
          </w:tcPr>
          <w:p>
            <w:pPr>
              <w:pStyle w:val="Normal"/>
              <w:spacing w:before="30" w:after="30" w:line="264" w:lineRule="auto"/>
              <w:jc w:val="left"/>
            </w:pPr>
            <w:r>
              <w:rPr>
                <w:rFonts w:cs="Calibri" w:ascii="Calibri" w:hAnsi="Calibri" w:eastAsia="Calibri"/>
                <w:color w:val="2B3942"/>
                <w:sz w:val="19"/>
                <w:szCs w:val="19"/>
                <w:lang w:val="en-CA" w:eastAsia="en-CA" w:bidi="ar-SA"/>
              </w:rPr>
              <w:t>Channel 08</w:t>
            </w:r>
          </w:p>
        </w:tc>
        <w:tc>
          <w:tcPr>
            <w:tcW w:w="3075" w:type="dxa"/>
          </w:tcPr>
          <w:p>
            <w:pPr>
              <w:pStyle w:val="Normal"/>
              <w:spacing w:before="30" w:after="30" w:line="264" w:lineRule="auto"/>
              <w:jc w:val="left"/>
            </w:pPr>
            <w:r>
              <w:rPr>
                <w:rFonts w:cs="Calibri" w:ascii="Calibri" w:hAnsi="Calibri" w:eastAsia="Calibri"/>
                <w:color w:val="2B3942"/>
                <w:sz w:val="19"/>
                <w:szCs w:val="19"/>
                <w:lang w:val="en-CA" w:eastAsia="en-CA" w:bidi="ar-SA"/>
              </w:rPr>
              <w:t>Information hailing and the non-notification ladder</w:t>
            </w:r>
          </w:p>
        </w:tc>
        <w:tc>
          <w:tcPr>
            <w:tcW w:w="3077" w:type="dxa"/>
          </w:tcPr>
          <w:p>
            <w:pPr>
              <w:pStyle w:val="Normal"/>
              <w:spacing w:before="30" w:after="30" w:line="264" w:lineRule="auto"/>
              <w:jc w:val="left"/>
            </w:pPr>
            <w:r>
              <w:rPr>
                <w:rFonts w:cs="Calibri" w:ascii="Calibri" w:hAnsi="Calibri" w:eastAsia="Calibri"/>
                <w:color w:val="2B3942"/>
                <w:sz w:val="19"/>
                <w:szCs w:val="19"/>
                <w:lang w:val="en-CA" w:eastAsia="en-CA" w:bidi="ar-SA"/>
              </w:rPr>
              <w:t>Step ladder of Annex C.4</w:t>
            </w:r>
          </w:p>
        </w:tc>
      </w:tr>
      <w:tr>
        <w:trPr>
          <w:cantSplit w:val="1"/>
        </w:trPr>
        <w:tc>
          <w:tcPr>
            <w:tcW w:w="3074" w:type="dxa"/>
          </w:tcPr>
          <w:p>
            <w:pPr>
              <w:pStyle w:val="Normal"/>
              <w:spacing w:before="30" w:after="30" w:line="264" w:lineRule="auto"/>
              <w:jc w:val="left"/>
            </w:pPr>
            <w:r>
              <w:rPr>
                <w:rFonts w:cs="Calibri" w:ascii="Calibri" w:hAnsi="Calibri" w:eastAsia="Calibri"/>
                <w:color w:val="2B3942"/>
                <w:sz w:val="19"/>
                <w:szCs w:val="19"/>
                <w:lang w:val="en-CA" w:eastAsia="en-CA" w:bidi="ar-SA"/>
              </w:rPr>
              <w:t>Channel 13</w:t>
            </w:r>
          </w:p>
        </w:tc>
        <w:tc>
          <w:tcPr>
            <w:tcW w:w="3075" w:type="dxa"/>
          </w:tcPr>
          <w:p>
            <w:pPr>
              <w:pStyle w:val="Normal"/>
              <w:spacing w:before="30" w:after="30" w:line="264" w:lineRule="auto"/>
              <w:jc w:val="left"/>
            </w:pPr>
            <w:r>
              <w:rPr>
                <w:rFonts w:cs="Calibri" w:ascii="Calibri" w:hAnsi="Calibri" w:eastAsia="Calibri"/>
                <w:color w:val="2B3942"/>
                <w:sz w:val="19"/>
                <w:szCs w:val="19"/>
                <w:lang w:val="en-CA" w:eastAsia="en-CA" w:bidi="ar-SA"/>
              </w:rPr>
              <w:t>Bridge-to-bridge navigational safety</w:t>
            </w:r>
          </w:p>
        </w:tc>
        <w:tc>
          <w:tcPr>
            <w:tcW w:w="3077" w:type="dxa"/>
          </w:tcPr>
          <w:p>
            <w:pPr>
              <w:pStyle w:val="Normal"/>
              <w:spacing w:before="30" w:after="30" w:line="264" w:lineRule="auto"/>
              <w:jc w:val="left"/>
            </w:pPr>
            <w:r>
              <w:rPr>
                <w:rFonts w:cs="Calibri" w:ascii="Calibri" w:hAnsi="Calibri" w:eastAsia="Calibri"/>
                <w:color w:val="2B3942"/>
                <w:sz w:val="19"/>
                <w:szCs w:val="19"/>
                <w:lang w:val="en-CA" w:eastAsia="en-CA" w:bidi="ar-SA"/>
              </w:rPr>
              <w:t>International standard use</w:t>
            </w:r>
          </w:p>
        </w:tc>
      </w:tr>
      <w:tr>
        <w:trPr>
          <w:cantSplit w:val="1"/>
        </w:trPr>
        <w:tc>
          <w:tcPr>
            <w:tcW w:w="3074" w:type="dxa"/>
          </w:tcPr>
          <w:p>
            <w:pPr>
              <w:pStyle w:val="Normal"/>
              <w:spacing w:before="30" w:after="30" w:line="264" w:lineRule="auto"/>
              <w:jc w:val="left"/>
            </w:pPr>
            <w:r>
              <w:rPr>
                <w:rFonts w:cs="Calibri" w:ascii="Calibri" w:hAnsi="Calibri" w:eastAsia="Calibri"/>
                <w:color w:val="2B3942"/>
                <w:sz w:val="19"/>
                <w:szCs w:val="19"/>
                <w:lang w:val="en-CA" w:eastAsia="en-CA" w:bidi="ar-SA"/>
              </w:rPr>
              <w:t>Channel 12</w:t>
            </w:r>
          </w:p>
        </w:tc>
        <w:tc>
          <w:tcPr>
            <w:tcW w:w="3075" w:type="dxa"/>
          </w:tcPr>
          <w:p>
            <w:pPr>
              <w:pStyle w:val="Normal"/>
              <w:spacing w:before="30" w:after="30" w:line="264" w:lineRule="auto"/>
              <w:jc w:val="left"/>
            </w:pPr>
            <w:r>
              <w:rPr>
                <w:rFonts w:cs="Calibri" w:ascii="Calibri" w:hAnsi="Calibri" w:eastAsia="Calibri"/>
                <w:color w:val="2B3942"/>
                <w:sz w:val="19"/>
                <w:szCs w:val="19"/>
                <w:lang w:val="en-CA" w:eastAsia="en-CA" w:bidi="ar-SA"/>
              </w:rPr>
              <w:t>Small-craft advisory channel during crossing windows</w:t>
            </w:r>
          </w:p>
        </w:tc>
        <w:tc>
          <w:tcPr>
            <w:tcW w:w="3077" w:type="dxa"/>
          </w:tcPr>
          <w:p>
            <w:pPr>
              <w:pStyle w:val="Normal"/>
              <w:spacing w:before="30" w:after="30" w:line="264" w:lineRule="auto"/>
              <w:jc w:val="left"/>
            </w:pPr>
            <w:r>
              <w:rPr>
                <w:rFonts w:cs="Calibri" w:ascii="Calibri" w:hAnsi="Calibri" w:eastAsia="Calibri"/>
                <w:color w:val="2B3942"/>
                <w:sz w:val="19"/>
                <w:szCs w:val="19"/>
                <w:lang w:val="en-CA" w:eastAsia="en-CA" w:bidi="ar-SA"/>
              </w:rPr>
              <w:t>Crossing advisories of Annex A.9</w:t>
            </w:r>
          </w:p>
        </w:tc>
      </w:tr>
      <w:tr>
        <w:trPr>
          <w:cantSplit w:val="1"/>
        </w:trPr>
        <w:tc>
          <w:tcPr>
            <w:tcW w:w="3074" w:type="dxa"/>
          </w:tcPr>
          <w:p>
            <w:pPr>
              <w:pStyle w:val="Normal"/>
              <w:spacing w:before="30" w:after="30" w:line="264" w:lineRule="auto"/>
              <w:jc w:val="left"/>
            </w:pPr>
            <w:r>
              <w:rPr>
                <w:rFonts w:cs="Calibri" w:ascii="Calibri" w:hAnsi="Calibri" w:eastAsia="Calibri"/>
                <w:color w:val="2B3942"/>
                <w:sz w:val="19"/>
                <w:szCs w:val="19"/>
                <w:lang w:val="en-CA" w:eastAsia="en-CA" w:bidi="ar-SA"/>
              </w:rPr>
              <w:t>Channel 10</w:t>
            </w:r>
          </w:p>
        </w:tc>
        <w:tc>
          <w:tcPr>
            <w:tcW w:w="3075" w:type="dxa"/>
          </w:tcPr>
          <w:p>
            <w:pPr>
              <w:pStyle w:val="Normal"/>
              <w:spacing w:before="30" w:after="30" w:line="264" w:lineRule="auto"/>
              <w:jc w:val="left"/>
            </w:pPr>
            <w:r>
              <w:rPr>
                <w:rFonts w:cs="Calibri" w:ascii="Calibri" w:hAnsi="Calibri" w:eastAsia="Calibri"/>
                <w:color w:val="2B3942"/>
                <w:sz w:val="19"/>
                <w:szCs w:val="19"/>
                <w:lang w:val="en-CA" w:eastAsia="en-CA" w:bidi="ar-SA"/>
              </w:rPr>
              <w:t>Military de-confliction working channel, monitored by the de-confliction desk</w:t>
            </w:r>
          </w:p>
        </w:tc>
        <w:tc>
          <w:tcPr>
            <w:tcW w:w="3077" w:type="dxa"/>
          </w:tcPr>
          <w:p>
            <w:pPr>
              <w:pStyle w:val="Normal"/>
              <w:spacing w:before="30" w:after="30" w:line="264" w:lineRule="auto"/>
              <w:jc w:val="left"/>
            </w:pPr>
            <w:r>
              <w:rPr>
                <w:rFonts w:cs="Calibri" w:ascii="Calibri" w:hAnsi="Calibri" w:eastAsia="Calibri"/>
                <w:color w:val="2B3942"/>
                <w:sz w:val="19"/>
                <w:szCs w:val="19"/>
                <w:lang w:val="en-CA" w:eastAsia="en-CA" w:bidi="ar-SA"/>
              </w:rPr>
              <w:t>Encrypted backup available to liaison officers</w:t>
            </w:r>
          </w:p>
        </w:tc>
      </w:tr>
    </w:tbl>
    <w:p>
      <w:pPr>
        <w:pStyle w:val="Normal"/>
      </w:pPr>
    </w:p>
    <w:p>
      <w:pPr>
        <w:pStyle w:val="Normal"/>
      </w:pPr>
      <w:r>
        <w:rPr>
          <w:szCs w:val="23"/>
          <w:lang w:val="en-CA" w:eastAsia="en-CA" w:bidi="ar-SA"/>
          <w:rFonts w:ascii="Calibri" w:eastAsia="Calibri" w:hAnsi="Calibri" w:cs="Calibri"/>
          <w:color w:val="212B32"/>
          <w:sz w:val="23"/>
        </w:rPr>
        <w:t>Working language is English, using the standard marine communication phrases of the International Maritime Organization. Every transmission to a vessel identifies the Center, states its information or advisory character, and closes with the vessel's confirmation. The Center logs every transmission with timestamp, and the log feeds the data custody of Article 13.5.</w:t>
      </w:r>
    </w:p>
    <w:p>
      <w:pPr>
        <w:pStyle w:val="Heading3"/>
      </w:pPr>
      <w:r>
        <w:rPr>
          <w:rFonts w:cs="Calibri" w:ascii="Calibri" w:hAnsi="Calibri" w:eastAsia="Calibri"/>
          <w:szCs w:val="25"/>
          <w:lang w:val="en-CA" w:eastAsia="en-CA" w:bidi="ar-SA"/>
          <w:b/>
          <w:color w:val="8A6D2F"/>
          <w:sz w:val="25"/>
        </w:rPr>
        <w:t>F.2 The Hotline Network</w:t>
      </w:r>
    </w:p>
    <w:p>
      <w:pPr>
        <w:pStyle w:val="Normal"/>
      </w:pPr>
      <w:r>
        <w:rPr>
          <w:rFonts w:cs="Calibri" w:ascii="Calibri" w:hAnsi="Calibri" w:eastAsia="Calibri"/>
          <w:szCs w:val="23"/>
          <w:lang w:val="en-CA" w:eastAsia="en-CA" w:bidi="ar-SA"/>
          <w:color w:val="212B32"/>
          <w:sz w:val="23"/>
        </w:rPr>
        <w:t>The hotline network connects, by dedicated encrypted voice and data circuits: the Center's watch floor in Muscat; the mirror facility in Bandar Abbas; the national maritime operations centers of all States Parties; the naval liaison desks of all States Parties under the de-confliction protocol; and the depositary's crisis contact desk. Stakeholder liaison circuits activate under the participation instruments of Annex N. The network tests daily at 06:00 UTC, and the test record publishes with the daily status report. Three consecutive failed tests of any circuit log as a Class 1 event with immediate engineering escalation.</w:t>
      </w:r>
    </w:p>
    <w:p>
      <w:pPr>
        <w:pStyle w:val="Heading3"/>
      </w:pPr>
      <w:r>
        <w:rPr>
          <w:rFonts w:cs="Calibri" w:ascii="Calibri" w:hAnsi="Calibri" w:eastAsia="Calibri"/>
          <w:szCs w:val="25"/>
          <w:lang w:val="en-CA" w:eastAsia="en-CA" w:bidi="ar-SA"/>
          <w:b/>
          <w:color w:val="8A6D2F"/>
          <w:sz w:val="25"/>
        </w:rPr>
        <w:t>F.3 Message Formats</w:t>
      </w:r>
    </w:p>
    <w:p>
      <w:pPr>
        <w:pStyle w:val="Normal"/>
      </w:pPr>
      <w:r>
        <w:rPr>
          <w:rFonts w:cs="Calibri" w:ascii="Calibri" w:hAnsi="Calibri" w:eastAsia="Calibri"/>
          <w:szCs w:val="23"/>
          <w:lang w:val="en-CA" w:eastAsia="en-CA" w:bidi="ar-SA"/>
          <w:color w:val="212B32"/>
          <w:sz w:val="23"/>
        </w:rPr>
        <w:t>Standard message formats govern the network: the operational pause notice of Article 27.2, stating sector, reason class, issue time, and review time; the safety information message, for hazards, advisories, and crossing windows; the de-confliction notice, for military movement coordination; the incident initial report of Annex G; and the daily status report. Each format fixes its fields, its precedence, and its acknowledgment rule, and the formats register holds the master versions.</w:t>
      </w:r>
    </w:p>
    <w:p>
      <w:pPr>
        <w:pStyle w:val="Heading3"/>
      </w:pPr>
      <w:r>
        <w:rPr>
          <w:rFonts w:cs="Calibri" w:ascii="Calibri" w:hAnsi="Calibri" w:eastAsia="Calibri"/>
          <w:szCs w:val="25"/>
          <w:lang w:val="en-CA" w:eastAsia="en-CA" w:bidi="ar-SA"/>
          <w:b/>
          <w:color w:val="8A6D2F"/>
          <w:sz w:val="25"/>
        </w:rPr>
        <w:t>F.4 The Military De-Confliction Channel</w:t>
      </w:r>
    </w:p>
    <w:p>
      <w:pPr>
        <w:pStyle w:val="Normal"/>
      </w:pPr>
      <w:r>
        <w:rPr>
          <w:rFonts w:cs="Calibri" w:ascii="Calibri" w:hAnsi="Calibri" w:eastAsia="Calibri"/>
          <w:szCs w:val="23"/>
          <w:lang w:val="en-CA" w:eastAsia="en-CA" w:bidi="ar-SA"/>
          <w:color w:val="212B32"/>
          <w:sz w:val="23"/>
        </w:rPr>
        <w:t>The de-confliction desk staffs one uniformed liaison officer per Party around the clock, with secure circuits to their respective naval commands. The desk receives the notices of Article 26, coordinates military movement against the traffic picture, maintains the third-state naval transit schedule, and hosts the enhanced de-confliction package for sensitive transits. The desk's communications pass through the Center's systems under dual-nationality logging, so that no military coordination with shipping ever runs through one Party alone.</w:t>
      </w:r>
    </w:p>
    <w:p>
      <w:pPr>
        <w:pStyle w:val="Heading3"/>
      </w:pPr>
      <w:r>
        <w:rPr>
          <w:szCs w:val="25"/>
          <w:lang w:val="en-CA" w:eastAsia="en-CA" w:bidi="ar-SA"/>
          <w:rFonts w:ascii="Calibri" w:eastAsia="Calibri" w:hAnsi="Calibri" w:cs="Calibri"/>
          <w:b/>
          <w:color w:val="8A6D2F"/>
          <w:sz w:val="25"/>
        </w:rPr>
        <w:t>F.5 Communications Failure Protocol</w:t>
      </w:r>
    </w:p>
    <w:p>
      <w:pPr>
        <w:pStyle w:val="Normal"/>
      </w:pPr>
      <w:r>
        <w:rPr>
          <w:rFonts w:cs="Calibri" w:ascii="Calibri" w:hAnsi="Calibri" w:eastAsia="Calibri"/>
          <w:szCs w:val="23"/>
          <w:lang w:val="en-CA" w:eastAsia="en-CA" w:bidi="ar-SA"/>
          <w:color w:val="212B32"/>
          <w:sz w:val="23"/>
        </w:rPr>
        <w:t>On failure of the radio plan's primary channels, the backup hierarchy activates: secondary channels, then the maritime satellite broadcast of the safety service, then the shore station relay, then physical relay by patrol craft. The Center's voice never depends on a single medium, and the failure protocol exercises monthly with the record published.</w:t>
      </w:r>
    </w:p>
    <w:p>
      <w:pPr>
        <w:pStyle w:val="Heading2"/>
      </w:pPr>
      <w:bookmarkStart w:id="106" w:name="_Toc1054"/>
      <w:bookmarkStart w:id="107" w:name="_Toc235667485"/>
      <w:r>
        <w:rPr>
          <w:rFonts w:cs="Cambria" w:ascii="Cambria" w:hAnsi="Cambria" w:eastAsia="Cambria"/>
          <w:szCs w:val="30"/>
          <w:lang w:val="en-CA" w:eastAsia="en-CA" w:bidi="ar-SA"/>
          <w:color w:val="212B32"/>
          <w:b/>
          <w:sz w:val="30"/>
        </w:rPr>
        <w:t>Annex G: Incident Report Forms and Investigation Procedures</w:t>
      </w:r>
      <w:bookmarkEnd w:id="106"/>
      <w:bookmarkEnd w:id="107"/>
    </w:p>
    <w:p>
      <w:pPr>
        <w:pStyle w:val="Normal"/>
      </w:pPr>
      <w:r>
        <w:rPr>
          <w:rFonts w:cs="Calibri" w:ascii="Calibri" w:hAnsi="Calibri" w:eastAsia="Calibri"/>
          <w:szCs w:val="23"/>
          <w:lang w:val="en-CA" w:eastAsia="en-CA" w:bidi="ar-SA"/>
          <w:color w:val="212B32"/>
          <w:sz w:val="23"/>
        </w:rPr>
        <w:t>This annex fixes the reporting forms, evidence standards, and investigation procedures of Article 27 for the four event classes.</w:t>
      </w:r>
    </w:p>
    <w:p>
      <w:pPr>
        <w:pStyle w:val="Heading3"/>
      </w:pPr>
      <w:r>
        <w:rPr>
          <w:rFonts w:cs="Calibri" w:ascii="Calibri" w:hAnsi="Calibri" w:eastAsia="Calibri"/>
          <w:szCs w:val="25"/>
          <w:lang w:val="en-CA" w:eastAsia="en-CA" w:bidi="ar-SA"/>
          <w:b/>
          <w:color w:val="8A6D2F"/>
          <w:sz w:val="25"/>
        </w:rPr>
        <w:t>G.1 Reporting Timeline</w:t>
      </w:r>
    </w:p>
    <w:p>
      <w:pPr>
        <w:pStyle w:val="Normal"/>
        <w:spacing w:before="120" w:after="0"/>
      </w:pPr>
    </w:p>
    <w:tbl>
      <w:tblPr>
        <w:tblStyle w:val="TableNormal"/>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1845"/>
        <w:gridCol w:w="1845"/>
        <w:gridCol w:w="1845"/>
        <w:gridCol w:w="1845"/>
        <w:gridCol w:w="1846"/>
      </w:tblGrid>
      <w:tr>
        <w:trPr>
          <w:cantSplit w:val="1"/>
          <w:tblHeader w:val="1"/>
        </w:trPr>
        <w:tc>
          <w:tcPr>
            <w:tcW w:w="1845"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Class</w:t>
            </w:r>
          </w:p>
        </w:tc>
        <w:tc>
          <w:tcPr>
            <w:tcW w:w="1845"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Initial Report</w:t>
            </w:r>
          </w:p>
        </w:tc>
        <w:tc>
          <w:tcPr>
            <w:tcW w:w="1845"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Follow-Up</w:t>
            </w:r>
          </w:p>
        </w:tc>
        <w:tc>
          <w:tcPr>
            <w:tcW w:w="1845"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Investigation</w:t>
            </w:r>
          </w:p>
        </w:tc>
        <w:tc>
          <w:tcPr>
            <w:tcW w:w="1846"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Finding</w:t>
            </w:r>
          </w:p>
        </w:tc>
      </w:tr>
      <w:tr>
        <w:trPr>
          <w:cantSplit w:val="1"/>
        </w:trPr>
        <w:tc>
          <w:tcPr>
            <w:tcW w:w="1845" w:type="dxa"/>
          </w:tcPr>
          <w:p>
            <w:pPr>
              <w:pStyle w:val="Normal"/>
              <w:spacing w:before="30" w:after="30" w:line="264" w:lineRule="auto"/>
              <w:jc w:val="left"/>
            </w:pPr>
            <w:r>
              <w:rPr>
                <w:rFonts w:cs="Calibri" w:ascii="Calibri" w:hAnsi="Calibri" w:eastAsia="Calibri"/>
                <w:color w:val="2B3942"/>
                <w:sz w:val="19"/>
                <w:szCs w:val="19"/>
                <w:lang w:val="en-CA" w:eastAsia="en-CA" w:bidi="ar-SA"/>
              </w:rPr>
              <w:t>Class 1, operational anomaly</w:t>
            </w:r>
          </w:p>
        </w:tc>
        <w:tc>
          <w:tcPr>
            <w:tcW w:w="1845" w:type="dxa"/>
          </w:tcPr>
          <w:p>
            <w:pPr>
              <w:pStyle w:val="Normal"/>
              <w:spacing w:before="30" w:after="30" w:line="264" w:lineRule="auto"/>
              <w:jc w:val="left"/>
            </w:pPr>
            <w:r>
              <w:rPr>
                <w:rFonts w:cs="Calibri" w:ascii="Calibri" w:hAnsi="Calibri" w:eastAsia="Calibri"/>
                <w:color w:val="2B3942"/>
                <w:sz w:val="19"/>
                <w:szCs w:val="19"/>
                <w:lang w:val="en-CA" w:eastAsia="en-CA" w:bidi="ar-SA"/>
              </w:rPr>
              <w:t>Watch log entry, immediate</w:t>
            </w:r>
          </w:p>
        </w:tc>
        <w:tc>
          <w:tcPr>
            <w:tcW w:w="1845" w:type="dxa"/>
          </w:tcPr>
          <w:p>
            <w:pPr>
              <w:pStyle w:val="Normal"/>
              <w:spacing w:before="30" w:after="30" w:line="264" w:lineRule="auto"/>
              <w:jc w:val="left"/>
            </w:pPr>
            <w:r>
              <w:rPr>
                <w:rFonts w:cs="Calibri" w:ascii="Calibri" w:hAnsi="Calibri" w:eastAsia="Calibri"/>
                <w:color w:val="2B3942"/>
                <w:sz w:val="19"/>
                <w:szCs w:val="19"/>
                <w:lang w:val="en-CA" w:eastAsia="en-CA" w:bidi="ar-SA"/>
              </w:rPr>
              <w:t>Within twenty-four (24) hours where needed</w:t>
            </w:r>
          </w:p>
        </w:tc>
        <w:tc>
          <w:tcPr>
            <w:tcW w:w="1845" w:type="dxa"/>
          </w:tcPr>
          <w:p>
            <w:pPr>
              <w:pStyle w:val="Normal"/>
              <w:spacing w:before="30" w:after="30" w:line="264" w:lineRule="auto"/>
              <w:jc w:val="left"/>
            </w:pPr>
            <w:r>
              <w:rPr>
                <w:rFonts w:cs="Calibri" w:ascii="Calibri" w:hAnsi="Calibri" w:eastAsia="Calibri"/>
                <w:color w:val="2B3942"/>
                <w:sz w:val="19"/>
                <w:szCs w:val="19"/>
                <w:lang w:val="en-CA" w:eastAsia="en-CA" w:bidi="ar-SA"/>
              </w:rPr>
              <w:t>Watch floor review</w:t>
            </w:r>
          </w:p>
        </w:tc>
        <w:tc>
          <w:tcPr>
            <w:tcW w:w="1846" w:type="dxa"/>
          </w:tcPr>
          <w:p>
            <w:pPr>
              <w:pStyle w:val="Normal"/>
              <w:spacing w:before="30" w:after="30" w:line="264" w:lineRule="auto"/>
              <w:jc w:val="left"/>
            </w:pPr>
            <w:r>
              <w:rPr>
                <w:rFonts w:cs="Calibri" w:ascii="Calibri" w:hAnsi="Calibri" w:eastAsia="Calibri"/>
                <w:color w:val="2B3942"/>
                <w:sz w:val="19"/>
                <w:szCs w:val="19"/>
                <w:lang w:val="en-CA" w:eastAsia="en-CA" w:bidi="ar-SA"/>
              </w:rPr>
              <w:t>Log closure</w:t>
            </w:r>
          </w:p>
        </w:tc>
      </w:tr>
      <w:tr>
        <w:trPr>
          <w:cantSplit w:val="1"/>
        </w:trPr>
        <w:tc>
          <w:tcPr>
            <w:tcW w:w="1845" w:type="dxa"/>
          </w:tcPr>
          <w:p>
            <w:pPr>
              <w:pStyle w:val="Normal"/>
              <w:spacing w:before="30" w:after="30" w:line="264" w:lineRule="auto"/>
              <w:jc w:val="left"/>
            </w:pPr>
            <w:r>
              <w:rPr>
                <w:rFonts w:cs="Calibri" w:ascii="Calibri" w:hAnsi="Calibri" w:eastAsia="Calibri"/>
                <w:color w:val="2B3942"/>
                <w:sz w:val="19"/>
                <w:szCs w:val="19"/>
                <w:lang w:val="en-CA" w:eastAsia="en-CA" w:bidi="ar-SA"/>
              </w:rPr>
              <w:t>Class 2, safety incident</w:t>
            </w:r>
          </w:p>
        </w:tc>
        <w:tc>
          <w:tcPr>
            <w:tcW w:w="1845" w:type="dxa"/>
          </w:tcPr>
          <w:p>
            <w:pPr>
              <w:pStyle w:val="Normal"/>
              <w:spacing w:before="30" w:after="30" w:line="264" w:lineRule="auto"/>
              <w:jc w:val="left"/>
            </w:pPr>
            <w:r>
              <w:rPr>
                <w:rFonts w:cs="Calibri" w:ascii="Calibri" w:hAnsi="Calibri" w:eastAsia="Calibri"/>
                <w:color w:val="2B3942"/>
                <w:sz w:val="19"/>
                <w:szCs w:val="19"/>
                <w:lang w:val="en-CA" w:eastAsia="en-CA" w:bidi="ar-SA"/>
              </w:rPr>
              <w:t>Within two (2) hours</w:t>
            </w:r>
          </w:p>
        </w:tc>
        <w:tc>
          <w:tcPr>
            <w:tcW w:w="1845" w:type="dxa"/>
          </w:tcPr>
          <w:p>
            <w:pPr>
              <w:pStyle w:val="Normal"/>
              <w:spacing w:before="30" w:after="30" w:line="264" w:lineRule="auto"/>
              <w:jc w:val="left"/>
            </w:pPr>
            <w:r>
              <w:rPr>
                <w:rFonts w:cs="Calibri" w:ascii="Calibri" w:hAnsi="Calibri" w:eastAsia="Calibri"/>
                <w:color w:val="2B3942"/>
                <w:sz w:val="19"/>
                <w:szCs w:val="19"/>
                <w:lang w:val="en-CA" w:eastAsia="en-CA" w:bidi="ar-SA"/>
              </w:rPr>
              <w:t>Full report within seventy-two (72) hours</w:t>
            </w:r>
          </w:p>
        </w:tc>
        <w:tc>
          <w:tcPr>
            <w:tcW w:w="1845" w:type="dxa"/>
          </w:tcPr>
          <w:p>
            <w:pPr>
              <w:pStyle w:val="Normal"/>
              <w:spacing w:before="30" w:after="30" w:line="264" w:lineRule="auto"/>
              <w:jc w:val="left"/>
            </w:pPr>
            <w:r>
              <w:rPr>
                <w:rFonts w:cs="Calibri" w:ascii="Calibri" w:hAnsi="Calibri" w:eastAsia="Calibri"/>
                <w:color w:val="2B3942"/>
                <w:sz w:val="19"/>
                <w:szCs w:val="19"/>
                <w:lang w:val="en-CA" w:eastAsia="en-CA" w:bidi="ar-SA"/>
              </w:rPr>
              <w:t>Joint investigation cell</w:t>
            </w:r>
          </w:p>
        </w:tc>
        <w:tc>
          <w:tcPr>
            <w:tcW w:w="1846" w:type="dxa"/>
          </w:tcPr>
          <w:p>
            <w:pPr>
              <w:pStyle w:val="Normal"/>
              <w:spacing w:before="30" w:after="30" w:line="264" w:lineRule="auto"/>
              <w:jc w:val="left"/>
            </w:pPr>
            <w:r>
              <w:rPr>
                <w:rFonts w:cs="Calibri" w:ascii="Calibri" w:hAnsi="Calibri" w:eastAsia="Calibri"/>
                <w:color w:val="2B3942"/>
                <w:sz w:val="19"/>
                <w:szCs w:val="19"/>
                <w:lang w:val="en-CA" w:eastAsia="en-CA" w:bidi="ar-SA"/>
              </w:rPr>
              <w:t>Finding within fourteen (14) days</w:t>
            </w:r>
          </w:p>
        </w:tc>
      </w:tr>
      <w:tr>
        <w:trPr>
          <w:cantSplit w:val="1"/>
        </w:trPr>
        <w:tc>
          <w:tcPr>
            <w:tcW w:w="1845" w:type="dxa"/>
          </w:tcPr>
          <w:p>
            <w:pPr>
              <w:pStyle w:val="Normal"/>
              <w:spacing w:before="30" w:after="30" w:line="264" w:lineRule="auto"/>
              <w:jc w:val="left"/>
            </w:pPr>
            <w:r>
              <w:rPr>
                <w:rFonts w:cs="Calibri" w:ascii="Calibri" w:hAnsi="Calibri" w:eastAsia="Calibri"/>
                <w:color w:val="2B3942"/>
                <w:sz w:val="19"/>
                <w:szCs w:val="19"/>
                <w:lang w:val="en-CA" w:eastAsia="en-CA" w:bidi="ar-SA"/>
              </w:rPr>
              <w:t>Class 3, security event</w:t>
            </w:r>
          </w:p>
        </w:tc>
        <w:tc>
          <w:tcPr>
            <w:tcW w:w="1845" w:type="dxa"/>
          </w:tcPr>
          <w:p>
            <w:pPr>
              <w:pStyle w:val="Normal"/>
              <w:spacing w:before="30" w:after="30" w:line="264" w:lineRule="auto"/>
              <w:jc w:val="left"/>
            </w:pPr>
            <w:r>
              <w:rPr>
                <w:rFonts w:cs="Calibri" w:ascii="Calibri" w:hAnsi="Calibri" w:eastAsia="Calibri"/>
                <w:color w:val="2B3942"/>
                <w:sz w:val="19"/>
                <w:szCs w:val="19"/>
                <w:lang w:val="en-CA" w:eastAsia="en-CA" w:bidi="ar-SA"/>
              </w:rPr>
              <w:t>Immediate, all channels</w:t>
            </w:r>
          </w:p>
        </w:tc>
        <w:tc>
          <w:tcPr>
            <w:tcW w:w="1845" w:type="dxa"/>
          </w:tcPr>
          <w:p>
            <w:pPr>
              <w:pStyle w:val="Normal"/>
              <w:spacing w:before="30" w:after="30" w:line="264" w:lineRule="auto"/>
              <w:jc w:val="left"/>
            </w:pPr>
            <w:r>
              <w:rPr>
                <w:rFonts w:cs="Calibri" w:ascii="Calibri" w:hAnsi="Calibri" w:eastAsia="Calibri"/>
                <w:color w:val="2B3942"/>
                <w:sz w:val="19"/>
                <w:szCs w:val="19"/>
                <w:lang w:val="en-CA" w:eastAsia="en-CA" w:bidi="ar-SA"/>
              </w:rPr>
              <w:t>Evidence package within twenty-four (24) hours</w:t>
            </w:r>
          </w:p>
        </w:tc>
        <w:tc>
          <w:tcPr>
            <w:tcW w:w="1845" w:type="dxa"/>
          </w:tcPr>
          <w:p>
            <w:pPr>
              <w:pStyle w:val="Normal"/>
              <w:spacing w:before="30" w:after="30" w:line="264" w:lineRule="auto"/>
              <w:jc w:val="left"/>
            </w:pPr>
            <w:r>
              <w:rPr>
                <w:rFonts w:cs="Calibri" w:ascii="Calibri" w:hAnsi="Calibri" w:eastAsia="Calibri"/>
                <w:color w:val="2B3942"/>
                <w:sz w:val="19"/>
                <w:szCs w:val="19"/>
                <w:lang w:val="en-CA" w:eastAsia="en-CA" w:bidi="ar-SA"/>
              </w:rPr>
              <w:t>Joint investigation cell with observer participation</w:t>
            </w:r>
          </w:p>
        </w:tc>
        <w:tc>
          <w:tcPr>
            <w:tcW w:w="1846" w:type="dxa"/>
          </w:tcPr>
          <w:p>
            <w:pPr>
              <w:pStyle w:val="Normal"/>
              <w:spacing w:before="30" w:after="30" w:line="264" w:lineRule="auto"/>
              <w:jc w:val="left"/>
            </w:pPr>
            <w:r>
              <w:rPr>
                <w:rFonts w:cs="Calibri" w:ascii="Calibri" w:hAnsi="Calibri" w:eastAsia="Calibri"/>
                <w:color w:val="2B3942"/>
                <w:sz w:val="19"/>
                <w:szCs w:val="19"/>
                <w:lang w:val="en-CA" w:eastAsia="en-CA" w:bidi="ar-SA"/>
              </w:rPr>
              <w:t>Finding within fourteen (14) days</w:t>
            </w:r>
          </w:p>
        </w:tc>
      </w:tr>
      <w:tr>
        <w:trPr>
          <w:cantSplit w:val="1"/>
        </w:trPr>
        <w:tc>
          <w:tcPr>
            <w:tcW w:w="1845" w:type="dxa"/>
          </w:tcPr>
          <w:p>
            <w:pPr>
              <w:pStyle w:val="Normal"/>
              <w:spacing w:before="30" w:after="30" w:line="264" w:lineRule="auto"/>
              <w:jc w:val="left"/>
            </w:pPr>
            <w:r>
              <w:rPr>
                <w:rFonts w:cs="Calibri" w:ascii="Calibri" w:hAnsi="Calibri" w:eastAsia="Calibri"/>
                <w:color w:val="2B3942"/>
                <w:sz w:val="19"/>
                <w:szCs w:val="19"/>
                <w:lang w:val="en-CA" w:eastAsia="en-CA" w:bidi="ar-SA"/>
              </w:rPr>
              <w:t>Class 4, framework event</w:t>
            </w:r>
          </w:p>
        </w:tc>
        <w:tc>
          <w:tcPr>
            <w:tcW w:w="1845" w:type="dxa"/>
          </w:tcPr>
          <w:p>
            <w:pPr>
              <w:pStyle w:val="Normal"/>
              <w:spacing w:before="30" w:after="30" w:line="264" w:lineRule="auto"/>
              <w:jc w:val="left"/>
            </w:pPr>
            <w:r>
              <w:rPr>
                <w:rFonts w:cs="Calibri" w:ascii="Calibri" w:hAnsi="Calibri" w:eastAsia="Calibri"/>
                <w:color w:val="2B3942"/>
                <w:sz w:val="19"/>
                <w:szCs w:val="19"/>
                <w:lang w:val="en-CA" w:eastAsia="en-CA" w:bidi="ar-SA"/>
              </w:rPr>
              <w:t>Same day to the compliance register</w:t>
            </w:r>
          </w:p>
        </w:tc>
        <w:tc>
          <w:tcPr>
            <w:tcW w:w="1845" w:type="dxa"/>
          </w:tcPr>
          <w:p>
            <w:pPr>
              <w:pStyle w:val="Normal"/>
              <w:spacing w:before="30" w:after="30" w:line="264" w:lineRule="auto"/>
              <w:jc w:val="left"/>
            </w:pPr>
            <w:r>
              <w:rPr>
                <w:rFonts w:cs="Calibri" w:ascii="Calibri" w:hAnsi="Calibri" w:eastAsia="Calibri"/>
                <w:color w:val="2B3942"/>
                <w:sz w:val="19"/>
                <w:szCs w:val="19"/>
                <w:lang w:val="en-CA" w:eastAsia="en-CA" w:bidi="ar-SA"/>
              </w:rPr>
              <w:t>Evidence package within seventy-two (72) hours</w:t>
            </w:r>
          </w:p>
        </w:tc>
        <w:tc>
          <w:tcPr>
            <w:tcW w:w="1845" w:type="dxa"/>
          </w:tcPr>
          <w:p>
            <w:pPr>
              <w:pStyle w:val="Normal"/>
              <w:spacing w:before="30" w:after="30" w:line="264" w:lineRule="auto"/>
              <w:jc w:val="left"/>
            </w:pPr>
            <w:r>
              <w:rPr>
                <w:rFonts w:cs="Calibri" w:ascii="Calibri" w:hAnsi="Calibri" w:eastAsia="Calibri"/>
                <w:color w:val="2B3942"/>
                <w:sz w:val="19"/>
                <w:szCs w:val="19"/>
                <w:lang w:val="en-CA" w:eastAsia="en-CA" w:bidi="ar-SA"/>
              </w:rPr>
              <w:t>Per Article 28</w:t>
            </w:r>
          </w:p>
        </w:tc>
        <w:tc>
          <w:tcPr>
            <w:tcW w:w="1846" w:type="dxa"/>
          </w:tcPr>
          <w:p>
            <w:pPr>
              <w:pStyle w:val="Normal"/>
              <w:spacing w:before="30" w:after="30" w:line="264" w:lineRule="auto"/>
              <w:jc w:val="left"/>
            </w:pPr>
            <w:r>
              <w:rPr>
                <w:rFonts w:cs="Calibri" w:ascii="Calibri" w:hAnsi="Calibri" w:eastAsia="Calibri"/>
                <w:color w:val="2B3942"/>
                <w:sz w:val="19"/>
                <w:szCs w:val="19"/>
                <w:lang w:val="en-CA" w:eastAsia="en-CA" w:bidi="ar-SA"/>
              </w:rPr>
              <w:t>Per the convergence standard</w:t>
            </w:r>
          </w:p>
        </w:tc>
      </w:tr>
    </w:tbl>
    <w:p>
      <w:pPr>
        <w:pStyle w:val="Normal"/>
      </w:pPr>
    </w:p>
    <w:p>
      <w:pPr>
        <w:pStyle w:val="Heading3"/>
      </w:pPr>
      <w:r>
        <w:rPr>
          <w:rFonts w:cs="Calibri" w:ascii="Calibri" w:hAnsi="Calibri" w:eastAsia="Calibri"/>
          <w:szCs w:val="25"/>
          <w:lang w:val="en-CA" w:eastAsia="en-CA" w:bidi="ar-SA"/>
          <w:b/>
          <w:color w:val="8A6D2F"/>
          <w:sz w:val="25"/>
        </w:rPr>
        <w:t>G.2 The Initial Report Form</w:t>
      </w:r>
    </w:p>
    <w:p>
      <w:pPr>
        <w:pStyle w:val="Normal"/>
      </w:pPr>
      <w:r>
        <w:rPr>
          <w:rFonts w:cs="Calibri" w:ascii="Calibri" w:hAnsi="Calibri" w:eastAsia="Calibri"/>
          <w:szCs w:val="23"/>
          <w:lang w:val="en-CA" w:eastAsia="en-CA" w:bidi="ar-SA"/>
          <w:color w:val="212B32"/>
          <w:sz w:val="23"/>
        </w:rPr>
        <w:t>The initial report carries: reporting source and contact; event class and time; position in the geodetic standard of Annex A; vessels, craft, or aircraft involved with identifiers; persons affected; environmental involvement; assistance requested or delivered; identification broadcast extract where available; and the reporter's narrative. The form exists in the languages of the Framework, and a report in any of them activates the same procedure.</w:t>
      </w:r>
    </w:p>
    <w:p>
      <w:pPr>
        <w:pStyle w:val="Heading3"/>
      </w:pPr>
      <w:r>
        <w:rPr>
          <w:szCs w:val="25"/>
          <w:lang w:val="en-CA" w:eastAsia="en-CA" w:bidi="ar-SA"/>
          <w:rFonts w:ascii="Calibri" w:eastAsia="Calibri" w:hAnsi="Calibri" w:cs="Calibri"/>
          <w:b/>
          <w:color w:val="8A6D2F"/>
          <w:sz w:val="25"/>
        </w:rPr>
        <w:t>G.3 Evidence Standards</w:t>
      </w:r>
    </w:p>
    <w:p>
      <w:pPr>
        <w:pStyle w:val="Normal"/>
      </w:pPr>
      <w:r>
        <w:rPr>
          <w:rFonts w:cs="Calibri" w:ascii="Calibri" w:hAnsi="Calibri" w:eastAsia="Calibri"/>
          <w:szCs w:val="23"/>
          <w:lang w:val="en-CA" w:eastAsia="en-CA" w:bidi="ar-SA"/>
          <w:color w:val="212B32"/>
          <w:sz w:val="23"/>
        </w:rPr>
        <w:t>Evidence packages carry time-stamped material appropriate to the event: track extracts and radar recordings for navigation events; patrol and observer reports for security events; imagery for position and damage questions; message logs for communication questions; and forensic material for casualty investigation. A report lacking the required evidence enters the log without triggering any clock, and the receiving body notifies the reporter of the deficiency within two (2) hours.</w:t>
      </w:r>
    </w:p>
    <w:p>
      <w:pPr>
        <w:pStyle w:val="Heading3"/>
      </w:pPr>
      <w:r>
        <w:rPr>
          <w:rFonts w:cs="Calibri" w:ascii="Calibri" w:hAnsi="Calibri" w:eastAsia="Calibri"/>
          <w:szCs w:val="25"/>
          <w:lang w:val="en-CA" w:eastAsia="en-CA" w:bidi="ar-SA"/>
          <w:b/>
          <w:color w:val="8A6D2F"/>
          <w:sz w:val="25"/>
        </w:rPr>
        <w:t>G.4 The Joint Investigation Cell</w:t>
      </w:r>
    </w:p>
    <w:p>
      <w:pPr>
        <w:pStyle w:val="Normal"/>
      </w:pPr>
      <w:r>
        <w:rPr>
          <w:rFonts w:cs="Calibri" w:ascii="Calibri" w:hAnsi="Calibri" w:eastAsia="Calibri"/>
          <w:szCs w:val="23"/>
          <w:lang w:val="en-CA" w:eastAsia="en-CA" w:bidi="ar-SA"/>
          <w:color w:val="212B32"/>
          <w:sz w:val="23"/>
        </w:rPr>
        <w:t>The cell comprises two investigators per Party, observer advisers, and technical specialists as the event requires. The cell works at the Center or at the scene, holds custody of the evidence package under the dual-copy rule, and issues the factual finding of Article 27.3. The finding states facts, sequence, and proximate cause; it assigns no legal liability; it publishes on the dashboard with its evidence annex, subject to the privacy rules of Annex O. A divided cell issues a finding recording both positions with their evidence, and the dispute ladder of Article 30 takes the question forward.</w:t>
      </w:r>
    </w:p>
    <w:p>
      <w:pPr>
        <w:pStyle w:val="Heading3"/>
      </w:pPr>
      <w:r>
        <w:rPr>
          <w:rFonts w:cs="Calibri" w:ascii="Calibri" w:hAnsi="Calibri" w:eastAsia="Calibri"/>
          <w:szCs w:val="25"/>
          <w:lang w:val="en-CA" w:eastAsia="en-CA" w:bidi="ar-SA"/>
          <w:b/>
          <w:color w:val="8A6D2F"/>
          <w:sz w:val="25"/>
        </w:rPr>
        <w:t>G.5 The Complaints Channel</w:t>
      </w:r>
    </w:p>
    <w:p>
      <w:pPr>
        <w:pStyle w:val="Normal"/>
      </w:pPr>
      <w:r>
        <w:rPr>
          <w:rFonts w:cs="Calibri" w:ascii="Calibri" w:hAnsi="Calibri" w:eastAsia="Calibri"/>
          <w:szCs w:val="23"/>
          <w:lang w:val="en-CA" w:eastAsia="en-CA" w:bidi="ar-SA"/>
          <w:color w:val="212B32"/>
          <w:sz w:val="23"/>
        </w:rPr>
        <w:t>Any vessel, operator, insurer, or stakeholder files a complaint about any operation of the architecture, including any suspected breach of the toll-free guarantee, through the complaints channel of the dashboard portal. The Administrator acknowledges within twenty-four (24) hours, investigates within fourteen (14) days, and publishes the outcome class. Complaints touching Article 17 route simultaneously to the Auditor, and the annual audit report carries the complaints statistics.</w:t>
      </w:r>
    </w:p>
    <w:p>
      <w:pPr>
        <w:pStyle w:val="Heading2"/>
      </w:pPr>
      <w:bookmarkStart w:id="108" w:name="_Toc1055"/>
      <w:bookmarkStart w:id="109" w:name="_Toc235667486"/>
      <w:r>
        <w:rPr>
          <w:rFonts w:cs="Cambria" w:ascii="Cambria" w:hAnsi="Cambria" w:eastAsia="Cambria"/>
          <w:szCs w:val="30"/>
          <w:lang w:val="en-CA" w:eastAsia="en-CA" w:bidi="ar-SA"/>
          <w:color w:val="212B32"/>
          <w:b/>
          <w:sz w:val="30"/>
        </w:rPr>
        <w:t>Annex H: Environmental Standards and Pollution Response Plan</w:t>
      </w:r>
      <w:bookmarkEnd w:id="108"/>
      <w:bookmarkEnd w:id="109"/>
    </w:p>
    <w:p>
      <w:pPr>
        <w:pStyle w:val="Normal"/>
      </w:pPr>
      <w:r>
        <w:rPr>
          <w:rFonts w:cs="Calibri" w:ascii="Calibri" w:hAnsi="Calibri" w:eastAsia="Calibri"/>
          <w:szCs w:val="23"/>
          <w:lang w:val="en-CA" w:eastAsia="en-CA" w:bidi="ar-SA"/>
          <w:color w:val="212B32"/>
          <w:sz w:val="23"/>
        </w:rPr>
        <w:t>This annex fixes the environmental standards, the monitoring program, the sensitive areas, and the pollution response plan of Article 25.</w:t>
      </w:r>
    </w:p>
    <w:p>
      <w:pPr>
        <w:pStyle w:val="Heading3"/>
      </w:pPr>
      <w:r>
        <w:rPr>
          <w:szCs w:val="25"/>
          <w:lang w:val="en-CA" w:eastAsia="en-CA" w:bidi="ar-SA"/>
          <w:rFonts w:ascii="Calibri" w:eastAsia="Calibri" w:hAnsi="Calibri" w:cs="Calibri"/>
          <w:b/>
          <w:color w:val="8A6D2F"/>
          <w:sz w:val="25"/>
        </w:rPr>
        <w:t>H.1 Standards</w:t>
      </w:r>
    </w:p>
    <w:p>
      <w:pPr>
        <w:pStyle w:val="Normal"/>
      </w:pPr>
      <w:r>
        <w:rPr>
          <w:rFonts w:cs="Calibri" w:ascii="Calibri" w:hAnsi="Calibri" w:eastAsia="Calibri"/>
          <w:szCs w:val="23"/>
          <w:lang w:val="en-CA" w:eastAsia="en-CA" w:bidi="ar-SA"/>
          <w:color w:val="212B32"/>
          <w:sz w:val="23"/>
        </w:rPr>
        <w:t>The corridor system applies the discharge and emissions standards of the international convention for the prevention of pollution from ships as the operative standard for monitoring and referral, applied identically to every vessel class and flag. Ballast water management reporting applies to port-bound traffic under the port state rules of the destination, with the corridor architecture carrying the reporting channel.</w:t>
      </w:r>
    </w:p>
    <w:p>
      <w:pPr>
        <w:pStyle w:val="Heading3"/>
      </w:pPr>
      <w:r>
        <w:rPr>
          <w:rFonts w:cs="Calibri" w:ascii="Calibri" w:hAnsi="Calibri" w:eastAsia="Calibri"/>
          <w:szCs w:val="25"/>
          <w:lang w:val="en-CA" w:eastAsia="en-CA" w:bidi="ar-SA"/>
          <w:b/>
          <w:color w:val="8A6D2F"/>
          <w:sz w:val="25"/>
        </w:rPr>
        <w:t>H.2 Sensitive Areas</w:t>
      </w:r>
    </w:p>
    <w:p>
      <w:pPr>
        <w:pStyle w:val="Normal"/>
        <w:spacing w:before="120" w:after="0"/>
      </w:pPr>
    </w:p>
    <w:tbl>
      <w:tblPr>
        <w:tblStyle w:val="TableNormal"/>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3074"/>
        <w:gridCol w:w="3075"/>
        <w:gridCol w:w="3077"/>
      </w:tblGrid>
      <w:tr>
        <w:trPr>
          <w:cantSplit w:val="1"/>
          <w:tblHeader w:val="1"/>
        </w:trPr>
        <w:tc>
          <w:tcPr>
            <w:tcW w:w="3074"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Area</w:t>
            </w:r>
          </w:p>
        </w:tc>
        <w:tc>
          <w:tcPr>
            <w:tcW w:w="3075"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Position Reference</w:t>
            </w:r>
          </w:p>
        </w:tc>
        <w:tc>
          <w:tcPr>
            <w:tcW w:w="3077"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Standing Advisory</w:t>
            </w:r>
          </w:p>
        </w:tc>
      </w:tr>
      <w:tr>
        <w:trPr>
          <w:cantSplit w:val="1"/>
        </w:trPr>
        <w:tc>
          <w:tcPr>
            <w:tcW w:w="3074" w:type="dxa"/>
          </w:tcPr>
          <w:p>
            <w:pPr>
              <w:pStyle w:val="Normal"/>
              <w:spacing w:before="30" w:after="30" w:line="264" w:lineRule="auto"/>
              <w:jc w:val="left"/>
            </w:pPr>
            <w:r>
              <w:rPr>
                <w:rFonts w:cs="Calibri" w:ascii="Calibri" w:hAnsi="Calibri" w:eastAsia="Calibri"/>
                <w:color w:val="2B3942"/>
                <w:sz w:val="19"/>
                <w:szCs w:val="19"/>
                <w:lang w:val="en-CA" w:eastAsia="en-CA" w:bidi="ar-SA"/>
              </w:rPr>
              <w:t>Musandam coral zones</w:t>
            </w:r>
          </w:p>
        </w:tc>
        <w:tc>
          <w:tcPr>
            <w:tcW w:w="3075" w:type="dxa"/>
          </w:tcPr>
          <w:p>
            <w:pPr>
              <w:pStyle w:val="Normal"/>
              <w:spacing w:before="30" w:after="30" w:line="264" w:lineRule="auto"/>
              <w:jc w:val="left"/>
            </w:pPr>
            <w:r>
              <w:rPr>
                <w:rFonts w:cs="Calibri" w:ascii="Calibri" w:hAnsi="Calibri" w:eastAsia="Calibri"/>
                <w:color w:val="2B3942"/>
                <w:sz w:val="19"/>
                <w:szCs w:val="19"/>
                <w:lang w:val="en-CA" w:eastAsia="en-CA" w:bidi="ar-SA"/>
              </w:rPr>
              <w:t>26°12.0' N to 26°18.0' N, 056°20.0' E to 056°30.0' E</w:t>
            </w:r>
          </w:p>
        </w:tc>
        <w:tc>
          <w:tcPr>
            <w:tcW w:w="3077" w:type="dxa"/>
          </w:tcPr>
          <w:p>
            <w:pPr>
              <w:pStyle w:val="Normal"/>
              <w:spacing w:before="30" w:after="30" w:line="264" w:lineRule="auto"/>
              <w:jc w:val="left"/>
            </w:pPr>
            <w:r>
              <w:rPr>
                <w:rFonts w:cs="Calibri" w:ascii="Calibri" w:hAnsi="Calibri" w:eastAsia="Calibri"/>
                <w:color w:val="2B3942"/>
                <w:sz w:val="19"/>
                <w:szCs w:val="19"/>
                <w:lang w:val="en-CA" w:eastAsia="en-CA" w:bidi="ar-SA"/>
              </w:rPr>
              <w:t>Speed advisory of twelve (12) knots for vessels outside the lanes; no anchoring outside designated areas</w:t>
            </w:r>
          </w:p>
        </w:tc>
      </w:tr>
      <w:tr>
        <w:trPr>
          <w:cantSplit w:val="1"/>
        </w:trPr>
        <w:tc>
          <w:tcPr>
            <w:tcW w:w="3074" w:type="dxa"/>
          </w:tcPr>
          <w:p>
            <w:pPr>
              <w:pStyle w:val="Normal"/>
              <w:spacing w:before="30" w:after="30" w:line="264" w:lineRule="auto"/>
              <w:jc w:val="left"/>
            </w:pPr>
            <w:r>
              <w:rPr>
                <w:rFonts w:cs="Calibri" w:ascii="Calibri" w:hAnsi="Calibri" w:eastAsia="Calibri"/>
                <w:color w:val="2B3942"/>
                <w:sz w:val="19"/>
                <w:szCs w:val="19"/>
                <w:lang w:val="en-CA" w:eastAsia="en-CA" w:bidi="ar-SA"/>
              </w:rPr>
              <w:t>Qeshm mangrove stands</w:t>
            </w:r>
          </w:p>
        </w:tc>
        <w:tc>
          <w:tcPr>
            <w:tcW w:w="3075" w:type="dxa"/>
          </w:tcPr>
          <w:p>
            <w:pPr>
              <w:pStyle w:val="Normal"/>
              <w:spacing w:before="30" w:after="30" w:line="264" w:lineRule="auto"/>
              <w:jc w:val="left"/>
            </w:pPr>
            <w:r>
              <w:rPr>
                <w:rFonts w:cs="Calibri" w:ascii="Calibri" w:hAnsi="Calibri" w:eastAsia="Calibri"/>
                <w:color w:val="2B3942"/>
                <w:sz w:val="19"/>
                <w:szCs w:val="19"/>
                <w:lang w:val="en-CA" w:eastAsia="en-CA" w:bidi="ar-SA"/>
              </w:rPr>
              <w:t>26°50.0' N to 27°00.0' N, 055°45.0' E to 056°00.0' E</w:t>
            </w:r>
          </w:p>
        </w:tc>
        <w:tc>
          <w:tcPr>
            <w:tcW w:w="3077" w:type="dxa"/>
          </w:tcPr>
          <w:p>
            <w:pPr>
              <w:pStyle w:val="Normal"/>
              <w:spacing w:before="30" w:after="30" w:line="264" w:lineRule="auto"/>
              <w:jc w:val="left"/>
            </w:pPr>
            <w:r>
              <w:rPr>
                <w:rFonts w:cs="Calibri" w:ascii="Calibri" w:hAnsi="Calibri" w:eastAsia="Calibri"/>
                <w:color w:val="2B3942"/>
                <w:sz w:val="19"/>
                <w:szCs w:val="19"/>
                <w:lang w:val="en-CA" w:eastAsia="en-CA" w:bidi="ar-SA"/>
              </w:rPr>
              <w:t>Routing advisory outside the two (2) NM coastal band</w:t>
            </w:r>
          </w:p>
        </w:tc>
      </w:tr>
      <w:tr>
        <w:trPr>
          <w:cantSplit w:val="1"/>
        </w:trPr>
        <w:tc>
          <w:tcPr>
            <w:tcW w:w="3074" w:type="dxa"/>
          </w:tcPr>
          <w:p>
            <w:pPr>
              <w:pStyle w:val="Normal"/>
              <w:spacing w:before="30" w:after="30" w:line="264" w:lineRule="auto"/>
              <w:jc w:val="left"/>
            </w:pPr>
            <w:r>
              <w:rPr>
                <w:rFonts w:cs="Calibri" w:ascii="Calibri" w:hAnsi="Calibri" w:eastAsia="Calibri"/>
                <w:color w:val="2B3942"/>
                <w:sz w:val="19"/>
                <w:szCs w:val="19"/>
                <w:lang w:val="en-CA" w:eastAsia="en-CA" w:bidi="ar-SA"/>
              </w:rPr>
              <w:t>Larak turtle nesting beaches</w:t>
            </w:r>
          </w:p>
        </w:tc>
        <w:tc>
          <w:tcPr>
            <w:tcW w:w="3075" w:type="dxa"/>
          </w:tcPr>
          <w:p>
            <w:pPr>
              <w:pStyle w:val="Normal"/>
              <w:spacing w:before="30" w:after="30" w:line="264" w:lineRule="auto"/>
              <w:jc w:val="left"/>
            </w:pPr>
            <w:r>
              <w:rPr>
                <w:rFonts w:cs="Calibri" w:ascii="Calibri" w:hAnsi="Calibri" w:eastAsia="Calibri"/>
                <w:color w:val="2B3942"/>
                <w:sz w:val="19"/>
                <w:szCs w:val="19"/>
                <w:lang w:val="en-CA" w:eastAsia="en-CA" w:bidi="ar-SA"/>
              </w:rPr>
              <w:t>26°51.0' N to 26°56.0' N, 056°18.0' E to 056°24.0' E</w:t>
            </w:r>
          </w:p>
        </w:tc>
        <w:tc>
          <w:tcPr>
            <w:tcW w:w="3077" w:type="dxa"/>
          </w:tcPr>
          <w:p>
            <w:pPr>
              <w:pStyle w:val="Normal"/>
              <w:spacing w:before="30" w:after="30" w:line="264" w:lineRule="auto"/>
              <w:jc w:val="left"/>
            </w:pPr>
            <w:r>
              <w:rPr>
                <w:rFonts w:cs="Calibri" w:ascii="Calibri" w:hAnsi="Calibri" w:eastAsia="Calibri"/>
                <w:color w:val="2B3942"/>
                <w:sz w:val="19"/>
                <w:szCs w:val="19"/>
                <w:lang w:val="en-CA" w:eastAsia="en-CA" w:bidi="ar-SA"/>
              </w:rPr>
              <w:t>Seasonal speed advisory, March through August, ten (10) knots in the coastal band</w:t>
            </w:r>
          </w:p>
        </w:tc>
      </w:tr>
      <w:tr>
        <w:trPr>
          <w:cantSplit w:val="1"/>
        </w:trPr>
        <w:tc>
          <w:tcPr>
            <w:tcW w:w="3074" w:type="dxa"/>
          </w:tcPr>
          <w:p>
            <w:pPr>
              <w:pStyle w:val="Normal"/>
              <w:spacing w:before="30" w:after="30" w:line="264" w:lineRule="auto"/>
              <w:jc w:val="left"/>
            </w:pPr>
            <w:r>
              <w:rPr>
                <w:rFonts w:cs="Calibri" w:ascii="Calibri" w:hAnsi="Calibri" w:eastAsia="Calibri"/>
                <w:color w:val="2B3942"/>
                <w:sz w:val="19"/>
                <w:szCs w:val="19"/>
                <w:lang w:val="en-CA" w:eastAsia="en-CA" w:bidi="ar-SA"/>
              </w:rPr>
              <w:t>Hengam Island waters</w:t>
            </w:r>
          </w:p>
        </w:tc>
        <w:tc>
          <w:tcPr>
            <w:tcW w:w="3075" w:type="dxa"/>
          </w:tcPr>
          <w:p>
            <w:pPr>
              <w:pStyle w:val="Normal"/>
              <w:spacing w:before="30" w:after="30" w:line="264" w:lineRule="auto"/>
              <w:jc w:val="left"/>
            </w:pPr>
            <w:r>
              <w:rPr>
                <w:rFonts w:cs="Calibri" w:ascii="Calibri" w:hAnsi="Calibri" w:eastAsia="Calibri"/>
                <w:color w:val="2B3942"/>
                <w:sz w:val="19"/>
                <w:szCs w:val="19"/>
                <w:lang w:val="en-CA" w:eastAsia="en-CA" w:bidi="ar-SA"/>
              </w:rPr>
              <w:t>26°38.0' N to 26°42.0' N, 055°52.0' E to 056°02.0' E</w:t>
            </w:r>
          </w:p>
        </w:tc>
        <w:tc>
          <w:tcPr>
            <w:tcW w:w="3077" w:type="dxa"/>
          </w:tcPr>
          <w:p>
            <w:pPr>
              <w:pStyle w:val="Normal"/>
              <w:spacing w:before="30" w:after="30" w:line="264" w:lineRule="auto"/>
              <w:jc w:val="left"/>
            </w:pPr>
            <w:r>
              <w:rPr>
                <w:rFonts w:cs="Calibri" w:ascii="Calibri" w:hAnsi="Calibri" w:eastAsia="Calibri"/>
                <w:color w:val="2B3942"/>
                <w:sz w:val="19"/>
                <w:szCs w:val="19"/>
                <w:lang w:val="en-CA" w:eastAsia="en-CA" w:bidi="ar-SA"/>
              </w:rPr>
              <w:t>Anchoring advisory; response asset pre-positioning in season</w:t>
            </w:r>
          </w:p>
        </w:tc>
      </w:tr>
    </w:tbl>
    <w:p>
      <w:pPr>
        <w:pStyle w:val="Normal"/>
      </w:pPr>
    </w:p>
    <w:p>
      <w:pPr>
        <w:pStyle w:val="Heading3"/>
      </w:pPr>
      <w:r>
        <w:rPr>
          <w:rFonts w:cs="Calibri" w:ascii="Calibri" w:hAnsi="Calibri" w:eastAsia="Calibri"/>
          <w:szCs w:val="25"/>
          <w:lang w:val="en-CA" w:eastAsia="en-CA" w:bidi="ar-SA"/>
          <w:b/>
          <w:color w:val="8A6D2F"/>
          <w:sz w:val="25"/>
        </w:rPr>
        <w:t>H.3 The Monitoring Program</w:t>
      </w:r>
    </w:p>
    <w:p>
      <w:pPr>
        <w:pStyle w:val="Normal"/>
      </w:pPr>
      <w:r>
        <w:rPr>
          <w:rFonts w:cs="Calibri" w:ascii="Calibri" w:hAnsi="Calibri" w:eastAsia="Calibri"/>
          <w:szCs w:val="23"/>
          <w:lang w:val="en-CA" w:eastAsia="en-CA" w:bidi="ar-SA"/>
          <w:color w:val="212B32"/>
          <w:sz w:val="23"/>
        </w:rPr>
        <w:t>The program comprises: water quality sampling at twelve (12) published stations across the Operating Area, sampled quarterly; shoreline sensitivity mapping, resurveyed every three (3) years; slick screening by radar and satellite observation of the traffic stream, continuous; and the annual state-of-the-strait environmental report, published on the dashboard. The monitoring program operates jointly, with stations assigned to the nearer administration and data shared under the dual-copy rule.</w:t>
      </w:r>
    </w:p>
    <w:p>
      <w:pPr>
        <w:pStyle w:val="Heading3"/>
      </w:pPr>
      <w:r>
        <w:rPr>
          <w:szCs w:val="25"/>
          <w:lang w:val="en-CA" w:eastAsia="en-CA" w:bidi="ar-SA"/>
          <w:rFonts w:ascii="Calibri" w:eastAsia="Calibri" w:hAnsi="Calibri" w:cs="Calibri"/>
          <w:b/>
          <w:color w:val="8A6D2F"/>
          <w:sz w:val="25"/>
        </w:rPr>
        <w:t>H.4 The Response Plan</w:t>
      </w:r>
    </w:p>
    <w:p>
      <w:pPr>
        <w:pStyle w:val="Normal"/>
      </w:pPr>
      <w:r>
        <w:rPr>
          <w:rFonts w:cs="Calibri" w:ascii="Calibri" w:hAnsi="Calibri" w:eastAsia="Calibri"/>
          <w:szCs w:val="23"/>
          <w:lang w:val="en-CA" w:eastAsia="en-CA" w:bidi="ar-SA"/>
          <w:color w:val="212B32"/>
          <w:sz w:val="23"/>
        </w:rPr>
        <w:t>The response plan scales in three tiers. Tier one, operational spills up to ten (10) tonnes: the nearest patrol craft with portable equipment, one (1) hour response. Tier two, medium events to one hundred (100) tonnes: the sector response unit with pre-positioned stocks, four (4) hour full deployment. Tier three, major casualty: the full plan with the standby salvage contract, the joint response command, and international assistance activation under the standing arrangements. The joint response command activates under a single incident commander drawn from the administration of the sector, with the units of the other States Parties under liaison, and response begins on detection, never on fault or payment questions. Response costs recover through the Fund's environmental reserve in the first instance, with recourse against the polluter under the law the jurisdictions provide, pursued by the Administrator on the Fund's behalf.</w:t>
      </w:r>
    </w:p>
    <w:p>
      <w:pPr>
        <w:pStyle w:val="Heading3"/>
      </w:pPr>
      <w:r>
        <w:rPr>
          <w:szCs w:val="24"/>
          <w:lang w:val="en-CA" w:eastAsia="en-CA" w:bidi="ar-SA"/>
          <w:rFonts w:ascii="Calibri" w:eastAsia="Microsoft YaHei" w:hAnsi="Calibri" w:cs="Calibri"/>
          <w:b/>
          <w:color w:val="8A6D2F"/>
          <w:sz w:val="25"/>
        </w:rPr>
        <w:t>H.5 Equipment and Readiness</w:t>
      </w:r>
    </w:p>
    <w:p>
      <w:pPr>
        <w:pStyle w:val="Normal"/>
      </w:pPr>
      <w:r>
        <w:rPr>
          <w:szCs w:val="24"/>
          <w:lang w:val="en-CA" w:eastAsia="en-CA" w:bidi="ar-SA"/>
          <w:rFonts w:ascii="Calibri" w:eastAsia="Microsoft YaHei" w:hAnsi="Calibri" w:cs="Calibri"/>
          <w:color w:val="212B32"/>
          <w:sz w:val="23"/>
        </w:rPr>
        <w:t>Pre-positioned stocks stand at Bandar Abbas and Khasab: boom, skimmers, dispersant, absorbent, and portable storage, at the inventory levels of the registry. The inventory audits quarterly, the drills run on the exercise calendar of Annex I, and the readiness statistics publish on the dashboard.</w:t>
      </w:r>
    </w:p>
    <w:p>
      <w:pPr>
        <w:pStyle w:val="Heading2"/>
      </w:pPr>
      <w:bookmarkStart w:id="110" w:name="_Toc235667487"/>
      <w:bookmarkStart w:id="111" w:name="_Toc1056"/>
      <w:r>
        <w:rPr>
          <w:szCs w:val="24"/>
          <w:lang w:val="en-CA" w:eastAsia="en-CA" w:bidi="ar-SA"/>
          <w:color w:val="212B32"/>
          <w:rFonts w:ascii="Cambria" w:hAnsi="Cambria" w:eastAsia="Cambria" w:cs="Cambria"/>
          <w:b/>
          <w:sz w:val="30"/>
        </w:rPr>
        <w:t>Annex I: Search and Rescue Operations Plan</w:t>
      </w:r>
      <w:bookmarkEnd w:id="110"/>
      <w:bookmarkEnd w:id="111"/>
    </w:p>
    <w:p>
      <w:pPr>
        <w:pStyle w:val="Normal"/>
      </w:pPr>
      <w:r>
        <w:rPr>
          <w:szCs w:val="24"/>
          <w:lang w:val="en-CA" w:eastAsia="en-CA" w:bidi="ar-SA"/>
          <w:rFonts w:ascii="Calibri" w:eastAsia="Microsoft YaHei" w:hAnsi="Calibri" w:cs="Calibri"/>
          <w:color w:val="212B32"/>
          <w:sz w:val="23"/>
        </w:rPr>
        <w:t>This annex fixes the search and rescue plan of Article 24 for the Operating Area.</w:t>
      </w:r>
    </w:p>
    <w:p>
      <w:pPr>
        <w:pStyle w:val="Heading3"/>
      </w:pPr>
      <w:r>
        <w:rPr>
          <w:szCs w:val="24"/>
          <w:lang w:val="en-CA" w:eastAsia="en-CA" w:bidi="ar-SA"/>
          <w:rFonts w:ascii="Calibri" w:eastAsia="Microsoft YaHei" w:hAnsi="Calibri" w:cs="Calibri"/>
          <w:b/>
          <w:color w:val="8A6D2F"/>
          <w:sz w:val="25"/>
        </w:rPr>
        <w:t>I.1 Rescue Sectors</w:t>
      </w:r>
    </w:p>
    <w:p>
      <w:pPr>
        <w:pStyle w:val="Normal"/>
      </w:pPr>
      <w:r>
        <w:rPr>
          <w:szCs w:val="24"/>
          <w:lang w:val="en-CA" w:eastAsia="en-CA" w:bidi="ar-SA"/>
          <w:rFonts w:ascii="Calibri" w:eastAsia="Microsoft YaHei" w:hAnsi="Calibri" w:cs="Calibri"/>
          <w:color w:val="212B32"/>
          <w:sz w:val="23"/>
        </w:rPr>
        <w:t>The rescue architecture divides the Operating Area into two execution sectors at the corridor system midline, with the Center holding the coordination function for the whole area and seamless handover between sectors. The Omani Maritime Rescue Sub-Center executes in the southern sector; the Iranian Maritime Rescue Sub-Center executes in the northern sector. A distress near the boundary draws the nearest capable unit regardless of sector, and the incident commander designates on the distress call's facts, never on the map alone.</w:t>
      </w:r>
    </w:p>
    <w:p>
      <w:pPr>
        <w:pStyle w:val="Heading3"/>
      </w:pPr>
      <w:r>
        <w:rPr>
          <w:szCs w:val="24"/>
          <w:lang w:val="en-CA" w:eastAsia="en-CA" w:bidi="ar-SA"/>
          <w:rFonts w:ascii="Calibri" w:eastAsia="Microsoft YaHei" w:hAnsi="Calibri" w:cs="Calibri"/>
          <w:b/>
          <w:color w:val="8A6D2F"/>
          <w:sz w:val="25"/>
        </w:rPr>
        <w:t>I.2 Standing Assets</w:t>
      </w:r>
    </w:p>
    <w:p>
      <w:pPr>
        <w:pStyle w:val="Normal"/>
        <w:spacing w:before="120" w:after="0"/>
      </w:pPr>
    </w:p>
    <w:tbl>
      <w:tblPr>
        <w:tblStyle w:val="TableNormal"/>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3074"/>
        <w:gridCol w:w="3075"/>
        <w:gridCol w:w="3077"/>
      </w:tblGrid>
      <w:tr>
        <w:trPr>
          <w:cantSplit w:val="1"/>
          <w:tblHeader w:val="1"/>
        </w:trPr>
        <w:tc>
          <w:tcPr>
            <w:tcW w:w="3074" w:type="dxa"/>
            <w:shd w:val="clear" w:color="auto" w:fill="EFEAE0"/>
          </w:tcPr>
          <w:p>
            <w:pPr>
              <w:pStyle w:val="Normal"/>
              <w:spacing w:before="30" w:after="30" w:line="264" w:lineRule="auto"/>
              <w:jc w:val="left"/>
            </w:pPr>
            <w:r>
              <w:rPr>
                <w:b/>
                <w:color w:val="1F3A4D"/>
                <w:sz w:val="19"/>
                <w:szCs w:val="24"/>
                <w:lang w:val="en-CA" w:eastAsia="en-CA" w:bidi="ar-SA"/>
                <w:rFonts w:ascii="Calibri" w:eastAsia="Microsoft YaHei" w:hAnsi="Calibri" w:cs="Calibri"/>
              </w:rPr>
              <w:t>Station</w:t>
            </w:r>
          </w:p>
        </w:tc>
        <w:tc>
          <w:tcPr>
            <w:tcW w:w="3075" w:type="dxa"/>
            <w:shd w:val="clear" w:color="auto" w:fill="EFEAE0"/>
          </w:tcPr>
          <w:p>
            <w:pPr>
              <w:pStyle w:val="Normal"/>
              <w:spacing w:before="30" w:after="30" w:line="264" w:lineRule="auto"/>
              <w:jc w:val="left"/>
            </w:pPr>
            <w:r>
              <w:rPr>
                <w:b/>
                <w:color w:val="1F3A4D"/>
                <w:sz w:val="19"/>
                <w:szCs w:val="24"/>
                <w:lang w:val="en-CA" w:eastAsia="en-CA" w:bidi="ar-SA"/>
                <w:rFonts w:ascii="Calibri" w:eastAsia="Microsoft YaHei" w:hAnsi="Calibri" w:cs="Calibri"/>
              </w:rPr>
              <w:t>Asset</w:t>
            </w:r>
          </w:p>
        </w:tc>
        <w:tc>
          <w:tcPr>
            <w:tcW w:w="3077" w:type="dxa"/>
            <w:shd w:val="clear" w:color="auto" w:fill="EFEAE0"/>
          </w:tcPr>
          <w:p>
            <w:pPr>
              <w:pStyle w:val="Normal"/>
              <w:spacing w:before="30" w:after="30" w:line="264" w:lineRule="auto"/>
              <w:jc w:val="left"/>
            </w:pPr>
            <w:r>
              <w:rPr>
                <w:b/>
                <w:color w:val="1F3A4D"/>
                <w:sz w:val="19"/>
                <w:szCs w:val="24"/>
                <w:lang w:val="en-CA" w:eastAsia="en-CA" w:bidi="ar-SA"/>
                <w:rFonts w:ascii="Calibri" w:eastAsia="Microsoft YaHei" w:hAnsi="Calibri" w:cs="Calibri"/>
              </w:rPr>
              <w:t>Readiness</w:t>
            </w:r>
          </w:p>
        </w:tc>
      </w:tr>
      <w:tr>
        <w:trPr>
          <w:cantSplit w:val="1"/>
        </w:trPr>
        <w:tc>
          <w:tcPr>
            <w:tcW w:w="3074" w:type="dxa"/>
          </w:tcPr>
          <w:p>
            <w:pPr>
              <w:pStyle w:val="Normal"/>
              <w:spacing w:before="30" w:after="30" w:line="264" w:lineRule="auto"/>
              <w:jc w:val="left"/>
            </w:pPr>
            <w:r>
              <w:rPr>
                <w:szCs w:val="24"/>
                <w:lang w:val="en-CA" w:eastAsia="en-CA" w:bidi="ar-SA"/>
                <w:rFonts w:ascii="Calibri" w:eastAsia="Microsoft YaHei" w:hAnsi="Calibri" w:cs="Calibri"/>
                <w:color w:val="2B3942"/>
                <w:sz w:val="19"/>
              </w:rPr>
              <w:t>Bandar Abbas</w:t>
            </w:r>
          </w:p>
        </w:tc>
        <w:tc>
          <w:tcPr>
            <w:tcW w:w="3075"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Two (2) fast rescue craft, one (1) offshore patrol vessel with medical capability</w:t>
            </w:r>
          </w:p>
        </w:tc>
        <w:tc>
          <w:tcPr>
            <w:tcW w:w="3077"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Fifteen (15) minutes daylight, thirty (30) minutes night</w:t>
            </w:r>
          </w:p>
        </w:tc>
      </w:tr>
      <w:tr>
        <w:trPr>
          <w:cantSplit w:val="1"/>
        </w:trPr>
        <w:tc>
          <w:tcPr>
            <w:tcW w:w="3074"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Qeshm</w:t>
            </w:r>
          </w:p>
        </w:tc>
        <w:tc>
          <w:tcPr>
            <w:tcW w:w="3075"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Two (2) fast rescue craft</w:t>
            </w:r>
          </w:p>
        </w:tc>
        <w:tc>
          <w:tcPr>
            <w:tcW w:w="3077"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Fifteen (15) minutes daylight, thirty (30) minutes night</w:t>
            </w:r>
          </w:p>
        </w:tc>
      </w:tr>
      <w:tr>
        <w:trPr>
          <w:cantSplit w:val="1"/>
        </w:trPr>
        <w:tc>
          <w:tcPr>
            <w:tcW w:w="3074"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Khasab</w:t>
            </w:r>
          </w:p>
        </w:tc>
        <w:tc>
          <w:tcPr>
            <w:tcW w:w="3075"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Two (2) fast rescue craft, one (1) offshore patrol vessel with medical capability</w:t>
            </w:r>
          </w:p>
        </w:tc>
        <w:tc>
          <w:tcPr>
            <w:tcW w:w="3077"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Fifteen (15) minutes daylight, thirty (30) minutes night</w:t>
            </w:r>
          </w:p>
        </w:tc>
      </w:tr>
      <w:tr>
        <w:trPr>
          <w:cantSplit w:val="1"/>
        </w:trPr>
        <w:tc>
          <w:tcPr>
            <w:tcW w:w="3074"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Musandam approach</w:t>
            </w:r>
          </w:p>
        </w:tc>
        <w:tc>
          <w:tcPr>
            <w:tcW w:w="3075"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One (1) fast rescue craft, seasonal surge asset</w:t>
            </w:r>
          </w:p>
        </w:tc>
        <w:tc>
          <w:tcPr>
            <w:tcW w:w="3077"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Thirty (30) minutes</w:t>
            </w:r>
          </w:p>
        </w:tc>
      </w:tr>
    </w:tbl>
    <w:p>
      <w:pPr>
        <w:pStyle w:val="Normal"/>
      </w:pPr>
    </w:p>
    <w:p>
      <w:pPr>
        <w:pStyle w:val="Normal"/>
      </w:pPr>
      <w:r>
        <w:rPr>
          <w:szCs w:val="24"/>
          <w:lang w:val="en-CA" w:eastAsia="en-CA" w:bidi="ar-SA"/>
          <w:rFonts w:ascii="Calibri" w:eastAsia="Microsoft YaHei" w:hAnsi="Calibri" w:cs="Calibri"/>
          <w:color w:val="212B32"/>
          <w:sz w:val="23"/>
        </w:rPr>
        <w:t>Helicopter coverage operates under the standing arrangements of the administrations of the States Parties, with cross-deck familiarization under the exercise program. Medical evacuation routes to the receiving hospitals of the four coastal provinces under the published medevac protocol.</w:t>
      </w:r>
    </w:p>
    <w:p>
      <w:pPr>
        <w:pStyle w:val="Heading3"/>
      </w:pPr>
      <w:r>
        <w:rPr>
          <w:szCs w:val="24"/>
          <w:lang w:val="en-CA" w:eastAsia="en-CA" w:bidi="ar-SA"/>
          <w:rFonts w:ascii="Calibri" w:eastAsia="Microsoft YaHei" w:hAnsi="Calibri" w:cs="Calibri"/>
          <w:b/>
          <w:color w:val="8A6D2F"/>
          <w:sz w:val="25"/>
        </w:rPr>
        <w:t>I.3 The Mass Rescue Plan</w:t>
      </w:r>
    </w:p>
    <w:p>
      <w:pPr>
        <w:pStyle w:val="Normal"/>
      </w:pPr>
      <w:r>
        <w:rPr>
          <w:szCs w:val="24"/>
          <w:lang w:val="en-CA" w:eastAsia="en-CA" w:bidi="ar-SA"/>
          <w:rFonts w:ascii="Calibri" w:eastAsia="Microsoft YaHei" w:hAnsi="Calibri" w:cs="Calibri"/>
          <w:color w:val="212B32"/>
          <w:sz w:val="23"/>
        </w:rPr>
        <w:t>The mass rescue plan addresses a passenger vessel casualty in confined water: immediate traffic clearance of the affected sector, all available rescue craft of both administrations, helicopter winching under the joint procedures, shore reception at the published landing points, and casualty accounting through the Center. The plan exercises at full scale annually, and the exercise report publishes.</w:t>
      </w:r>
    </w:p>
    <w:p>
      <w:pPr>
        <w:pStyle w:val="Heading3"/>
      </w:pPr>
      <w:r>
        <w:rPr>
          <w:szCs w:val="24"/>
          <w:lang w:val="en-CA" w:eastAsia="en-CA" w:bidi="ar-SA"/>
          <w:rFonts w:ascii="Calibri" w:eastAsia="Microsoft YaHei" w:hAnsi="Calibri" w:cs="Calibri"/>
          <w:b/>
          <w:color w:val="8A6D2F"/>
          <w:sz w:val="25"/>
        </w:rPr>
        <w:t>I.4 The Exercise Calendar</w:t>
      </w:r>
    </w:p>
    <w:p>
      <w:pPr>
        <w:pStyle w:val="Normal"/>
      </w:pPr>
      <w:r>
        <w:rPr>
          <w:szCs w:val="24"/>
          <w:lang w:val="en-CA" w:eastAsia="en-CA" w:bidi="ar-SA"/>
          <w:rFonts w:ascii="Calibri" w:eastAsia="Microsoft YaHei" w:hAnsi="Calibri" w:cs="Calibri"/>
          <w:color w:val="212B32"/>
          <w:sz w:val="23"/>
        </w:rPr>
        <w:t>Joint exercises run quarterly, alternating sectors and scenario classes: tanker fire, gas carrier release, passenger evacuation, small craft capsizing, helicopter ditching, and pollution response integration. Each exercise carries observer participation and a published report, and the lessons fold into this annex through the technical correction procedure.</w:t>
      </w:r>
    </w:p>
    <w:p>
      <w:pPr>
        <w:pStyle w:val="Heading3"/>
      </w:pPr>
      <w:r>
        <w:rPr>
          <w:szCs w:val="24"/>
          <w:lang w:val="en-CA" w:eastAsia="en-CA" w:bidi="ar-SA"/>
          <w:rFonts w:ascii="Calibri" w:eastAsia="Microsoft YaHei" w:hAnsi="Calibri" w:cs="Calibri"/>
          <w:b/>
          <w:color w:val="8A6D2F"/>
          <w:sz w:val="25"/>
        </w:rPr>
        <w:t>I.5 Mine and Legacy Hazard Clearance</w:t>
      </w:r>
    </w:p>
    <w:p>
      <w:pPr>
        <w:pStyle w:val="Normal"/>
      </w:pPr>
      <w:r>
        <w:rPr>
          <w:szCs w:val="24"/>
          <w:lang w:val="en-CA" w:eastAsia="en-CA" w:bidi="ar-SA"/>
          <w:rFonts w:ascii="Calibri" w:eastAsia="Microsoft YaHei" w:hAnsi="Calibri" w:cs="Calibri"/>
          <w:color w:val="212B32"/>
          <w:sz w:val="23"/>
        </w:rPr>
        <w:t>The joint clearance capability of Article 26.4 operates under this plan: a dedicated clearance unit with vessels of both administrations, remotely operated vehicles, and diving teams, at permanent readiness, under joint command with observer presence during any live clearance task. Clearance tasking routes through the incident procedure of Article 27.</w:t>
      </w:r>
    </w:p>
    <w:p>
      <w:pPr>
        <w:pStyle w:val="Heading2"/>
      </w:pPr>
      <w:bookmarkStart w:id="112" w:name="_Toc235667488"/>
      <w:bookmarkStart w:id="113" w:name="_Toc1057"/>
      <w:r>
        <w:rPr>
          <w:szCs w:val="24"/>
          <w:lang w:val="en-CA" w:eastAsia="en-CA" w:bidi="ar-SA"/>
          <w:color w:val="212B32"/>
          <w:rFonts w:ascii="Cambria" w:hAnsi="Cambria" w:eastAsia="Cambria" w:cs="Cambria"/>
          <w:b/>
          <w:sz w:val="30"/>
        </w:rPr>
        <w:t>Annex J: Compliance Certificates and Standard Forms</w:t>
      </w:r>
      <w:bookmarkEnd w:id="112"/>
      <w:bookmarkEnd w:id="113"/>
    </w:p>
    <w:p>
      <w:pPr>
        <w:pStyle w:val="Normal"/>
      </w:pPr>
      <w:r>
        <w:rPr>
          <w:szCs w:val="24"/>
          <w:lang w:val="en-CA" w:eastAsia="en-CA" w:bidi="ar-SA"/>
          <w:rFonts w:ascii="Calibri" w:eastAsia="Microsoft YaHei" w:hAnsi="Calibri" w:cs="Calibri"/>
          <w:color w:val="212B32"/>
          <w:sz w:val="23"/>
        </w:rPr>
        <w:t>This annex fixes the certificates and standard forms of the architecture. Each certificate is a written record of a verified state, issued by the body named, published on the dashboard, and banked permanently under the no-fade rule.</w:t>
      </w:r>
    </w:p>
    <w:p>
      <w:pPr>
        <w:pStyle w:val="Heading3"/>
      </w:pPr>
      <w:r>
        <w:rPr>
          <w:szCs w:val="24"/>
          <w:lang w:val="en-CA" w:eastAsia="en-CA" w:bidi="ar-SA"/>
          <w:rFonts w:ascii="Calibri" w:eastAsia="Microsoft YaHei" w:hAnsi="Calibri" w:cs="Calibri"/>
          <w:b/>
          <w:color w:val="8A6D2F"/>
          <w:sz w:val="25"/>
        </w:rPr>
        <w:t>J.1 The Certificate Set</w:t>
      </w:r>
    </w:p>
    <w:p>
      <w:pPr>
        <w:pStyle w:val="Normal"/>
        <w:spacing w:before="120" w:after="0"/>
      </w:pPr>
    </w:p>
    <w:tbl>
      <w:tblPr>
        <w:tblStyle w:val="TableNormal"/>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2306"/>
        <w:gridCol w:w="2306"/>
        <w:gridCol w:w="2306"/>
        <w:gridCol w:w="2308"/>
      </w:tblGrid>
      <w:tr>
        <w:trPr>
          <w:cantSplit w:val="1"/>
          <w:tblHeader w:val="1"/>
        </w:trPr>
        <w:tc>
          <w:tcPr>
            <w:tcW w:w="2306" w:type="dxa"/>
            <w:shd w:val="clear" w:color="auto" w:fill="EFEAE0"/>
          </w:tcPr>
          <w:p>
            <w:pPr>
              <w:pStyle w:val="Normal"/>
              <w:spacing w:before="30" w:after="30" w:line="264" w:lineRule="auto"/>
              <w:jc w:val="left"/>
            </w:pPr>
            <w:r>
              <w:rPr>
                <w:b/>
                <w:color w:val="1F3A4D"/>
                <w:sz w:val="19"/>
                <w:szCs w:val="24"/>
                <w:lang w:val="en-CA" w:eastAsia="en-CA" w:bidi="ar-SA"/>
                <w:rFonts w:ascii="Calibri" w:eastAsia="Microsoft YaHei" w:hAnsi="Calibri" w:cs="Calibri"/>
              </w:rPr>
              <w:t>Certificate</w:t>
            </w:r>
          </w:p>
        </w:tc>
        <w:tc>
          <w:tcPr>
            <w:tcW w:w="2306" w:type="dxa"/>
            <w:shd w:val="clear" w:color="auto" w:fill="EFEAE0"/>
          </w:tcPr>
          <w:p>
            <w:pPr>
              <w:pStyle w:val="Normal"/>
              <w:spacing w:before="30" w:after="30" w:line="264" w:lineRule="auto"/>
              <w:jc w:val="left"/>
            </w:pPr>
            <w:r>
              <w:rPr>
                <w:b/>
                <w:color w:val="1F3A4D"/>
                <w:sz w:val="19"/>
                <w:szCs w:val="24"/>
                <w:lang w:val="en-CA" w:eastAsia="en-CA" w:bidi="ar-SA"/>
                <w:rFonts w:ascii="Calibri" w:eastAsia="Microsoft YaHei" w:hAnsi="Calibri" w:cs="Calibri"/>
              </w:rPr>
              <w:t>Issuer</w:t>
            </w:r>
          </w:p>
        </w:tc>
        <w:tc>
          <w:tcPr>
            <w:tcW w:w="2306" w:type="dxa"/>
            <w:shd w:val="clear" w:color="auto" w:fill="EFEAE0"/>
          </w:tcPr>
          <w:p>
            <w:pPr>
              <w:pStyle w:val="Normal"/>
              <w:spacing w:before="30" w:after="30" w:line="264" w:lineRule="auto"/>
              <w:jc w:val="left"/>
            </w:pPr>
            <w:r>
              <w:rPr>
                <w:b/>
                <w:color w:val="1F3A4D"/>
                <w:sz w:val="19"/>
                <w:szCs w:val="24"/>
                <w:lang w:val="en-CA" w:eastAsia="en-CA" w:bidi="ar-SA"/>
                <w:rFonts w:ascii="Calibri" w:eastAsia="Microsoft YaHei" w:hAnsi="Calibri" w:cs="Calibri"/>
              </w:rPr>
              <w:t>Cycle</w:t>
            </w:r>
          </w:p>
        </w:tc>
        <w:tc>
          <w:tcPr>
            <w:tcW w:w="2308" w:type="dxa"/>
            <w:shd w:val="clear" w:color="auto" w:fill="EFEAE0"/>
          </w:tcPr>
          <w:p>
            <w:pPr>
              <w:pStyle w:val="Normal"/>
              <w:spacing w:before="30" w:after="30" w:line="264" w:lineRule="auto"/>
              <w:jc w:val="left"/>
            </w:pPr>
            <w:r>
              <w:rPr>
                <w:b/>
                <w:color w:val="1F3A4D"/>
                <w:sz w:val="19"/>
                <w:szCs w:val="24"/>
                <w:lang w:val="en-CA" w:eastAsia="en-CA" w:bidi="ar-SA"/>
                <w:rFonts w:ascii="Calibri" w:eastAsia="Microsoft YaHei" w:hAnsi="Calibri" w:cs="Calibri"/>
              </w:rPr>
              <w:t>Content</w:t>
            </w:r>
          </w:p>
        </w:tc>
      </w:tr>
      <w:tr>
        <w:trPr>
          <w:cantSplit w:val="1"/>
        </w:trPr>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Corridor certification</w:t>
            </w:r>
          </w:p>
        </w:tc>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Joint Technical Committee</w:t>
            </w:r>
          </w:p>
        </w:tc>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Monthly</w:t>
            </w:r>
          </w:p>
        </w:tc>
        <w:tc>
          <w:tcPr>
            <w:tcW w:w="2308"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Geometry conformity, aids availability, traffic service readiness</w:t>
            </w:r>
          </w:p>
        </w:tc>
      </w:tr>
      <w:tr>
        <w:trPr>
          <w:cantSplit w:val="1"/>
        </w:trPr>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Clean record certificate</w:t>
            </w:r>
          </w:p>
        </w:tc>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Auditor with the Committee</w:t>
            </w:r>
          </w:p>
        </w:tc>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Quarterly</w:t>
            </w:r>
          </w:p>
        </w:tc>
        <w:tc>
          <w:tcPr>
            <w:tcW w:w="2308"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No charge on passage; no interdiction event; no buffer violation</w:t>
            </w:r>
          </w:p>
        </w:tc>
      </w:tr>
      <w:tr>
        <w:trPr>
          <w:cantSplit w:val="1"/>
        </w:trPr>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Firewall certificate</w:t>
            </w:r>
          </w:p>
        </w:tc>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Compliance review desk with external counsel</w:t>
            </w:r>
          </w:p>
        </w:tc>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Annual</w:t>
            </w:r>
          </w:p>
        </w:tc>
        <w:tc>
          <w:tcPr>
            <w:tcW w:w="2308"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Sanctions compliance of every Fund flow, with the legal opinion annex</w:t>
            </w:r>
          </w:p>
        </w:tc>
      </w:tr>
      <w:tr>
        <w:trPr>
          <w:cantSplit w:val="1"/>
        </w:trPr>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Registry certificate</w:t>
            </w:r>
          </w:p>
        </w:tc>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Administrator</w:t>
            </w:r>
          </w:p>
        </w:tc>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Annual per registrant</w:t>
            </w:r>
          </w:p>
        </w:tc>
        <w:tc>
          <w:tcPr>
            <w:tcW w:w="2308"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Participation standing of the vessel, operator, or flag administration</w:t>
            </w:r>
          </w:p>
        </w:tc>
      </w:tr>
      <w:tr>
        <w:trPr>
          <w:cantSplit w:val="1"/>
        </w:trPr>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Phase gate certificate</w:t>
            </w:r>
          </w:p>
        </w:tc>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Governing Board</w:t>
            </w:r>
          </w:p>
        </w:tc>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Per gate of Annex L</w:t>
            </w:r>
          </w:p>
        </w:tc>
        <w:tc>
          <w:tcPr>
            <w:tcW w:w="2308"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Readiness certification of the implementation phase</w:t>
            </w:r>
          </w:p>
        </w:tc>
      </w:tr>
      <w:tr>
        <w:trPr>
          <w:cantSplit w:val="1"/>
        </w:trPr>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Systems audit certificate</w:t>
            </w:r>
          </w:p>
        </w:tc>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Auditor</w:t>
            </w:r>
          </w:p>
        </w:tc>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Annual</w:t>
            </w:r>
          </w:p>
        </w:tc>
        <w:tc>
          <w:tcPr>
            <w:tcW w:w="2308"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Full-system audit opinion, including the human-judgment confirmation of Article 28.5</w:t>
            </w:r>
          </w:p>
        </w:tc>
      </w:tr>
      <w:tr>
        <w:trPr>
          <w:cantSplit w:val="1"/>
        </w:trPr>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Exercise completion certificate</w:t>
            </w:r>
          </w:p>
        </w:tc>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Executive Directorate</w:t>
            </w:r>
          </w:p>
        </w:tc>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Per exercise</w:t>
            </w:r>
          </w:p>
        </w:tc>
        <w:tc>
          <w:tcPr>
            <w:tcW w:w="2308"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Exercise record and lessons register reference</w:t>
            </w:r>
          </w:p>
        </w:tc>
      </w:tr>
    </w:tbl>
    <w:p>
      <w:pPr>
        <w:pStyle w:val="Normal"/>
      </w:pPr>
    </w:p>
    <w:p>
      <w:pPr>
        <w:pStyle w:val="Heading3"/>
      </w:pPr>
      <w:r>
        <w:rPr>
          <w:szCs w:val="24"/>
          <w:lang w:val="en-CA" w:eastAsia="en-CA" w:bidi="ar-SA"/>
          <w:rFonts w:ascii="Calibri" w:eastAsia="Microsoft YaHei" w:hAnsi="Calibri" w:cs="Calibri"/>
          <w:b/>
          <w:color w:val="8A6D2F"/>
          <w:sz w:val="25"/>
        </w:rPr>
        <w:t>J.2 Form Standards</w:t>
      </w:r>
    </w:p>
    <w:p>
      <w:pPr>
        <w:pStyle w:val="Normal"/>
      </w:pPr>
      <w:r>
        <w:rPr>
          <w:szCs w:val="24"/>
          <w:lang w:val="en-CA" w:eastAsia="en-CA" w:bidi="ar-SA"/>
          <w:rFonts w:ascii="Calibri" w:eastAsia="Microsoft YaHei" w:hAnsi="Calibri" w:cs="Calibri"/>
          <w:color w:val="212B32"/>
          <w:sz w:val="23"/>
        </w:rPr>
        <w:t>Every certificate and form carries: the instrument reference, the issuing body, the period or event covered, the verification basis under the convergence standard, the signatures under the dual-nationality rule where the form is operational, and the dashboard publication reference. The registry of forms holds the master versions, and a form changes only through the technical correction procedure.</w:t>
      </w:r>
    </w:p>
    <w:p>
      <w:pPr>
        <w:pStyle w:val="Heading3"/>
      </w:pPr>
      <w:r>
        <w:rPr>
          <w:szCs w:val="24"/>
          <w:lang w:val="en-CA" w:eastAsia="en-CA" w:bidi="ar-SA"/>
          <w:rFonts w:ascii="Calibri" w:eastAsia="Microsoft YaHei" w:hAnsi="Calibri" w:cs="Calibri"/>
          <w:b/>
          <w:color w:val="8A6D2F"/>
          <w:sz w:val="25"/>
        </w:rPr>
        <w:t>J.3 The Compliance Register</w:t>
      </w:r>
    </w:p>
    <w:p>
      <w:pPr>
        <w:pStyle w:val="Normal"/>
      </w:pPr>
      <w:r>
        <w:rPr>
          <w:szCs w:val="24"/>
          <w:lang w:val="en-CA" w:eastAsia="en-CA" w:bidi="ar-SA"/>
          <w:rFonts w:ascii="Calibri" w:eastAsia="Microsoft YaHei" w:hAnsi="Calibri" w:cs="Calibri"/>
          <w:color w:val="212B32"/>
          <w:sz w:val="23"/>
        </w:rPr>
        <w:t>The compliance register of Article 29 constitutes a standing form of this annex: a chronological record of every classification, every consultation, every ladder step, every restoration, and every banked credit, published on the dashboard with full history. The register's continuity is itself a no-fade commitment: it never resets, never archives away from view, and never closes a period without its restoration record.</w:t>
      </w:r>
    </w:p>
    <w:p>
      <w:pPr>
        <w:pStyle w:val="Heading2"/>
      </w:pPr>
      <w:bookmarkStart w:id="114" w:name="_Toc235667489"/>
      <w:bookmarkStart w:id="115" w:name="_Toc1058"/>
      <w:r>
        <w:rPr>
          <w:szCs w:val="24"/>
          <w:lang w:val="en-CA" w:eastAsia="en-CA" w:bidi="ar-SA"/>
          <w:color w:val="212B32"/>
          <w:rFonts w:ascii="Cambria" w:hAnsi="Cambria" w:eastAsia="Cambria" w:cs="Cambria"/>
          <w:b/>
          <w:sz w:val="30"/>
        </w:rPr>
        <w:t>Annex K: The Red Lines Register</w:t>
      </w:r>
      <w:bookmarkEnd w:id="114"/>
      <w:bookmarkEnd w:id="115"/>
    </w:p>
    <w:p>
      <w:pPr>
        <w:pStyle w:val="Normal"/>
      </w:pPr>
      <w:r>
        <w:rPr>
          <w:szCs w:val="24"/>
          <w:lang w:val="en-CA" w:eastAsia="en-CA" w:bidi="ar-SA"/>
          <w:rFonts w:ascii="Calibri" w:eastAsia="Microsoft YaHei" w:hAnsi="Calibri" w:cs="Calibri"/>
          <w:color w:val="212B32"/>
          <w:sz w:val="23"/>
        </w:rPr>
        <w:t>This annex records the red lines of Article 31 as design constraints. Each line states the constraint, its source in the recorded positions of the Parties and stakeholders, and its operational translation inside the architecture. No reading of this Framework that crosses a registered line is a valid reading, and a proposal that crosses a line fails at the Governing Board without a vote.</w:t>
      </w:r>
    </w:p>
    <w:p>
      <w:pPr>
        <w:pStyle w:val="Heading3"/>
      </w:pPr>
      <w:r>
        <w:rPr>
          <w:szCs w:val="24"/>
          <w:lang w:val="en-CA" w:eastAsia="en-CA" w:bidi="ar-SA"/>
          <w:rFonts w:ascii="Calibri" w:eastAsia="Microsoft YaHei" w:hAnsi="Calibri" w:cs="Calibri"/>
          <w:b/>
          <w:color w:val="8A6D2F"/>
          <w:sz w:val="25"/>
        </w:rPr>
        <w:t>K.1 Lines of the Islamic Republic of Iran</w:t>
      </w:r>
    </w:p>
    <w:p>
      <w:pPr>
        <w:pStyle w:val="Normal"/>
        <w:spacing w:before="120" w:after="0"/>
      </w:pPr>
    </w:p>
    <w:tbl>
      <w:tblPr>
        <w:tblStyle w:val="TableNormal"/>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2862"/>
        <w:gridCol w:w="6364"/>
      </w:tblGrid>
      <w:tr>
        <w:trPr>
          <w:cantSplit w:val="1"/>
          <w:tblHeader w:val="1"/>
        </w:trPr>
        <w:tc>
          <w:tcPr>
            <w:tcW w:w="2862" w:type="dxa"/>
            <w:shd w:val="clear" w:color="auto" w:fill="EFEAE0"/>
          </w:tcPr>
          <w:p>
            <w:pPr>
              <w:pStyle w:val="Normal"/>
              <w:spacing w:before="30" w:after="30" w:line="264" w:lineRule="auto"/>
              <w:jc w:val="left"/>
            </w:pPr>
            <w:r>
              <w:rPr>
                <w:b/>
                <w:color w:val="1F3A4D"/>
                <w:sz w:val="19"/>
                <w:szCs w:val="24"/>
                <w:lang w:val="en-CA" w:eastAsia="en-CA" w:bidi="ar-SA"/>
                <w:rFonts w:ascii="Calibri" w:eastAsia="Microsoft YaHei" w:hAnsi="Calibri" w:cs="Calibri"/>
              </w:rPr>
              <w:t>Line</w:t>
            </w:r>
          </w:p>
        </w:tc>
        <w:tc>
          <w:tcPr>
            <w:tcW w:w="6364" w:type="dxa"/>
            <w:shd w:val="clear" w:color="auto" w:fill="EFEAE0"/>
          </w:tcPr>
          <w:p>
            <w:pPr>
              <w:pStyle w:val="Normal"/>
              <w:spacing w:before="30" w:after="30" w:line="264" w:lineRule="auto"/>
              <w:jc w:val="left"/>
            </w:pPr>
            <w:r>
              <w:rPr>
                <w:b/>
                <w:color w:val="1F3A4D"/>
                <w:sz w:val="19"/>
                <w:szCs w:val="24"/>
                <w:lang w:val="en-CA" w:eastAsia="en-CA" w:bidi="ar-SA"/>
                <w:rFonts w:ascii="Calibri" w:eastAsia="Microsoft YaHei" w:hAnsi="Calibri" w:cs="Calibri"/>
              </w:rPr>
              <w:t>Operational Translation</w:t>
            </w:r>
          </w:p>
        </w:tc>
      </w:tr>
      <w:tr>
        <w:trPr>
          <w:cantSplit w:val="1"/>
        </w:trPr>
        <w:tc>
          <w:tcPr>
            <w:tcW w:w="2862"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No return to the unstructured pre-2026 status quo</w:t>
            </w:r>
          </w:p>
        </w:tc>
        <w:tc>
          <w:tcPr>
            <w:tcW w:w="6364"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The corridor system, the Authority, and the notification and service architecture constitute a permanent new governance layer; nothing in this Framework reverts to unadministered passage</w:t>
            </w:r>
          </w:p>
        </w:tc>
      </w:tr>
      <w:tr>
        <w:trPr>
          <w:cantSplit w:val="1"/>
        </w:trPr>
        <w:tc>
          <w:tcPr>
            <w:tcW w:w="2862"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Formal recognition of the Iranian administrative role in the Strait</w:t>
            </w:r>
          </w:p>
        </w:tc>
        <w:tc>
          <w:tcPr>
            <w:tcW w:w="6364"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Iranian primary jurisdiction in Corridor B, parity staffing, co-signature of all operational functions, and the apportionment band of Article 20.4</w:t>
            </w:r>
          </w:p>
        </w:tc>
      </w:tr>
      <w:tr>
        <w:trPr>
          <w:cantSplit w:val="1"/>
        </w:trPr>
        <w:tc>
          <w:tcPr>
            <w:tcW w:w="2862"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Compensation for services</w:t>
            </w:r>
          </w:p>
        </w:tc>
        <w:tc>
          <w:tcPr>
            <w:tcW w:w="6364"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The reimbursement architecture of Article 20, delivering audited, lawful revenue for documented work, in place of any charge on passage</w:t>
            </w:r>
          </w:p>
        </w:tc>
      </w:tr>
      <w:tr>
        <w:trPr>
          <w:cantSplit w:val="1"/>
        </w:trPr>
        <w:tc>
          <w:tcPr>
            <w:tcW w:w="2862"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No foreign military enforcement presence in Iranian waters</w:t>
            </w:r>
          </w:p>
        </w:tc>
        <w:tc>
          <w:tcPr>
            <w:tcW w:w="6364"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The patrol and escort architecture of the northern sector consists of Iranian and joint assets under this Framework; third-state military presence stands limited to the transit protocol of Article 26</w:t>
            </w:r>
          </w:p>
        </w:tc>
      </w:tr>
      <w:tr>
        <w:trPr>
          <w:cantSplit w:val="1"/>
        </w:trPr>
        <w:tc>
          <w:tcPr>
            <w:tcW w:w="2862"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Sovereignty and dignity of the Islamic Republic</w:t>
            </w:r>
          </w:p>
        </w:tc>
        <w:tc>
          <w:tcPr>
            <w:tcW w:w="6364"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Mutual architecture framing throughout; nomenclature neutrality under Article 4.4; the non-humiliation design of every public instrument</w:t>
            </w:r>
          </w:p>
        </w:tc>
      </w:tr>
    </w:tbl>
    <w:p>
      <w:pPr>
        <w:pStyle w:val="Normal"/>
      </w:pPr>
    </w:p>
    <w:p>
      <w:pPr>
        <w:pStyle w:val="Heading3"/>
      </w:pPr>
      <w:r>
        <w:rPr>
          <w:szCs w:val="24"/>
          <w:lang w:val="en-CA" w:eastAsia="en-CA" w:bidi="ar-SA"/>
          <w:rFonts w:ascii="Calibri" w:eastAsia="Microsoft YaHei" w:hAnsi="Calibri" w:cs="Calibri"/>
          <w:b/>
          <w:color w:val="8A6D2F"/>
          <w:sz w:val="25"/>
        </w:rPr>
        <w:t>K.2 Lines of the Sultanate of Oman</w:t>
      </w:r>
    </w:p>
    <w:p>
      <w:pPr>
        <w:pStyle w:val="Normal"/>
        <w:spacing w:before="120" w:after="0"/>
      </w:pPr>
    </w:p>
    <w:tbl>
      <w:tblPr>
        <w:tblStyle w:val="TableNormal"/>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2862"/>
        <w:gridCol w:w="6364"/>
      </w:tblGrid>
      <w:tr>
        <w:trPr>
          <w:cantSplit w:val="1"/>
          <w:tblHeader w:val="1"/>
        </w:trPr>
        <w:tc>
          <w:tcPr>
            <w:tcW w:w="2862" w:type="dxa"/>
            <w:shd w:val="clear" w:color="auto" w:fill="EFEAE0"/>
          </w:tcPr>
          <w:p>
            <w:pPr>
              <w:pStyle w:val="Normal"/>
              <w:spacing w:before="30" w:after="30" w:line="264" w:lineRule="auto"/>
              <w:jc w:val="left"/>
            </w:pPr>
            <w:r>
              <w:rPr>
                <w:b/>
                <w:color w:val="1F3A4D"/>
                <w:sz w:val="19"/>
                <w:szCs w:val="24"/>
                <w:lang w:val="en-CA" w:eastAsia="en-CA" w:bidi="ar-SA"/>
                <w:rFonts w:ascii="Calibri" w:eastAsia="Microsoft YaHei" w:hAnsi="Calibri" w:cs="Calibri"/>
              </w:rPr>
              <w:t>Line</w:t>
            </w:r>
          </w:p>
        </w:tc>
        <w:tc>
          <w:tcPr>
            <w:tcW w:w="6364" w:type="dxa"/>
            <w:shd w:val="clear" w:color="auto" w:fill="EFEAE0"/>
          </w:tcPr>
          <w:p>
            <w:pPr>
              <w:pStyle w:val="Normal"/>
              <w:spacing w:before="30" w:after="30" w:line="264" w:lineRule="auto"/>
              <w:jc w:val="left"/>
            </w:pPr>
            <w:r>
              <w:rPr>
                <w:b/>
                <w:color w:val="1F3A4D"/>
                <w:sz w:val="19"/>
                <w:szCs w:val="24"/>
                <w:lang w:val="en-CA" w:eastAsia="en-CA" w:bidi="ar-SA"/>
                <w:rFonts w:ascii="Calibri" w:eastAsia="Microsoft YaHei" w:hAnsi="Calibri" w:cs="Calibri"/>
              </w:rPr>
              <w:t>Operational Translation</w:t>
            </w:r>
          </w:p>
        </w:tc>
      </w:tr>
      <w:tr>
        <w:trPr>
          <w:cantSplit w:val="1"/>
        </w:trPr>
        <w:tc>
          <w:tcPr>
            <w:tcW w:w="2862" w:type="dxa"/>
          </w:tcPr>
          <w:p>
            <w:pPr>
              <w:pStyle w:val="Normal"/>
              <w:spacing w:before="30" w:after="30" w:line="264" w:lineRule="auto"/>
              <w:jc w:val="left"/>
            </w:pPr>
            <w:r>
              <w:rPr>
                <w:szCs w:val="24"/>
                <w:lang w:val="en-CA" w:eastAsia="en-CA" w:bidi="ar-SA"/>
                <w:rFonts w:ascii="Calibri" w:eastAsia="Microsoft YaHei" w:hAnsi="Calibri" w:cs="Calibri"/>
                <w:color w:val="2B3942"/>
                <w:sz w:val="19"/>
              </w:rPr>
              <w:t>Sovereignty over Omani waters</w:t>
            </w:r>
          </w:p>
        </w:tc>
        <w:tc>
          <w:tcPr>
            <w:tcW w:w="6364"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Omani primary jurisdiction in Corridor A and the Omani Coastal Protection Band; the headquarters protections of Annex N</w:t>
            </w:r>
          </w:p>
        </w:tc>
      </w:tr>
      <w:tr>
        <w:trPr>
          <w:cantSplit w:val="1"/>
        </w:trPr>
        <w:tc>
          <w:tcPr>
            <w:tcW w:w="2862"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No compulsory tolls</w:t>
            </w:r>
          </w:p>
        </w:tc>
        <w:tc>
          <w:tcPr>
            <w:tcW w:w="6364"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The toll-free guarantee of Article 17 and the voluntary character of every contribution stream of Article 19</w:t>
            </w:r>
          </w:p>
        </w:tc>
      </w:tr>
      <w:tr>
        <w:trPr>
          <w:cantSplit w:val="1"/>
        </w:trPr>
        <w:tc>
          <w:tcPr>
            <w:tcW w:w="2862"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Conformity with the law of the sea obligations of the Sultanate</w:t>
            </w:r>
          </w:p>
        </w:tc>
        <w:tc>
          <w:tcPr>
            <w:tcW w:w="6364"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The service-fee boundary of Article 2.3 and Article 17.2, audited annually under Article 21</w:t>
            </w:r>
          </w:p>
        </w:tc>
      </w:tr>
      <w:tr>
        <w:trPr>
          <w:cantSplit w:val="1"/>
        </w:trPr>
        <w:tc>
          <w:tcPr>
            <w:tcW w:w="2862"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Preservation of Omani neutrality and mediator standing</w:t>
            </w:r>
          </w:p>
        </w:tc>
        <w:tc>
          <w:tcPr>
            <w:tcW w:w="6364"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The balanced institutional design, the observer program, and the nomenclature neutrality of Article 4.4</w:t>
            </w:r>
          </w:p>
        </w:tc>
      </w:tr>
      <w:tr>
        <w:trPr>
          <w:cantSplit w:val="1"/>
        </w:trPr>
        <w:tc>
          <w:tcPr>
            <w:tcW w:w="2862"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No use of Omani territory or institutions for hostile acts against any state</w:t>
            </w:r>
          </w:p>
        </w:tc>
        <w:tc>
          <w:tcPr>
            <w:tcW w:w="6364"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The civilian character of the Authority, the exclusion clause of Article 14.2, and the de-confliction rules of Article 26</w:t>
            </w:r>
          </w:p>
        </w:tc>
      </w:tr>
    </w:tbl>
    <w:p>
      <w:pPr>
        <w:pStyle w:val="Normal"/>
      </w:pPr>
    </w:p>
    <w:p>
      <w:pPr>
        <w:pStyle w:val="Heading3"/>
      </w:pPr>
      <w:r>
        <w:rPr>
          <w:szCs w:val="24"/>
          <w:lang w:val="en-CA" w:eastAsia="en-CA" w:bidi="ar-SA"/>
          <w:rFonts w:ascii="Calibri" w:eastAsia="Microsoft YaHei" w:hAnsi="Calibri" w:cs="Calibri"/>
          <w:b/>
          <w:color w:val="8A6D2F"/>
          <w:sz w:val="25"/>
        </w:rPr>
        <w:t>K.3 Lines of the Stakeholder Community</w:t>
      </w:r>
    </w:p>
    <w:p>
      <w:pPr>
        <w:pStyle w:val="Normal"/>
        <w:spacing w:before="120" w:after="0"/>
      </w:pPr>
    </w:p>
    <w:tbl>
      <w:tblPr>
        <w:tblStyle w:val="TableNormal"/>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2862"/>
        <w:gridCol w:w="6364"/>
      </w:tblGrid>
      <w:tr>
        <w:trPr>
          <w:cantSplit w:val="1"/>
          <w:tblHeader w:val="1"/>
        </w:trPr>
        <w:tc>
          <w:tcPr>
            <w:tcW w:w="2862" w:type="dxa"/>
            <w:shd w:val="clear" w:color="auto" w:fill="EFEAE0"/>
          </w:tcPr>
          <w:p>
            <w:pPr>
              <w:pStyle w:val="Normal"/>
              <w:spacing w:before="30" w:after="30" w:line="264" w:lineRule="auto"/>
              <w:jc w:val="left"/>
            </w:pPr>
            <w:r>
              <w:rPr>
                <w:b/>
                <w:color w:val="1F3A4D"/>
                <w:sz w:val="19"/>
                <w:szCs w:val="24"/>
                <w:lang w:val="en-CA" w:eastAsia="en-CA" w:bidi="ar-SA"/>
                <w:rFonts w:ascii="Calibri" w:eastAsia="Microsoft YaHei" w:hAnsi="Calibri" w:cs="Calibri"/>
              </w:rPr>
              <w:t>Line</w:t>
            </w:r>
          </w:p>
        </w:tc>
        <w:tc>
          <w:tcPr>
            <w:tcW w:w="6364" w:type="dxa"/>
            <w:shd w:val="clear" w:color="auto" w:fill="EFEAE0"/>
          </w:tcPr>
          <w:p>
            <w:pPr>
              <w:pStyle w:val="Normal"/>
              <w:spacing w:before="30" w:after="30" w:line="264" w:lineRule="auto"/>
              <w:jc w:val="left"/>
            </w:pPr>
            <w:r>
              <w:rPr>
                <w:b/>
                <w:color w:val="1F3A4D"/>
                <w:sz w:val="19"/>
                <w:szCs w:val="24"/>
                <w:lang w:val="en-CA" w:eastAsia="en-CA" w:bidi="ar-SA"/>
                <w:rFonts w:ascii="Calibri" w:eastAsia="Microsoft YaHei" w:hAnsi="Calibri" w:cs="Calibri"/>
              </w:rPr>
              <w:t>Operational Translation</w:t>
            </w:r>
          </w:p>
        </w:tc>
      </w:tr>
      <w:tr>
        <w:trPr>
          <w:cantSplit w:val="1"/>
        </w:trPr>
        <w:tc>
          <w:tcPr>
            <w:tcW w:w="2862"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Freedom and continuity of navigation</w:t>
            </w:r>
          </w:p>
        </w:tc>
        <w:tc>
          <w:tcPr>
            <w:tcW w:w="6364"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The continuity guarantee of Article 6.4 and the absolute rule against suspension of transit of Article 2.2</w:t>
            </w:r>
          </w:p>
        </w:tc>
      </w:tr>
      <w:tr>
        <w:trPr>
          <w:cantSplit w:val="1"/>
        </w:trPr>
        <w:tc>
          <w:tcPr>
            <w:tcW w:w="2862"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No charge on passage by any name</w:t>
            </w:r>
          </w:p>
        </w:tc>
        <w:tc>
          <w:tcPr>
            <w:tcW w:w="6364"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Article 17 in full, with the standing audit attestation</w:t>
            </w:r>
          </w:p>
        </w:tc>
      </w:tr>
      <w:tr>
        <w:trPr>
          <w:cantSplit w:val="1"/>
        </w:trPr>
        <w:tc>
          <w:tcPr>
            <w:tcW w:w="2862"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No permission regime over international commercial transit</w:t>
            </w:r>
          </w:p>
        </w:tc>
        <w:tc>
          <w:tcPr>
            <w:tcW w:w="6364"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The informational design of the notification regime of Article 7.2 and Annex C</w:t>
            </w:r>
          </w:p>
        </w:tc>
      </w:tr>
      <w:tr>
        <w:trPr>
          <w:cantSplit w:val="1"/>
        </w:trPr>
        <w:tc>
          <w:tcPr>
            <w:tcW w:w="2862"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No military gatekeeping of merchant shipping</w:t>
            </w:r>
          </w:p>
        </w:tc>
        <w:tc>
          <w:tcPr>
            <w:tcW w:w="6364"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The civilian character of the Authority and the exclusion clause of Article 14.2</w:t>
            </w:r>
          </w:p>
        </w:tc>
      </w:tr>
      <w:tr>
        <w:trPr>
          <w:cantSplit w:val="1"/>
        </w:trPr>
        <w:tc>
          <w:tcPr>
            <w:tcW w:w="2862"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Predictability and insurability</w:t>
            </w:r>
          </w:p>
        </w:tc>
        <w:tc>
          <w:tcPr>
            <w:tcW w:w="6364"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The daily status report, the banked safety record, the Route Verification Data service, and the registry architecture</w:t>
            </w:r>
          </w:p>
        </w:tc>
      </w:tr>
    </w:tbl>
    <w:p>
      <w:pPr>
        <w:pStyle w:val="Normal"/>
      </w:pPr>
    </w:p>
    <w:p>
      <w:pPr>
        <w:pStyle w:val="Heading3"/>
      </w:pPr>
      <w:r>
        <w:rPr>
          <w:szCs w:val="24"/>
          <w:lang w:val="en-CA" w:eastAsia="en-CA" w:bidi="ar-SA"/>
          <w:rFonts w:ascii="Calibri" w:eastAsia="Microsoft YaHei" w:hAnsi="Calibri" w:cs="Calibri"/>
          <w:b/>
          <w:color w:val="8A6D2F"/>
          <w:sz w:val="25"/>
        </w:rPr>
        <w:t>K.4 Framework-Level Mutual Lines</w:t>
      </w:r>
    </w:p>
    <w:p>
      <w:pPr>
        <w:pStyle w:val="Normal"/>
        <w:spacing w:before="120" w:after="0"/>
      </w:pPr>
    </w:p>
    <w:tbl>
      <w:tblPr>
        <w:tblStyle w:val="TableNormal"/>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2862"/>
        <w:gridCol w:w="6364"/>
      </w:tblGrid>
      <w:tr>
        <w:trPr>
          <w:cantSplit w:val="1"/>
          <w:tblHeader w:val="1"/>
        </w:trPr>
        <w:tc>
          <w:tcPr>
            <w:tcW w:w="2862" w:type="dxa"/>
            <w:shd w:val="clear" w:color="auto" w:fill="EFEAE0"/>
          </w:tcPr>
          <w:p>
            <w:pPr>
              <w:pStyle w:val="Normal"/>
              <w:spacing w:before="30" w:after="30" w:line="264" w:lineRule="auto"/>
              <w:jc w:val="left"/>
            </w:pPr>
            <w:r>
              <w:rPr>
                <w:b/>
                <w:color w:val="1F3A4D"/>
                <w:sz w:val="19"/>
                <w:szCs w:val="24"/>
                <w:lang w:val="en-CA" w:eastAsia="en-CA" w:bidi="ar-SA"/>
                <w:rFonts w:ascii="Calibri" w:eastAsia="Microsoft YaHei" w:hAnsi="Calibri" w:cs="Calibri"/>
              </w:rPr>
              <w:t>Line</w:t>
            </w:r>
          </w:p>
        </w:tc>
        <w:tc>
          <w:tcPr>
            <w:tcW w:w="6364" w:type="dxa"/>
            <w:shd w:val="clear" w:color="auto" w:fill="EFEAE0"/>
          </w:tcPr>
          <w:p>
            <w:pPr>
              <w:pStyle w:val="Normal"/>
              <w:spacing w:before="30" w:after="30" w:line="264" w:lineRule="auto"/>
              <w:jc w:val="left"/>
            </w:pPr>
            <w:r>
              <w:rPr>
                <w:b/>
                <w:color w:val="1F3A4D"/>
                <w:sz w:val="19"/>
                <w:szCs w:val="24"/>
                <w:lang w:val="en-CA" w:eastAsia="en-CA" w:bidi="ar-SA"/>
                <w:rFonts w:ascii="Calibri" w:eastAsia="Microsoft YaHei" w:hAnsi="Calibri" w:cs="Calibri"/>
              </w:rPr>
              <w:t>Operational Translation</w:t>
            </w:r>
          </w:p>
        </w:tc>
      </w:tr>
      <w:tr>
        <w:trPr>
          <w:cantSplit w:val="1"/>
        </w:trPr>
        <w:tc>
          <w:tcPr>
            <w:tcW w:w="2862"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No interdiction of commercial transit</w:t>
            </w:r>
          </w:p>
        </w:tc>
        <w:tc>
          <w:tcPr>
            <w:tcW w:w="6364"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The non-interdiction protocol of Article 10.2, classified Tier 3 on violation</w:t>
            </w:r>
          </w:p>
        </w:tc>
      </w:tr>
      <w:tr>
        <w:trPr>
          <w:cantSplit w:val="1"/>
        </w:trPr>
        <w:tc>
          <w:tcPr>
            <w:tcW w:w="2862"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No mining of the Operating Area</w:t>
            </w:r>
          </w:p>
        </w:tc>
        <w:tc>
          <w:tcPr>
            <w:tcW w:w="6364"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The absolute rule of Article 26.4 with the joint clearance capability of Annex I</w:t>
            </w:r>
          </w:p>
        </w:tc>
      </w:tr>
      <w:tr>
        <w:trPr>
          <w:cantSplit w:val="1"/>
        </w:trPr>
        <w:tc>
          <w:tcPr>
            <w:tcW w:w="2862"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No targeting posture against merchant vessels</w:t>
            </w:r>
          </w:p>
        </w:tc>
        <w:tc>
          <w:tcPr>
            <w:tcW w:w="6364"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The fire-control exclusion of Article 26.2</w:t>
            </w:r>
          </w:p>
        </w:tc>
      </w:tr>
      <w:tr>
        <w:trPr>
          <w:cantSplit w:val="1"/>
        </w:trPr>
        <w:tc>
          <w:tcPr>
            <w:tcW w:w="2862" w:type="dxa"/>
          </w:tcPr>
          <w:p>
            <w:pPr>
              <w:pStyle w:val="Normal"/>
              <w:spacing w:before="30" w:after="30" w:line="264" w:lineRule="auto"/>
              <w:jc w:val="left"/>
            </w:pPr>
            <w:r>
              <w:rPr>
                <w:szCs w:val="24"/>
                <w:lang w:val="en-CA" w:eastAsia="en-CA" w:bidi="ar-SA"/>
                <w:rFonts w:ascii="Calibri" w:eastAsia="Microsoft YaHei" w:hAnsi="Calibri" w:cs="Calibri"/>
                <w:color w:val="2B3942"/>
                <w:sz w:val="19"/>
              </w:rPr>
              <w:t>No discrimination by flag or politics</w:t>
            </w:r>
          </w:p>
        </w:tc>
        <w:tc>
          <w:tcPr>
            <w:tcW w:w="6364"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Article 9.4 and the participation design of Article 19</w:t>
            </w:r>
          </w:p>
        </w:tc>
      </w:tr>
      <w:tr>
        <w:trPr>
          <w:cantSplit w:val="1"/>
        </w:trPr>
        <w:tc>
          <w:tcPr>
            <w:tcW w:w="2862"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No unilateral change</w:t>
            </w:r>
          </w:p>
        </w:tc>
        <w:tc>
          <w:tcPr>
            <w:tcW w:w="6364"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Consensus governance, the amendment rule of Article 33, and the no-fade rule of Article 32</w:t>
            </w:r>
          </w:p>
        </w:tc>
      </w:tr>
    </w:tbl>
    <w:p>
      <w:pPr>
        <w:pStyle w:val="Normal"/>
      </w:pPr>
    </w:p>
    <w:p>
      <w:pPr>
        <w:pStyle w:val="Heading3"/>
      </w:pPr>
      <w:r>
        <w:rPr>
          <w:szCs w:val="24"/>
          <w:lang w:val="en-CA" w:eastAsia="en-CA" w:bidi="ar-SA"/>
          <w:rFonts w:ascii="Calibri" w:eastAsia="Microsoft YaHei" w:hAnsi="Calibri" w:cs="Calibri"/>
          <w:b/>
          <w:color w:val="8A6D2F"/>
          <w:sz w:val="25"/>
        </w:rPr>
        <w:t>K.5 Maintenance of the Register</w:t>
      </w:r>
    </w:p>
    <w:p>
      <w:pPr>
        <w:pStyle w:val="Normal"/>
      </w:pPr>
      <w:r>
        <w:rPr>
          <w:szCs w:val="24"/>
          <w:lang w:val="en-CA" w:eastAsia="en-CA" w:bidi="ar-SA"/>
          <w:rFonts w:ascii="Calibri" w:eastAsia="Microsoft YaHei" w:hAnsi="Calibri" w:cs="Calibri"/>
          <w:color w:val="212B32"/>
          <w:sz w:val="23"/>
        </w:rPr>
        <w:t>The register reviews annually under Article 33.2. A line changes only by mutual written instrument. The register carries the full history of every line and every change, and under the no-fade rule no review boundary weakens a line by silence.</w:t>
      </w:r>
    </w:p>
    <w:p>
      <w:pPr>
        <w:pStyle w:val="Heading2"/>
      </w:pPr>
      <w:bookmarkStart w:id="116" w:name="_Toc235667490"/>
      <w:bookmarkStart w:id="117" w:name="_Toc1059"/>
      <w:r>
        <w:rPr>
          <w:szCs w:val="24"/>
          <w:lang w:val="en-CA" w:eastAsia="en-CA" w:bidi="ar-SA"/>
          <w:color w:val="212B32"/>
          <w:rFonts w:ascii="Cambria" w:hAnsi="Cambria" w:eastAsia="Cambria" w:cs="Cambria"/>
          <w:b/>
          <w:sz w:val="30"/>
        </w:rPr>
        <w:t>Annex L: Implementation Timeline and Phase Gates</w:t>
      </w:r>
      <w:bookmarkEnd w:id="116"/>
      <w:bookmarkEnd w:id="117"/>
    </w:p>
    <w:p>
      <w:pPr>
        <w:pStyle w:val="Normal"/>
      </w:pPr>
      <w:r>
        <w:rPr>
          <w:szCs w:val="24"/>
          <w:lang w:val="en-CA" w:eastAsia="en-CA" w:bidi="ar-SA"/>
          <w:rFonts w:ascii="Calibri" w:eastAsia="Microsoft YaHei" w:hAnsi="Calibri" w:cs="Calibri"/>
          <w:color w:val="212B32"/>
          <w:sz w:val="23"/>
        </w:rPr>
        <w:t>This annex fixes the implementation sequence of Article 34: the phases, the gates, the owners, and the certification forms. Gates certify readiness; they never condition existence, and a slipped gate routes to the remediation procedure of Article 34.3.</w:t>
      </w:r>
    </w:p>
    <w:p>
      <w:pPr>
        <w:pStyle w:val="Heading3"/>
      </w:pPr>
      <w:r>
        <w:rPr>
          <w:szCs w:val="24"/>
          <w:lang w:val="en-CA" w:eastAsia="en-CA" w:bidi="ar-SA"/>
          <w:rFonts w:ascii="Calibri" w:eastAsia="Microsoft YaHei" w:hAnsi="Calibri" w:cs="Calibri"/>
          <w:b/>
          <w:color w:val="8A6D2F"/>
          <w:sz w:val="25"/>
        </w:rPr>
        <w:t>L.1 Phase Zero: Signature to Day 30</w:t>
      </w:r>
    </w:p>
    <w:p>
      <w:pPr>
        <w:pStyle w:val="Normal"/>
        <w:spacing w:before="120" w:after="0"/>
      </w:pPr>
    </w:p>
    <w:tbl>
      <w:tblPr>
        <w:tblStyle w:val="TableNormal"/>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2306"/>
        <w:gridCol w:w="2306"/>
        <w:gridCol w:w="2306"/>
        <w:gridCol w:w="2308"/>
      </w:tblGrid>
      <w:tr>
        <w:trPr>
          <w:cantSplit w:val="1"/>
          <w:tblHeader w:val="1"/>
        </w:trPr>
        <w:tc>
          <w:tcPr>
            <w:tcW w:w="2306"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Gate</w:t>
            </w:r>
          </w:p>
        </w:tc>
        <w:tc>
          <w:tcPr>
            <w:tcW w:w="2306"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Owner</w:t>
            </w:r>
          </w:p>
        </w:tc>
        <w:tc>
          <w:tcPr>
            <w:tcW w:w="2306"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Deliverable</w:t>
            </w:r>
          </w:p>
        </w:tc>
        <w:tc>
          <w:tcPr>
            <w:tcW w:w="2308"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Certification</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G-01</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Executive Directorate designate</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Center operational on existing infrastructure, dual watch standing</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Phase gate certificate J.1</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G-02</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Both administrations</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Staff and records transfer under Article 14.4 complete</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Transfer record published</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G-03</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Executive Directorate designate</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Dashboard and hotline network live, first daily status report published</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Publication record</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G-04</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Governing Board designate</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Founding budget adopted; founding advances booked</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Budget instrument</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G-05</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Joint Technical Committee designate</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Geometry certification survey of Annex A complete</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Corridor certification</w:t>
            </w:r>
          </w:p>
        </w:tc>
      </w:tr>
    </w:tbl>
    <w:p>
      <w:pPr>
        <w:pStyle w:val="Normal"/>
      </w:pPr>
    </w:p>
    <w:p>
      <w:pPr>
        <w:pStyle w:val="Heading3"/>
      </w:pPr>
      <w:r>
        <w:rPr>
          <w:szCs w:val="25"/>
          <w:lang w:val="en-CA" w:eastAsia="en-CA" w:bidi="ar-SA"/>
          <w:rFonts w:ascii="Calibri" w:eastAsia="Calibri" w:hAnsi="Calibri" w:cs="Calibri"/>
          <w:b/>
          <w:color w:val="8A6D2F"/>
          <w:sz w:val="25"/>
        </w:rPr>
        <w:t>L.2 Phase One: Day 30 to Day 90</w:t>
      </w:r>
    </w:p>
    <w:p>
      <w:pPr>
        <w:pStyle w:val="Normal"/>
        <w:spacing w:before="120" w:after="0"/>
      </w:pPr>
    </w:p>
    <w:tbl>
      <w:tblPr>
        <w:tblStyle w:val="TableNormal"/>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2306"/>
        <w:gridCol w:w="2306"/>
        <w:gridCol w:w="2306"/>
        <w:gridCol w:w="2308"/>
      </w:tblGrid>
      <w:tr>
        <w:trPr>
          <w:cantSplit w:val="1"/>
          <w:tblHeader w:val="1"/>
        </w:trPr>
        <w:tc>
          <w:tcPr>
            <w:tcW w:w="2306"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Gate</w:t>
            </w:r>
          </w:p>
        </w:tc>
        <w:tc>
          <w:tcPr>
            <w:tcW w:w="2306"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Owner</w:t>
            </w:r>
          </w:p>
        </w:tc>
        <w:tc>
          <w:tcPr>
            <w:tcW w:w="2306"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Deliverable</w:t>
            </w:r>
          </w:p>
        </w:tc>
        <w:tc>
          <w:tcPr>
            <w:tcW w:w="2308"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Certification</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G-06</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Executive Directorate</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Full dual-corridor operation at published standards</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Corridor certification</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G-07</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Trustee and Administrator</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Fund accounts open; first contribution invoices issued</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Account certificates</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G-08</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Observer program</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First observer embarkations on both corridors</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Roster publication</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G-09</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De-confliction desk</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Military liaison circuits live; first weekly coordination record</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Desk certification</w:t>
            </w:r>
          </w:p>
        </w:tc>
      </w:tr>
    </w:tbl>
    <w:p>
      <w:pPr>
        <w:pStyle w:val="Normal"/>
      </w:pPr>
    </w:p>
    <w:p>
      <w:pPr>
        <w:pStyle w:val="Heading3"/>
      </w:pPr>
      <w:r>
        <w:rPr>
          <w:rFonts w:cs="Calibri" w:ascii="Calibri" w:hAnsi="Calibri" w:eastAsia="Calibri"/>
          <w:szCs w:val="25"/>
          <w:lang w:val="en-CA" w:eastAsia="en-CA" w:bidi="ar-SA"/>
          <w:b/>
          <w:color w:val="8A6D2F"/>
          <w:sz w:val="25"/>
        </w:rPr>
        <w:t>L.3 Phase Two: Day 90 to Day 180</w:t>
      </w:r>
    </w:p>
    <w:p>
      <w:pPr>
        <w:pStyle w:val="Normal"/>
        <w:spacing w:before="120" w:after="0"/>
      </w:pPr>
    </w:p>
    <w:tbl>
      <w:tblPr>
        <w:tblStyle w:val="TableNormal"/>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2306"/>
        <w:gridCol w:w="2306"/>
        <w:gridCol w:w="2306"/>
        <w:gridCol w:w="2308"/>
      </w:tblGrid>
      <w:tr>
        <w:trPr>
          <w:cantSplit w:val="1"/>
          <w:tblHeader w:val="1"/>
        </w:trPr>
        <w:tc>
          <w:tcPr>
            <w:tcW w:w="2306"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Gate</w:t>
            </w:r>
          </w:p>
        </w:tc>
        <w:tc>
          <w:tcPr>
            <w:tcW w:w="2306"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Owner</w:t>
            </w:r>
          </w:p>
        </w:tc>
        <w:tc>
          <w:tcPr>
            <w:tcW w:w="2306"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Deliverable</w:t>
            </w:r>
          </w:p>
        </w:tc>
        <w:tc>
          <w:tcPr>
            <w:tcW w:w="2308"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Certification</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G-10</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Administrator</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Full Services Catalog operation; first reimbursement cycle closed</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Clean record certificate</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G-11</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Both administrations</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First joint search and rescue and pollution exercises complete</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Exercise certificates</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G-12</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Auditor</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First systems audit delivered</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Systems audit certificate</w:t>
            </w:r>
          </w:p>
        </w:tc>
      </w:tr>
      <w:tr>
        <w:trPr>
          <w:cantSplit w:val="1"/>
        </w:trPr>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G-13</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Compliance review desk</w:t>
            </w:r>
          </w:p>
        </w:tc>
        <w:tc>
          <w:tcPr>
            <w:tcW w:w="2306" w:type="dxa"/>
          </w:tcPr>
          <w:p>
            <w:pPr>
              <w:pStyle w:val="Normal"/>
              <w:spacing w:before="30" w:after="30" w:line="264" w:lineRule="auto"/>
              <w:jc w:val="left"/>
            </w:pPr>
            <w:r>
              <w:rPr>
                <w:rFonts w:cs="Calibri" w:ascii="Calibri" w:hAnsi="Calibri" w:eastAsia="Calibri"/>
                <w:color w:val="2B3942"/>
                <w:sz w:val="19"/>
                <w:szCs w:val="19"/>
                <w:lang w:val="en-CA" w:eastAsia="en-CA" w:bidi="ar-SA"/>
              </w:rPr>
              <w:t>First firewall review cycle complete</w:t>
            </w:r>
          </w:p>
        </w:tc>
        <w:tc>
          <w:tcPr>
            <w:tcW w:w="2308" w:type="dxa"/>
          </w:tcPr>
          <w:p>
            <w:pPr>
              <w:pStyle w:val="Normal"/>
              <w:spacing w:before="30" w:after="30" w:line="264" w:lineRule="auto"/>
              <w:jc w:val="left"/>
            </w:pPr>
            <w:r>
              <w:rPr>
                <w:rFonts w:cs="Calibri" w:ascii="Calibri" w:hAnsi="Calibri" w:eastAsia="Calibri"/>
                <w:color w:val="2B3942"/>
                <w:sz w:val="19"/>
                <w:szCs w:val="19"/>
                <w:lang w:val="en-CA" w:eastAsia="en-CA" w:bidi="ar-SA"/>
              </w:rPr>
              <w:t>Firewall certificate</w:t>
            </w:r>
          </w:p>
        </w:tc>
      </w:tr>
    </w:tbl>
    <w:p>
      <w:pPr>
        <w:pStyle w:val="Normal"/>
      </w:pPr>
    </w:p>
    <w:p>
      <w:pPr>
        <w:pStyle w:val="Heading3"/>
      </w:pPr>
      <w:r>
        <w:rPr>
          <w:rFonts w:cs="Calibri" w:ascii="Calibri" w:hAnsi="Calibri" w:eastAsia="Calibri"/>
          <w:szCs w:val="25"/>
          <w:lang w:val="en-CA" w:eastAsia="en-CA" w:bidi="ar-SA"/>
          <w:b/>
          <w:color w:val="8A6D2F"/>
          <w:sz w:val="25"/>
        </w:rPr>
        <w:t>L.4 Phase Three: Day 180 Onward</w:t>
      </w:r>
    </w:p>
    <w:p>
      <w:pPr>
        <w:pStyle w:val="Normal"/>
      </w:pPr>
      <w:r>
        <w:rPr>
          <w:rFonts w:cs="Calibri" w:ascii="Calibri" w:hAnsi="Calibri" w:eastAsia="Calibri"/>
          <w:szCs w:val="23"/>
          <w:lang w:val="en-CA" w:eastAsia="en-CA" w:bidi="ar-SA"/>
          <w:color w:val="212B32"/>
          <w:sz w:val="23"/>
        </w:rPr>
        <w:t>Steady-state operation: the quarterly rhythm of audits, exercises, reviews, and publications runs on the standing calendar. The first annual review convenes under Article 33.2; accession instruments and stakeholder expansions proceed under Article 33.3; and the deep review of the third year takes the architecture's full record as its evidence base.</w:t>
      </w:r>
    </w:p>
    <w:p>
      <w:pPr>
        <w:pStyle w:val="Heading3"/>
      </w:pPr>
      <w:r>
        <w:rPr>
          <w:szCs w:val="25"/>
          <w:lang w:val="en-CA" w:eastAsia="en-CA" w:bidi="ar-SA"/>
          <w:rFonts w:ascii="Calibri" w:eastAsia="Calibri" w:hAnsi="Calibri" w:cs="Calibri"/>
          <w:b/>
          <w:color w:val="8A6D2F"/>
          <w:sz w:val="25"/>
        </w:rPr>
        <w:t>L.5 The Standing Calendar</w:t>
      </w:r>
    </w:p>
    <w:p>
      <w:pPr>
        <w:pStyle w:val="Normal"/>
      </w:pPr>
      <w:r>
        <w:rPr>
          <w:rFonts w:cs="Calibri" w:ascii="Calibri" w:hAnsi="Calibri" w:eastAsia="Calibri"/>
          <w:szCs w:val="23"/>
          <w:lang w:val="en-CA" w:eastAsia="en-CA" w:bidi="ar-SA"/>
          <w:color w:val="212B32"/>
          <w:sz w:val="23"/>
        </w:rPr>
        <w:t>The standing calendar runs on fixed rhythms: daily status report at 18:00 Gulf Standard Time; hotline test at 06:00 UTC; watch handover drill every fourteen (14) days; monthly Governing Board session; quarterly reimbursement cycle, exercises, and audit verification; annual budget adoption, rate review, systems audit, and architecture review. The calendar publishes one year ahead on the dashboard, and under the no-fade rule every rhythm carries forward across every boundary by default.</w:t>
      </w:r>
    </w:p>
    <w:p>
      <w:pPr>
        <w:pStyle w:val="Heading2"/>
      </w:pPr>
      <w:bookmarkStart w:id="118" w:name="_Toc1060"/>
      <w:bookmarkStart w:id="119" w:name="_Toc235667491"/>
      <w:r>
        <w:rPr>
          <w:rFonts w:cs="Cambria" w:ascii="Cambria" w:hAnsi="Cambria" w:eastAsia="Cambria"/>
          <w:szCs w:val="30"/>
          <w:lang w:val="en-CA" w:eastAsia="en-CA" w:bidi="ar-SA"/>
          <w:color w:val="212B32"/>
          <w:b/>
          <w:sz w:val="30"/>
        </w:rPr>
        <w:t>Annex M: Glossary and Abbreviations</w:t>
      </w:r>
      <w:bookmarkEnd w:id="118"/>
      <w:bookmarkEnd w:id="119"/>
    </w:p>
    <w:p>
      <w:pPr>
        <w:pStyle w:val="Heading3"/>
      </w:pPr>
      <w:r>
        <w:rPr>
          <w:rFonts w:cs="Calibri" w:ascii="Calibri" w:hAnsi="Calibri" w:eastAsia="Calibri"/>
          <w:szCs w:val="25"/>
          <w:lang w:val="en-CA" w:eastAsia="en-CA" w:bidi="ar-SA"/>
          <w:b/>
          <w:color w:val="8A6D2F"/>
          <w:sz w:val="25"/>
        </w:rPr>
        <w:t>M.1 Abbreviations</w:t>
      </w:r>
    </w:p>
    <w:p>
      <w:pPr>
        <w:pStyle w:val="Normal"/>
        <w:spacing w:before="120" w:after="0"/>
      </w:pPr>
    </w:p>
    <w:tbl>
      <w:tblPr>
        <w:tblStyle w:val="TableNormal"/>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2862"/>
        <w:gridCol w:w="6364"/>
      </w:tblGrid>
      <w:tr>
        <w:trPr>
          <w:cantSplit w:val="1"/>
          <w:tblHeader w:val="1"/>
        </w:trPr>
        <w:tc>
          <w:tcPr>
            <w:tcW w:w="2862"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Abbreviation</w:t>
            </w:r>
          </w:p>
        </w:tc>
        <w:tc>
          <w:tcPr>
            <w:tcW w:w="6364"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Meaning</w:t>
            </w:r>
          </w:p>
        </w:tc>
      </w:tr>
      <w:tr>
        <w:trPr>
          <w:cantSplit w:val="1"/>
        </w:trPr>
        <w:tc>
          <w:tcPr>
            <w:tcW w:w="2862" w:type="dxa"/>
          </w:tcPr>
          <w:p>
            <w:pPr>
              <w:pStyle w:val="Normal"/>
              <w:spacing w:before="30" w:after="30" w:line="264" w:lineRule="auto"/>
              <w:jc w:val="left"/>
            </w:pPr>
            <w:r>
              <w:rPr>
                <w:rFonts w:cs="Calibri" w:ascii="Calibri" w:hAnsi="Calibri" w:eastAsia="Calibri"/>
                <w:color w:val="2B3942"/>
                <w:sz w:val="19"/>
                <w:szCs w:val="19"/>
                <w:lang w:val="en-CA" w:eastAsia="en-CA" w:bidi="ar-SA"/>
              </w:rPr>
              <w:t>DWT</w:t>
            </w:r>
          </w:p>
        </w:tc>
        <w:tc>
          <w:tcPr>
            <w:tcW w:w="6364" w:type="dxa"/>
          </w:tcPr>
          <w:p>
            <w:pPr>
              <w:pStyle w:val="Normal"/>
              <w:spacing w:before="30" w:after="30" w:line="264" w:lineRule="auto"/>
              <w:jc w:val="left"/>
            </w:pPr>
            <w:r>
              <w:rPr>
                <w:rFonts w:cs="Calibri" w:ascii="Calibri" w:hAnsi="Calibri" w:eastAsia="Calibri"/>
                <w:color w:val="2B3942"/>
                <w:sz w:val="19"/>
                <w:szCs w:val="19"/>
                <w:lang w:val="en-CA" w:eastAsia="en-CA" w:bidi="ar-SA"/>
              </w:rPr>
              <w:t>Deadweight tonnage</w:t>
            </w:r>
          </w:p>
        </w:tc>
      </w:tr>
      <w:tr>
        <w:trPr>
          <w:cantSplit w:val="1"/>
        </w:trPr>
        <w:tc>
          <w:tcPr>
            <w:tcW w:w="2862" w:type="dxa"/>
          </w:tcPr>
          <w:p>
            <w:pPr>
              <w:pStyle w:val="Normal"/>
              <w:spacing w:before="30" w:after="30" w:line="264" w:lineRule="auto"/>
              <w:jc w:val="left"/>
            </w:pPr>
            <w:r>
              <w:rPr>
                <w:rFonts w:cs="Calibri" w:ascii="Calibri" w:hAnsi="Calibri" w:eastAsia="Calibri"/>
                <w:color w:val="2B3942"/>
                <w:sz w:val="19"/>
                <w:szCs w:val="19"/>
                <w:lang w:val="en-CA" w:eastAsia="en-CA" w:bidi="ar-SA"/>
              </w:rPr>
              <w:t>HMSTF</w:t>
            </w:r>
          </w:p>
        </w:tc>
        <w:tc>
          <w:tcPr>
            <w:tcW w:w="6364" w:type="dxa"/>
          </w:tcPr>
          <w:p>
            <w:pPr>
              <w:pStyle w:val="Normal"/>
              <w:spacing w:before="30" w:after="30" w:line="264" w:lineRule="auto"/>
              <w:jc w:val="left"/>
            </w:pPr>
            <w:r>
              <w:rPr>
                <w:rFonts w:cs="Calibri" w:ascii="Calibri" w:hAnsi="Calibri" w:eastAsia="Calibri"/>
                <w:color w:val="2B3942"/>
                <w:sz w:val="19"/>
                <w:szCs w:val="19"/>
                <w:lang w:val="en-CA" w:eastAsia="en-CA" w:bidi="ar-SA"/>
              </w:rPr>
              <w:t>Hormuz Maritime Services Trust Fund</w:t>
            </w:r>
          </w:p>
        </w:tc>
      </w:tr>
      <w:tr>
        <w:trPr>
          <w:cantSplit w:val="1"/>
        </w:trPr>
        <w:tc>
          <w:tcPr>
            <w:tcW w:w="2862" w:type="dxa"/>
          </w:tcPr>
          <w:p>
            <w:pPr>
              <w:pStyle w:val="Normal"/>
              <w:spacing w:before="30" w:after="30" w:line="264" w:lineRule="auto"/>
              <w:jc w:val="left"/>
            </w:pPr>
            <w:r>
              <w:rPr>
                <w:rFonts w:cs="Calibri" w:ascii="Calibri" w:hAnsi="Calibri" w:eastAsia="Calibri"/>
                <w:color w:val="2B3942"/>
                <w:sz w:val="19"/>
                <w:szCs w:val="19"/>
                <w:lang w:val="en-CA" w:eastAsia="en-CA" w:bidi="ar-SA"/>
              </w:rPr>
              <w:t>GMCAF</w:t>
            </w:r>
          </w:p>
        </w:tc>
        <w:tc>
          <w:tcPr>
            <w:tcW w:w="6364" w:type="dxa"/>
          </w:tcPr>
          <w:p>
            <w:pPr>
              <w:pStyle w:val="Normal"/>
              <w:spacing w:before="30" w:after="30" w:line="264" w:lineRule="auto"/>
              <w:jc w:val="left"/>
            </w:pPr>
            <w:r>
              <w:rPr>
                <w:rFonts w:cs="Calibri" w:ascii="Calibri" w:hAnsi="Calibri" w:eastAsia="Calibri"/>
                <w:color w:val="2B3942"/>
                <w:sz w:val="19"/>
                <w:szCs w:val="19"/>
                <w:lang w:val="en-CA" w:eastAsia="en-CA" w:bidi="ar-SA"/>
              </w:rPr>
              <w:t>Gulf States Maritime Coordination Authority Framework; also the Authority</w:t>
            </w:r>
          </w:p>
        </w:tc>
      </w:tr>
      <w:tr>
        <w:trPr>
          <w:cantSplit w:val="1"/>
        </w:trPr>
        <w:tc>
          <w:tcPr>
            <w:tcW w:w="2862" w:type="dxa"/>
          </w:tcPr>
          <w:p>
            <w:pPr>
              <w:pStyle w:val="Normal"/>
              <w:spacing w:before="30" w:after="30" w:line="264" w:lineRule="auto"/>
              <w:jc w:val="left"/>
            </w:pPr>
            <w:r>
              <w:rPr>
                <w:rFonts w:cs="Calibri" w:ascii="Calibri" w:hAnsi="Calibri" w:eastAsia="Calibri"/>
                <w:color w:val="2B3942"/>
                <w:sz w:val="19"/>
                <w:szCs w:val="19"/>
                <w:lang w:val="en-CA" w:eastAsia="en-CA" w:bidi="ar-SA"/>
              </w:rPr>
              <w:t>JMCC</w:t>
            </w:r>
          </w:p>
        </w:tc>
        <w:tc>
          <w:tcPr>
            <w:tcW w:w="6364" w:type="dxa"/>
          </w:tcPr>
          <w:p>
            <w:pPr>
              <w:pStyle w:val="Normal"/>
              <w:spacing w:before="30" w:after="30" w:line="264" w:lineRule="auto"/>
              <w:jc w:val="left"/>
            </w:pPr>
            <w:r>
              <w:rPr>
                <w:rFonts w:cs="Calibri" w:ascii="Calibri" w:hAnsi="Calibri" w:eastAsia="Calibri"/>
                <w:color w:val="2B3942"/>
                <w:sz w:val="19"/>
                <w:szCs w:val="19"/>
                <w:lang w:val="en-CA" w:eastAsia="en-CA" w:bidi="ar-SA"/>
              </w:rPr>
              <w:t>Joint Maritime Coordination Center</w:t>
            </w:r>
          </w:p>
        </w:tc>
      </w:tr>
      <w:tr>
        <w:trPr>
          <w:cantSplit w:val="1"/>
        </w:trPr>
        <w:tc>
          <w:tcPr>
            <w:tcW w:w="2862" w:type="dxa"/>
          </w:tcPr>
          <w:p>
            <w:pPr>
              <w:pStyle w:val="Normal"/>
              <w:spacing w:before="30" w:after="30" w:line="264" w:lineRule="auto"/>
              <w:jc w:val="left"/>
            </w:pPr>
            <w:r>
              <w:rPr>
                <w:rFonts w:cs="Calibri" w:ascii="Calibri" w:hAnsi="Calibri" w:eastAsia="Calibri"/>
                <w:color w:val="2B3942"/>
                <w:sz w:val="19"/>
                <w:szCs w:val="19"/>
                <w:lang w:val="en-CA" w:eastAsia="en-CA" w:bidi="ar-SA"/>
              </w:rPr>
              <w:t>LNG / LPG</w:t>
            </w:r>
          </w:p>
        </w:tc>
        <w:tc>
          <w:tcPr>
            <w:tcW w:w="6364" w:type="dxa"/>
          </w:tcPr>
          <w:p>
            <w:pPr>
              <w:pStyle w:val="Normal"/>
              <w:spacing w:before="30" w:after="30" w:line="264" w:lineRule="auto"/>
              <w:jc w:val="left"/>
            </w:pPr>
            <w:r>
              <w:rPr>
                <w:rFonts w:cs="Calibri" w:ascii="Calibri" w:hAnsi="Calibri" w:eastAsia="Calibri"/>
                <w:color w:val="2B3942"/>
                <w:sz w:val="19"/>
                <w:szCs w:val="19"/>
                <w:lang w:val="en-CA" w:eastAsia="en-CA" w:bidi="ar-SA"/>
              </w:rPr>
              <w:t>Liquefied natural gas / liquefied petroleum gas</w:t>
            </w:r>
          </w:p>
        </w:tc>
      </w:tr>
      <w:tr>
        <w:trPr>
          <w:cantSplit w:val="1"/>
        </w:trPr>
        <w:tc>
          <w:tcPr>
            <w:tcW w:w="2862" w:type="dxa"/>
          </w:tcPr>
          <w:p>
            <w:pPr>
              <w:pStyle w:val="Normal"/>
              <w:spacing w:before="30" w:after="30" w:line="264" w:lineRule="auto"/>
              <w:jc w:val="left"/>
            </w:pPr>
            <w:r>
              <w:rPr>
                <w:rFonts w:cs="Calibri" w:ascii="Calibri" w:hAnsi="Calibri" w:eastAsia="Calibri"/>
                <w:color w:val="2B3942"/>
                <w:sz w:val="19"/>
                <w:szCs w:val="19"/>
                <w:lang w:val="en-CA" w:eastAsia="en-CA" w:bidi="ar-SA"/>
              </w:rPr>
              <w:t>NM</w:t>
            </w:r>
          </w:p>
        </w:tc>
        <w:tc>
          <w:tcPr>
            <w:tcW w:w="6364" w:type="dxa"/>
          </w:tcPr>
          <w:p>
            <w:pPr>
              <w:pStyle w:val="Normal"/>
              <w:spacing w:before="30" w:after="30" w:line="264" w:lineRule="auto"/>
              <w:jc w:val="left"/>
            </w:pPr>
            <w:r>
              <w:rPr>
                <w:rFonts w:cs="Calibri" w:ascii="Calibri" w:hAnsi="Calibri" w:eastAsia="Calibri"/>
                <w:color w:val="2B3942"/>
                <w:sz w:val="19"/>
                <w:szCs w:val="19"/>
                <w:lang w:val="en-CA" w:eastAsia="en-CA" w:bidi="ar-SA"/>
              </w:rPr>
              <w:t>Nautical mile</w:t>
            </w:r>
          </w:p>
        </w:tc>
      </w:tr>
      <w:tr>
        <w:trPr>
          <w:cantSplit w:val="1"/>
        </w:trPr>
        <w:tc>
          <w:tcPr>
            <w:tcW w:w="2862" w:type="dxa"/>
          </w:tcPr>
          <w:p>
            <w:pPr>
              <w:pStyle w:val="Normal"/>
              <w:spacing w:before="30" w:after="30" w:line="264" w:lineRule="auto"/>
              <w:jc w:val="left"/>
            </w:pPr>
            <w:r>
              <w:rPr>
                <w:rFonts w:cs="Calibri" w:ascii="Calibri" w:hAnsi="Calibri" w:eastAsia="Calibri"/>
                <w:color w:val="2B3942"/>
                <w:sz w:val="19"/>
                <w:szCs w:val="19"/>
                <w:lang w:val="en-CA" w:eastAsia="en-CA" w:bidi="ar-SA"/>
              </w:rPr>
              <w:t>RVD</w:t>
            </w:r>
          </w:p>
        </w:tc>
        <w:tc>
          <w:tcPr>
            <w:tcW w:w="6364" w:type="dxa"/>
          </w:tcPr>
          <w:p>
            <w:pPr>
              <w:pStyle w:val="Normal"/>
              <w:spacing w:before="30" w:after="30" w:line="264" w:lineRule="auto"/>
              <w:jc w:val="left"/>
            </w:pPr>
            <w:r>
              <w:rPr>
                <w:rFonts w:cs="Calibri" w:ascii="Calibri" w:hAnsi="Calibri" w:eastAsia="Calibri"/>
                <w:color w:val="2B3942"/>
                <w:sz w:val="19"/>
                <w:szCs w:val="19"/>
                <w:lang w:val="en-CA" w:eastAsia="en-CA" w:bidi="ar-SA"/>
              </w:rPr>
              <w:t>Route Verification Data service</w:t>
            </w:r>
          </w:p>
        </w:tc>
      </w:tr>
      <w:tr>
        <w:trPr>
          <w:cantSplit w:val="1"/>
        </w:trPr>
        <w:tc>
          <w:tcPr>
            <w:tcW w:w="2862" w:type="dxa"/>
          </w:tcPr>
          <w:p>
            <w:pPr>
              <w:pStyle w:val="Normal"/>
              <w:spacing w:before="30" w:after="30" w:line="264" w:lineRule="auto"/>
              <w:jc w:val="left"/>
            </w:pPr>
            <w:r>
              <w:rPr>
                <w:rFonts w:cs="Calibri" w:ascii="Calibri" w:hAnsi="Calibri" w:eastAsia="Calibri"/>
                <w:color w:val="2B3942"/>
                <w:sz w:val="19"/>
                <w:szCs w:val="19"/>
                <w:lang w:val="en-CA" w:eastAsia="en-CA" w:bidi="ar-SA"/>
              </w:rPr>
              <w:t>UTC</w:t>
            </w:r>
          </w:p>
        </w:tc>
        <w:tc>
          <w:tcPr>
            <w:tcW w:w="6364" w:type="dxa"/>
          </w:tcPr>
          <w:p>
            <w:pPr>
              <w:pStyle w:val="Normal"/>
              <w:spacing w:before="30" w:after="30" w:line="264" w:lineRule="auto"/>
              <w:jc w:val="left"/>
            </w:pPr>
            <w:r>
              <w:rPr>
                <w:rFonts w:cs="Calibri" w:ascii="Calibri" w:hAnsi="Calibri" w:eastAsia="Calibri"/>
                <w:color w:val="2B3942"/>
                <w:sz w:val="19"/>
                <w:szCs w:val="19"/>
                <w:lang w:val="en-CA" w:eastAsia="en-CA" w:bidi="ar-SA"/>
              </w:rPr>
              <w:t>Coordinated universal time</w:t>
            </w:r>
          </w:p>
        </w:tc>
      </w:tr>
      <w:tr>
        <w:trPr>
          <w:cantSplit w:val="1"/>
        </w:trPr>
        <w:tc>
          <w:tcPr>
            <w:tcW w:w="2862" w:type="dxa"/>
          </w:tcPr>
          <w:p>
            <w:pPr>
              <w:pStyle w:val="Normal"/>
              <w:spacing w:before="30" w:after="30" w:line="264" w:lineRule="auto"/>
              <w:jc w:val="left"/>
            </w:pPr>
            <w:r>
              <w:rPr>
                <w:rFonts w:cs="Calibri" w:ascii="Calibri" w:hAnsi="Calibri" w:eastAsia="Calibri"/>
                <w:color w:val="2B3942"/>
                <w:sz w:val="19"/>
                <w:szCs w:val="19"/>
                <w:lang w:val="en-CA" w:eastAsia="en-CA" w:bidi="ar-SA"/>
              </w:rPr>
              <w:t>VLCC / ULCC</w:t>
            </w:r>
          </w:p>
        </w:tc>
        <w:tc>
          <w:tcPr>
            <w:tcW w:w="6364" w:type="dxa"/>
          </w:tcPr>
          <w:p>
            <w:pPr>
              <w:pStyle w:val="Normal"/>
              <w:spacing w:before="30" w:after="30" w:line="264" w:lineRule="auto"/>
              <w:jc w:val="left"/>
            </w:pPr>
            <w:r>
              <w:rPr>
                <w:rFonts w:cs="Calibri" w:ascii="Calibri" w:hAnsi="Calibri" w:eastAsia="Calibri"/>
                <w:color w:val="2B3942"/>
                <w:sz w:val="19"/>
                <w:szCs w:val="19"/>
                <w:lang w:val="en-CA" w:eastAsia="en-CA" w:bidi="ar-SA"/>
              </w:rPr>
              <w:t>Very large / ultra large crude carrier</w:t>
            </w:r>
          </w:p>
        </w:tc>
      </w:tr>
      <w:tr>
        <w:trPr>
          <w:cantSplit w:val="1"/>
        </w:trPr>
        <w:tc>
          <w:tcPr>
            <w:tcW w:w="2862" w:type="dxa"/>
          </w:tcPr>
          <w:p>
            <w:pPr>
              <w:pStyle w:val="Normal"/>
              <w:spacing w:before="30" w:after="30" w:line="264" w:lineRule="auto"/>
              <w:jc w:val="left"/>
            </w:pPr>
            <w:r>
              <w:rPr>
                <w:rFonts w:cs="Calibri" w:ascii="Calibri" w:hAnsi="Calibri" w:eastAsia="Calibri"/>
                <w:color w:val="2B3942"/>
                <w:sz w:val="19"/>
                <w:szCs w:val="19"/>
                <w:lang w:val="en-CA" w:eastAsia="en-CA" w:bidi="ar-SA"/>
              </w:rPr>
              <w:t>WGS 84</w:t>
            </w:r>
          </w:p>
        </w:tc>
        <w:tc>
          <w:tcPr>
            <w:tcW w:w="6364" w:type="dxa"/>
          </w:tcPr>
          <w:p>
            <w:pPr>
              <w:pStyle w:val="Normal"/>
              <w:spacing w:before="30" w:after="30" w:line="264" w:lineRule="auto"/>
              <w:jc w:val="left"/>
            </w:pPr>
            <w:r>
              <w:rPr>
                <w:rFonts w:cs="Calibri" w:ascii="Calibri" w:hAnsi="Calibri" w:eastAsia="Calibri"/>
                <w:color w:val="2B3942"/>
                <w:sz w:val="19"/>
                <w:szCs w:val="19"/>
                <w:lang w:val="en-CA" w:eastAsia="en-CA" w:bidi="ar-SA"/>
              </w:rPr>
              <w:t>World Geodetic System 1984</w:t>
            </w:r>
          </w:p>
        </w:tc>
      </w:tr>
    </w:tbl>
    <w:p>
      <w:pPr>
        <w:pStyle w:val="Normal"/>
      </w:pPr>
    </w:p>
    <w:p>
      <w:pPr>
        <w:pStyle w:val="Heading3"/>
      </w:pPr>
      <w:r>
        <w:rPr>
          <w:rFonts w:cs="Calibri" w:ascii="Calibri" w:hAnsi="Calibri" w:eastAsia="Calibri"/>
          <w:szCs w:val="25"/>
          <w:lang w:val="en-CA" w:eastAsia="en-CA" w:bidi="ar-SA"/>
          <w:b/>
          <w:color w:val="8A6D2F"/>
          <w:sz w:val="25"/>
        </w:rPr>
        <w:t>M.2 Operative Terms</w:t>
      </w:r>
    </w:p>
    <w:p>
      <w:pPr>
        <w:pStyle w:val="Normal"/>
      </w:pPr>
      <w:r>
        <w:rPr>
          <w:rFonts w:cs="Calibri" w:ascii="Calibri" w:hAnsi="Calibri" w:eastAsia="Calibri"/>
          <w:szCs w:val="23"/>
          <w:lang w:val="en-CA" w:eastAsia="en-CA" w:bidi="ar-SA"/>
          <w:color w:val="212B32"/>
          <w:sz w:val="23"/>
        </w:rPr>
        <w:t>Banked performance: the permanent accumulation of verified records as the factual baseline for every review and successor instrument, under Article 32.2.</w:t>
      </w:r>
    </w:p>
    <w:p>
      <w:pPr>
        <w:pStyle w:val="Normal"/>
      </w:pPr>
      <w:r>
        <w:rPr>
          <w:rFonts w:cs="Calibri" w:ascii="Calibri" w:hAnsi="Calibri" w:eastAsia="Calibri"/>
          <w:szCs w:val="23"/>
          <w:lang w:val="en-CA" w:eastAsia="en-CA" w:bidi="ar-SA"/>
          <w:color w:val="212B32"/>
          <w:sz w:val="23"/>
        </w:rPr>
        <w:t>Convergence standard: the evidence rule of Article 28.3, under which a compliance determination rests on at least three independent channels.</w:t>
      </w:r>
    </w:p>
    <w:p>
      <w:pPr>
        <w:pStyle w:val="Normal"/>
      </w:pPr>
      <w:r>
        <w:rPr>
          <w:rFonts w:cs="Calibri" w:ascii="Calibri" w:hAnsi="Calibri" w:eastAsia="Calibri"/>
          <w:szCs w:val="23"/>
          <w:lang w:val="en-CA" w:eastAsia="en-CA" w:bidi="ar-SA"/>
          <w:color w:val="212B32"/>
          <w:sz w:val="23"/>
        </w:rPr>
        <w:t>Default continuity: the rule of Article 16.2 and Article 32 under which a stalled decision or a passing date leaves the operational state carrying forward unchanged.</w:t>
      </w:r>
    </w:p>
    <w:p>
      <w:pPr>
        <w:pStyle w:val="Normal"/>
      </w:pPr>
      <w:r>
        <w:rPr>
          <w:szCs w:val="23"/>
          <w:lang w:val="en-CA" w:eastAsia="en-CA" w:bidi="ar-SA"/>
          <w:rFonts w:ascii="Calibri" w:eastAsia="Calibri" w:hAnsi="Calibri" w:cs="Calibri"/>
          <w:color w:val="212B32"/>
          <w:sz w:val="23"/>
        </w:rPr>
        <w:t>Dual-copy rule: the data custody rule of Article 13.5 under which every record exists simultaneously in Muscat and Bandar Abbas under cryptographic timestamping.</w:t>
      </w:r>
    </w:p>
    <w:p>
      <w:pPr>
        <w:pStyle w:val="Normal"/>
      </w:pPr>
      <w:r>
        <w:rPr>
          <w:rFonts w:cs="Calibri" w:ascii="Calibri" w:hAnsi="Calibri" w:eastAsia="Calibri"/>
          <w:szCs w:val="23"/>
          <w:lang w:val="en-CA" w:eastAsia="en-CA" w:bidi="ar-SA"/>
          <w:color w:val="212B32"/>
          <w:sz w:val="23"/>
        </w:rPr>
        <w:t>Mutual architecture: the drafting and design principle under which every prohibition and commitment binds all States Parties equally as a feature of the shared framework.</w:t>
      </w:r>
    </w:p>
    <w:p>
      <w:pPr>
        <w:pStyle w:val="Normal"/>
      </w:pPr>
      <w:r>
        <w:rPr>
          <w:rFonts w:cs="Calibri" w:ascii="Calibri" w:hAnsi="Calibri" w:eastAsia="Calibri"/>
          <w:szCs w:val="23"/>
          <w:lang w:val="en-CA" w:eastAsia="en-CA" w:bidi="ar-SA"/>
          <w:color w:val="212B32"/>
          <w:sz w:val="23"/>
        </w:rPr>
        <w:t>No-fade rule: the interpretive supremacy rule of Article 32: no commitment fades at any date boundary, verified performance banks permanently, and the Framework recognizes no sunset, no cliff, and no silent expiry.</w:t>
      </w:r>
    </w:p>
    <w:p>
      <w:pPr>
        <w:pStyle w:val="Normal"/>
      </w:pPr>
      <w:r>
        <w:rPr>
          <w:rFonts w:cs="Calibri" w:ascii="Calibri" w:hAnsi="Calibri" w:eastAsia="Calibri"/>
          <w:szCs w:val="23"/>
          <w:lang w:val="en-CA" w:eastAsia="en-CA" w:bidi="ar-SA"/>
          <w:color w:val="212B32"/>
          <w:sz w:val="23"/>
        </w:rPr>
        <w:t>Operational pause notice: the sector-limited, sixty (60) minute traffic freeze of Article 27.2, issued on verified hazard.</w:t>
      </w:r>
    </w:p>
    <w:p>
      <w:pPr>
        <w:pStyle w:val="Normal"/>
      </w:pPr>
      <w:r>
        <w:rPr>
          <w:rFonts w:cs="Calibri" w:ascii="Calibri" w:hAnsi="Calibri" w:eastAsia="Calibri"/>
          <w:szCs w:val="23"/>
          <w:lang w:val="en-CA" w:eastAsia="en-CA" w:bidi="ar-SA"/>
          <w:color w:val="212B32"/>
          <w:sz w:val="23"/>
        </w:rPr>
        <w:t>Renewal by silence: the rule of Article 32.3 under which every periodic element renews automatically at each cycle boundary on a clean record.</w:t>
      </w:r>
    </w:p>
    <w:p>
      <w:pPr>
        <w:pStyle w:val="Normal"/>
      </w:pPr>
      <w:r>
        <w:rPr>
          <w:rFonts w:cs="Calibri" w:ascii="Calibri" w:hAnsi="Calibri" w:eastAsia="Calibri"/>
          <w:szCs w:val="23"/>
          <w:lang w:val="en-CA" w:eastAsia="en-CA" w:bidi="ar-SA"/>
          <w:color w:val="212B32"/>
          <w:sz w:val="23"/>
        </w:rPr>
        <w:t>Safety core: the functions of Article 29.5 that operate without interruption through every compliance episode.</w:t>
      </w:r>
    </w:p>
    <w:p>
      <w:pPr>
        <w:pStyle w:val="Normal"/>
      </w:pPr>
      <w:r>
        <w:rPr>
          <w:rFonts w:cs="Calibri" w:ascii="Calibri" w:hAnsi="Calibri" w:eastAsia="Calibri"/>
          <w:szCs w:val="23"/>
          <w:lang w:val="en-CA" w:eastAsia="en-CA" w:bidi="ar-SA"/>
          <w:color w:val="212B32"/>
          <w:sz w:val="23"/>
        </w:rPr>
        <w:t>Step-back ladder: the graduated, reversible response architecture of Article 29.</w:t>
      </w:r>
    </w:p>
    <w:p>
      <w:pPr>
        <w:pStyle w:val="Heading2"/>
      </w:pPr>
      <w:bookmarkStart w:id="120" w:name="_Toc1061"/>
      <w:bookmarkStart w:id="121" w:name="_Toc235667492"/>
      <w:r>
        <w:rPr>
          <w:rFonts w:cs="Cambria" w:ascii="Cambria" w:hAnsi="Cambria" w:eastAsia="Cambria"/>
          <w:szCs w:val="30"/>
          <w:lang w:val="en-CA" w:eastAsia="en-CA" w:bidi="ar-SA"/>
          <w:color w:val="212B32"/>
          <w:b/>
          <w:sz w:val="30"/>
        </w:rPr>
        <w:t>Annex N: Model Participation Instruments</w:t>
      </w:r>
      <w:bookmarkEnd w:id="120"/>
      <w:bookmarkEnd w:id="121"/>
    </w:p>
    <w:p>
      <w:pPr>
        <w:pStyle w:val="Normal"/>
      </w:pPr>
      <w:r>
        <w:rPr>
          <w:rFonts w:cs="Calibri" w:ascii="Calibri" w:hAnsi="Calibri" w:eastAsia="Calibri"/>
          <w:szCs w:val="23"/>
          <w:lang w:val="en-CA" w:eastAsia="en-CA" w:bidi="ar-SA"/>
          <w:color w:val="212B32"/>
          <w:sz w:val="23"/>
        </w:rPr>
        <w:t>This annex states the heads of terms of the standing instruments of the architecture. Full texts register with the depositary as executed.</w:t>
      </w:r>
    </w:p>
    <w:p>
      <w:pPr>
        <w:pStyle w:val="Heading3"/>
      </w:pPr>
      <w:r>
        <w:rPr>
          <w:rFonts w:cs="Calibri" w:ascii="Calibri" w:hAnsi="Calibri" w:eastAsia="Calibri"/>
          <w:szCs w:val="25"/>
          <w:lang w:val="en-CA" w:eastAsia="en-CA" w:bidi="ar-SA"/>
          <w:b/>
          <w:color w:val="8A6D2F"/>
          <w:sz w:val="25"/>
        </w:rPr>
        <w:t>N.1 Flag State Participation Instrument</w:t>
      </w:r>
    </w:p>
    <w:p>
      <w:pPr>
        <w:pStyle w:val="Normal"/>
      </w:pPr>
      <w:r>
        <w:rPr>
          <w:rFonts w:cs="Calibri" w:ascii="Calibri" w:hAnsi="Calibri" w:eastAsia="Calibri"/>
          <w:szCs w:val="23"/>
          <w:lang w:val="en-CA" w:eastAsia="en-CA" w:bidi="ar-SA"/>
          <w:color w:val="212B32"/>
          <w:sz w:val="23"/>
        </w:rPr>
        <w:t>Heads of terms: participation in the Fund's contribution stream one; annual assessment under the formula of Article 19.2; registry enrollment of the flag administration and its vessels; membership in the Stakeholder Council; access to the Route Verification Data service at the administration tier; observer secondment eligibility; and a standing commitment to the toll-free guarantee and the non-interdiction protocol. The instrument runs without term, renews by silence annually, and terminates on sixty (60) days notice with settlement of the current assessment year.</w:t>
      </w:r>
    </w:p>
    <w:p>
      <w:pPr>
        <w:pStyle w:val="Heading3"/>
      </w:pPr>
      <w:r>
        <w:rPr>
          <w:szCs w:val="25"/>
          <w:lang w:val="en-CA" w:eastAsia="en-CA" w:bidi="ar-SA"/>
          <w:rFonts w:ascii="Calibri" w:eastAsia="Calibri" w:hAnsi="Calibri" w:cs="Calibri"/>
          <w:b/>
          <w:color w:val="8A6D2F"/>
          <w:sz w:val="25"/>
        </w:rPr>
        <w:t>N.2 Industry Association Participation Instrument</w:t>
      </w:r>
    </w:p>
    <w:p>
      <w:pPr>
        <w:pStyle w:val="Normal"/>
      </w:pPr>
      <w:r>
        <w:rPr>
          <w:rFonts w:cs="Calibri" w:ascii="Calibri" w:hAnsi="Calibri" w:eastAsia="Calibri"/>
          <w:szCs w:val="23"/>
          <w:lang w:val="en-CA" w:eastAsia="en-CA" w:bidi="ar-SA"/>
          <w:color w:val="212B32"/>
          <w:sz w:val="23"/>
        </w:rPr>
        <w:t>Heads of terms: contribution stream two at the association level; membership of the Industry Advisory Panel; data access at the association tier; consultation rights on the rate schedule and the Services Catalog; and the standing publication of the association's fulfillment standing. Term and renewal follow the model of Section N.1.</w:t>
      </w:r>
    </w:p>
    <w:p>
      <w:pPr>
        <w:pStyle w:val="Heading3"/>
      </w:pPr>
      <w:r>
        <w:rPr>
          <w:rFonts w:cs="Calibri" w:ascii="Calibri" w:hAnsi="Calibri" w:eastAsia="Calibri"/>
          <w:szCs w:val="25"/>
          <w:lang w:val="en-CA" w:eastAsia="en-CA" w:bidi="ar-SA"/>
          <w:b/>
          <w:color w:val="8A6D2F"/>
          <w:sz w:val="25"/>
        </w:rPr>
        <w:t>N.3 Observer Secondment Memorandum</w:t>
      </w:r>
    </w:p>
    <w:p>
      <w:pPr>
        <w:pStyle w:val="Normal"/>
      </w:pPr>
      <w:r>
        <w:rPr>
          <w:rFonts w:cs="Calibri" w:ascii="Calibri" w:hAnsi="Calibri" w:eastAsia="Calibri"/>
          <w:szCs w:val="23"/>
          <w:lang w:val="en-CA" w:eastAsia="en-CA" w:bidi="ar-SA"/>
          <w:color w:val="212B32"/>
          <w:sz w:val="23"/>
        </w:rPr>
        <w:t>Heads of terms: secondment of maritime professionals to the observer program; observer status and protection under Article 15.2; rotation and notice rules; cost treatment; reporting chain through the Center; and the standing invitations of the Framework to Switzerland, Pakistan, and other states added under the voting rule of Article 16.</w:t>
      </w:r>
    </w:p>
    <w:p>
      <w:pPr>
        <w:pStyle w:val="Heading3"/>
      </w:pPr>
      <w:r>
        <w:rPr>
          <w:rFonts w:cs="Calibri" w:ascii="Calibri" w:hAnsi="Calibri" w:eastAsia="Calibri"/>
          <w:szCs w:val="25"/>
          <w:lang w:val="en-CA" w:eastAsia="en-CA" w:bidi="ar-SA"/>
          <w:b/>
          <w:color w:val="8A6D2F"/>
          <w:sz w:val="25"/>
        </w:rPr>
        <w:t>N.4 Accession Instrument for Gulf Littoral States</w:t>
      </w:r>
    </w:p>
    <w:p>
      <w:pPr>
        <w:pStyle w:val="Normal"/>
      </w:pPr>
      <w:r>
        <w:rPr>
          <w:rFonts w:cs="Calibri" w:ascii="Calibri" w:hAnsi="Calibri" w:eastAsia="Calibri"/>
          <w:szCs w:val="23"/>
          <w:lang w:val="en-CA" w:eastAsia="en-CA" w:bidi="ar-SA"/>
          <w:color w:val="212B32"/>
          <w:sz w:val="23"/>
        </w:rPr>
        <w:t>Heads of terms: accession to the architecture as it stands under Article 33.3; Stakeholder Council membership with full participation rights; contribution and service integration; where the acceding state's waters adjoin the Operating Area, geometry and coordination protocols by technical annex; and acceptance of the Red Lines Register.</w:t>
      </w:r>
    </w:p>
    <w:p>
      <w:pPr>
        <w:pStyle w:val="Heading3"/>
      </w:pPr>
      <w:r>
        <w:rPr>
          <w:rFonts w:cs="Calibri" w:ascii="Calibri" w:hAnsi="Calibri" w:eastAsia="Calibri"/>
          <w:szCs w:val="25"/>
          <w:lang w:val="en-CA" w:eastAsia="en-CA" w:bidi="ar-SA"/>
          <w:b/>
          <w:color w:val="8A6D2F"/>
          <w:sz w:val="25"/>
        </w:rPr>
        <w:t>N.5 Depositary Instrument</w:t>
      </w:r>
    </w:p>
    <w:p>
      <w:pPr>
        <w:pStyle w:val="Normal"/>
      </w:pPr>
      <w:r>
        <w:rPr>
          <w:rFonts w:cs="Calibri" w:ascii="Calibri" w:hAnsi="Calibri" w:eastAsia="Calibri"/>
          <w:szCs w:val="23"/>
          <w:lang w:val="en-CA" w:eastAsia="en-CA" w:bidi="ar-SA"/>
          <w:color w:val="212B32"/>
          <w:sz w:val="23"/>
        </w:rPr>
        <w:t>Heads of terms: the Swiss Federal Council accepts depositary functions under Article 35.5: custody of master texts and certified translations; registration of amendments and accessions; convening functions under Articles 30 and 32; and the data escrow of Article 32.6.</w:t>
      </w:r>
    </w:p>
    <w:p>
      <w:pPr>
        <w:pStyle w:val="Heading3"/>
      </w:pPr>
      <w:r>
        <w:rPr>
          <w:rFonts w:cs="Calibri" w:ascii="Calibri" w:hAnsi="Calibri" w:eastAsia="Calibri"/>
          <w:szCs w:val="25"/>
          <w:lang w:val="en-CA" w:eastAsia="en-CA" w:bidi="ar-SA"/>
          <w:b/>
          <w:color w:val="8A6D2F"/>
          <w:sz w:val="25"/>
        </w:rPr>
        <w:t>N.6 Headquarters Memoranda</w:t>
      </w:r>
    </w:p>
    <w:p>
      <w:pPr>
        <w:pStyle w:val="Normal"/>
      </w:pPr>
      <w:r>
        <w:rPr>
          <w:rFonts w:cs="Calibri" w:ascii="Calibri" w:hAnsi="Calibri" w:eastAsia="Calibri"/>
          <w:szCs w:val="23"/>
          <w:lang w:val="en-CA" w:eastAsia="en-CA" w:bidi="ar-SA"/>
          <w:color w:val="212B32"/>
          <w:sz w:val="23"/>
        </w:rPr>
        <w:t>Heads of terms, in two symmetrical instruments: the Sultanate of Oman hosts the seat in Muscat and the Islamic Republic of Iran hosts the mirror in Bandar Abbas; each host extends functional immunities for premises, records, communications, and staff in their official functions; each host guarantees access for the staff and observers of the other States Parties; and no host treats another host's facility as a foreign mission or interferes with its operation.</w:t>
      </w:r>
    </w:p>
    <w:p>
      <w:pPr>
        <w:pStyle w:val="Heading2"/>
      </w:pPr>
      <w:bookmarkStart w:id="122" w:name="_Toc1062"/>
      <w:bookmarkStart w:id="123" w:name="_Toc235667493"/>
      <w:r>
        <w:rPr>
          <w:rFonts w:cs="Calibri" w:ascii="Calibri" w:hAnsi="Calibri" w:eastAsia="Microsoft YaHei"/>
          <w:szCs w:val="30"/>
          <w:lang w:val="en-CA" w:eastAsia="en-CA" w:bidi="ar-SA"/>
          <w:color w:val="2B3942"/>
          <w:b/>
          <w:sz w:val="19"/>
        </w:rPr>
        <w:t>Annex O: Verification Methods Manual</w:t>
      </w:r>
      <w:bookmarkEnd w:id="122"/>
      <w:bookmarkEnd w:id="123"/>
    </w:p>
    <w:p>
      <w:pPr>
        <w:pStyle w:val="Normal"/>
      </w:pPr>
      <w:r>
        <w:rPr>
          <w:rFonts w:cs="Calibri" w:ascii="Calibri" w:hAnsi="Calibri" w:eastAsia="Calibri"/>
          <w:szCs w:val="23"/>
          <w:lang w:val="en-CA" w:eastAsia="en-CA" w:bidi="ar-SA"/>
          <w:color w:val="212B32"/>
          <w:sz w:val="23"/>
        </w:rPr>
        <w:t>This annex fixes the verification methods of Article 23 and Article 28: the channel standards, the degraded-mode protocol, the data governance schedule, and the anti-spoofing procedures.</w:t>
      </w:r>
    </w:p>
    <w:p>
      <w:pPr>
        <w:pStyle w:val="Heading3"/>
      </w:pPr>
      <w:r>
        <w:rPr>
          <w:szCs w:val="25"/>
          <w:lang w:val="en-CA" w:eastAsia="en-CA" w:bidi="ar-SA"/>
          <w:rFonts w:ascii="Calibri" w:eastAsia="Calibri" w:hAnsi="Calibri" w:cs="Calibri"/>
          <w:b/>
          <w:color w:val="8A6D2F"/>
          <w:sz w:val="25"/>
        </w:rPr>
        <w:t>O.1 Channel Standards</w:t>
      </w:r>
    </w:p>
    <w:p>
      <w:pPr>
        <w:pStyle w:val="Normal"/>
        <w:spacing w:before="120" w:after="0"/>
      </w:pPr>
    </w:p>
    <w:tbl>
      <w:tblPr>
        <w:tblStyle w:val="TableNormal"/>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3074"/>
        <w:gridCol w:w="3075"/>
        <w:gridCol w:w="3077"/>
      </w:tblGrid>
      <w:tr>
        <w:trPr>
          <w:cantSplit w:val="1"/>
          <w:tblHeader w:val="1"/>
        </w:trPr>
        <w:tc>
          <w:tcPr>
            <w:tcW w:w="3074"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Channel</w:t>
            </w:r>
          </w:p>
        </w:tc>
        <w:tc>
          <w:tcPr>
            <w:tcW w:w="3075"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Standard</w:t>
            </w:r>
          </w:p>
        </w:tc>
        <w:tc>
          <w:tcPr>
            <w:tcW w:w="3077" w:type="dxa"/>
            <w:shd w:val="clear" w:color="auto" w:fill="EFEAE0"/>
          </w:tcPr>
          <w:p>
            <w:pPr>
              <w:pStyle w:val="Normal"/>
              <w:spacing w:before="30" w:after="30" w:line="264" w:lineRule="auto"/>
              <w:jc w:val="left"/>
            </w:pPr>
            <w:r>
              <w:rPr>
                <w:rFonts w:cs="Calibri" w:ascii="Calibri" w:hAnsi="Calibri" w:eastAsia="Calibri"/>
                <w:b/>
                <w:color w:val="1F3A4D"/>
                <w:sz w:val="19"/>
                <w:szCs w:val="19"/>
                <w:lang w:val="en-CA" w:eastAsia="en-CA" w:bidi="ar-SA"/>
              </w:rPr>
              <w:t>Coverage</w:t>
            </w:r>
          </w:p>
        </w:tc>
      </w:tr>
      <w:tr>
        <w:trPr>
          <w:cantSplit w:val="1"/>
        </w:trPr>
        <w:tc>
          <w:tcPr>
            <w:tcW w:w="3074" w:type="dxa"/>
          </w:tcPr>
          <w:p>
            <w:pPr>
              <w:pStyle w:val="Normal"/>
              <w:spacing w:before="30" w:after="30" w:line="264" w:lineRule="auto"/>
              <w:jc w:val="left"/>
            </w:pPr>
            <w:r>
              <w:rPr>
                <w:rFonts w:cs="Calibri" w:ascii="Calibri" w:hAnsi="Calibri" w:eastAsia="Calibri"/>
                <w:color w:val="2B3942"/>
                <w:sz w:val="19"/>
                <w:szCs w:val="19"/>
                <w:lang w:val="en-CA" w:eastAsia="en-CA" w:bidi="ar-SA"/>
              </w:rPr>
              <w:t>Coastal radar and identification receiver network</w:t>
            </w:r>
          </w:p>
        </w:tc>
        <w:tc>
          <w:tcPr>
            <w:tcW w:w="3075" w:type="dxa"/>
          </w:tcPr>
          <w:p>
            <w:pPr>
              <w:pStyle w:val="Normal"/>
              <w:spacing w:before="30" w:after="30" w:line="264" w:lineRule="auto"/>
              <w:jc w:val="left"/>
            </w:pPr>
            <w:r>
              <w:rPr>
                <w:rFonts w:cs="Calibri" w:ascii="Calibri" w:hAnsi="Calibri" w:eastAsia="Calibri"/>
                <w:color w:val="2B3942"/>
                <w:sz w:val="19"/>
                <w:szCs w:val="19"/>
                <w:lang w:val="en-CA" w:eastAsia="en-CA" w:bidi="ar-SA"/>
              </w:rPr>
              <w:t>Overlapping coverage of every lane meter; dual-fed to both facilities</w:t>
            </w:r>
          </w:p>
        </w:tc>
        <w:tc>
          <w:tcPr>
            <w:tcW w:w="3077" w:type="dxa"/>
          </w:tcPr>
          <w:p>
            <w:pPr>
              <w:pStyle w:val="Normal"/>
              <w:spacing w:before="30" w:after="30" w:line="264" w:lineRule="auto"/>
              <w:jc w:val="left"/>
            </w:pPr>
            <w:r>
              <w:rPr>
                <w:rFonts w:cs="Calibri" w:ascii="Calibri" w:hAnsi="Calibri" w:eastAsia="Calibri"/>
                <w:color w:val="2B3942"/>
                <w:sz w:val="19"/>
                <w:szCs w:val="19"/>
                <w:lang w:val="en-CA" w:eastAsia="en-CA" w:bidi="ar-SA"/>
              </w:rPr>
              <w:t>Continuous</w:t>
            </w:r>
          </w:p>
        </w:tc>
      </w:tr>
      <w:tr>
        <w:trPr>
          <w:cantSplit w:val="1"/>
        </w:trPr>
        <w:tc>
          <w:tcPr>
            <w:tcW w:w="3074" w:type="dxa"/>
          </w:tcPr>
          <w:p>
            <w:pPr>
              <w:pStyle w:val="Normal"/>
              <w:spacing w:before="30" w:after="30" w:line="264" w:lineRule="auto"/>
              <w:jc w:val="left"/>
            </w:pPr>
            <w:r>
              <w:rPr>
                <w:rFonts w:cs="Calibri" w:ascii="Calibri" w:hAnsi="Calibri" w:eastAsia="Calibri"/>
                <w:color w:val="2B3942"/>
                <w:sz w:val="19"/>
                <w:szCs w:val="19"/>
                <w:lang w:val="en-CA" w:eastAsia="en-CA" w:bidi="ar-SA"/>
              </w:rPr>
              <w:t>Vessel identification broadcast</w:t>
            </w:r>
          </w:p>
        </w:tc>
        <w:tc>
          <w:tcPr>
            <w:tcW w:w="3075" w:type="dxa"/>
          </w:tcPr>
          <w:p>
            <w:pPr>
              <w:pStyle w:val="Normal"/>
              <w:spacing w:before="30" w:after="30" w:line="264" w:lineRule="auto"/>
              <w:jc w:val="left"/>
            </w:pPr>
            <w:r>
              <w:rPr>
                <w:rFonts w:cs="Calibri" w:ascii="Calibri" w:hAnsi="Calibri" w:eastAsia="Calibri"/>
                <w:color w:val="2B3942"/>
                <w:sz w:val="19"/>
                <w:szCs w:val="19"/>
                <w:lang w:val="en-CA" w:eastAsia="en-CA" w:bidi="ar-SA"/>
              </w:rPr>
              <w:t>Annex A.8 payload and gap rules</w:t>
            </w:r>
          </w:p>
        </w:tc>
        <w:tc>
          <w:tcPr>
            <w:tcW w:w="3077" w:type="dxa"/>
          </w:tcPr>
          <w:p>
            <w:pPr>
              <w:pStyle w:val="Normal"/>
              <w:spacing w:before="30" w:after="30" w:line="264" w:lineRule="auto"/>
              <w:jc w:val="left"/>
            </w:pPr>
            <w:r>
              <w:rPr>
                <w:rFonts w:cs="Calibri" w:ascii="Calibri" w:hAnsi="Calibri" w:eastAsia="Calibri"/>
                <w:color w:val="2B3942"/>
                <w:sz w:val="19"/>
                <w:szCs w:val="19"/>
                <w:lang w:val="en-CA" w:eastAsia="en-CA" w:bidi="ar-SA"/>
              </w:rPr>
              <w:t>Continuous, both corridors</w:t>
            </w:r>
          </w:p>
        </w:tc>
      </w:tr>
      <w:tr>
        <w:trPr>
          <w:cantSplit w:val="1"/>
        </w:trPr>
        <w:tc>
          <w:tcPr>
            <w:tcW w:w="3074" w:type="dxa"/>
          </w:tcPr>
          <w:p>
            <w:pPr>
              <w:pStyle w:val="Normal"/>
              <w:spacing w:before="30" w:after="30" w:line="264" w:lineRule="auto"/>
              <w:jc w:val="left"/>
            </w:pPr>
            <w:r>
              <w:rPr>
                <w:rFonts w:cs="Calibri" w:ascii="Calibri" w:hAnsi="Calibri" w:eastAsia="Calibri"/>
                <w:color w:val="2B3942"/>
                <w:sz w:val="19"/>
                <w:szCs w:val="19"/>
                <w:lang w:val="en-CA" w:eastAsia="en-CA" w:bidi="ar-SA"/>
              </w:rPr>
              <w:t>Visual patrol layer</w:t>
            </w:r>
          </w:p>
        </w:tc>
        <w:tc>
          <w:tcPr>
            <w:tcW w:w="3075" w:type="dxa"/>
          </w:tcPr>
          <w:p>
            <w:pPr>
              <w:pStyle w:val="Normal"/>
              <w:spacing w:before="30" w:after="30" w:line="264" w:lineRule="auto"/>
              <w:jc w:val="left"/>
            </w:pPr>
            <w:r>
              <w:rPr>
                <w:rFonts w:cs="Calibri" w:ascii="Calibri" w:hAnsi="Calibri" w:eastAsia="Calibri"/>
                <w:color w:val="2B3942"/>
                <w:sz w:val="19"/>
                <w:szCs w:val="19"/>
                <w:lang w:val="en-CA" w:eastAsia="en-CA" w:bidi="ar-SA"/>
              </w:rPr>
              <w:t>Published beats with position logging every fifteen (15) minutes</w:t>
            </w:r>
          </w:p>
        </w:tc>
        <w:tc>
          <w:tcPr>
            <w:tcW w:w="3077" w:type="dxa"/>
          </w:tcPr>
          <w:p>
            <w:pPr>
              <w:pStyle w:val="Normal"/>
              <w:spacing w:before="30" w:after="30" w:line="264" w:lineRule="auto"/>
              <w:jc w:val="left"/>
            </w:pPr>
            <w:r>
              <w:rPr>
                <w:rFonts w:cs="Calibri" w:ascii="Calibri" w:hAnsi="Calibri" w:eastAsia="Calibri"/>
                <w:color w:val="2B3942"/>
                <w:sz w:val="19"/>
                <w:szCs w:val="19"/>
                <w:lang w:val="en-CA" w:eastAsia="en-CA" w:bidi="ar-SA"/>
              </w:rPr>
              <w:t>Daylight full coverage; night coverage of reporting points and crossing points</w:t>
            </w:r>
          </w:p>
        </w:tc>
      </w:tr>
      <w:tr>
        <w:trPr>
          <w:cantSplit w:val="1"/>
        </w:trPr>
        <w:tc>
          <w:tcPr>
            <w:tcW w:w="3074" w:type="dxa"/>
          </w:tcPr>
          <w:p>
            <w:pPr>
              <w:pStyle w:val="Normal"/>
              <w:spacing w:before="30" w:after="30" w:line="264" w:lineRule="auto"/>
              <w:jc w:val="left"/>
            </w:pPr>
            <w:r>
              <w:rPr>
                <w:rFonts w:cs="Calibri" w:ascii="Calibri" w:hAnsi="Calibri" w:eastAsia="Calibri"/>
                <w:color w:val="2B3942"/>
                <w:sz w:val="19"/>
                <w:szCs w:val="19"/>
                <w:lang w:val="en-CA" w:eastAsia="en-CA" w:bidi="ar-SA"/>
              </w:rPr>
              <w:t>Scheduled voice reporting</w:t>
            </w:r>
          </w:p>
        </w:tc>
        <w:tc>
          <w:tcPr>
            <w:tcW w:w="3075" w:type="dxa"/>
          </w:tcPr>
          <w:p>
            <w:pPr>
              <w:pStyle w:val="Normal"/>
              <w:spacing w:before="30" w:after="30" w:line="264" w:lineRule="auto"/>
              <w:jc w:val="left"/>
            </w:pPr>
            <w:r>
              <w:rPr>
                <w:rFonts w:cs="Calibri" w:ascii="Calibri" w:hAnsi="Calibri" w:eastAsia="Calibri"/>
                <w:color w:val="2B3942"/>
                <w:sz w:val="19"/>
                <w:szCs w:val="19"/>
                <w:lang w:val="en-CA" w:eastAsia="en-CA" w:bidi="ar-SA"/>
              </w:rPr>
              <w:t>Position, course, speed at every reporting point</w:t>
            </w:r>
          </w:p>
        </w:tc>
        <w:tc>
          <w:tcPr>
            <w:tcW w:w="3077" w:type="dxa"/>
          </w:tcPr>
          <w:p>
            <w:pPr>
              <w:pStyle w:val="Normal"/>
              <w:spacing w:before="30" w:after="30" w:line="264" w:lineRule="auto"/>
              <w:jc w:val="left"/>
            </w:pPr>
            <w:r>
              <w:rPr>
                <w:rFonts w:cs="Calibri" w:ascii="Calibri" w:hAnsi="Calibri" w:eastAsia="Calibri"/>
                <w:color w:val="2B3942"/>
                <w:sz w:val="19"/>
                <w:szCs w:val="19"/>
                <w:lang w:val="en-CA" w:eastAsia="en-CA" w:bidi="ar-SA"/>
              </w:rPr>
              <w:t>Every transit under the voice protocol</w:t>
            </w:r>
          </w:p>
        </w:tc>
      </w:tr>
      <w:tr>
        <w:trPr>
          <w:cantSplit w:val="1"/>
        </w:trPr>
        <w:tc>
          <w:tcPr>
            <w:tcW w:w="3074" w:type="dxa"/>
          </w:tcPr>
          <w:p>
            <w:pPr>
              <w:pStyle w:val="Normal"/>
              <w:spacing w:before="30" w:after="30" w:line="264" w:lineRule="auto"/>
              <w:jc w:val="left"/>
            </w:pPr>
            <w:r>
              <w:rPr>
                <w:rFonts w:cs="Calibri" w:ascii="Calibri" w:hAnsi="Calibri" w:eastAsia="Calibri"/>
                <w:color w:val="2B3942"/>
                <w:sz w:val="19"/>
                <w:szCs w:val="19"/>
                <w:lang w:val="en-CA" w:eastAsia="en-CA" w:bidi="ar-SA"/>
              </w:rPr>
              <w:t>Satellite observation</w:t>
            </w:r>
          </w:p>
        </w:tc>
        <w:tc>
          <w:tcPr>
            <w:tcW w:w="3075" w:type="dxa"/>
          </w:tcPr>
          <w:p>
            <w:pPr>
              <w:pStyle w:val="Normal"/>
              <w:spacing w:before="30" w:after="30" w:line="264" w:lineRule="auto"/>
              <w:jc w:val="left"/>
            </w:pPr>
            <w:r>
              <w:rPr>
                <w:rFonts w:cs="Calibri" w:ascii="Calibri" w:hAnsi="Calibri" w:eastAsia="Calibri"/>
                <w:color w:val="2B3942"/>
                <w:sz w:val="19"/>
                <w:szCs w:val="19"/>
                <w:lang w:val="en-CA" w:eastAsia="en-CA" w:bidi="ar-SA"/>
              </w:rPr>
              <w:t>Daily pass coverage of the Operating Area at three (3) meter resolution or better; tasking within six (6) hours</w:t>
            </w:r>
          </w:p>
        </w:tc>
        <w:tc>
          <w:tcPr>
            <w:tcW w:w="3077" w:type="dxa"/>
          </w:tcPr>
          <w:p>
            <w:pPr>
              <w:pStyle w:val="Normal"/>
              <w:spacing w:before="30" w:after="30" w:line="264" w:lineRule="auto"/>
              <w:jc w:val="left"/>
            </w:pPr>
            <w:r>
              <w:rPr>
                <w:rFonts w:cs="Calibri" w:ascii="Calibri" w:hAnsi="Calibri" w:eastAsia="Calibri"/>
                <w:color w:val="2B3942"/>
                <w:sz w:val="19"/>
                <w:szCs w:val="19"/>
                <w:lang w:val="en-CA" w:eastAsia="en-CA" w:bidi="ar-SA"/>
              </w:rPr>
              <w:t>Daily</w:t>
            </w:r>
          </w:p>
        </w:tc>
      </w:tr>
      <w:tr>
        <w:trPr>
          <w:cantSplit w:val="1"/>
        </w:trPr>
        <w:tc>
          <w:tcPr>
            <w:tcW w:w="3074" w:type="dxa"/>
          </w:tcPr>
          <w:p>
            <w:pPr>
              <w:pStyle w:val="Normal"/>
              <w:spacing w:before="30" w:after="30" w:line="264" w:lineRule="auto"/>
              <w:jc w:val="left"/>
            </w:pPr>
            <w:r>
              <w:rPr>
                <w:rFonts w:cs="Calibri" w:ascii="Calibri" w:hAnsi="Calibri" w:eastAsia="Calibri"/>
                <w:color w:val="2B3942"/>
                <w:sz w:val="19"/>
                <w:szCs w:val="19"/>
                <w:lang w:val="en-CA" w:eastAsia="en-CA" w:bidi="ar-SA"/>
              </w:rPr>
              <w:t>Financial and audit records</w:t>
            </w:r>
          </w:p>
        </w:tc>
        <w:tc>
          <w:tcPr>
            <w:tcW w:w="3075" w:type="dxa"/>
          </w:tcPr>
          <w:p>
            <w:pPr>
              <w:pStyle w:val="Normal"/>
              <w:spacing w:before="30" w:after="30" w:line="264" w:lineRule="auto"/>
              <w:jc w:val="left"/>
            </w:pPr>
            <w:r>
              <w:rPr>
                <w:rFonts w:cs="Calibri" w:ascii="Calibri" w:hAnsi="Calibri" w:eastAsia="Calibri"/>
                <w:color w:val="2B3942"/>
                <w:sz w:val="19"/>
                <w:szCs w:val="19"/>
                <w:lang w:val="en-CA" w:eastAsia="en-CA" w:bidi="ar-SA"/>
              </w:rPr>
              <w:t>Annex D reconciliation and audit standards</w:t>
            </w:r>
          </w:p>
        </w:tc>
        <w:tc>
          <w:tcPr>
            <w:tcW w:w="3077" w:type="dxa"/>
          </w:tcPr>
          <w:p>
            <w:pPr>
              <w:pStyle w:val="Normal"/>
              <w:spacing w:before="30" w:after="30" w:line="264" w:lineRule="auto"/>
              <w:jc w:val="left"/>
            </w:pPr>
            <w:r>
              <w:rPr>
                <w:rFonts w:cs="Calibri" w:ascii="Calibri" w:hAnsi="Calibri" w:eastAsia="Calibri"/>
                <w:color w:val="2B3942"/>
                <w:sz w:val="19"/>
                <w:szCs w:val="19"/>
                <w:lang w:val="en-CA" w:eastAsia="en-CA" w:bidi="ar-SA"/>
              </w:rPr>
              <w:t>Continuous</w:t>
            </w:r>
          </w:p>
        </w:tc>
      </w:tr>
      <w:tr>
        <w:trPr>
          <w:cantSplit w:val="1"/>
        </w:trPr>
        <w:tc>
          <w:tcPr>
            <w:tcW w:w="3074" w:type="dxa"/>
          </w:tcPr>
          <w:p>
            <w:pPr>
              <w:pStyle w:val="Normal"/>
              <w:spacing w:before="30" w:after="30" w:line="264" w:lineRule="auto"/>
              <w:jc w:val="left"/>
            </w:pPr>
            <w:r>
              <w:rPr>
                <w:rFonts w:cs="Calibri" w:ascii="Calibri" w:hAnsi="Calibri" w:eastAsia="Calibri"/>
                <w:color w:val="2B3942"/>
                <w:sz w:val="19"/>
                <w:szCs w:val="19"/>
                <w:lang w:val="en-CA" w:eastAsia="en-CA" w:bidi="ar-SA"/>
              </w:rPr>
              <w:t>Hotline and liaison reporting</w:t>
            </w:r>
          </w:p>
        </w:tc>
        <w:tc>
          <w:tcPr>
            <w:tcW w:w="3075" w:type="dxa"/>
          </w:tcPr>
          <w:p>
            <w:pPr>
              <w:pStyle w:val="Normal"/>
              <w:spacing w:before="30" w:after="30" w:line="264" w:lineRule="auto"/>
              <w:jc w:val="left"/>
            </w:pPr>
            <w:r>
              <w:rPr>
                <w:rFonts w:cs="Calibri" w:ascii="Calibri" w:hAnsi="Calibri" w:eastAsia="Calibri"/>
                <w:color w:val="2B3942"/>
                <w:sz w:val="19"/>
                <w:szCs w:val="19"/>
                <w:lang w:val="en-CA" w:eastAsia="en-CA" w:bidi="ar-SA"/>
              </w:rPr>
              <w:t>Annex F logging standards</w:t>
            </w:r>
          </w:p>
        </w:tc>
        <w:tc>
          <w:tcPr>
            <w:tcW w:w="3077" w:type="dxa"/>
          </w:tcPr>
          <w:p>
            <w:pPr>
              <w:pStyle w:val="Normal"/>
              <w:spacing w:before="30" w:after="30" w:line="264" w:lineRule="auto"/>
              <w:jc w:val="left"/>
            </w:pPr>
            <w:r>
              <w:rPr>
                <w:rFonts w:cs="Calibri" w:ascii="Calibri" w:hAnsi="Calibri" w:eastAsia="Calibri"/>
                <w:color w:val="2B3942"/>
                <w:sz w:val="19"/>
                <w:szCs w:val="19"/>
                <w:lang w:val="en-CA" w:eastAsia="en-CA" w:bidi="ar-SA"/>
              </w:rPr>
              <w:t>Continuous</w:t>
            </w:r>
          </w:p>
        </w:tc>
      </w:tr>
    </w:tbl>
    <w:p>
      <w:pPr>
        <w:pStyle w:val="Normal"/>
      </w:pPr>
    </w:p>
    <w:p>
      <w:pPr>
        <w:pStyle w:val="Heading3"/>
      </w:pPr>
      <w:r>
        <w:rPr>
          <w:szCs w:val="24"/>
          <w:lang w:val="en-CA" w:eastAsia="en-CA" w:bidi="ar-SA"/>
          <w:rFonts w:ascii="Cambria" w:eastAsia="Cambria" w:hAnsi="Cambria" w:cs="Cambria"/>
          <w:b/>
          <w:color w:val="212B32"/>
          <w:sz w:val="30"/>
        </w:rPr>
        <w:t>O.2 The Degraded-Mode Protocol</w:t>
      </w:r>
    </w:p>
    <w:p>
      <w:pPr>
        <w:pStyle w:val="Normal"/>
      </w:pPr>
      <w:r>
        <w:rPr>
          <w:szCs w:val="24"/>
          <w:lang w:val="en-CA" w:eastAsia="en-CA" w:bidi="ar-SA"/>
          <w:rFonts w:ascii="Calibri" w:eastAsia="Microsoft YaHei" w:hAnsi="Calibri" w:cs="Calibri"/>
          <w:color w:val="1F3A4D"/>
          <w:sz w:val="19"/>
          <w:b/>
        </w:rPr>
        <w:t>Degraded mode activates on the outage of any channel and deactivates on restoration, with activation and deactivation logged and published. In degraded mode: voice reporting becomes the primary vessel channel; patrol craft increase beat frequency to maintain visual coverage of the reporting points; shore stations log positions by radar observation on the paper watch log; the daily status report notes the degraded state and its cause class; and throughput meters down to the spacing the remaining channels support. Degraded mode operates at full safety standard indefinitely. The corridor system never closes for a sensor outage.</w:t>
      </w:r>
    </w:p>
    <w:p>
      <w:pPr>
        <w:pStyle w:val="Heading3"/>
      </w:pPr>
      <w:r>
        <w:rPr>
          <w:szCs w:val="24"/>
          <w:lang w:val="en-CA" w:eastAsia="en-CA" w:bidi="ar-SA"/>
          <w:rFonts w:ascii="Cambria" w:eastAsia="Cambria" w:hAnsi="Cambria" w:cs="Cambria"/>
          <w:b/>
          <w:color w:val="212B32"/>
          <w:sz w:val="30"/>
        </w:rPr>
        <w:t>O.3 Data Governance Schedule</w:t>
      </w:r>
    </w:p>
    <w:p>
      <w:pPr>
        <w:pStyle w:val="Normal"/>
      </w:pPr>
      <w:r>
        <w:rPr>
          <w:szCs w:val="24"/>
          <w:lang w:val="en-CA" w:eastAsia="en-CA" w:bidi="ar-SA"/>
          <w:rFonts w:ascii="Calibri" w:eastAsia="Microsoft YaHei" w:hAnsi="Calibri" w:cs="Calibri"/>
          <w:color w:val="1F3A4D"/>
          <w:sz w:val="19"/>
          <w:b/>
        </w:rPr>
        <w:t>Data classes: operational safety data, published in aggregate and shared in full between the Parties; commercial confidential data, restricted under Article 23.5; compliance register data, published in full; personnel and procurement data, restricted under the privacy annex. Every class carries its retention period, its access rule, and its publication rule, and the schedule audits annually.</w:t>
      </w:r>
    </w:p>
    <w:p>
      <w:pPr>
        <w:pStyle w:val="Heading3"/>
      </w:pPr>
      <w:r>
        <w:rPr>
          <w:szCs w:val="24"/>
          <w:lang w:val="en-CA" w:eastAsia="en-CA" w:bidi="ar-SA"/>
          <w:rFonts w:ascii="Cambria" w:eastAsia="Cambria" w:hAnsi="Cambria" w:cs="Cambria"/>
          <w:b/>
          <w:color w:val="212B32"/>
          <w:sz w:val="30"/>
        </w:rPr>
        <w:t>O.4 Anti-Spoofing Procedures</w:t>
      </w:r>
    </w:p>
    <w:p>
      <w:pPr>
        <w:pStyle w:val="Normal"/>
      </w:pPr>
      <w:r>
        <w:rPr>
          <w:szCs w:val="24"/>
          <w:lang w:val="en-CA" w:eastAsia="en-CA" w:bidi="ar-SA"/>
          <w:rFonts w:ascii="Calibri" w:eastAsia="Microsoft YaHei" w:hAnsi="Calibri" w:cs="Calibri"/>
          <w:color w:val="1F3A4D"/>
          <w:sz w:val="19"/>
          <w:b/>
        </w:rPr>
        <w:t>The technical cell screens for identity substitution, position falsification, and jamming indicators using cross-channel consistency checks: broadcast position against radar observation, reported identity against registry characteristics, and signal parameters against the interference baseline. An anomaly triggers the ladder of Article 23.4. The cell tests its own detection continuously against synthetic patterns, and the dashboard logs every detection event and every false alarm with the same openness.</w:t>
      </w:r>
    </w:p>
    <w:p>
      <w:pPr>
        <w:pStyle w:val="Heading2"/>
      </w:pPr>
      <w:bookmarkStart w:id="124" w:name="_Toc235667494"/>
      <w:bookmarkStart w:id="125" w:name="_Toc1063"/>
      <w:r>
        <w:rPr>
          <w:szCs w:val="24"/>
          <w:lang w:val="en-CA" w:eastAsia="en-CA" w:bidi="ar-SA"/>
          <w:color w:val="2B3942"/>
          <w:rFonts w:ascii="Calibri" w:hAnsi="Calibri" w:eastAsia="Microsoft YaHei" w:cs="Calibri"/>
          <w:b/>
          <w:sz w:val="19"/>
        </w:rPr>
        <w:t>Annex P: Three-Year Budget and Cost-Effectiveness Assessment</w:t>
      </w:r>
      <w:bookmarkEnd w:id="124"/>
      <w:bookmarkEnd w:id="125"/>
    </w:p>
    <w:p>
      <w:pPr>
        <w:pStyle w:val="Normal"/>
      </w:pPr>
      <w:r>
        <w:rPr>
          <w:szCs w:val="24"/>
          <w:lang w:val="en-CA" w:eastAsia="en-CA" w:bidi="ar-SA"/>
          <w:rFonts w:ascii="Calibri" w:eastAsia="Microsoft YaHei" w:hAnsi="Calibri" w:cs="Calibri"/>
          <w:color w:val="1F3A4D"/>
          <w:sz w:val="19"/>
          <w:b/>
        </w:rPr>
        <w:t>This annex carries the founding three-year budget of Article 22 and the cost-effectiveness assessment of the architecture.</w:t>
      </w:r>
    </w:p>
    <w:p>
      <w:pPr>
        <w:pStyle w:val="Heading3"/>
      </w:pPr>
      <w:r>
        <w:rPr>
          <w:szCs w:val="24"/>
          <w:lang w:val="en-CA" w:eastAsia="en-CA" w:bidi="ar-SA"/>
          <w:rFonts w:ascii="Cambria" w:eastAsia="Cambria" w:hAnsi="Cambria" w:cs="Cambria"/>
          <w:b/>
          <w:color w:val="212B32"/>
          <w:sz w:val="30"/>
        </w:rPr>
        <w:t>P.1 Capital Program</w:t>
      </w:r>
    </w:p>
    <w:p>
      <w:pPr>
        <w:pStyle w:val="Normal"/>
        <w:spacing w:before="120" w:after="0"/>
      </w:pPr>
    </w:p>
    <w:tbl>
      <w:tblPr>
        <w:tblStyle w:val="TableNormal"/>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2306"/>
        <w:gridCol w:w="2306"/>
        <w:gridCol w:w="2306"/>
        <w:gridCol w:w="2308"/>
      </w:tblGrid>
      <w:tr>
        <w:trPr>
          <w:cantSplit w:val="1"/>
          <w:tblHeader w:val="1"/>
        </w:trPr>
        <w:tc>
          <w:tcPr>
            <w:tcW w:w="2306" w:type="dxa"/>
            <w:shd w:val="clear" w:color="auto" w:fill="EFEAE0"/>
          </w:tcPr>
          <w:p>
            <w:pPr>
              <w:pStyle w:val="Normal"/>
              <w:spacing w:before="30" w:after="30" w:line="264" w:lineRule="auto"/>
              <w:jc w:val="left"/>
            </w:pPr>
            <w:r>
              <w:rPr>
                <w:b/>
                <w:color w:val="8A6D2F"/>
                <w:sz w:val="25"/>
                <w:szCs w:val="24"/>
                <w:lang w:val="en-CA" w:eastAsia="en-CA" w:bidi="ar-SA"/>
                <w:rFonts w:ascii="Calibri" w:eastAsia="Microsoft YaHei" w:hAnsi="Calibri" w:cs="Calibri"/>
              </w:rPr>
              <w:t>Item</w:t>
            </w:r>
          </w:p>
        </w:tc>
        <w:tc>
          <w:tcPr>
            <w:tcW w:w="2306" w:type="dxa"/>
            <w:shd w:val="clear" w:color="auto" w:fill="EFEAE0"/>
          </w:tcPr>
          <w:p>
            <w:pPr>
              <w:pStyle w:val="Normal"/>
              <w:spacing w:before="30" w:after="30" w:line="264" w:lineRule="auto"/>
              <w:jc w:val="left"/>
            </w:pPr>
            <w:r>
              <w:rPr>
                <w:b/>
                <w:color w:val="8A6D2F"/>
                <w:sz w:val="25"/>
                <w:szCs w:val="24"/>
                <w:lang w:val="en-CA" w:eastAsia="en-CA" w:bidi="ar-SA"/>
                <w:rFonts w:ascii="Calibri" w:eastAsia="Microsoft YaHei" w:hAnsi="Calibri" w:cs="Calibri"/>
              </w:rPr>
              <w:t>Year 1 (USD)</w:t>
            </w:r>
          </w:p>
        </w:tc>
        <w:tc>
          <w:tcPr>
            <w:tcW w:w="2306" w:type="dxa"/>
            <w:shd w:val="clear" w:color="auto" w:fill="EFEAE0"/>
          </w:tcPr>
          <w:p>
            <w:pPr>
              <w:pStyle w:val="Normal"/>
              <w:spacing w:before="30" w:after="30" w:line="264" w:lineRule="auto"/>
              <w:jc w:val="left"/>
            </w:pPr>
            <w:r>
              <w:rPr>
                <w:b/>
                <w:color w:val="8A6D2F"/>
                <w:sz w:val="25"/>
                <w:szCs w:val="24"/>
                <w:lang w:val="en-CA" w:eastAsia="en-CA" w:bidi="ar-SA"/>
                <w:rFonts w:ascii="Calibri" w:eastAsia="Microsoft YaHei" w:hAnsi="Calibri" w:cs="Calibri"/>
              </w:rPr>
              <w:t>Years 2 to 3 (USD)</w:t>
            </w:r>
          </w:p>
        </w:tc>
        <w:tc>
          <w:tcPr>
            <w:tcW w:w="2308" w:type="dxa"/>
            <w:shd w:val="clear" w:color="auto" w:fill="EFEAE0"/>
          </w:tcPr>
          <w:p>
            <w:pPr>
              <w:pStyle w:val="Normal"/>
              <w:spacing w:before="30" w:after="30" w:line="264" w:lineRule="auto"/>
              <w:jc w:val="left"/>
            </w:pPr>
            <w:r>
              <w:rPr>
                <w:b/>
                <w:color w:val="8A6D2F"/>
                <w:sz w:val="25"/>
                <w:szCs w:val="24"/>
                <w:lang w:val="en-CA" w:eastAsia="en-CA" w:bidi="ar-SA"/>
                <w:rFonts w:ascii="Calibri" w:eastAsia="Microsoft YaHei" w:hAnsi="Calibri" w:cs="Calibri"/>
              </w:rPr>
              <w:t>Notes</w:t>
            </w:r>
          </w:p>
        </w:tc>
      </w:tr>
      <w:tr>
        <w:trPr>
          <w:cantSplit w:val="1"/>
        </w:trPr>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Center integration and dual watch systems</w:t>
            </w:r>
          </w:p>
        </w:tc>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14,000,000</w:t>
            </w:r>
          </w:p>
        </w:tc>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6,000,000</w:t>
            </w:r>
          </w:p>
        </w:tc>
        <w:tc>
          <w:tcPr>
            <w:tcW w:w="2308"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Integration of existing national systems; mirror facility fit-out</w:t>
            </w:r>
          </w:p>
        </w:tc>
      </w:tr>
      <w:tr>
        <w:trPr>
          <w:cantSplit w:val="1"/>
        </w:trPr>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Radar and receiver network upgrade</w:t>
            </w:r>
          </w:p>
        </w:tc>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18,000,000</w:t>
            </w:r>
          </w:p>
        </w:tc>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8,000,000</w:t>
            </w:r>
          </w:p>
        </w:tc>
        <w:tc>
          <w:tcPr>
            <w:tcW w:w="2308"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Gap closure and dual-feed, not replacement</w:t>
            </w:r>
          </w:p>
        </w:tc>
      </w:tr>
      <w:tr>
        <w:trPr>
          <w:cantSplit w:val="1"/>
        </w:trPr>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Communications and hotline network</w:t>
            </w:r>
          </w:p>
        </w:tc>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7,000,000</w:t>
            </w:r>
          </w:p>
        </w:tc>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3,000,000</w:t>
            </w:r>
          </w:p>
        </w:tc>
        <w:tc>
          <w:tcPr>
            <w:tcW w:w="2308"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Encrypted circuits and redundancy</w:t>
            </w:r>
          </w:p>
        </w:tc>
      </w:tr>
      <w:tr>
        <w:trPr>
          <w:cantSplit w:val="1"/>
        </w:trPr>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Dashboard and data custody</w:t>
            </w:r>
          </w:p>
        </w:tc>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5,000,000</w:t>
            </w:r>
          </w:p>
        </w:tc>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2,000,000</w:t>
            </w:r>
          </w:p>
        </w:tc>
        <w:tc>
          <w:tcPr>
            <w:tcW w:w="2308"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Dual-site custody and publication systems</w:t>
            </w:r>
          </w:p>
        </w:tc>
      </w:tr>
      <w:tr>
        <w:trPr>
          <w:cantSplit w:val="1"/>
        </w:trPr>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Rescue and response pre-positioning</w:t>
            </w:r>
          </w:p>
        </w:tc>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12,000,000</w:t>
            </w:r>
          </w:p>
        </w:tc>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6,000,000</w:t>
            </w:r>
          </w:p>
        </w:tc>
        <w:tc>
          <w:tcPr>
            <w:tcW w:w="2308"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Stocks, craft refits, helicopter arrangements</w:t>
            </w:r>
          </w:p>
        </w:tc>
      </w:tr>
      <w:tr>
        <w:trPr>
          <w:cantSplit w:val="1"/>
        </w:trPr>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Survey program start-up</w:t>
            </w:r>
          </w:p>
        </w:tc>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4,000,000</w:t>
            </w:r>
          </w:p>
        </w:tc>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3,000,000</w:t>
            </w:r>
          </w:p>
        </w:tc>
        <w:tc>
          <w:tcPr>
            <w:tcW w:w="2308"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Certification survey and equipment</w:t>
            </w:r>
          </w:p>
        </w:tc>
      </w:tr>
      <w:tr>
        <w:trPr>
          <w:cantSplit w:val="1"/>
        </w:trPr>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Total capital</w:t>
            </w:r>
          </w:p>
        </w:tc>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60,000,000</w:t>
            </w:r>
          </w:p>
        </w:tc>
        <w:tc>
          <w:tcPr>
            <w:tcW w:w="2306"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28,000,000</w:t>
            </w:r>
          </w:p>
        </w:tc>
        <w:tc>
          <w:tcPr>
            <w:tcW w:w="2308"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Reuse-first design</w:t>
            </w:r>
          </w:p>
        </w:tc>
      </w:tr>
    </w:tbl>
    <w:p>
      <w:pPr>
        <w:pStyle w:val="Normal"/>
      </w:pPr>
    </w:p>
    <w:p>
      <w:pPr>
        <w:pStyle w:val="Heading3"/>
      </w:pPr>
      <w:r>
        <w:rPr>
          <w:szCs w:val="24"/>
          <w:lang w:val="en-CA" w:eastAsia="en-CA" w:bidi="ar-SA"/>
          <w:rFonts w:ascii="Cambria" w:eastAsia="Cambria" w:hAnsi="Cambria" w:cs="Cambria"/>
          <w:b/>
          <w:color w:val="212B32"/>
          <w:sz w:val="30"/>
        </w:rPr>
        <w:t>P.2 Operating Budget</w:t>
      </w:r>
    </w:p>
    <w:p>
      <w:pPr>
        <w:pStyle w:val="Normal"/>
        <w:spacing w:before="120" w:after="0"/>
      </w:pPr>
    </w:p>
    <w:tbl>
      <w:tblPr>
        <w:tblStyle w:val="TableNormal"/>
        <w:tblW w:w="5000" w:type="pct"/>
        <w:tblInd w:w="100" w:type="dxa"/>
        <w:tblBorders>
          <w:top w:val="single" w:sz="12" w:space="0" w:color="1F3A4D"/>
          <w:left w:val="nil"/>
          <w:bottom w:val="single" w:sz="12" w:space="0" w:color="1F3A4D"/>
          <w:right w:val="nil"/>
          <w:insideH w:val="single" w:sz="4" w:space="0" w:color="D9D2C0"/>
          <w:insideV w:val="nil"/>
        </w:tblBorders>
        <w:tblCellMar>
          <w:top w:w="40" w:type="dxa"/>
          <w:left w:w="100" w:type="dxa"/>
          <w:bottom w:w="40" w:type="dxa"/>
          <w:right w:w="100" w:type="dxa"/>
        </w:tblCellMar>
        <w:tblLook w:val="04A0" w:firstRow="1" w:lastRow="0" w:firstColumn="1" w:lastColumn="0" w:noHBand="0" w:noVBand="1"/>
      </w:tblPr>
      <w:tblGrid>
        <w:gridCol w:w="3074"/>
        <w:gridCol w:w="3075"/>
        <w:gridCol w:w="3077"/>
      </w:tblGrid>
      <w:tr>
        <w:trPr>
          <w:cantSplit w:val="1"/>
          <w:tblHeader w:val="1"/>
        </w:trPr>
        <w:tc>
          <w:tcPr>
            <w:tcW w:w="3074" w:type="dxa"/>
            <w:shd w:val="clear" w:color="auto" w:fill="EFEAE0"/>
          </w:tcPr>
          <w:p>
            <w:pPr>
              <w:pStyle w:val="Normal"/>
              <w:spacing w:before="30" w:after="30" w:line="264" w:lineRule="auto"/>
              <w:jc w:val="left"/>
            </w:pPr>
            <w:r>
              <w:rPr>
                <w:b/>
                <w:color w:val="8A6D2F"/>
                <w:sz w:val="25"/>
                <w:szCs w:val="24"/>
                <w:lang w:val="en-CA" w:eastAsia="en-CA" w:bidi="ar-SA"/>
                <w:rFonts w:ascii="Calibri" w:eastAsia="Microsoft YaHei" w:hAnsi="Calibri" w:cs="Calibri"/>
              </w:rPr>
              <w:t>Line</w:t>
            </w:r>
          </w:p>
        </w:tc>
        <w:tc>
          <w:tcPr>
            <w:tcW w:w="3075" w:type="dxa"/>
            <w:shd w:val="clear" w:color="auto" w:fill="EFEAE0"/>
          </w:tcPr>
          <w:p>
            <w:pPr>
              <w:pStyle w:val="Normal"/>
              <w:spacing w:before="30" w:after="30" w:line="264" w:lineRule="auto"/>
              <w:jc w:val="left"/>
            </w:pPr>
            <w:r>
              <w:rPr>
                <w:b/>
                <w:color w:val="8A6D2F"/>
                <w:sz w:val="25"/>
                <w:szCs w:val="24"/>
                <w:lang w:val="en-CA" w:eastAsia="en-CA" w:bidi="ar-SA"/>
                <w:rFonts w:ascii="Calibri" w:eastAsia="Microsoft YaHei" w:hAnsi="Calibri" w:cs="Calibri"/>
              </w:rPr>
              <w:t>Annual (USD)</w:t>
            </w:r>
          </w:p>
        </w:tc>
        <w:tc>
          <w:tcPr>
            <w:tcW w:w="3077" w:type="dxa"/>
            <w:shd w:val="clear" w:color="auto" w:fill="EFEAE0"/>
          </w:tcPr>
          <w:p>
            <w:pPr>
              <w:pStyle w:val="Normal"/>
              <w:spacing w:before="30" w:after="30" w:line="264" w:lineRule="auto"/>
              <w:jc w:val="left"/>
            </w:pPr>
            <w:r>
              <w:rPr>
                <w:b/>
                <w:color w:val="8A6D2F"/>
                <w:sz w:val="25"/>
                <w:szCs w:val="24"/>
                <w:lang w:val="en-CA" w:eastAsia="en-CA" w:bidi="ar-SA"/>
                <w:rFonts w:ascii="Calibri" w:eastAsia="Microsoft YaHei" w:hAnsi="Calibri" w:cs="Calibri"/>
              </w:rPr>
              <w:t>Notes</w:t>
            </w:r>
          </w:p>
        </w:tc>
      </w:tr>
      <w:tr>
        <w:trPr>
          <w:cantSplit w:val="1"/>
        </w:trPr>
        <w:tc>
          <w:tcPr>
            <w:tcW w:w="3074" w:type="dxa"/>
          </w:tcPr>
          <w:p>
            <w:pPr>
              <w:pStyle w:val="Normal"/>
              <w:spacing w:before="30" w:after="30" w:line="264" w:lineRule="auto"/>
              <w:jc w:val="left"/>
            </w:pPr>
            <w:r>
              <w:rPr>
                <w:szCs w:val="24"/>
                <w:lang w:val="en-CA" w:eastAsia="en-CA" w:bidi="ar-SA"/>
                <w:rFonts w:ascii="Calibri" w:eastAsia="Microsoft YaHei" w:hAnsi="Calibri" w:cs="Calibri"/>
                <w:color w:val="2B3942"/>
                <w:sz w:val="19"/>
              </w:rPr>
              <w:t>Staff, Authority and Center, parity staffing</w:t>
            </w:r>
          </w:p>
        </w:tc>
        <w:tc>
          <w:tcPr>
            <w:tcW w:w="3075"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21,000,000</w:t>
            </w:r>
          </w:p>
        </w:tc>
        <w:tc>
          <w:tcPr>
            <w:tcW w:w="3077"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Approximately two hundred forty (240) posts across both nationalities</w:t>
            </w:r>
          </w:p>
        </w:tc>
      </w:tr>
      <w:tr>
        <w:trPr>
          <w:cantSplit w:val="1"/>
        </w:trPr>
        <w:tc>
          <w:tcPr>
            <w:tcW w:w="3074"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Patrol, escort, and standby service agreements</w:t>
            </w:r>
          </w:p>
        </w:tc>
        <w:tc>
          <w:tcPr>
            <w:tcW w:w="3075"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14,000,000</w:t>
            </w:r>
          </w:p>
        </w:tc>
        <w:tc>
          <w:tcPr>
            <w:tcW w:w="3077"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Delivered by the administrations of the States Parties under Annex E</w:t>
            </w:r>
          </w:p>
        </w:tc>
      </w:tr>
      <w:tr>
        <w:trPr>
          <w:cantSplit w:val="1"/>
        </w:trPr>
        <w:tc>
          <w:tcPr>
            <w:tcW w:w="3074"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Systems operation and maintenance</w:t>
            </w:r>
          </w:p>
        </w:tc>
        <w:tc>
          <w:tcPr>
            <w:tcW w:w="3075"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6,500,000</w:t>
            </w:r>
          </w:p>
        </w:tc>
        <w:tc>
          <w:tcPr>
            <w:tcW w:w="3077"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Sensors, communications, dashboard</w:t>
            </w:r>
          </w:p>
        </w:tc>
      </w:tr>
      <w:tr>
        <w:trPr>
          <w:cantSplit w:val="1"/>
        </w:trPr>
        <w:tc>
          <w:tcPr>
            <w:tcW w:w="3074"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Observer program</w:t>
            </w:r>
          </w:p>
        </w:tc>
        <w:tc>
          <w:tcPr>
            <w:tcW w:w="3075"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2,800,000</w:t>
            </w:r>
          </w:p>
        </w:tc>
        <w:tc>
          <w:tcPr>
            <w:tcW w:w="3077"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Rotations, embarkations, reporting</w:t>
            </w:r>
          </w:p>
        </w:tc>
      </w:tr>
      <w:tr>
        <w:trPr>
          <w:cantSplit w:val="1"/>
        </w:trPr>
        <w:tc>
          <w:tcPr>
            <w:tcW w:w="3074"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Environmental monitoring and standby</w:t>
            </w:r>
          </w:p>
        </w:tc>
        <w:tc>
          <w:tcPr>
            <w:tcW w:w="3075"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3,400,000</w:t>
            </w:r>
          </w:p>
        </w:tc>
        <w:tc>
          <w:tcPr>
            <w:tcW w:w="3077"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Stations, screening, reserve replenishment</w:t>
            </w:r>
          </w:p>
        </w:tc>
      </w:tr>
      <w:tr>
        <w:trPr>
          <w:cantSplit w:val="1"/>
        </w:trPr>
        <w:tc>
          <w:tcPr>
            <w:tcW w:w="3074"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Audit, legal, and compliance</w:t>
            </w:r>
          </w:p>
        </w:tc>
        <w:tc>
          <w:tcPr>
            <w:tcW w:w="3075"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2,100,000</w:t>
            </w:r>
          </w:p>
        </w:tc>
        <w:tc>
          <w:tcPr>
            <w:tcW w:w="3077"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Auditor mandate and external opinions</w:t>
            </w:r>
          </w:p>
        </w:tc>
      </w:tr>
      <w:tr>
        <w:trPr>
          <w:cantSplit w:val="1"/>
        </w:trPr>
        <w:tc>
          <w:tcPr>
            <w:tcW w:w="3074"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Administration and facilities</w:t>
            </w:r>
          </w:p>
        </w:tc>
        <w:tc>
          <w:tcPr>
            <w:tcW w:w="3075"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4,200,000</w:t>
            </w:r>
          </w:p>
        </w:tc>
        <w:tc>
          <w:tcPr>
            <w:tcW w:w="3077"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Seat and mirror operation</w:t>
            </w:r>
          </w:p>
        </w:tc>
      </w:tr>
      <w:tr>
        <w:trPr>
          <w:cantSplit w:val="1"/>
        </w:trPr>
        <w:tc>
          <w:tcPr>
            <w:tcW w:w="3074"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Total operating</w:t>
            </w:r>
          </w:p>
        </w:tc>
        <w:tc>
          <w:tcPr>
            <w:tcW w:w="3075"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54,000,000</w:t>
            </w:r>
          </w:p>
        </w:tc>
        <w:tc>
          <w:tcPr>
            <w:tcW w:w="3077" w:type="dxa"/>
          </w:tcPr>
          <w:p>
            <w:pPr>
              <w:pStyle w:val="Normal"/>
              <w:spacing w:before="30" w:after="30" w:line="264" w:lineRule="auto"/>
              <w:jc w:val="left"/>
            </w:pPr>
            <w:r>
              <w:rPr>
                <w:color w:val="2B3942"/>
                <w:sz w:val="19"/>
                <w:szCs w:val="24"/>
                <w:lang w:val="en-CA" w:eastAsia="en-CA" w:bidi="ar-SA"/>
                <w:rFonts w:ascii="Calibri" w:eastAsia="Microsoft YaHei" w:hAnsi="Calibri" w:cs="Calibri"/>
              </w:rPr>
              <w:t>Fund-financed under Article 22</w:t>
            </w:r>
          </w:p>
        </w:tc>
      </w:tr>
    </w:tbl>
    <w:p>
      <w:pPr>
        <w:pStyle w:val="Normal"/>
      </w:pPr>
    </w:p>
    <w:p>
      <w:pPr>
        <w:pStyle w:val="Heading3"/>
      </w:pPr>
      <w:r>
        <w:rPr>
          <w:szCs w:val="24"/>
          <w:lang w:val="en-CA" w:eastAsia="en-CA" w:bidi="ar-SA"/>
          <w:rFonts w:ascii="Cambria" w:eastAsia="Cambria" w:hAnsi="Cambria" w:cs="Cambria"/>
          <w:b/>
          <w:color w:val="212B32"/>
          <w:sz w:val="30"/>
        </w:rPr>
        <w:t>P.3 Revenue Projection</w:t>
      </w:r>
    </w:p>
    <w:p>
      <w:pPr>
        <w:pStyle w:val="Normal"/>
      </w:pPr>
      <w:r>
        <w:rPr>
          <w:szCs w:val="24"/>
          <w:lang w:val="en-CA" w:eastAsia="en-CA" w:bidi="ar-SA"/>
          <w:rFonts w:ascii="Calibri" w:eastAsia="Microsoft YaHei" w:hAnsi="Calibri" w:cs="Calibri"/>
          <w:color w:val="1F3A4D"/>
          <w:sz w:val="19"/>
          <w:b/>
        </w:rPr>
        <w:t>The funding target of the founding period stands at sixty (60) million dollars per year at steady state, covering the operating budget and the reserve build. The contribution streams of Article 19.1 carry the target: flag state and cargo interest participation projected at sixty (60) percent, industry association participation at twenty-five (25) percent, and data and certification revenue at fifteen (15) percent, on the traffic base of a normalized strait. The projection prices conservatively: the founding advances of the Parties underwrite the full budget for the first two years under Article 22.3, and the architecture operates at full standard regardless of the contribution calendar.</w:t>
      </w:r>
    </w:p>
    <w:p>
      <w:pPr>
        <w:pStyle w:val="Heading3"/>
      </w:pPr>
      <w:r>
        <w:rPr>
          <w:szCs w:val="24"/>
          <w:lang w:val="en-CA" w:eastAsia="en-CA" w:bidi="ar-SA"/>
          <w:rFonts w:ascii="Cambria" w:eastAsia="Cambria" w:hAnsi="Cambria" w:cs="Cambria"/>
          <w:b/>
          <w:color w:val="212B32"/>
          <w:sz w:val="30"/>
        </w:rPr>
        <w:t>P.4 The Cost-Effectiveness Case</w:t>
      </w:r>
    </w:p>
    <w:p>
      <w:pPr>
        <w:pStyle w:val="Normal"/>
      </w:pPr>
      <w:r>
        <w:rPr>
          <w:szCs w:val="24"/>
          <w:lang w:val="en-CA" w:eastAsia="en-CA" w:bidi="ar-SA"/>
          <w:rFonts w:ascii="Calibri" w:eastAsia="Microsoft YaHei" w:hAnsi="Calibri" w:cs="Calibri"/>
          <w:color w:val="1F3A4D"/>
          <w:sz w:val="19"/>
          <w:b/>
        </w:rPr>
        <w:t>The assessment rests on the arithmetic of the crisis the Framework replaces. At pre-crisis volume, the Strait carries roughly one fifth of global petroleum liquids and liquefied natural gas; the 2026 disruption cut commercial transits by approximately ninety percent, drove war-risk insurance multiples to eight times their pre-crisis level, and idled hundreds of vessels at anchor. A single week of full closure prices in the tens of billions of dollars across energy markets, freight, and insurance, before any military cost enters the ledger. Against that exposure, the architecture's full steady-state cost of roughly sixty (60) million dollars per year prices at a small fraction of one day of the crisis it prevents. The insurance convergence objective of Article 10.3 alone, restoring war-risk pricing toward pre-crisis levels, returns the architecture's annual cost to the shipping community many times over. Cost-effectiveness is therefore not a claim of this Framework; it is its design constraint: reuse-first capital, parity staffing, capped margins, audited reimbursement, and a funding base drawn from the community that the architecture protects.</w:t>
      </w:r>
    </w:p>
    <w:p>
      <w:pPr>
        <w:pStyle w:val="Heading3"/>
      </w:pPr>
      <w:r>
        <w:rPr>
          <w:szCs w:val="24"/>
          <w:lang w:val="en-CA" w:eastAsia="en-CA" w:bidi="ar-SA"/>
          <w:rFonts w:ascii="Cambria" w:eastAsia="Cambria" w:hAnsi="Cambria" w:cs="Cambria"/>
          <w:b/>
          <w:color w:val="212B32"/>
          <w:sz w:val="30"/>
        </w:rPr>
        <w:t>P.5 Review of the Budget</w:t>
      </w:r>
    </w:p>
    <w:p>
      <w:pPr>
        <w:pStyle w:val="Normal"/>
      </w:pPr>
      <w:r>
        <w:rPr>
          <w:szCs w:val="24"/>
          <w:lang w:val="en-CA" w:eastAsia="en-CA" w:bidi="ar-SA"/>
          <w:rFonts w:ascii="Calibri" w:eastAsia="Microsoft YaHei" w:hAnsi="Calibri" w:cs="Calibri"/>
          <w:color w:val="1F3A4D"/>
          <w:sz w:val="19"/>
          <w:b/>
        </w:rPr>
        <w:t>The budget reviews annually under Article 33.2 with the audit record as its evidence base, and the three-year horizon rolls forward at each review. Under the no-fade rule, an unadopted budget year runs at the previous year's level by default, and no budget cycle ever interrupts the operation of the corridor system.</w:t>
      </w:r>
    </w:p>
    <w:sectPr w:rsidR="007D4A98">
      <w:headerReference w:type="default" r:id="rId12"/>
      <w:footerReference w:type="default" r:id="rId13"/>
      <w:pgSz w:w="11906" w:h="16838"/>
      <w:pgMar w:top="180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CE4DF" w14:textId="77777777" w:rsidR="00CE1A12" w:rsidRDefault="00CE1A12">
      <w:pPr>
        <w:spacing w:after="0" w:line="240" w:lineRule="auto"/>
      </w:pPr>
      <w:r>
        <w:separator/>
      </w:r>
    </w:p>
  </w:endnote>
  <w:endnote w:type="continuationSeparator" w:id="0">
    <w:p w14:paraId="5EA2BA80" w14:textId="77777777" w:rsidR="00CE1A12" w:rsidRDefault="00CE1A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00"/>
    <w:family w:val="roman"/>
    <w:pitch w:val="default"/>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6B8F8" w14:textId="77777777" w:rsidR="004C54E5" w:rsidRDefault="004C54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FF552" w14:textId="77777777" w:rsidR="004C54E5" w:rsidRDefault="004C54E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0B02E" w14:textId="77777777" w:rsidR="004C54E5" w:rsidRDefault="004C54E5">
    <w:pPr>
      <w:pStyle w:val="Footer"/>
    </w:pPr>
  </w:p>
</w:ftr>
</file>

<file path=word/footer4.xml><?xml version="1.0" encoding="utf-8"?>
<w:ftr xmlns:w="http://schemas.openxmlformats.org/wordprocessingml/2006/main">
  <w:p>
    <w:pPr>
      <w:pStyle w:val="Normal"/>
      <w:spacing w:before="60"/>
      <w:jc w:val="center"/>
    </w:pPr>
    <w:r>
      <w:rPr>
        <w:color w:val="7A8A94"/>
        <w:sz w:val="17"/>
        <w:szCs w:val="24"/>
        <w:lang w:val="en-CA" w:eastAsia="en-CA" w:bidi="ar-SA"/>
        <w:rFonts w:ascii="Calibri" w:eastAsia="Microsoft YaHei" w:hAnsi="Calibri" w:cs="Calibri"/>
      </w:rPr>
      <w:t xml:space="preserve">GMCAF v1.2  |  Page </w:t>
    </w:r>
    <w:r>
      <w:rPr>
        <w:color w:val="7A8A94"/>
        <w:sz w:val="17"/>
      </w:rPr>
      <w:fldChar w:fldCharType="begin"/>
    </w:r>
    <w:r>
      <w:rPr>
        <w:color w:val="7A8A94"/>
        <w:sz w:val="17"/>
      </w:rPr>
      <w:instrText xml:space="preserve"> PAGE </w:instrText>
    </w:r>
    <w:r>
      <w:rPr>
        <w:color w:val="7A8A94"/>
        <w:sz w:val="17"/>
      </w:rPr>
      <w:fldChar w:fldCharType="separate"/>
    </w:r>
    <w:r>
      <w:rPr>
        <w:color w:val="7A8A94"/>
        <w:sz w:val="17"/>
      </w:rPr>
      <w:t>1</w:t>
    </w:r>
    <w:r>
      <w:rPr>
        <w:color w:val="7A8A94"/>
        <w:sz w:val="17"/>
      </w:rPr>
      <w:fldChar w:fldCharType="end"/>
    </w:r>
    <w:r>
      <w:rPr>
        <w:color w:val="7A8A94"/>
        <w:sz w:val="17"/>
        <w:szCs w:val="24"/>
        <w:lang w:val="en-CA" w:eastAsia="en-CA" w:bidi="ar-SA"/>
        <w:rFonts w:ascii="Calibri" w:eastAsia="Microsoft YaHei" w:hAnsi="Calibri" w:cs="Calibri"/>
      </w:rPr>
      <w:t xml:space="preserve"> of </w:t>
    </w:r>
    <w:r>
      <w:rPr>
        <w:color w:val="7A8A94"/>
        <w:sz w:val="17"/>
      </w:rPr>
      <w:fldChar w:fldCharType="begin"/>
    </w:r>
    <w:r>
      <w:rPr>
        <w:color w:val="7A8A94"/>
        <w:sz w:val="17"/>
      </w:rPr>
      <w:instrText xml:space="preserve"> NUMPAGES </w:instrText>
    </w:r>
    <w:r>
      <w:rPr>
        <w:color w:val="7A8A94"/>
        <w:sz w:val="17"/>
      </w:rPr>
      <w:fldChar w:fldCharType="separate"/>
    </w:r>
    <w:r>
      <w:rPr>
        <w:color w:val="7A8A94"/>
        <w:sz w:val="17"/>
      </w:rPr>
      <w:t>1</w:t>
    </w:r>
    <w:r>
      <w:rPr>
        <w:color w:val="7A8A94"/>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6FA9C" w14:textId="77777777" w:rsidR="00CE1A12" w:rsidRDefault="00CE1A12">
      <w:pPr>
        <w:spacing w:after="0" w:line="240" w:lineRule="auto"/>
      </w:pPr>
      <w:r>
        <w:separator/>
      </w:r>
    </w:p>
  </w:footnote>
  <w:footnote w:type="continuationSeparator" w:id="0">
    <w:p w14:paraId="0A2384B8" w14:textId="77777777" w:rsidR="00CE1A12" w:rsidRDefault="00CE1A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6939E" w14:textId="77777777" w:rsidR="004C54E5" w:rsidRDefault="004C54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B8CFF" w14:textId="77777777" w:rsidR="004C54E5" w:rsidRDefault="004C54E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8771A" w14:textId="77777777" w:rsidR="004C54E5" w:rsidRDefault="004C54E5">
    <w:pPr>
      <w:pStyle w:val="Header"/>
    </w:pPr>
  </w:p>
</w:hdr>
</file>

<file path=word/header4.xml><?xml version="1.0" encoding="utf-8"?>
<w:hdr xmlns:w="http://schemas.openxmlformats.org/wordprocessingml/2006/main">
  <w:p>
    <w:pPr>
      <w:pStyle w:val="Normal"/>
      <w:pBdr>
        <w:bottom w:val="single" w:sz="4" w:space="0" w:color="D9D2C0"/>
      </w:pBdr>
      <w:spacing w:after="60"/>
      <w:jc w:val="right"/>
    </w:pPr>
    <w:r>
      <w:rPr>
        <w:color w:val="7A8A94"/>
        <w:sz w:val="17"/>
        <w:szCs w:val="24"/>
        <w:lang w:val="en-CA" w:eastAsia="en-CA" w:bidi="ar-SA"/>
        <w:rFonts w:ascii="Calibri" w:eastAsia="Microsoft YaHei" w:hAnsi="Calibri" w:cs="Calibri"/>
      </w:rPr>
      <w:t>The Gulf States Maritime Coordination Authority Framework (GMCAF) v1.2</w:t>
    </w:r>
  </w:p>
</w:hdr>
</file>

<file path=word/settings.xml><?xml version="1.0" encoding="utf-8"?>
<w:settings xmlns:m="http://schemas.openxmlformats.org/officeDocument/2006/math" xmlns:mc="http://schemas.openxmlformats.org/markup-compatibility/2006" xmlns:o="urn:schemas-microsoft-com:office:office" xmlns:v="urn:schemas-microsoft-com:vml" xmlns:w="http://schemas.openxmlformats.org/wordprocessingml/2006/main" xmlns:w14="http://schemas.microsoft.com/office/word/2010/wordml" xmlns:w15="http://schemas.microsoft.com/office/word/2012/wordml" mc:Ignorable="w14 w15">
  <w:zoom w:percent="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D4A98"/>
    <w:rsid w:val="000C63C7"/>
    <w:rsid w:val="004C54E5"/>
    <w:rsid w:val="007D4A98"/>
    <w:rsid w:val="00CE1A12"/>
    <w:rsid w:val="00EF129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90D14"/>
  <w15:docId w15:val="{0C868338-72FD-4D52-9CEB-B79AD7FF676A}"/>
  <w:evenAndOddHeader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eepLines/>
      <w:spacing w:line="336" w:lineRule="auto"/>
      <w:jc w:val="both"/>
    </w:pPr>
    <w:rPr>
      <w:rFonts w:ascii="Calibri" w:eastAsia="Microsoft YaHei" w:hAnsi="Calibri"/>
      <w:color w:val="212B32"/>
      <w:sz w:val="23"/>
    </w:rPr>
  </w:style>
  <w:style w:type="paragraph" w:styleId="Heading1">
    <w:name w:val="heading 1"/>
    <w:basedOn w:val="Normal"/>
    <w:uiPriority w:val="9"/>
    <w:qFormat/>
    <w:pPr>
      <w:keepNext/>
      <w:pageBreakBefore/>
      <w:pBdr>
        <w:bottom w:val="single" w:sz="8" w:space="0" w:color="1F3A4D"/>
      </w:pBdr>
      <w:spacing w:after="320"/>
      <w:jc w:val="left"/>
      <w:outlineLvl w:val="0"/>
    </w:pPr>
    <w:rPr>
      <w:rFonts w:ascii="Cambria" w:hAnsi="Cambria"/>
      <w:b/>
      <w:color w:val="1F3A4D"/>
      <w:sz w:val="44"/>
    </w:rPr>
  </w:style>
  <w:style w:type="paragraph" w:styleId="Heading2">
    <w:name w:val="heading 2"/>
    <w:basedOn w:val="Normal"/>
    <w:uiPriority w:val="9"/>
    <w:unhideWhenUsed/>
    <w:qFormat/>
    <w:pPr>
      <w:keepNext/>
      <w:spacing w:before="360" w:after="180"/>
      <w:jc w:val="left"/>
      <w:outlineLvl w:val="1"/>
    </w:pPr>
    <w:rPr>
      <w:rFonts w:ascii="Cambria" w:hAnsi="Cambria"/>
      <w:b/>
      <w:sz w:val="30"/>
    </w:rPr>
  </w:style>
  <w:style w:type="paragraph" w:styleId="Heading3">
    <w:name w:val="heading 3"/>
    <w:basedOn w:val="Normal"/>
    <w:uiPriority w:val="9"/>
    <w:unhideWhenUsed/>
    <w:qFormat/>
    <w:pPr>
      <w:keepNext/>
      <w:spacing w:before="260" w:after="120"/>
      <w:jc w:val="left"/>
      <w:outlineLvl w:val="2"/>
    </w:pPr>
    <w:rPr>
      <w:b/>
      <w:color w:val="8A6D2F"/>
      <w:sz w:val="25"/>
    </w:rPr>
  </w:style>
  <w:style w:type="paragraph" w:styleId="Heading4">
    <w:name w:val="heading 4"/>
    <w:basedOn w:val="Normal"/>
    <w:next w:val="Normal"/>
    <w:link w:val="Heading4Char"/>
    <w:uiPriority w:val="9"/>
    <w:semiHidden/>
    <w:unhideWhenUsed/>
    <w:qFormat/>
    <w:rsid w:val="004C54E5"/>
    <w:pPr>
      <w:keepNext/>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C54E5"/>
    <w:pPr>
      <w:keepNext/>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C54E5"/>
    <w:pPr>
      <w:keepNext/>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4C54E5"/>
    <w:pPr>
      <w:keepNext/>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4C54E5"/>
    <w:pPr>
      <w:keepNext/>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C54E5"/>
    <w:pPr>
      <w:keepNext/>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pPr>
      <w:tabs>
        <w:tab w:val="right" w:leader="dot" w:pos="9026"/>
      </w:tabs>
      <w:spacing w:before="160" w:after="40" w:line="288" w:lineRule="auto"/>
      <w:jc w:val="left"/>
    </w:pPr>
    <w:rPr>
      <w:b/>
      <w:sz w:val="21"/>
    </w:rPr>
  </w:style>
  <w:style w:type="paragraph" w:styleId="TOC2">
    <w:name w:val="toc 2"/>
    <w:basedOn w:val="Normal"/>
    <w:uiPriority w:val="39"/>
    <w:pPr>
      <w:tabs>
        <w:tab w:val="right" w:leader="dot" w:pos="9026"/>
      </w:tabs>
      <w:spacing w:before="40" w:after="40" w:line="288" w:lineRule="auto"/>
      <w:ind w:left="360"/>
      <w:jc w:val="left"/>
    </w:pPr>
    <w:rPr>
      <w:color w:val="2B3942"/>
      <w:sz w:val="21"/>
    </w:rPr>
  </w:style>
  <w:style w:type="paragraph" w:styleId="Header">
    <w:name w:val="header"/>
    <w:basedOn w:val="Normal"/>
    <w:link w:val="HeaderChar"/>
    <w:uiPriority w:val="99"/>
    <w:unhideWhenUsed/>
    <w:rsid w:val="004C54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54E5"/>
    <w:rPr>
      <w:rFonts w:ascii="Calibri" w:eastAsia="Microsoft YaHei" w:hAnsi="Calibri"/>
      <w:color w:val="212B32"/>
      <w:sz w:val="23"/>
    </w:rPr>
  </w:style>
  <w:style w:type="paragraph" w:styleId="Footer">
    <w:name w:val="footer"/>
    <w:basedOn w:val="Normal"/>
    <w:link w:val="FooterChar"/>
    <w:uiPriority w:val="99"/>
    <w:unhideWhenUsed/>
    <w:rsid w:val="004C54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54E5"/>
    <w:rPr>
      <w:rFonts w:ascii="Calibri" w:eastAsia="Microsoft YaHei" w:hAnsi="Calibri"/>
      <w:color w:val="212B32"/>
      <w:sz w:val="23"/>
    </w:rPr>
  </w:style>
  <w:style w:type="character" w:styleId="BookTitle">
    <w:name w:val="Book Title"/>
    <w:basedOn w:val="DefaultParagraphFont"/>
    <w:uiPriority w:val="33"/>
    <w:qFormat/>
    <w:rsid w:val="004C54E5"/>
    <w:rPr>
      <w:b/>
      <w:bCs/>
      <w:i/>
      <w:iCs/>
      <w:spacing w:val="5"/>
    </w:rPr>
  </w:style>
  <w:style w:type="paragraph" w:styleId="Caption">
    <w:name w:val="caption"/>
    <w:basedOn w:val="Normal"/>
    <w:next w:val="Normal"/>
    <w:uiPriority w:val="35"/>
    <w:semiHidden/>
    <w:unhideWhenUsed/>
    <w:qFormat/>
    <w:rsid w:val="004C54E5"/>
    <w:pPr>
      <w:spacing w:after="200" w:line="240" w:lineRule="auto"/>
    </w:pPr>
    <w:rPr>
      <w:i/>
      <w:iCs/>
      <w:color w:val="0E2841" w:themeColor="text2"/>
      <w:sz w:val="18"/>
      <w:szCs w:val="18"/>
    </w:rPr>
  </w:style>
  <w:style w:type="character" w:styleId="Emphasis">
    <w:name w:val="Emphasis"/>
    <w:basedOn w:val="DefaultParagraphFont"/>
    <w:uiPriority w:val="20"/>
    <w:qFormat/>
    <w:rsid w:val="004C54E5"/>
    <w:rPr>
      <w:i/>
      <w:iCs/>
    </w:rPr>
  </w:style>
  <w:style w:type="character" w:customStyle="1" w:styleId="Heading4Char">
    <w:name w:val="Heading 4 Char"/>
    <w:basedOn w:val="DefaultParagraphFont"/>
    <w:link w:val="Heading4"/>
    <w:uiPriority w:val="9"/>
    <w:semiHidden/>
    <w:rsid w:val="004C54E5"/>
    <w:rPr>
      <w:rFonts w:asciiTheme="majorHAnsi" w:eastAsiaTheme="majorEastAsia" w:hAnsiTheme="majorHAnsi" w:cstheme="majorBidi"/>
      <w:i/>
      <w:iCs/>
      <w:color w:val="0F4761" w:themeColor="accent1" w:themeShade="BF"/>
      <w:sz w:val="23"/>
    </w:rPr>
  </w:style>
  <w:style w:type="character" w:customStyle="1" w:styleId="Heading5Char">
    <w:name w:val="Heading 5 Char"/>
    <w:basedOn w:val="DefaultParagraphFont"/>
    <w:link w:val="Heading5"/>
    <w:uiPriority w:val="9"/>
    <w:semiHidden/>
    <w:rsid w:val="004C54E5"/>
    <w:rPr>
      <w:rFonts w:asciiTheme="majorHAnsi" w:eastAsiaTheme="majorEastAsia" w:hAnsiTheme="majorHAnsi" w:cstheme="majorBidi"/>
      <w:color w:val="0F4761" w:themeColor="accent1" w:themeShade="BF"/>
      <w:sz w:val="23"/>
    </w:rPr>
  </w:style>
  <w:style w:type="character" w:customStyle="1" w:styleId="Heading6Char">
    <w:name w:val="Heading 6 Char"/>
    <w:basedOn w:val="DefaultParagraphFont"/>
    <w:link w:val="Heading6"/>
    <w:uiPriority w:val="9"/>
    <w:semiHidden/>
    <w:rsid w:val="004C54E5"/>
    <w:rPr>
      <w:rFonts w:asciiTheme="majorHAnsi" w:eastAsiaTheme="majorEastAsia" w:hAnsiTheme="majorHAnsi" w:cstheme="majorBidi"/>
      <w:color w:val="0A2F40" w:themeColor="accent1" w:themeShade="7F"/>
      <w:sz w:val="23"/>
    </w:rPr>
  </w:style>
  <w:style w:type="character" w:customStyle="1" w:styleId="Heading7Char">
    <w:name w:val="Heading 7 Char"/>
    <w:basedOn w:val="DefaultParagraphFont"/>
    <w:link w:val="Heading7"/>
    <w:uiPriority w:val="9"/>
    <w:semiHidden/>
    <w:rsid w:val="004C54E5"/>
    <w:rPr>
      <w:rFonts w:asciiTheme="majorHAnsi" w:eastAsiaTheme="majorEastAsia" w:hAnsiTheme="majorHAnsi" w:cstheme="majorBidi"/>
      <w:i/>
      <w:iCs/>
      <w:color w:val="0A2F40" w:themeColor="accent1" w:themeShade="7F"/>
      <w:sz w:val="23"/>
    </w:rPr>
  </w:style>
  <w:style w:type="character" w:customStyle="1" w:styleId="Heading8Char">
    <w:name w:val="Heading 8 Char"/>
    <w:basedOn w:val="DefaultParagraphFont"/>
    <w:link w:val="Heading8"/>
    <w:uiPriority w:val="9"/>
    <w:semiHidden/>
    <w:rsid w:val="004C54E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C54E5"/>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4C54E5"/>
    <w:rPr>
      <w:i/>
      <w:iCs/>
      <w:color w:val="156082" w:themeColor="accent1"/>
    </w:rPr>
  </w:style>
  <w:style w:type="paragraph" w:styleId="IntenseQuote">
    <w:name w:val="Intense Quote"/>
    <w:basedOn w:val="Normal"/>
    <w:next w:val="Normal"/>
    <w:link w:val="IntenseQuoteChar"/>
    <w:uiPriority w:val="30"/>
    <w:qFormat/>
    <w:rsid w:val="004C54E5"/>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4C54E5"/>
    <w:rPr>
      <w:rFonts w:ascii="Calibri" w:eastAsia="Microsoft YaHei" w:hAnsi="Calibri"/>
      <w:i/>
      <w:iCs/>
      <w:color w:val="156082" w:themeColor="accent1"/>
      <w:sz w:val="23"/>
    </w:rPr>
  </w:style>
  <w:style w:type="character" w:styleId="IntenseReference">
    <w:name w:val="Intense Reference"/>
    <w:basedOn w:val="DefaultParagraphFont"/>
    <w:uiPriority w:val="32"/>
    <w:qFormat/>
    <w:rsid w:val="004C54E5"/>
    <w:rPr>
      <w:b/>
      <w:bCs/>
      <w:smallCaps/>
      <w:color w:val="156082" w:themeColor="accent1"/>
      <w:spacing w:val="5"/>
    </w:rPr>
  </w:style>
  <w:style w:type="paragraph" w:styleId="ListParagraph">
    <w:name w:val="List Paragraph"/>
    <w:basedOn w:val="Normal"/>
    <w:uiPriority w:val="34"/>
    <w:qFormat/>
    <w:rsid w:val="004C54E5"/>
    <w:pPr>
      <w:ind w:left="720"/>
      <w:contextualSpacing/>
    </w:pPr>
  </w:style>
  <w:style w:type="paragraph" w:styleId="NoSpacing">
    <w:name w:val="No Spacing"/>
    <w:uiPriority w:val="1"/>
    <w:qFormat/>
    <w:rsid w:val="004C54E5"/>
    <w:pPr>
      <w:keepLines/>
      <w:spacing w:after="0" w:line="240" w:lineRule="auto"/>
      <w:jc w:val="both"/>
    </w:pPr>
    <w:rPr>
      <w:rFonts w:ascii="Calibri" w:eastAsia="Microsoft YaHei" w:hAnsi="Calibri"/>
      <w:color w:val="212B32"/>
      <w:sz w:val="23"/>
    </w:rPr>
  </w:style>
  <w:style w:type="paragraph" w:styleId="Quote">
    <w:name w:val="Quote"/>
    <w:basedOn w:val="Normal"/>
    <w:next w:val="Normal"/>
    <w:link w:val="QuoteChar"/>
    <w:uiPriority w:val="29"/>
    <w:qFormat/>
    <w:rsid w:val="004C54E5"/>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4C54E5"/>
    <w:rPr>
      <w:rFonts w:ascii="Calibri" w:eastAsia="Microsoft YaHei" w:hAnsi="Calibri"/>
      <w:i/>
      <w:iCs/>
      <w:color w:val="404040" w:themeColor="text1" w:themeTint="BF"/>
      <w:sz w:val="23"/>
    </w:rPr>
  </w:style>
  <w:style w:type="character" w:styleId="Strong">
    <w:name w:val="Strong"/>
    <w:basedOn w:val="DefaultParagraphFont"/>
    <w:uiPriority w:val="22"/>
    <w:qFormat/>
    <w:rsid w:val="004C54E5"/>
    <w:rPr>
      <w:b/>
      <w:bCs/>
    </w:rPr>
  </w:style>
  <w:style w:type="paragraph" w:styleId="Subtitle">
    <w:name w:val="Subtitle"/>
    <w:basedOn w:val="Normal"/>
    <w:next w:val="Normal"/>
    <w:link w:val="SubtitleChar"/>
    <w:uiPriority w:val="11"/>
    <w:qFormat/>
    <w:rsid w:val="004C54E5"/>
    <w:pPr>
      <w:numPr>
        <w:ilvl w:val="1"/>
      </w:numPr>
    </w:pPr>
    <w:rPr>
      <w:rFonts w:asciiTheme="minorHAnsi" w:eastAsiaTheme="minorEastAsia" w:hAnsiTheme="minorHAnsi"/>
      <w:color w:val="5A5A5A" w:themeColor="text1" w:themeTint="A5"/>
      <w:spacing w:val="15"/>
      <w:sz w:val="22"/>
      <w:szCs w:val="22"/>
    </w:rPr>
  </w:style>
  <w:style w:type="character" w:customStyle="1" w:styleId="SubtitleChar">
    <w:name w:val="Subtitle Char"/>
    <w:basedOn w:val="DefaultParagraphFont"/>
    <w:link w:val="Subtitle"/>
    <w:uiPriority w:val="11"/>
    <w:rsid w:val="004C54E5"/>
    <w:rPr>
      <w:color w:val="5A5A5A" w:themeColor="text1" w:themeTint="A5"/>
      <w:spacing w:val="15"/>
      <w:sz w:val="22"/>
      <w:szCs w:val="22"/>
    </w:rPr>
  </w:style>
  <w:style w:type="character" w:styleId="SubtleEmphasis">
    <w:name w:val="Subtle Emphasis"/>
    <w:basedOn w:val="DefaultParagraphFont"/>
    <w:uiPriority w:val="19"/>
    <w:qFormat/>
    <w:rsid w:val="004C54E5"/>
    <w:rPr>
      <w:i/>
      <w:iCs/>
      <w:color w:val="404040" w:themeColor="text1" w:themeTint="BF"/>
    </w:rPr>
  </w:style>
  <w:style w:type="character" w:styleId="SubtleReference">
    <w:name w:val="Subtle Reference"/>
    <w:basedOn w:val="DefaultParagraphFont"/>
    <w:uiPriority w:val="31"/>
    <w:qFormat/>
    <w:rsid w:val="004C54E5"/>
    <w:rPr>
      <w:smallCaps/>
      <w:color w:val="5A5A5A" w:themeColor="text1" w:themeTint="A5"/>
    </w:rPr>
  </w:style>
  <w:style w:type="paragraph" w:styleId="Title">
    <w:name w:val="Title"/>
    <w:basedOn w:val="Normal"/>
    <w:next w:val="Normal"/>
    <w:link w:val="TitleChar"/>
    <w:uiPriority w:val="10"/>
    <w:qFormat/>
    <w:rsid w:val="004C54E5"/>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C54E5"/>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4C54E5"/>
    <w:pPr>
      <w:pageBreakBefore w:val="0"/>
      <w:pBdr>
        <w:bottom w:val="none" w:sz="0" w:space="0" w:color="auto"/>
      </w:pBdr>
      <w:spacing w:before="240" w:after="0"/>
      <w:jc w:val="both"/>
      <w:outlineLvl w:val="9"/>
    </w:pPr>
    <w:rPr>
      <w:rFonts w:asciiTheme="majorHAnsi" w:eastAsiaTheme="majorEastAsia" w:hAnsiTheme="majorHAnsi" w:cstheme="majorBidi"/>
      <w:b w:val="0"/>
      <w:color w:val="0F4761" w:themeColor="accent1" w:themeShade="BF"/>
      <w:sz w:val="32"/>
      <w:szCs w:val="32"/>
    </w:rPr>
  </w:style>
  <w:style w:type="character" w:styleId="Hyperlink">
    <w:name w:val="Hyperlink"/>
    <w:basedOn w:val="DefaultParagraphFont"/>
    <w:uiPriority w:val="99"/>
    <w:unhideWhenUsed/>
    <w:rsid w:val="00EF129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otnotes" Target="footnotes.xml" /><Relationship Id="rId5" Type="http://schemas.openxmlformats.org/officeDocument/2006/relationships/endnotes" Target="endnotes.xm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header" Target="header4.xml" /><Relationship Id="rId13" Type="http://schemas.openxmlformats.org/officeDocument/2006/relationships/footer" Target="footer4.xml" /><Relationship Id="rId14" Type="http://schemas.openxmlformats.org/officeDocument/2006/relationships/fontTable" Target="fontTable.xml" /><Relationship Id="rId1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99</Pages>
  <Words>27651</Words>
  <Characters>161210</Characters>
  <Application>Microsoft Office Word</Application>
  <DocSecurity>0</DocSecurity>
  <Lines>3430</Lines>
  <Paragraphs>1732</Paragraphs>
  <ScaleCrop>false</ScaleCrop>
  <Company/>
  <LinksUpToDate>false</LinksUpToDate>
  <CharactersWithSpaces>187129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3</cp:revision>
  <dcterms:created xsi:type="dcterms:W3CDTF">2026-07-23T06:47:00Z</dcterms:created>
  <dcterms:modified xsi:type="dcterms:W3CDTF">2026-07-23T06:50:00Z</dcterms:modified>
</cp:coreProperties>
</file>