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BDFF5" w14:textId="77777777" w:rsidR="00EF22B4" w:rsidRDefault="00EF22B4">
      <w:pPr>
        <w:spacing w:before="4200"/>
      </w:pPr>
    </w:p>
    <w:p w14:paraId="471B992A" w14:textId="77777777" w:rsidR="00EF22B4" w:rsidRDefault="00000000">
      <w:pPr>
        <w:spacing w:after="120"/>
        <w:jc w:val="center"/>
      </w:pPr>
      <w:r>
        <w:rPr>
          <w:color w:val="B8860B"/>
          <w:spacing w:val="60"/>
          <w:sz w:val="22"/>
        </w:rPr>
        <w:t>A MODULAR FRAMEWORK FOR THE GOVERNANCE, SAFETY, AND TRANSIT</w:t>
      </w:r>
    </w:p>
    <w:p w14:paraId="08CFADF6" w14:textId="77777777" w:rsidR="00EF22B4" w:rsidRDefault="00000000">
      <w:pPr>
        <w:spacing w:after="700"/>
        <w:jc w:val="center"/>
      </w:pPr>
      <w:r>
        <w:rPr>
          <w:color w:val="B8860B"/>
          <w:spacing w:val="60"/>
          <w:sz w:val="22"/>
        </w:rPr>
        <w:t>OF THE STRAIT OF HORMUZ</w:t>
      </w:r>
    </w:p>
    <w:p w14:paraId="225177B5" w14:textId="77777777" w:rsidR="00EF22B4" w:rsidRDefault="00EF22B4">
      <w:pPr>
        <w:pBdr>
          <w:bottom w:val="single" w:sz="12" w:space="1" w:color="B8860B"/>
        </w:pBdr>
        <w:spacing w:after="500"/>
        <w:ind w:left="2400" w:right="2400"/>
      </w:pPr>
    </w:p>
    <w:p w14:paraId="2A6A1D38" w14:textId="77777777" w:rsidR="00EF22B4" w:rsidRDefault="00000000">
      <w:pPr>
        <w:spacing w:after="200"/>
        <w:jc w:val="center"/>
      </w:pPr>
      <w:r>
        <w:rPr>
          <w:b/>
          <w:color w:val="1F3A4D"/>
          <w:spacing w:val="30"/>
          <w:sz w:val="88"/>
        </w:rPr>
        <w:t>THE LIT BEACON</w:t>
      </w:r>
    </w:p>
    <w:p w14:paraId="43EFA53E" w14:textId="77777777" w:rsidR="00EF22B4" w:rsidRDefault="00000000">
      <w:pPr>
        <w:spacing w:after="900"/>
        <w:jc w:val="center"/>
      </w:pPr>
      <w:r>
        <w:rPr>
          <w:b/>
          <w:color w:val="1F3A4D"/>
          <w:spacing w:val="30"/>
          <w:sz w:val="88"/>
        </w:rPr>
        <w:t>ACCORD</w:t>
      </w:r>
    </w:p>
    <w:p w14:paraId="5BA30254" w14:textId="77777777" w:rsidR="00EF22B4" w:rsidRDefault="00000000">
      <w:pPr>
        <w:spacing w:after="160"/>
        <w:jc w:val="center"/>
      </w:pPr>
      <w:r>
        <w:rPr>
          <w:color w:val="45545E"/>
          <w:sz w:val="24"/>
        </w:rPr>
        <w:t xml:space="preserve">Working Treaty </w:t>
      </w:r>
      <w:proofErr w:type="gramStart"/>
      <w:r>
        <w:rPr>
          <w:color w:val="45545E"/>
          <w:sz w:val="24"/>
        </w:rPr>
        <w:t>Draft  |</w:t>
      </w:r>
      <w:proofErr w:type="gramEnd"/>
      <w:r>
        <w:rPr>
          <w:color w:val="45545E"/>
          <w:sz w:val="24"/>
        </w:rPr>
        <w:t xml:space="preserve">  Version </w:t>
      </w:r>
      <w:proofErr w:type="gramStart"/>
      <w:r>
        <w:rPr>
          <w:color w:val="45545E"/>
          <w:sz w:val="24"/>
        </w:rPr>
        <w:t>1.0  |</w:t>
      </w:r>
      <w:proofErr w:type="gramEnd"/>
      <w:r>
        <w:rPr>
          <w:color w:val="45545E"/>
          <w:sz w:val="24"/>
        </w:rPr>
        <w:t xml:space="preserve">  July 2026</w:t>
      </w:r>
    </w:p>
    <w:p w14:paraId="179D434F" w14:textId="77777777" w:rsidR="00EF22B4" w:rsidRDefault="00000000">
      <w:pPr>
        <w:spacing w:after="160"/>
        <w:jc w:val="center"/>
      </w:pPr>
      <w:r>
        <w:rPr>
          <w:color w:val="7C8890"/>
          <w:sz w:val="20"/>
        </w:rPr>
        <w:t>Drafted under the Immutable Present-Tense Matrix v2.5</w:t>
      </w:r>
    </w:p>
    <w:p w14:paraId="072BEBAB" w14:textId="77777777" w:rsidR="00EF22B4" w:rsidRDefault="00000000">
      <w:pPr>
        <w:spacing w:after="160"/>
        <w:jc w:val="center"/>
      </w:pPr>
      <w:r>
        <w:rPr>
          <w:color w:val="7C8890"/>
          <w:sz w:val="20"/>
        </w:rPr>
        <w:t>Conceptual design document for negotiator review. Not validated for operational use.</w:t>
      </w:r>
    </w:p>
    <w:p w14:paraId="3AFCBAEA" w14:textId="77777777" w:rsidR="00EF22B4" w:rsidRDefault="00EF22B4">
      <w:pPr>
        <w:sectPr w:rsidR="00EF22B4">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Borders>
            <w:top w:val="double" w:sz="18" w:space="24" w:color="B8860B"/>
            <w:left w:val="double" w:sz="18" w:space="24" w:color="B8860B"/>
            <w:bottom w:val="double" w:sz="18" w:space="24" w:color="B8860B"/>
            <w:right w:val="double" w:sz="18" w:space="24" w:color="B8860B"/>
          </w:pgBorders>
          <w:cols w:space="720"/>
          <w:titlePg/>
        </w:sectPr>
      </w:pPr>
    </w:p>
    <w:p w14:paraId="0C9B7AE7" w14:textId="77777777" w:rsidR="00EF22B4" w:rsidRDefault="00000000">
      <w:pPr>
        <w:pStyle w:val="Heading1"/>
      </w:pPr>
      <w:bookmarkStart w:id="0" w:name="_Toc236018398"/>
      <w:r>
        <w:lastRenderedPageBreak/>
        <w:t>Table of Contents</w:t>
      </w:r>
      <w:bookmarkEnd w:id="0"/>
    </w:p>
    <w:p w14:paraId="601ACE42" w14:textId="782C92E6" w:rsidR="005F15B8" w:rsidRDefault="00000000">
      <w:pPr>
        <w:pStyle w:val="TOC1"/>
        <w:rPr>
          <w:rFonts w:asciiTheme="minorHAnsi" w:eastAsiaTheme="minorEastAsia" w:hAnsiTheme="minorHAnsi"/>
          <w:b w:val="0"/>
          <w:noProof/>
          <w:color w:val="auto"/>
          <w:sz w:val="24"/>
        </w:rPr>
      </w:pPr>
      <w:r>
        <w:fldChar w:fldCharType="begin"/>
      </w:r>
      <w:r>
        <w:instrText xml:space="preserve"> TOC \o "1-2" \h \z \u </w:instrText>
      </w:r>
      <w:r>
        <w:fldChar w:fldCharType="separate"/>
      </w:r>
      <w:hyperlink w:anchor="_Toc236018398" w:history="1">
        <w:r w:rsidR="005F15B8" w:rsidRPr="00494EFD">
          <w:rPr>
            <w:rStyle w:val="Hyperlink"/>
            <w:noProof/>
          </w:rPr>
          <w:t>Table of Contents</w:t>
        </w:r>
        <w:r w:rsidR="005F15B8">
          <w:rPr>
            <w:noProof/>
            <w:webHidden/>
          </w:rPr>
          <w:tab/>
        </w:r>
        <w:r w:rsidR="005F15B8">
          <w:rPr>
            <w:noProof/>
            <w:webHidden/>
          </w:rPr>
          <w:fldChar w:fldCharType="begin"/>
        </w:r>
        <w:r w:rsidR="005F15B8">
          <w:rPr>
            <w:noProof/>
            <w:webHidden/>
          </w:rPr>
          <w:instrText xml:space="preserve"> PAGEREF _Toc236018398 \h </w:instrText>
        </w:r>
        <w:r w:rsidR="005F15B8">
          <w:rPr>
            <w:noProof/>
            <w:webHidden/>
          </w:rPr>
        </w:r>
        <w:r w:rsidR="005F15B8">
          <w:rPr>
            <w:noProof/>
            <w:webHidden/>
          </w:rPr>
          <w:fldChar w:fldCharType="separate"/>
        </w:r>
        <w:r w:rsidR="005F15B8">
          <w:rPr>
            <w:noProof/>
            <w:webHidden/>
          </w:rPr>
          <w:t>2</w:t>
        </w:r>
        <w:r w:rsidR="005F15B8">
          <w:rPr>
            <w:noProof/>
            <w:webHidden/>
          </w:rPr>
          <w:fldChar w:fldCharType="end"/>
        </w:r>
      </w:hyperlink>
    </w:p>
    <w:p w14:paraId="7F6795AF" w14:textId="38C506B9" w:rsidR="005F15B8" w:rsidRDefault="005F15B8">
      <w:pPr>
        <w:pStyle w:val="TOC1"/>
        <w:rPr>
          <w:rFonts w:asciiTheme="minorHAnsi" w:eastAsiaTheme="minorEastAsia" w:hAnsiTheme="minorHAnsi"/>
          <w:b w:val="0"/>
          <w:noProof/>
          <w:color w:val="auto"/>
          <w:sz w:val="24"/>
        </w:rPr>
      </w:pPr>
      <w:hyperlink w:anchor="_Toc236018399" w:history="1">
        <w:r w:rsidRPr="00494EFD">
          <w:rPr>
            <w:rStyle w:val="Hyperlink"/>
            <w:noProof/>
          </w:rPr>
          <w:t>Reading and Drafting Note</w:t>
        </w:r>
        <w:r>
          <w:rPr>
            <w:noProof/>
            <w:webHidden/>
          </w:rPr>
          <w:tab/>
        </w:r>
        <w:r>
          <w:rPr>
            <w:noProof/>
            <w:webHidden/>
          </w:rPr>
          <w:fldChar w:fldCharType="begin"/>
        </w:r>
        <w:r>
          <w:rPr>
            <w:noProof/>
            <w:webHidden/>
          </w:rPr>
          <w:instrText xml:space="preserve"> PAGEREF _Toc236018399 \h </w:instrText>
        </w:r>
        <w:r>
          <w:rPr>
            <w:noProof/>
            <w:webHidden/>
          </w:rPr>
        </w:r>
        <w:r>
          <w:rPr>
            <w:noProof/>
            <w:webHidden/>
          </w:rPr>
          <w:fldChar w:fldCharType="separate"/>
        </w:r>
        <w:r>
          <w:rPr>
            <w:noProof/>
            <w:webHidden/>
          </w:rPr>
          <w:t>5</w:t>
        </w:r>
        <w:r>
          <w:rPr>
            <w:noProof/>
            <w:webHidden/>
          </w:rPr>
          <w:fldChar w:fldCharType="end"/>
        </w:r>
      </w:hyperlink>
    </w:p>
    <w:p w14:paraId="43E6675D" w14:textId="7DE67BBF" w:rsidR="005F15B8" w:rsidRDefault="005F15B8">
      <w:pPr>
        <w:pStyle w:val="TOC1"/>
        <w:rPr>
          <w:rFonts w:asciiTheme="minorHAnsi" w:eastAsiaTheme="minorEastAsia" w:hAnsiTheme="minorHAnsi"/>
          <w:b w:val="0"/>
          <w:noProof/>
          <w:color w:val="auto"/>
          <w:sz w:val="24"/>
        </w:rPr>
      </w:pPr>
      <w:hyperlink w:anchor="_Toc236018400" w:history="1">
        <w:r w:rsidRPr="00494EFD">
          <w:rPr>
            <w:rStyle w:val="Hyperlink"/>
            <w:noProof/>
          </w:rPr>
          <w:t>Preamble</w:t>
        </w:r>
        <w:r>
          <w:rPr>
            <w:noProof/>
            <w:webHidden/>
          </w:rPr>
          <w:tab/>
        </w:r>
        <w:r>
          <w:rPr>
            <w:noProof/>
            <w:webHidden/>
          </w:rPr>
          <w:fldChar w:fldCharType="begin"/>
        </w:r>
        <w:r>
          <w:rPr>
            <w:noProof/>
            <w:webHidden/>
          </w:rPr>
          <w:instrText xml:space="preserve"> PAGEREF _Toc236018400 \h </w:instrText>
        </w:r>
        <w:r>
          <w:rPr>
            <w:noProof/>
            <w:webHidden/>
          </w:rPr>
        </w:r>
        <w:r>
          <w:rPr>
            <w:noProof/>
            <w:webHidden/>
          </w:rPr>
          <w:fldChar w:fldCharType="separate"/>
        </w:r>
        <w:r>
          <w:rPr>
            <w:noProof/>
            <w:webHidden/>
          </w:rPr>
          <w:t>5</w:t>
        </w:r>
        <w:r>
          <w:rPr>
            <w:noProof/>
            <w:webHidden/>
          </w:rPr>
          <w:fldChar w:fldCharType="end"/>
        </w:r>
      </w:hyperlink>
    </w:p>
    <w:p w14:paraId="7918404F" w14:textId="6F98FD7A" w:rsidR="005F15B8" w:rsidRDefault="005F15B8">
      <w:pPr>
        <w:pStyle w:val="TOC1"/>
        <w:rPr>
          <w:rFonts w:asciiTheme="minorHAnsi" w:eastAsiaTheme="minorEastAsia" w:hAnsiTheme="minorHAnsi"/>
          <w:b w:val="0"/>
          <w:noProof/>
          <w:color w:val="auto"/>
          <w:sz w:val="24"/>
        </w:rPr>
      </w:pPr>
      <w:hyperlink w:anchor="_Toc236018401" w:history="1">
        <w:r w:rsidRPr="00494EFD">
          <w:rPr>
            <w:rStyle w:val="Hyperlink"/>
            <w:noProof/>
          </w:rPr>
          <w:t>Part I: Purpose, Scope, and Definitions</w:t>
        </w:r>
        <w:r>
          <w:rPr>
            <w:noProof/>
            <w:webHidden/>
          </w:rPr>
          <w:tab/>
        </w:r>
        <w:r>
          <w:rPr>
            <w:noProof/>
            <w:webHidden/>
          </w:rPr>
          <w:fldChar w:fldCharType="begin"/>
        </w:r>
        <w:r>
          <w:rPr>
            <w:noProof/>
            <w:webHidden/>
          </w:rPr>
          <w:instrText xml:space="preserve"> PAGEREF _Toc236018401 \h </w:instrText>
        </w:r>
        <w:r>
          <w:rPr>
            <w:noProof/>
            <w:webHidden/>
          </w:rPr>
        </w:r>
        <w:r>
          <w:rPr>
            <w:noProof/>
            <w:webHidden/>
          </w:rPr>
          <w:fldChar w:fldCharType="separate"/>
        </w:r>
        <w:r>
          <w:rPr>
            <w:noProof/>
            <w:webHidden/>
          </w:rPr>
          <w:t>6</w:t>
        </w:r>
        <w:r>
          <w:rPr>
            <w:noProof/>
            <w:webHidden/>
          </w:rPr>
          <w:fldChar w:fldCharType="end"/>
        </w:r>
      </w:hyperlink>
    </w:p>
    <w:p w14:paraId="32681BA0" w14:textId="6EB117E0" w:rsidR="005F15B8" w:rsidRDefault="005F15B8">
      <w:pPr>
        <w:pStyle w:val="TOC2"/>
        <w:rPr>
          <w:rFonts w:asciiTheme="minorHAnsi" w:eastAsiaTheme="minorEastAsia" w:hAnsiTheme="minorHAnsi"/>
          <w:noProof/>
          <w:color w:val="auto"/>
          <w:sz w:val="24"/>
        </w:rPr>
      </w:pPr>
      <w:hyperlink w:anchor="_Toc236018402" w:history="1">
        <w:r w:rsidRPr="00494EFD">
          <w:rPr>
            <w:rStyle w:val="Hyperlink"/>
            <w:noProof/>
          </w:rPr>
          <w:t>Article 1: Purpose</w:t>
        </w:r>
        <w:r>
          <w:rPr>
            <w:noProof/>
            <w:webHidden/>
          </w:rPr>
          <w:tab/>
        </w:r>
        <w:r>
          <w:rPr>
            <w:noProof/>
            <w:webHidden/>
          </w:rPr>
          <w:fldChar w:fldCharType="begin"/>
        </w:r>
        <w:r>
          <w:rPr>
            <w:noProof/>
            <w:webHidden/>
          </w:rPr>
          <w:instrText xml:space="preserve"> PAGEREF _Toc236018402 \h </w:instrText>
        </w:r>
        <w:r>
          <w:rPr>
            <w:noProof/>
            <w:webHidden/>
          </w:rPr>
        </w:r>
        <w:r>
          <w:rPr>
            <w:noProof/>
            <w:webHidden/>
          </w:rPr>
          <w:fldChar w:fldCharType="separate"/>
        </w:r>
        <w:r>
          <w:rPr>
            <w:noProof/>
            <w:webHidden/>
          </w:rPr>
          <w:t>6</w:t>
        </w:r>
        <w:r>
          <w:rPr>
            <w:noProof/>
            <w:webHidden/>
          </w:rPr>
          <w:fldChar w:fldCharType="end"/>
        </w:r>
      </w:hyperlink>
    </w:p>
    <w:p w14:paraId="5EF88597" w14:textId="3326EC45" w:rsidR="005F15B8" w:rsidRDefault="005F15B8">
      <w:pPr>
        <w:pStyle w:val="TOC2"/>
        <w:rPr>
          <w:rFonts w:asciiTheme="minorHAnsi" w:eastAsiaTheme="minorEastAsia" w:hAnsiTheme="minorHAnsi"/>
          <w:noProof/>
          <w:color w:val="auto"/>
          <w:sz w:val="24"/>
        </w:rPr>
      </w:pPr>
      <w:hyperlink w:anchor="_Toc236018403" w:history="1">
        <w:r w:rsidRPr="00494EFD">
          <w:rPr>
            <w:rStyle w:val="Hyperlink"/>
            <w:noProof/>
          </w:rPr>
          <w:t>Article 2: Scope of Application</w:t>
        </w:r>
        <w:r>
          <w:rPr>
            <w:noProof/>
            <w:webHidden/>
          </w:rPr>
          <w:tab/>
        </w:r>
        <w:r>
          <w:rPr>
            <w:noProof/>
            <w:webHidden/>
          </w:rPr>
          <w:fldChar w:fldCharType="begin"/>
        </w:r>
        <w:r>
          <w:rPr>
            <w:noProof/>
            <w:webHidden/>
          </w:rPr>
          <w:instrText xml:space="preserve"> PAGEREF _Toc236018403 \h </w:instrText>
        </w:r>
        <w:r>
          <w:rPr>
            <w:noProof/>
            <w:webHidden/>
          </w:rPr>
        </w:r>
        <w:r>
          <w:rPr>
            <w:noProof/>
            <w:webHidden/>
          </w:rPr>
          <w:fldChar w:fldCharType="separate"/>
        </w:r>
        <w:r>
          <w:rPr>
            <w:noProof/>
            <w:webHidden/>
          </w:rPr>
          <w:t>6</w:t>
        </w:r>
        <w:r>
          <w:rPr>
            <w:noProof/>
            <w:webHidden/>
          </w:rPr>
          <w:fldChar w:fldCharType="end"/>
        </w:r>
      </w:hyperlink>
    </w:p>
    <w:p w14:paraId="7F29E218" w14:textId="5EBAE41D" w:rsidR="005F15B8" w:rsidRDefault="005F15B8">
      <w:pPr>
        <w:pStyle w:val="TOC2"/>
        <w:rPr>
          <w:rFonts w:asciiTheme="minorHAnsi" w:eastAsiaTheme="minorEastAsia" w:hAnsiTheme="minorHAnsi"/>
          <w:noProof/>
          <w:color w:val="auto"/>
          <w:sz w:val="24"/>
        </w:rPr>
      </w:pPr>
      <w:hyperlink w:anchor="_Toc236018404" w:history="1">
        <w:r w:rsidRPr="00494EFD">
          <w:rPr>
            <w:rStyle w:val="Hyperlink"/>
            <w:rFonts w:cs="Calibri"/>
            <w:noProof/>
          </w:rPr>
          <w:t>Article 3: Definitions</w:t>
        </w:r>
        <w:r>
          <w:rPr>
            <w:noProof/>
            <w:webHidden/>
          </w:rPr>
          <w:tab/>
        </w:r>
        <w:r>
          <w:rPr>
            <w:noProof/>
            <w:webHidden/>
          </w:rPr>
          <w:fldChar w:fldCharType="begin"/>
        </w:r>
        <w:r>
          <w:rPr>
            <w:noProof/>
            <w:webHidden/>
          </w:rPr>
          <w:instrText xml:space="preserve"> PAGEREF _Toc236018404 \h </w:instrText>
        </w:r>
        <w:r>
          <w:rPr>
            <w:noProof/>
            <w:webHidden/>
          </w:rPr>
        </w:r>
        <w:r>
          <w:rPr>
            <w:noProof/>
            <w:webHidden/>
          </w:rPr>
          <w:fldChar w:fldCharType="separate"/>
        </w:r>
        <w:r>
          <w:rPr>
            <w:noProof/>
            <w:webHidden/>
          </w:rPr>
          <w:t>7</w:t>
        </w:r>
        <w:r>
          <w:rPr>
            <w:noProof/>
            <w:webHidden/>
          </w:rPr>
          <w:fldChar w:fldCharType="end"/>
        </w:r>
      </w:hyperlink>
    </w:p>
    <w:p w14:paraId="04D3B6AC" w14:textId="77B181B2" w:rsidR="005F15B8" w:rsidRDefault="005F15B8">
      <w:pPr>
        <w:pStyle w:val="TOC1"/>
        <w:rPr>
          <w:rFonts w:asciiTheme="minorHAnsi" w:eastAsiaTheme="minorEastAsia" w:hAnsiTheme="minorHAnsi"/>
          <w:b w:val="0"/>
          <w:noProof/>
          <w:color w:val="auto"/>
          <w:sz w:val="24"/>
        </w:rPr>
      </w:pPr>
      <w:hyperlink w:anchor="_Toc236018405" w:history="1">
        <w:r w:rsidRPr="00494EFD">
          <w:rPr>
            <w:rStyle w:val="Hyperlink"/>
            <w:rFonts w:cs="Calibri"/>
            <w:noProof/>
          </w:rPr>
          <w:t>Part II: Permanent Core Undertakings</w:t>
        </w:r>
        <w:r>
          <w:rPr>
            <w:noProof/>
            <w:webHidden/>
          </w:rPr>
          <w:tab/>
        </w:r>
        <w:r>
          <w:rPr>
            <w:noProof/>
            <w:webHidden/>
          </w:rPr>
          <w:fldChar w:fldCharType="begin"/>
        </w:r>
        <w:r>
          <w:rPr>
            <w:noProof/>
            <w:webHidden/>
          </w:rPr>
          <w:instrText xml:space="preserve"> PAGEREF _Toc236018405 \h </w:instrText>
        </w:r>
        <w:r>
          <w:rPr>
            <w:noProof/>
            <w:webHidden/>
          </w:rPr>
        </w:r>
        <w:r>
          <w:rPr>
            <w:noProof/>
            <w:webHidden/>
          </w:rPr>
          <w:fldChar w:fldCharType="separate"/>
        </w:r>
        <w:r>
          <w:rPr>
            <w:noProof/>
            <w:webHidden/>
          </w:rPr>
          <w:t>8</w:t>
        </w:r>
        <w:r>
          <w:rPr>
            <w:noProof/>
            <w:webHidden/>
          </w:rPr>
          <w:fldChar w:fldCharType="end"/>
        </w:r>
      </w:hyperlink>
    </w:p>
    <w:p w14:paraId="49139304" w14:textId="2005EF0E" w:rsidR="005F15B8" w:rsidRDefault="005F15B8">
      <w:pPr>
        <w:pStyle w:val="TOC2"/>
        <w:rPr>
          <w:rFonts w:asciiTheme="minorHAnsi" w:eastAsiaTheme="minorEastAsia" w:hAnsiTheme="minorHAnsi"/>
          <w:noProof/>
          <w:color w:val="auto"/>
          <w:sz w:val="24"/>
        </w:rPr>
      </w:pPr>
      <w:hyperlink w:anchor="_Toc236018406" w:history="1">
        <w:r w:rsidRPr="00494EFD">
          <w:rPr>
            <w:rStyle w:val="Hyperlink"/>
            <w:rFonts w:cs="Calibri"/>
            <w:noProof/>
          </w:rPr>
          <w:t>Article 4: The Core Set</w:t>
        </w:r>
        <w:r>
          <w:rPr>
            <w:noProof/>
            <w:webHidden/>
          </w:rPr>
          <w:tab/>
        </w:r>
        <w:r>
          <w:rPr>
            <w:noProof/>
            <w:webHidden/>
          </w:rPr>
          <w:fldChar w:fldCharType="begin"/>
        </w:r>
        <w:r>
          <w:rPr>
            <w:noProof/>
            <w:webHidden/>
          </w:rPr>
          <w:instrText xml:space="preserve"> PAGEREF _Toc236018406 \h </w:instrText>
        </w:r>
        <w:r>
          <w:rPr>
            <w:noProof/>
            <w:webHidden/>
          </w:rPr>
        </w:r>
        <w:r>
          <w:rPr>
            <w:noProof/>
            <w:webHidden/>
          </w:rPr>
          <w:fldChar w:fldCharType="separate"/>
        </w:r>
        <w:r>
          <w:rPr>
            <w:noProof/>
            <w:webHidden/>
          </w:rPr>
          <w:t>8</w:t>
        </w:r>
        <w:r>
          <w:rPr>
            <w:noProof/>
            <w:webHidden/>
          </w:rPr>
          <w:fldChar w:fldCharType="end"/>
        </w:r>
      </w:hyperlink>
    </w:p>
    <w:p w14:paraId="0EFBD294" w14:textId="7BC607E0" w:rsidR="005F15B8" w:rsidRDefault="005F15B8">
      <w:pPr>
        <w:pStyle w:val="TOC1"/>
        <w:rPr>
          <w:rFonts w:asciiTheme="minorHAnsi" w:eastAsiaTheme="minorEastAsia" w:hAnsiTheme="minorHAnsi"/>
          <w:b w:val="0"/>
          <w:noProof/>
          <w:color w:val="auto"/>
          <w:sz w:val="24"/>
        </w:rPr>
      </w:pPr>
      <w:hyperlink w:anchor="_Toc236018407" w:history="1">
        <w:r w:rsidRPr="00494EFD">
          <w:rPr>
            <w:rStyle w:val="Hyperlink"/>
            <w:rFonts w:cs="Calibri"/>
            <w:noProof/>
          </w:rPr>
          <w:t>Part III: Participation Architecture</w:t>
        </w:r>
        <w:r>
          <w:rPr>
            <w:noProof/>
            <w:webHidden/>
          </w:rPr>
          <w:tab/>
        </w:r>
        <w:r>
          <w:rPr>
            <w:noProof/>
            <w:webHidden/>
          </w:rPr>
          <w:fldChar w:fldCharType="begin"/>
        </w:r>
        <w:r>
          <w:rPr>
            <w:noProof/>
            <w:webHidden/>
          </w:rPr>
          <w:instrText xml:space="preserve"> PAGEREF _Toc236018407 \h </w:instrText>
        </w:r>
        <w:r>
          <w:rPr>
            <w:noProof/>
            <w:webHidden/>
          </w:rPr>
        </w:r>
        <w:r>
          <w:rPr>
            <w:noProof/>
            <w:webHidden/>
          </w:rPr>
          <w:fldChar w:fldCharType="separate"/>
        </w:r>
        <w:r>
          <w:rPr>
            <w:noProof/>
            <w:webHidden/>
          </w:rPr>
          <w:t>9</w:t>
        </w:r>
        <w:r>
          <w:rPr>
            <w:noProof/>
            <w:webHidden/>
          </w:rPr>
          <w:fldChar w:fldCharType="end"/>
        </w:r>
      </w:hyperlink>
    </w:p>
    <w:p w14:paraId="6DCA2E3C" w14:textId="7C490D64" w:rsidR="005F15B8" w:rsidRDefault="005F15B8">
      <w:pPr>
        <w:pStyle w:val="TOC2"/>
        <w:rPr>
          <w:rFonts w:asciiTheme="minorHAnsi" w:eastAsiaTheme="minorEastAsia" w:hAnsiTheme="minorHAnsi"/>
          <w:noProof/>
          <w:color w:val="auto"/>
          <w:sz w:val="24"/>
        </w:rPr>
      </w:pPr>
      <w:hyperlink w:anchor="_Toc236018408" w:history="1">
        <w:r w:rsidRPr="00494EFD">
          <w:rPr>
            <w:rStyle w:val="Hyperlink"/>
            <w:rFonts w:cs="Calibri"/>
            <w:noProof/>
          </w:rPr>
          <w:t>Article 5: Participation Tiers</w:t>
        </w:r>
        <w:r>
          <w:rPr>
            <w:noProof/>
            <w:webHidden/>
          </w:rPr>
          <w:tab/>
        </w:r>
        <w:r>
          <w:rPr>
            <w:noProof/>
            <w:webHidden/>
          </w:rPr>
          <w:fldChar w:fldCharType="begin"/>
        </w:r>
        <w:r>
          <w:rPr>
            <w:noProof/>
            <w:webHidden/>
          </w:rPr>
          <w:instrText xml:space="preserve"> PAGEREF _Toc236018408 \h </w:instrText>
        </w:r>
        <w:r>
          <w:rPr>
            <w:noProof/>
            <w:webHidden/>
          </w:rPr>
        </w:r>
        <w:r>
          <w:rPr>
            <w:noProof/>
            <w:webHidden/>
          </w:rPr>
          <w:fldChar w:fldCharType="separate"/>
        </w:r>
        <w:r>
          <w:rPr>
            <w:noProof/>
            <w:webHidden/>
          </w:rPr>
          <w:t>9</w:t>
        </w:r>
        <w:r>
          <w:rPr>
            <w:noProof/>
            <w:webHidden/>
          </w:rPr>
          <w:fldChar w:fldCharType="end"/>
        </w:r>
      </w:hyperlink>
    </w:p>
    <w:p w14:paraId="005CB607" w14:textId="54799F34" w:rsidR="005F15B8" w:rsidRDefault="005F15B8">
      <w:pPr>
        <w:pStyle w:val="TOC2"/>
        <w:rPr>
          <w:rFonts w:asciiTheme="minorHAnsi" w:eastAsiaTheme="minorEastAsia" w:hAnsiTheme="minorHAnsi"/>
          <w:noProof/>
          <w:color w:val="auto"/>
          <w:sz w:val="24"/>
        </w:rPr>
      </w:pPr>
      <w:hyperlink w:anchor="_Toc236018409" w:history="1">
        <w:r w:rsidRPr="00494EFD">
          <w:rPr>
            <w:rStyle w:val="Hyperlink"/>
            <w:noProof/>
          </w:rPr>
          <w:t>Article 6: Accession and Standing</w:t>
        </w:r>
        <w:r>
          <w:rPr>
            <w:noProof/>
            <w:webHidden/>
          </w:rPr>
          <w:tab/>
        </w:r>
        <w:r>
          <w:rPr>
            <w:noProof/>
            <w:webHidden/>
          </w:rPr>
          <w:fldChar w:fldCharType="begin"/>
        </w:r>
        <w:r>
          <w:rPr>
            <w:noProof/>
            <w:webHidden/>
          </w:rPr>
          <w:instrText xml:space="preserve"> PAGEREF _Toc236018409 \h </w:instrText>
        </w:r>
        <w:r>
          <w:rPr>
            <w:noProof/>
            <w:webHidden/>
          </w:rPr>
        </w:r>
        <w:r>
          <w:rPr>
            <w:noProof/>
            <w:webHidden/>
          </w:rPr>
          <w:fldChar w:fldCharType="separate"/>
        </w:r>
        <w:r>
          <w:rPr>
            <w:noProof/>
            <w:webHidden/>
          </w:rPr>
          <w:t>11</w:t>
        </w:r>
        <w:r>
          <w:rPr>
            <w:noProof/>
            <w:webHidden/>
          </w:rPr>
          <w:fldChar w:fldCharType="end"/>
        </w:r>
      </w:hyperlink>
    </w:p>
    <w:p w14:paraId="7FBFD254" w14:textId="3F8B31FF" w:rsidR="005F15B8" w:rsidRDefault="005F15B8">
      <w:pPr>
        <w:pStyle w:val="TOC1"/>
        <w:rPr>
          <w:rFonts w:asciiTheme="minorHAnsi" w:eastAsiaTheme="minorEastAsia" w:hAnsiTheme="minorHAnsi"/>
          <w:b w:val="0"/>
          <w:noProof/>
          <w:color w:val="auto"/>
          <w:sz w:val="24"/>
        </w:rPr>
      </w:pPr>
      <w:hyperlink w:anchor="_Toc236018410" w:history="1">
        <w:r w:rsidRPr="00494EFD">
          <w:rPr>
            <w:rStyle w:val="Hyperlink"/>
            <w:noProof/>
          </w:rPr>
          <w:t>Part IV: Governance Bodies</w:t>
        </w:r>
        <w:r>
          <w:rPr>
            <w:noProof/>
            <w:webHidden/>
          </w:rPr>
          <w:tab/>
        </w:r>
        <w:r>
          <w:rPr>
            <w:noProof/>
            <w:webHidden/>
          </w:rPr>
          <w:fldChar w:fldCharType="begin"/>
        </w:r>
        <w:r>
          <w:rPr>
            <w:noProof/>
            <w:webHidden/>
          </w:rPr>
          <w:instrText xml:space="preserve"> PAGEREF _Toc236018410 \h </w:instrText>
        </w:r>
        <w:r>
          <w:rPr>
            <w:noProof/>
            <w:webHidden/>
          </w:rPr>
        </w:r>
        <w:r>
          <w:rPr>
            <w:noProof/>
            <w:webHidden/>
          </w:rPr>
          <w:fldChar w:fldCharType="separate"/>
        </w:r>
        <w:r>
          <w:rPr>
            <w:noProof/>
            <w:webHidden/>
          </w:rPr>
          <w:t>11</w:t>
        </w:r>
        <w:r>
          <w:rPr>
            <w:noProof/>
            <w:webHidden/>
          </w:rPr>
          <w:fldChar w:fldCharType="end"/>
        </w:r>
      </w:hyperlink>
    </w:p>
    <w:p w14:paraId="7CF4CBA9" w14:textId="46321220" w:rsidR="005F15B8" w:rsidRDefault="005F15B8">
      <w:pPr>
        <w:pStyle w:val="TOC2"/>
        <w:rPr>
          <w:rFonts w:asciiTheme="minorHAnsi" w:eastAsiaTheme="minorEastAsia" w:hAnsiTheme="minorHAnsi"/>
          <w:noProof/>
          <w:color w:val="auto"/>
          <w:sz w:val="24"/>
        </w:rPr>
      </w:pPr>
      <w:hyperlink w:anchor="_Toc236018411" w:history="1">
        <w:r w:rsidRPr="00494EFD">
          <w:rPr>
            <w:rStyle w:val="Hyperlink"/>
            <w:noProof/>
          </w:rPr>
          <w:t>Article 7: The Accord Council</w:t>
        </w:r>
        <w:r>
          <w:rPr>
            <w:noProof/>
            <w:webHidden/>
          </w:rPr>
          <w:tab/>
        </w:r>
        <w:r>
          <w:rPr>
            <w:noProof/>
            <w:webHidden/>
          </w:rPr>
          <w:fldChar w:fldCharType="begin"/>
        </w:r>
        <w:r>
          <w:rPr>
            <w:noProof/>
            <w:webHidden/>
          </w:rPr>
          <w:instrText xml:space="preserve"> PAGEREF _Toc236018411 \h </w:instrText>
        </w:r>
        <w:r>
          <w:rPr>
            <w:noProof/>
            <w:webHidden/>
          </w:rPr>
        </w:r>
        <w:r>
          <w:rPr>
            <w:noProof/>
            <w:webHidden/>
          </w:rPr>
          <w:fldChar w:fldCharType="separate"/>
        </w:r>
        <w:r>
          <w:rPr>
            <w:noProof/>
            <w:webHidden/>
          </w:rPr>
          <w:t>11</w:t>
        </w:r>
        <w:r>
          <w:rPr>
            <w:noProof/>
            <w:webHidden/>
          </w:rPr>
          <w:fldChar w:fldCharType="end"/>
        </w:r>
      </w:hyperlink>
    </w:p>
    <w:p w14:paraId="5636173E" w14:textId="0F133743" w:rsidR="005F15B8" w:rsidRDefault="005F15B8">
      <w:pPr>
        <w:pStyle w:val="TOC2"/>
        <w:rPr>
          <w:rFonts w:asciiTheme="minorHAnsi" w:eastAsiaTheme="minorEastAsia" w:hAnsiTheme="minorHAnsi"/>
          <w:noProof/>
          <w:color w:val="auto"/>
          <w:sz w:val="24"/>
        </w:rPr>
      </w:pPr>
      <w:hyperlink w:anchor="_Toc236018412" w:history="1">
        <w:r w:rsidRPr="00494EFD">
          <w:rPr>
            <w:rStyle w:val="Hyperlink"/>
            <w:noProof/>
          </w:rPr>
          <w:t>Article 8: The Joint Coordination Center</w:t>
        </w:r>
        <w:r>
          <w:rPr>
            <w:noProof/>
            <w:webHidden/>
          </w:rPr>
          <w:tab/>
        </w:r>
        <w:r>
          <w:rPr>
            <w:noProof/>
            <w:webHidden/>
          </w:rPr>
          <w:fldChar w:fldCharType="begin"/>
        </w:r>
        <w:r>
          <w:rPr>
            <w:noProof/>
            <w:webHidden/>
          </w:rPr>
          <w:instrText xml:space="preserve"> PAGEREF _Toc236018412 \h </w:instrText>
        </w:r>
        <w:r>
          <w:rPr>
            <w:noProof/>
            <w:webHidden/>
          </w:rPr>
        </w:r>
        <w:r>
          <w:rPr>
            <w:noProof/>
            <w:webHidden/>
          </w:rPr>
          <w:fldChar w:fldCharType="separate"/>
        </w:r>
        <w:r>
          <w:rPr>
            <w:noProof/>
            <w:webHidden/>
          </w:rPr>
          <w:t>12</w:t>
        </w:r>
        <w:r>
          <w:rPr>
            <w:noProof/>
            <w:webHidden/>
          </w:rPr>
          <w:fldChar w:fldCharType="end"/>
        </w:r>
      </w:hyperlink>
    </w:p>
    <w:p w14:paraId="7426814F" w14:textId="635302E5" w:rsidR="005F15B8" w:rsidRDefault="005F15B8">
      <w:pPr>
        <w:pStyle w:val="TOC2"/>
        <w:rPr>
          <w:rFonts w:asciiTheme="minorHAnsi" w:eastAsiaTheme="minorEastAsia" w:hAnsiTheme="minorHAnsi"/>
          <w:noProof/>
          <w:color w:val="auto"/>
          <w:sz w:val="24"/>
        </w:rPr>
      </w:pPr>
      <w:hyperlink w:anchor="_Toc236018413" w:history="1">
        <w:r w:rsidRPr="00494EFD">
          <w:rPr>
            <w:rStyle w:val="Hyperlink"/>
            <w:noProof/>
          </w:rPr>
          <w:t>Article 9: The Independent Verification Office</w:t>
        </w:r>
        <w:r>
          <w:rPr>
            <w:noProof/>
            <w:webHidden/>
          </w:rPr>
          <w:tab/>
        </w:r>
        <w:r>
          <w:rPr>
            <w:noProof/>
            <w:webHidden/>
          </w:rPr>
          <w:fldChar w:fldCharType="begin"/>
        </w:r>
        <w:r>
          <w:rPr>
            <w:noProof/>
            <w:webHidden/>
          </w:rPr>
          <w:instrText xml:space="preserve"> PAGEREF _Toc236018413 \h </w:instrText>
        </w:r>
        <w:r>
          <w:rPr>
            <w:noProof/>
            <w:webHidden/>
          </w:rPr>
        </w:r>
        <w:r>
          <w:rPr>
            <w:noProof/>
            <w:webHidden/>
          </w:rPr>
          <w:fldChar w:fldCharType="separate"/>
        </w:r>
        <w:r>
          <w:rPr>
            <w:noProof/>
            <w:webHidden/>
          </w:rPr>
          <w:t>12</w:t>
        </w:r>
        <w:r>
          <w:rPr>
            <w:noProof/>
            <w:webHidden/>
          </w:rPr>
          <w:fldChar w:fldCharType="end"/>
        </w:r>
      </w:hyperlink>
    </w:p>
    <w:p w14:paraId="043BA119" w14:textId="40F0D648" w:rsidR="005F15B8" w:rsidRDefault="005F15B8">
      <w:pPr>
        <w:pStyle w:val="TOC2"/>
        <w:rPr>
          <w:rFonts w:asciiTheme="minorHAnsi" w:eastAsiaTheme="minorEastAsia" w:hAnsiTheme="minorHAnsi"/>
          <w:noProof/>
          <w:color w:val="auto"/>
          <w:sz w:val="24"/>
        </w:rPr>
      </w:pPr>
      <w:hyperlink w:anchor="_Toc236018414" w:history="1">
        <w:r w:rsidRPr="00494EFD">
          <w:rPr>
            <w:rStyle w:val="Hyperlink"/>
            <w:noProof/>
          </w:rPr>
          <w:t>Article 10: Technical Standards Committee, Facilitator, and Depositary</w:t>
        </w:r>
        <w:r>
          <w:rPr>
            <w:noProof/>
            <w:webHidden/>
          </w:rPr>
          <w:tab/>
        </w:r>
        <w:r>
          <w:rPr>
            <w:noProof/>
            <w:webHidden/>
          </w:rPr>
          <w:fldChar w:fldCharType="begin"/>
        </w:r>
        <w:r>
          <w:rPr>
            <w:noProof/>
            <w:webHidden/>
          </w:rPr>
          <w:instrText xml:space="preserve"> PAGEREF _Toc236018414 \h </w:instrText>
        </w:r>
        <w:r>
          <w:rPr>
            <w:noProof/>
            <w:webHidden/>
          </w:rPr>
        </w:r>
        <w:r>
          <w:rPr>
            <w:noProof/>
            <w:webHidden/>
          </w:rPr>
          <w:fldChar w:fldCharType="separate"/>
        </w:r>
        <w:r>
          <w:rPr>
            <w:noProof/>
            <w:webHidden/>
          </w:rPr>
          <w:t>12</w:t>
        </w:r>
        <w:r>
          <w:rPr>
            <w:noProof/>
            <w:webHidden/>
          </w:rPr>
          <w:fldChar w:fldCharType="end"/>
        </w:r>
      </w:hyperlink>
    </w:p>
    <w:p w14:paraId="7E9FF70C" w14:textId="6A05DCD4" w:rsidR="005F15B8" w:rsidRDefault="005F15B8">
      <w:pPr>
        <w:pStyle w:val="TOC2"/>
        <w:rPr>
          <w:rFonts w:asciiTheme="minorHAnsi" w:eastAsiaTheme="minorEastAsia" w:hAnsiTheme="minorHAnsi"/>
          <w:noProof/>
          <w:color w:val="auto"/>
          <w:sz w:val="24"/>
        </w:rPr>
      </w:pPr>
      <w:hyperlink w:anchor="_Toc236018415" w:history="1">
        <w:r w:rsidRPr="00494EFD">
          <w:rPr>
            <w:rStyle w:val="Hyperlink"/>
            <w:noProof/>
          </w:rPr>
          <w:t>Article 11: Cost Discipline and Institutional Impermanence</w:t>
        </w:r>
        <w:r>
          <w:rPr>
            <w:noProof/>
            <w:webHidden/>
          </w:rPr>
          <w:tab/>
        </w:r>
        <w:r>
          <w:rPr>
            <w:noProof/>
            <w:webHidden/>
          </w:rPr>
          <w:fldChar w:fldCharType="begin"/>
        </w:r>
        <w:r>
          <w:rPr>
            <w:noProof/>
            <w:webHidden/>
          </w:rPr>
          <w:instrText xml:space="preserve"> PAGEREF _Toc236018415 \h </w:instrText>
        </w:r>
        <w:r>
          <w:rPr>
            <w:noProof/>
            <w:webHidden/>
          </w:rPr>
        </w:r>
        <w:r>
          <w:rPr>
            <w:noProof/>
            <w:webHidden/>
          </w:rPr>
          <w:fldChar w:fldCharType="separate"/>
        </w:r>
        <w:r>
          <w:rPr>
            <w:noProof/>
            <w:webHidden/>
          </w:rPr>
          <w:t>13</w:t>
        </w:r>
        <w:r>
          <w:rPr>
            <w:noProof/>
            <w:webHidden/>
          </w:rPr>
          <w:fldChar w:fldCharType="end"/>
        </w:r>
      </w:hyperlink>
    </w:p>
    <w:p w14:paraId="59D585B0" w14:textId="50EAF913" w:rsidR="005F15B8" w:rsidRDefault="005F15B8">
      <w:pPr>
        <w:pStyle w:val="TOC1"/>
        <w:rPr>
          <w:rFonts w:asciiTheme="minorHAnsi" w:eastAsiaTheme="minorEastAsia" w:hAnsiTheme="minorHAnsi"/>
          <w:b w:val="0"/>
          <w:noProof/>
          <w:color w:val="auto"/>
          <w:sz w:val="24"/>
        </w:rPr>
      </w:pPr>
      <w:hyperlink w:anchor="_Toc236018416" w:history="1">
        <w:r w:rsidRPr="00494EFD">
          <w:rPr>
            <w:rStyle w:val="Hyperlink"/>
            <w:noProof/>
          </w:rPr>
          <w:t>Part V: The Modular Commitment System</w:t>
        </w:r>
        <w:r>
          <w:rPr>
            <w:noProof/>
            <w:webHidden/>
          </w:rPr>
          <w:tab/>
        </w:r>
        <w:r>
          <w:rPr>
            <w:noProof/>
            <w:webHidden/>
          </w:rPr>
          <w:fldChar w:fldCharType="begin"/>
        </w:r>
        <w:r>
          <w:rPr>
            <w:noProof/>
            <w:webHidden/>
          </w:rPr>
          <w:instrText xml:space="preserve"> PAGEREF _Toc236018416 \h </w:instrText>
        </w:r>
        <w:r>
          <w:rPr>
            <w:noProof/>
            <w:webHidden/>
          </w:rPr>
        </w:r>
        <w:r>
          <w:rPr>
            <w:noProof/>
            <w:webHidden/>
          </w:rPr>
          <w:fldChar w:fldCharType="separate"/>
        </w:r>
        <w:r>
          <w:rPr>
            <w:noProof/>
            <w:webHidden/>
          </w:rPr>
          <w:t>13</w:t>
        </w:r>
        <w:r>
          <w:rPr>
            <w:noProof/>
            <w:webHidden/>
          </w:rPr>
          <w:fldChar w:fldCharType="end"/>
        </w:r>
      </w:hyperlink>
    </w:p>
    <w:p w14:paraId="6F76945D" w14:textId="0CFA7CF1" w:rsidR="005F15B8" w:rsidRDefault="005F15B8">
      <w:pPr>
        <w:pStyle w:val="TOC2"/>
        <w:rPr>
          <w:rFonts w:asciiTheme="minorHAnsi" w:eastAsiaTheme="minorEastAsia" w:hAnsiTheme="minorHAnsi"/>
          <w:noProof/>
          <w:color w:val="auto"/>
          <w:sz w:val="24"/>
        </w:rPr>
      </w:pPr>
      <w:hyperlink w:anchor="_Toc236018417" w:history="1">
        <w:r w:rsidRPr="00494EFD">
          <w:rPr>
            <w:rStyle w:val="Hyperlink"/>
            <w:noProof/>
          </w:rPr>
          <w:t>Article 12: Modular Commitment Units</w:t>
        </w:r>
        <w:r>
          <w:rPr>
            <w:noProof/>
            <w:webHidden/>
          </w:rPr>
          <w:tab/>
        </w:r>
        <w:r>
          <w:rPr>
            <w:noProof/>
            <w:webHidden/>
          </w:rPr>
          <w:fldChar w:fldCharType="begin"/>
        </w:r>
        <w:r>
          <w:rPr>
            <w:noProof/>
            <w:webHidden/>
          </w:rPr>
          <w:instrText xml:space="preserve"> PAGEREF _Toc236018417 \h </w:instrText>
        </w:r>
        <w:r>
          <w:rPr>
            <w:noProof/>
            <w:webHidden/>
          </w:rPr>
        </w:r>
        <w:r>
          <w:rPr>
            <w:noProof/>
            <w:webHidden/>
          </w:rPr>
          <w:fldChar w:fldCharType="separate"/>
        </w:r>
        <w:r>
          <w:rPr>
            <w:noProof/>
            <w:webHidden/>
          </w:rPr>
          <w:t>14</w:t>
        </w:r>
        <w:r>
          <w:rPr>
            <w:noProof/>
            <w:webHidden/>
          </w:rPr>
          <w:fldChar w:fldCharType="end"/>
        </w:r>
      </w:hyperlink>
    </w:p>
    <w:p w14:paraId="3326B56A" w14:textId="5D0CE6F4" w:rsidR="005F15B8" w:rsidRDefault="005F15B8">
      <w:pPr>
        <w:pStyle w:val="TOC2"/>
        <w:rPr>
          <w:rFonts w:asciiTheme="minorHAnsi" w:eastAsiaTheme="minorEastAsia" w:hAnsiTheme="minorHAnsi"/>
          <w:noProof/>
          <w:color w:val="auto"/>
          <w:sz w:val="24"/>
        </w:rPr>
      </w:pPr>
      <w:hyperlink w:anchor="_Toc236018418" w:history="1">
        <w:r w:rsidRPr="00494EFD">
          <w:rPr>
            <w:rStyle w:val="Hyperlink"/>
            <w:noProof/>
          </w:rPr>
          <w:t>Article 13: Concurrent Activation and Synchronization Gates</w:t>
        </w:r>
        <w:r>
          <w:rPr>
            <w:noProof/>
            <w:webHidden/>
          </w:rPr>
          <w:tab/>
        </w:r>
        <w:r>
          <w:rPr>
            <w:noProof/>
            <w:webHidden/>
          </w:rPr>
          <w:fldChar w:fldCharType="begin"/>
        </w:r>
        <w:r>
          <w:rPr>
            <w:noProof/>
            <w:webHidden/>
          </w:rPr>
          <w:instrText xml:space="preserve"> PAGEREF _Toc236018418 \h </w:instrText>
        </w:r>
        <w:r>
          <w:rPr>
            <w:noProof/>
            <w:webHidden/>
          </w:rPr>
        </w:r>
        <w:r>
          <w:rPr>
            <w:noProof/>
            <w:webHidden/>
          </w:rPr>
          <w:fldChar w:fldCharType="separate"/>
        </w:r>
        <w:r>
          <w:rPr>
            <w:noProof/>
            <w:webHidden/>
          </w:rPr>
          <w:t>14</w:t>
        </w:r>
        <w:r>
          <w:rPr>
            <w:noProof/>
            <w:webHidden/>
          </w:rPr>
          <w:fldChar w:fldCharType="end"/>
        </w:r>
      </w:hyperlink>
    </w:p>
    <w:p w14:paraId="6F0A6046" w14:textId="052FB09C" w:rsidR="005F15B8" w:rsidRDefault="005F15B8">
      <w:pPr>
        <w:pStyle w:val="TOC2"/>
        <w:rPr>
          <w:rFonts w:asciiTheme="minorHAnsi" w:eastAsiaTheme="minorEastAsia" w:hAnsiTheme="minorHAnsi"/>
          <w:noProof/>
          <w:color w:val="auto"/>
          <w:sz w:val="24"/>
        </w:rPr>
      </w:pPr>
      <w:hyperlink w:anchor="_Toc236018419" w:history="1">
        <w:r w:rsidRPr="00494EFD">
          <w:rPr>
            <w:rStyle w:val="Hyperlink"/>
            <w:noProof/>
          </w:rPr>
          <w:t>Article 14: Continuity, Deepening, and Replication</w:t>
        </w:r>
        <w:r>
          <w:rPr>
            <w:noProof/>
            <w:webHidden/>
          </w:rPr>
          <w:tab/>
        </w:r>
        <w:r>
          <w:rPr>
            <w:noProof/>
            <w:webHidden/>
          </w:rPr>
          <w:fldChar w:fldCharType="begin"/>
        </w:r>
        <w:r>
          <w:rPr>
            <w:noProof/>
            <w:webHidden/>
          </w:rPr>
          <w:instrText xml:space="preserve"> PAGEREF _Toc236018419 \h </w:instrText>
        </w:r>
        <w:r>
          <w:rPr>
            <w:noProof/>
            <w:webHidden/>
          </w:rPr>
        </w:r>
        <w:r>
          <w:rPr>
            <w:noProof/>
            <w:webHidden/>
          </w:rPr>
          <w:fldChar w:fldCharType="separate"/>
        </w:r>
        <w:r>
          <w:rPr>
            <w:noProof/>
            <w:webHidden/>
          </w:rPr>
          <w:t>15</w:t>
        </w:r>
        <w:r>
          <w:rPr>
            <w:noProof/>
            <w:webHidden/>
          </w:rPr>
          <w:fldChar w:fldCharType="end"/>
        </w:r>
      </w:hyperlink>
    </w:p>
    <w:p w14:paraId="7C1C432E" w14:textId="6AE88791" w:rsidR="005F15B8" w:rsidRDefault="005F15B8">
      <w:pPr>
        <w:pStyle w:val="TOC1"/>
        <w:rPr>
          <w:rFonts w:asciiTheme="minorHAnsi" w:eastAsiaTheme="minorEastAsia" w:hAnsiTheme="minorHAnsi"/>
          <w:b w:val="0"/>
          <w:noProof/>
          <w:color w:val="auto"/>
          <w:sz w:val="24"/>
        </w:rPr>
      </w:pPr>
      <w:hyperlink w:anchor="_Toc236018420" w:history="1">
        <w:r w:rsidRPr="00494EFD">
          <w:rPr>
            <w:rStyle w:val="Hyperlink"/>
            <w:rFonts w:cs="Calibri"/>
            <w:noProof/>
          </w:rPr>
          <w:t>Part VI: Stress and Shock Mechanics</w:t>
        </w:r>
        <w:r>
          <w:rPr>
            <w:noProof/>
            <w:webHidden/>
          </w:rPr>
          <w:tab/>
        </w:r>
        <w:r>
          <w:rPr>
            <w:noProof/>
            <w:webHidden/>
          </w:rPr>
          <w:fldChar w:fldCharType="begin"/>
        </w:r>
        <w:r>
          <w:rPr>
            <w:noProof/>
            <w:webHidden/>
          </w:rPr>
          <w:instrText xml:space="preserve"> PAGEREF _Toc236018420 \h </w:instrText>
        </w:r>
        <w:r>
          <w:rPr>
            <w:noProof/>
            <w:webHidden/>
          </w:rPr>
        </w:r>
        <w:r>
          <w:rPr>
            <w:noProof/>
            <w:webHidden/>
          </w:rPr>
          <w:fldChar w:fldCharType="separate"/>
        </w:r>
        <w:r>
          <w:rPr>
            <w:noProof/>
            <w:webHidden/>
          </w:rPr>
          <w:t>15</w:t>
        </w:r>
        <w:r>
          <w:rPr>
            <w:noProof/>
            <w:webHidden/>
          </w:rPr>
          <w:fldChar w:fldCharType="end"/>
        </w:r>
      </w:hyperlink>
    </w:p>
    <w:p w14:paraId="634A2F53" w14:textId="725A8948" w:rsidR="005F15B8" w:rsidRDefault="005F15B8">
      <w:pPr>
        <w:pStyle w:val="TOC2"/>
        <w:rPr>
          <w:rFonts w:asciiTheme="minorHAnsi" w:eastAsiaTheme="minorEastAsia" w:hAnsiTheme="minorHAnsi"/>
          <w:noProof/>
          <w:color w:val="auto"/>
          <w:sz w:val="24"/>
        </w:rPr>
      </w:pPr>
      <w:hyperlink w:anchor="_Toc236018421" w:history="1">
        <w:r w:rsidRPr="00494EFD">
          <w:rPr>
            <w:rStyle w:val="Hyperlink"/>
            <w:rFonts w:cs="Calibri"/>
            <w:noProof/>
          </w:rPr>
          <w:t>Article 15: Ambient Pressure Index</w:t>
        </w:r>
        <w:r>
          <w:rPr>
            <w:noProof/>
            <w:webHidden/>
          </w:rPr>
          <w:tab/>
        </w:r>
        <w:r>
          <w:rPr>
            <w:noProof/>
            <w:webHidden/>
          </w:rPr>
          <w:fldChar w:fldCharType="begin"/>
        </w:r>
        <w:r>
          <w:rPr>
            <w:noProof/>
            <w:webHidden/>
          </w:rPr>
          <w:instrText xml:space="preserve"> PAGEREF _Toc236018421 \h </w:instrText>
        </w:r>
        <w:r>
          <w:rPr>
            <w:noProof/>
            <w:webHidden/>
          </w:rPr>
        </w:r>
        <w:r>
          <w:rPr>
            <w:noProof/>
            <w:webHidden/>
          </w:rPr>
          <w:fldChar w:fldCharType="separate"/>
        </w:r>
        <w:r>
          <w:rPr>
            <w:noProof/>
            <w:webHidden/>
          </w:rPr>
          <w:t>16</w:t>
        </w:r>
        <w:r>
          <w:rPr>
            <w:noProof/>
            <w:webHidden/>
          </w:rPr>
          <w:fldChar w:fldCharType="end"/>
        </w:r>
      </w:hyperlink>
    </w:p>
    <w:p w14:paraId="3006677C" w14:textId="4E2FB99F" w:rsidR="005F15B8" w:rsidRDefault="005F15B8">
      <w:pPr>
        <w:pStyle w:val="TOC2"/>
        <w:rPr>
          <w:rFonts w:asciiTheme="minorHAnsi" w:eastAsiaTheme="minorEastAsia" w:hAnsiTheme="minorHAnsi"/>
          <w:noProof/>
          <w:color w:val="auto"/>
          <w:sz w:val="24"/>
        </w:rPr>
      </w:pPr>
      <w:hyperlink w:anchor="_Toc236018422" w:history="1">
        <w:r w:rsidRPr="00494EFD">
          <w:rPr>
            <w:rStyle w:val="Hyperlink"/>
            <w:rFonts w:cs="Calibri"/>
            <w:noProof/>
          </w:rPr>
          <w:t>Article 16: Calibrated Schedule Adjustments</w:t>
        </w:r>
        <w:r>
          <w:rPr>
            <w:noProof/>
            <w:webHidden/>
          </w:rPr>
          <w:tab/>
        </w:r>
        <w:r>
          <w:rPr>
            <w:noProof/>
            <w:webHidden/>
          </w:rPr>
          <w:fldChar w:fldCharType="begin"/>
        </w:r>
        <w:r>
          <w:rPr>
            <w:noProof/>
            <w:webHidden/>
          </w:rPr>
          <w:instrText xml:space="preserve"> PAGEREF _Toc236018422 \h </w:instrText>
        </w:r>
        <w:r>
          <w:rPr>
            <w:noProof/>
            <w:webHidden/>
          </w:rPr>
        </w:r>
        <w:r>
          <w:rPr>
            <w:noProof/>
            <w:webHidden/>
          </w:rPr>
          <w:fldChar w:fldCharType="separate"/>
        </w:r>
        <w:r>
          <w:rPr>
            <w:noProof/>
            <w:webHidden/>
          </w:rPr>
          <w:t>16</w:t>
        </w:r>
        <w:r>
          <w:rPr>
            <w:noProof/>
            <w:webHidden/>
          </w:rPr>
          <w:fldChar w:fldCharType="end"/>
        </w:r>
      </w:hyperlink>
    </w:p>
    <w:p w14:paraId="00BCBBD8" w14:textId="10B60E29" w:rsidR="005F15B8" w:rsidRDefault="005F15B8">
      <w:pPr>
        <w:pStyle w:val="TOC2"/>
        <w:rPr>
          <w:rFonts w:asciiTheme="minorHAnsi" w:eastAsiaTheme="minorEastAsia" w:hAnsiTheme="minorHAnsi"/>
          <w:noProof/>
          <w:color w:val="auto"/>
          <w:sz w:val="24"/>
        </w:rPr>
      </w:pPr>
      <w:hyperlink w:anchor="_Toc236018423" w:history="1">
        <w:r w:rsidRPr="00494EFD">
          <w:rPr>
            <w:rStyle w:val="Hyperlink"/>
            <w:rFonts w:cs="Calibri"/>
            <w:noProof/>
          </w:rPr>
          <w:t>Article 17: Pre-Authorized Alternate Channels</w:t>
        </w:r>
        <w:r>
          <w:rPr>
            <w:noProof/>
            <w:webHidden/>
          </w:rPr>
          <w:tab/>
        </w:r>
        <w:r>
          <w:rPr>
            <w:noProof/>
            <w:webHidden/>
          </w:rPr>
          <w:fldChar w:fldCharType="begin"/>
        </w:r>
        <w:r>
          <w:rPr>
            <w:noProof/>
            <w:webHidden/>
          </w:rPr>
          <w:instrText xml:space="preserve"> PAGEREF _Toc236018423 \h </w:instrText>
        </w:r>
        <w:r>
          <w:rPr>
            <w:noProof/>
            <w:webHidden/>
          </w:rPr>
        </w:r>
        <w:r>
          <w:rPr>
            <w:noProof/>
            <w:webHidden/>
          </w:rPr>
          <w:fldChar w:fldCharType="separate"/>
        </w:r>
        <w:r>
          <w:rPr>
            <w:noProof/>
            <w:webHidden/>
          </w:rPr>
          <w:t>17</w:t>
        </w:r>
        <w:r>
          <w:rPr>
            <w:noProof/>
            <w:webHidden/>
          </w:rPr>
          <w:fldChar w:fldCharType="end"/>
        </w:r>
      </w:hyperlink>
    </w:p>
    <w:p w14:paraId="637EFEFF" w14:textId="391643FB" w:rsidR="005F15B8" w:rsidRDefault="005F15B8">
      <w:pPr>
        <w:pStyle w:val="TOC2"/>
        <w:rPr>
          <w:rFonts w:asciiTheme="minorHAnsi" w:eastAsiaTheme="minorEastAsia" w:hAnsiTheme="minorHAnsi"/>
          <w:noProof/>
          <w:color w:val="auto"/>
          <w:sz w:val="24"/>
        </w:rPr>
      </w:pPr>
      <w:hyperlink w:anchor="_Toc236018424" w:history="1">
        <w:r w:rsidRPr="00494EFD">
          <w:rPr>
            <w:rStyle w:val="Hyperlink"/>
            <w:rFonts w:cs="Calibri"/>
            <w:noProof/>
          </w:rPr>
          <w:t>Article 18: Early Indicator Protocol</w:t>
        </w:r>
        <w:r>
          <w:rPr>
            <w:noProof/>
            <w:webHidden/>
          </w:rPr>
          <w:tab/>
        </w:r>
        <w:r>
          <w:rPr>
            <w:noProof/>
            <w:webHidden/>
          </w:rPr>
          <w:fldChar w:fldCharType="begin"/>
        </w:r>
        <w:r>
          <w:rPr>
            <w:noProof/>
            <w:webHidden/>
          </w:rPr>
          <w:instrText xml:space="preserve"> PAGEREF _Toc236018424 \h </w:instrText>
        </w:r>
        <w:r>
          <w:rPr>
            <w:noProof/>
            <w:webHidden/>
          </w:rPr>
        </w:r>
        <w:r>
          <w:rPr>
            <w:noProof/>
            <w:webHidden/>
          </w:rPr>
          <w:fldChar w:fldCharType="separate"/>
        </w:r>
        <w:r>
          <w:rPr>
            <w:noProof/>
            <w:webHidden/>
          </w:rPr>
          <w:t>17</w:t>
        </w:r>
        <w:r>
          <w:rPr>
            <w:noProof/>
            <w:webHidden/>
          </w:rPr>
          <w:fldChar w:fldCharType="end"/>
        </w:r>
      </w:hyperlink>
    </w:p>
    <w:p w14:paraId="1A0958F4" w14:textId="3A601DF2" w:rsidR="005F15B8" w:rsidRDefault="005F15B8">
      <w:pPr>
        <w:pStyle w:val="TOC2"/>
        <w:rPr>
          <w:rFonts w:asciiTheme="minorHAnsi" w:eastAsiaTheme="minorEastAsia" w:hAnsiTheme="minorHAnsi"/>
          <w:noProof/>
          <w:color w:val="auto"/>
          <w:sz w:val="24"/>
        </w:rPr>
      </w:pPr>
      <w:hyperlink w:anchor="_Toc236018425" w:history="1">
        <w:r w:rsidRPr="00494EFD">
          <w:rPr>
            <w:rStyle w:val="Hyperlink"/>
            <w:rFonts w:cs="Calibri"/>
            <w:noProof/>
          </w:rPr>
          <w:t>Article 19: Coordinated Posture Shift</w:t>
        </w:r>
        <w:r>
          <w:rPr>
            <w:noProof/>
            <w:webHidden/>
          </w:rPr>
          <w:tab/>
        </w:r>
        <w:r>
          <w:rPr>
            <w:noProof/>
            <w:webHidden/>
          </w:rPr>
          <w:fldChar w:fldCharType="begin"/>
        </w:r>
        <w:r>
          <w:rPr>
            <w:noProof/>
            <w:webHidden/>
          </w:rPr>
          <w:instrText xml:space="preserve"> PAGEREF _Toc236018425 \h </w:instrText>
        </w:r>
        <w:r>
          <w:rPr>
            <w:noProof/>
            <w:webHidden/>
          </w:rPr>
        </w:r>
        <w:r>
          <w:rPr>
            <w:noProof/>
            <w:webHidden/>
          </w:rPr>
          <w:fldChar w:fldCharType="separate"/>
        </w:r>
        <w:r>
          <w:rPr>
            <w:noProof/>
            <w:webHidden/>
          </w:rPr>
          <w:t>17</w:t>
        </w:r>
        <w:r>
          <w:rPr>
            <w:noProof/>
            <w:webHidden/>
          </w:rPr>
          <w:fldChar w:fldCharType="end"/>
        </w:r>
      </w:hyperlink>
    </w:p>
    <w:p w14:paraId="73A63F30" w14:textId="32E47AA9" w:rsidR="005F15B8" w:rsidRDefault="005F15B8">
      <w:pPr>
        <w:pStyle w:val="TOC2"/>
        <w:rPr>
          <w:rFonts w:asciiTheme="minorHAnsi" w:eastAsiaTheme="minorEastAsia" w:hAnsiTheme="minorHAnsi"/>
          <w:noProof/>
          <w:color w:val="auto"/>
          <w:sz w:val="24"/>
        </w:rPr>
      </w:pPr>
      <w:hyperlink w:anchor="_Toc236018426" w:history="1">
        <w:r w:rsidRPr="00494EFD">
          <w:rPr>
            <w:rStyle w:val="Hyperlink"/>
            <w:rFonts w:cs="Calibri"/>
            <w:noProof/>
          </w:rPr>
          <w:t>Article 20: Isolation Mode, Clock Reset, and Pressure-Adjusted Scoring</w:t>
        </w:r>
        <w:r>
          <w:rPr>
            <w:noProof/>
            <w:webHidden/>
          </w:rPr>
          <w:tab/>
        </w:r>
        <w:r>
          <w:rPr>
            <w:noProof/>
            <w:webHidden/>
          </w:rPr>
          <w:fldChar w:fldCharType="begin"/>
        </w:r>
        <w:r>
          <w:rPr>
            <w:noProof/>
            <w:webHidden/>
          </w:rPr>
          <w:instrText xml:space="preserve"> PAGEREF _Toc236018426 \h </w:instrText>
        </w:r>
        <w:r>
          <w:rPr>
            <w:noProof/>
            <w:webHidden/>
          </w:rPr>
        </w:r>
        <w:r>
          <w:rPr>
            <w:noProof/>
            <w:webHidden/>
          </w:rPr>
          <w:fldChar w:fldCharType="separate"/>
        </w:r>
        <w:r>
          <w:rPr>
            <w:noProof/>
            <w:webHidden/>
          </w:rPr>
          <w:t>17</w:t>
        </w:r>
        <w:r>
          <w:rPr>
            <w:noProof/>
            <w:webHidden/>
          </w:rPr>
          <w:fldChar w:fldCharType="end"/>
        </w:r>
      </w:hyperlink>
    </w:p>
    <w:p w14:paraId="4BD2F744" w14:textId="484F3E0D" w:rsidR="005F15B8" w:rsidRDefault="005F15B8">
      <w:pPr>
        <w:pStyle w:val="TOC1"/>
        <w:rPr>
          <w:rFonts w:asciiTheme="minorHAnsi" w:eastAsiaTheme="minorEastAsia" w:hAnsiTheme="minorHAnsi"/>
          <w:b w:val="0"/>
          <w:noProof/>
          <w:color w:val="auto"/>
          <w:sz w:val="24"/>
        </w:rPr>
      </w:pPr>
      <w:hyperlink w:anchor="_Toc236018427" w:history="1">
        <w:r w:rsidRPr="00494EFD">
          <w:rPr>
            <w:rStyle w:val="Hyperlink"/>
            <w:rFonts w:cs="Calibri"/>
            <w:noProof/>
          </w:rPr>
          <w:t>Part VII: Compliance and Consequence Architecture</w:t>
        </w:r>
        <w:r>
          <w:rPr>
            <w:noProof/>
            <w:webHidden/>
          </w:rPr>
          <w:tab/>
        </w:r>
        <w:r>
          <w:rPr>
            <w:noProof/>
            <w:webHidden/>
          </w:rPr>
          <w:fldChar w:fldCharType="begin"/>
        </w:r>
        <w:r>
          <w:rPr>
            <w:noProof/>
            <w:webHidden/>
          </w:rPr>
          <w:instrText xml:space="preserve"> PAGEREF _Toc236018427 \h </w:instrText>
        </w:r>
        <w:r>
          <w:rPr>
            <w:noProof/>
            <w:webHidden/>
          </w:rPr>
        </w:r>
        <w:r>
          <w:rPr>
            <w:noProof/>
            <w:webHidden/>
          </w:rPr>
          <w:fldChar w:fldCharType="separate"/>
        </w:r>
        <w:r>
          <w:rPr>
            <w:noProof/>
            <w:webHidden/>
          </w:rPr>
          <w:t>18</w:t>
        </w:r>
        <w:r>
          <w:rPr>
            <w:noProof/>
            <w:webHidden/>
          </w:rPr>
          <w:fldChar w:fldCharType="end"/>
        </w:r>
      </w:hyperlink>
    </w:p>
    <w:p w14:paraId="7764DC04" w14:textId="2BDF1A72" w:rsidR="005F15B8" w:rsidRDefault="005F15B8">
      <w:pPr>
        <w:pStyle w:val="TOC2"/>
        <w:rPr>
          <w:rFonts w:asciiTheme="minorHAnsi" w:eastAsiaTheme="minorEastAsia" w:hAnsiTheme="minorHAnsi"/>
          <w:noProof/>
          <w:color w:val="auto"/>
          <w:sz w:val="24"/>
        </w:rPr>
      </w:pPr>
      <w:hyperlink w:anchor="_Toc236018428" w:history="1">
        <w:r w:rsidRPr="00494EFD">
          <w:rPr>
            <w:rStyle w:val="Hyperlink"/>
            <w:rFonts w:cs="Calibri"/>
            <w:noProof/>
          </w:rPr>
          <w:t>Article 21: Graduated Response Levels</w:t>
        </w:r>
        <w:r>
          <w:rPr>
            <w:noProof/>
            <w:webHidden/>
          </w:rPr>
          <w:tab/>
        </w:r>
        <w:r>
          <w:rPr>
            <w:noProof/>
            <w:webHidden/>
          </w:rPr>
          <w:fldChar w:fldCharType="begin"/>
        </w:r>
        <w:r>
          <w:rPr>
            <w:noProof/>
            <w:webHidden/>
          </w:rPr>
          <w:instrText xml:space="preserve"> PAGEREF _Toc236018428 \h </w:instrText>
        </w:r>
        <w:r>
          <w:rPr>
            <w:noProof/>
            <w:webHidden/>
          </w:rPr>
        </w:r>
        <w:r>
          <w:rPr>
            <w:noProof/>
            <w:webHidden/>
          </w:rPr>
          <w:fldChar w:fldCharType="separate"/>
        </w:r>
        <w:r>
          <w:rPr>
            <w:noProof/>
            <w:webHidden/>
          </w:rPr>
          <w:t>18</w:t>
        </w:r>
        <w:r>
          <w:rPr>
            <w:noProof/>
            <w:webHidden/>
          </w:rPr>
          <w:fldChar w:fldCharType="end"/>
        </w:r>
      </w:hyperlink>
    </w:p>
    <w:p w14:paraId="7359905E" w14:textId="70F6B883" w:rsidR="005F15B8" w:rsidRDefault="005F15B8">
      <w:pPr>
        <w:pStyle w:val="TOC2"/>
        <w:rPr>
          <w:rFonts w:asciiTheme="minorHAnsi" w:eastAsiaTheme="minorEastAsia" w:hAnsiTheme="minorHAnsi"/>
          <w:noProof/>
          <w:color w:val="auto"/>
          <w:sz w:val="24"/>
        </w:rPr>
      </w:pPr>
      <w:hyperlink w:anchor="_Toc236018429" w:history="1">
        <w:r w:rsidRPr="00494EFD">
          <w:rPr>
            <w:rStyle w:val="Hyperlink"/>
            <w:rFonts w:cs="Calibri"/>
            <w:noProof/>
          </w:rPr>
          <w:t>Article 22: Sequenced Impact and Earn-Back</w:t>
        </w:r>
        <w:r>
          <w:rPr>
            <w:noProof/>
            <w:webHidden/>
          </w:rPr>
          <w:tab/>
        </w:r>
        <w:r>
          <w:rPr>
            <w:noProof/>
            <w:webHidden/>
          </w:rPr>
          <w:fldChar w:fldCharType="begin"/>
        </w:r>
        <w:r>
          <w:rPr>
            <w:noProof/>
            <w:webHidden/>
          </w:rPr>
          <w:instrText xml:space="preserve"> PAGEREF _Toc236018429 \h </w:instrText>
        </w:r>
        <w:r>
          <w:rPr>
            <w:noProof/>
            <w:webHidden/>
          </w:rPr>
        </w:r>
        <w:r>
          <w:rPr>
            <w:noProof/>
            <w:webHidden/>
          </w:rPr>
          <w:fldChar w:fldCharType="separate"/>
        </w:r>
        <w:r>
          <w:rPr>
            <w:noProof/>
            <w:webHidden/>
          </w:rPr>
          <w:t>19</w:t>
        </w:r>
        <w:r>
          <w:rPr>
            <w:noProof/>
            <w:webHidden/>
          </w:rPr>
          <w:fldChar w:fldCharType="end"/>
        </w:r>
      </w:hyperlink>
    </w:p>
    <w:p w14:paraId="4E045D5C" w14:textId="6BE7C499" w:rsidR="005F15B8" w:rsidRDefault="005F15B8">
      <w:pPr>
        <w:pStyle w:val="TOC2"/>
        <w:rPr>
          <w:rFonts w:asciiTheme="minorHAnsi" w:eastAsiaTheme="minorEastAsia" w:hAnsiTheme="minorHAnsi"/>
          <w:noProof/>
          <w:color w:val="auto"/>
          <w:sz w:val="24"/>
        </w:rPr>
      </w:pPr>
      <w:hyperlink w:anchor="_Toc236018430" w:history="1">
        <w:r w:rsidRPr="00494EFD">
          <w:rPr>
            <w:rStyle w:val="Hyperlink"/>
            <w:rFonts w:cs="Calibri"/>
            <w:noProof/>
          </w:rPr>
          <w:t>Article 23: Demonstration Duty and Accuracy Safeguards</w:t>
        </w:r>
        <w:r>
          <w:rPr>
            <w:noProof/>
            <w:webHidden/>
          </w:rPr>
          <w:tab/>
        </w:r>
        <w:r>
          <w:rPr>
            <w:noProof/>
            <w:webHidden/>
          </w:rPr>
          <w:fldChar w:fldCharType="begin"/>
        </w:r>
        <w:r>
          <w:rPr>
            <w:noProof/>
            <w:webHidden/>
          </w:rPr>
          <w:instrText xml:space="preserve"> PAGEREF _Toc236018430 \h </w:instrText>
        </w:r>
        <w:r>
          <w:rPr>
            <w:noProof/>
            <w:webHidden/>
          </w:rPr>
        </w:r>
        <w:r>
          <w:rPr>
            <w:noProof/>
            <w:webHidden/>
          </w:rPr>
          <w:fldChar w:fldCharType="separate"/>
        </w:r>
        <w:r>
          <w:rPr>
            <w:noProof/>
            <w:webHidden/>
          </w:rPr>
          <w:t>19</w:t>
        </w:r>
        <w:r>
          <w:rPr>
            <w:noProof/>
            <w:webHidden/>
          </w:rPr>
          <w:fldChar w:fldCharType="end"/>
        </w:r>
      </w:hyperlink>
    </w:p>
    <w:p w14:paraId="187E6BF7" w14:textId="5886C238" w:rsidR="005F15B8" w:rsidRDefault="005F15B8">
      <w:pPr>
        <w:pStyle w:val="TOC2"/>
        <w:rPr>
          <w:rFonts w:asciiTheme="minorHAnsi" w:eastAsiaTheme="minorEastAsia" w:hAnsiTheme="minorHAnsi"/>
          <w:noProof/>
          <w:color w:val="auto"/>
          <w:sz w:val="24"/>
        </w:rPr>
      </w:pPr>
      <w:hyperlink w:anchor="_Toc236018431" w:history="1">
        <w:r w:rsidRPr="00494EFD">
          <w:rPr>
            <w:rStyle w:val="Hyperlink"/>
            <w:noProof/>
          </w:rPr>
          <w:t>Article 24: Enumerated Obstruction Acts and Standing</w:t>
        </w:r>
        <w:r>
          <w:rPr>
            <w:noProof/>
            <w:webHidden/>
          </w:rPr>
          <w:tab/>
        </w:r>
        <w:r>
          <w:rPr>
            <w:noProof/>
            <w:webHidden/>
          </w:rPr>
          <w:fldChar w:fldCharType="begin"/>
        </w:r>
        <w:r>
          <w:rPr>
            <w:noProof/>
            <w:webHidden/>
          </w:rPr>
          <w:instrText xml:space="preserve"> PAGEREF _Toc236018431 \h </w:instrText>
        </w:r>
        <w:r>
          <w:rPr>
            <w:noProof/>
            <w:webHidden/>
          </w:rPr>
        </w:r>
        <w:r>
          <w:rPr>
            <w:noProof/>
            <w:webHidden/>
          </w:rPr>
          <w:fldChar w:fldCharType="separate"/>
        </w:r>
        <w:r>
          <w:rPr>
            <w:noProof/>
            <w:webHidden/>
          </w:rPr>
          <w:t>20</w:t>
        </w:r>
        <w:r>
          <w:rPr>
            <w:noProof/>
            <w:webHidden/>
          </w:rPr>
          <w:fldChar w:fldCharType="end"/>
        </w:r>
      </w:hyperlink>
    </w:p>
    <w:p w14:paraId="45009887" w14:textId="5535DE30" w:rsidR="005F15B8" w:rsidRDefault="005F15B8">
      <w:pPr>
        <w:pStyle w:val="TOC1"/>
        <w:rPr>
          <w:rFonts w:asciiTheme="minorHAnsi" w:eastAsiaTheme="minorEastAsia" w:hAnsiTheme="minorHAnsi"/>
          <w:b w:val="0"/>
          <w:noProof/>
          <w:color w:val="auto"/>
          <w:sz w:val="24"/>
        </w:rPr>
      </w:pPr>
      <w:hyperlink w:anchor="_Toc236018432" w:history="1">
        <w:r w:rsidRPr="00494EFD">
          <w:rPr>
            <w:rStyle w:val="Hyperlink"/>
            <w:noProof/>
          </w:rPr>
          <w:t>Part VIII: Spoiler and Proxy Shock Hardening</w:t>
        </w:r>
        <w:r>
          <w:rPr>
            <w:noProof/>
            <w:webHidden/>
          </w:rPr>
          <w:tab/>
        </w:r>
        <w:r>
          <w:rPr>
            <w:noProof/>
            <w:webHidden/>
          </w:rPr>
          <w:fldChar w:fldCharType="begin"/>
        </w:r>
        <w:r>
          <w:rPr>
            <w:noProof/>
            <w:webHidden/>
          </w:rPr>
          <w:instrText xml:space="preserve"> PAGEREF _Toc236018432 \h </w:instrText>
        </w:r>
        <w:r>
          <w:rPr>
            <w:noProof/>
            <w:webHidden/>
          </w:rPr>
        </w:r>
        <w:r>
          <w:rPr>
            <w:noProof/>
            <w:webHidden/>
          </w:rPr>
          <w:fldChar w:fldCharType="separate"/>
        </w:r>
        <w:r>
          <w:rPr>
            <w:noProof/>
            <w:webHidden/>
          </w:rPr>
          <w:t>21</w:t>
        </w:r>
        <w:r>
          <w:rPr>
            <w:noProof/>
            <w:webHidden/>
          </w:rPr>
          <w:fldChar w:fldCharType="end"/>
        </w:r>
      </w:hyperlink>
    </w:p>
    <w:p w14:paraId="42E85CEB" w14:textId="3838ADB8" w:rsidR="005F15B8" w:rsidRDefault="005F15B8">
      <w:pPr>
        <w:pStyle w:val="TOC2"/>
        <w:rPr>
          <w:rFonts w:asciiTheme="minorHAnsi" w:eastAsiaTheme="minorEastAsia" w:hAnsiTheme="minorHAnsi"/>
          <w:noProof/>
          <w:color w:val="auto"/>
          <w:sz w:val="24"/>
        </w:rPr>
      </w:pPr>
      <w:hyperlink w:anchor="_Toc236018433" w:history="1">
        <w:r w:rsidRPr="00494EFD">
          <w:rPr>
            <w:rStyle w:val="Hyperlink"/>
            <w:noProof/>
          </w:rPr>
          <w:t>Article 25: The Attribution Standard</w:t>
        </w:r>
        <w:r>
          <w:rPr>
            <w:noProof/>
            <w:webHidden/>
          </w:rPr>
          <w:tab/>
        </w:r>
        <w:r>
          <w:rPr>
            <w:noProof/>
            <w:webHidden/>
          </w:rPr>
          <w:fldChar w:fldCharType="begin"/>
        </w:r>
        <w:r>
          <w:rPr>
            <w:noProof/>
            <w:webHidden/>
          </w:rPr>
          <w:instrText xml:space="preserve"> PAGEREF _Toc236018433 \h </w:instrText>
        </w:r>
        <w:r>
          <w:rPr>
            <w:noProof/>
            <w:webHidden/>
          </w:rPr>
        </w:r>
        <w:r>
          <w:rPr>
            <w:noProof/>
            <w:webHidden/>
          </w:rPr>
          <w:fldChar w:fldCharType="separate"/>
        </w:r>
        <w:r>
          <w:rPr>
            <w:noProof/>
            <w:webHidden/>
          </w:rPr>
          <w:t>21</w:t>
        </w:r>
        <w:r>
          <w:rPr>
            <w:noProof/>
            <w:webHidden/>
          </w:rPr>
          <w:fldChar w:fldCharType="end"/>
        </w:r>
      </w:hyperlink>
    </w:p>
    <w:p w14:paraId="67417018" w14:textId="0442E85A" w:rsidR="005F15B8" w:rsidRDefault="005F15B8">
      <w:pPr>
        <w:pStyle w:val="TOC2"/>
        <w:rPr>
          <w:rFonts w:asciiTheme="minorHAnsi" w:eastAsiaTheme="minorEastAsia" w:hAnsiTheme="minorHAnsi"/>
          <w:noProof/>
          <w:color w:val="auto"/>
          <w:sz w:val="24"/>
        </w:rPr>
      </w:pPr>
      <w:hyperlink w:anchor="_Toc236018434" w:history="1">
        <w:r w:rsidRPr="00494EFD">
          <w:rPr>
            <w:rStyle w:val="Hyperlink"/>
            <w:noProof/>
          </w:rPr>
          <w:t>Article 26: Group Response Commitment Operations</w:t>
        </w:r>
        <w:r>
          <w:rPr>
            <w:noProof/>
            <w:webHidden/>
          </w:rPr>
          <w:tab/>
        </w:r>
        <w:r>
          <w:rPr>
            <w:noProof/>
            <w:webHidden/>
          </w:rPr>
          <w:fldChar w:fldCharType="begin"/>
        </w:r>
        <w:r>
          <w:rPr>
            <w:noProof/>
            <w:webHidden/>
          </w:rPr>
          <w:instrText xml:space="preserve"> PAGEREF _Toc236018434 \h </w:instrText>
        </w:r>
        <w:r>
          <w:rPr>
            <w:noProof/>
            <w:webHidden/>
          </w:rPr>
        </w:r>
        <w:r>
          <w:rPr>
            <w:noProof/>
            <w:webHidden/>
          </w:rPr>
          <w:fldChar w:fldCharType="separate"/>
        </w:r>
        <w:r>
          <w:rPr>
            <w:noProof/>
            <w:webHidden/>
          </w:rPr>
          <w:t>21</w:t>
        </w:r>
        <w:r>
          <w:rPr>
            <w:noProof/>
            <w:webHidden/>
          </w:rPr>
          <w:fldChar w:fldCharType="end"/>
        </w:r>
      </w:hyperlink>
    </w:p>
    <w:p w14:paraId="547648EC" w14:textId="2A595ABF" w:rsidR="005F15B8" w:rsidRDefault="005F15B8">
      <w:pPr>
        <w:pStyle w:val="TOC2"/>
        <w:rPr>
          <w:rFonts w:asciiTheme="minorHAnsi" w:eastAsiaTheme="minorEastAsia" w:hAnsiTheme="minorHAnsi"/>
          <w:noProof/>
          <w:color w:val="auto"/>
          <w:sz w:val="24"/>
        </w:rPr>
      </w:pPr>
      <w:hyperlink w:anchor="_Toc236018435" w:history="1">
        <w:r w:rsidRPr="00494EFD">
          <w:rPr>
            <w:rStyle w:val="Hyperlink"/>
            <w:noProof/>
          </w:rPr>
          <w:t>Article 27: Designated Expendable Modules and the Internal Spoiler Firewall</w:t>
        </w:r>
        <w:r>
          <w:rPr>
            <w:noProof/>
            <w:webHidden/>
          </w:rPr>
          <w:tab/>
        </w:r>
        <w:r>
          <w:rPr>
            <w:noProof/>
            <w:webHidden/>
          </w:rPr>
          <w:fldChar w:fldCharType="begin"/>
        </w:r>
        <w:r>
          <w:rPr>
            <w:noProof/>
            <w:webHidden/>
          </w:rPr>
          <w:instrText xml:space="preserve"> PAGEREF _Toc236018435 \h </w:instrText>
        </w:r>
        <w:r>
          <w:rPr>
            <w:noProof/>
            <w:webHidden/>
          </w:rPr>
        </w:r>
        <w:r>
          <w:rPr>
            <w:noProof/>
            <w:webHidden/>
          </w:rPr>
          <w:fldChar w:fldCharType="separate"/>
        </w:r>
        <w:r>
          <w:rPr>
            <w:noProof/>
            <w:webHidden/>
          </w:rPr>
          <w:t>22</w:t>
        </w:r>
        <w:r>
          <w:rPr>
            <w:noProof/>
            <w:webHidden/>
          </w:rPr>
          <w:fldChar w:fldCharType="end"/>
        </w:r>
      </w:hyperlink>
    </w:p>
    <w:p w14:paraId="58D85768" w14:textId="7DB92D1F" w:rsidR="005F15B8" w:rsidRDefault="005F15B8">
      <w:pPr>
        <w:pStyle w:val="TOC2"/>
        <w:rPr>
          <w:rFonts w:asciiTheme="minorHAnsi" w:eastAsiaTheme="minorEastAsia" w:hAnsiTheme="minorHAnsi"/>
          <w:noProof/>
          <w:color w:val="auto"/>
          <w:sz w:val="24"/>
        </w:rPr>
      </w:pPr>
      <w:hyperlink w:anchor="_Toc236018436" w:history="1">
        <w:r w:rsidRPr="00494EFD">
          <w:rPr>
            <w:rStyle w:val="Hyperlink"/>
            <w:noProof/>
          </w:rPr>
          <w:t>Article 28: Interference Allowance</w:t>
        </w:r>
        <w:r>
          <w:rPr>
            <w:noProof/>
            <w:webHidden/>
          </w:rPr>
          <w:tab/>
        </w:r>
        <w:r>
          <w:rPr>
            <w:noProof/>
            <w:webHidden/>
          </w:rPr>
          <w:fldChar w:fldCharType="begin"/>
        </w:r>
        <w:r>
          <w:rPr>
            <w:noProof/>
            <w:webHidden/>
          </w:rPr>
          <w:instrText xml:space="preserve"> PAGEREF _Toc236018436 \h </w:instrText>
        </w:r>
        <w:r>
          <w:rPr>
            <w:noProof/>
            <w:webHidden/>
          </w:rPr>
        </w:r>
        <w:r>
          <w:rPr>
            <w:noProof/>
            <w:webHidden/>
          </w:rPr>
          <w:fldChar w:fldCharType="separate"/>
        </w:r>
        <w:r>
          <w:rPr>
            <w:noProof/>
            <w:webHidden/>
          </w:rPr>
          <w:t>22</w:t>
        </w:r>
        <w:r>
          <w:rPr>
            <w:noProof/>
            <w:webHidden/>
          </w:rPr>
          <w:fldChar w:fldCharType="end"/>
        </w:r>
      </w:hyperlink>
    </w:p>
    <w:p w14:paraId="7E9E0A2B" w14:textId="0B6CD1F8" w:rsidR="005F15B8" w:rsidRDefault="005F15B8">
      <w:pPr>
        <w:pStyle w:val="TOC1"/>
        <w:rPr>
          <w:rFonts w:asciiTheme="minorHAnsi" w:eastAsiaTheme="minorEastAsia" w:hAnsiTheme="minorHAnsi"/>
          <w:b w:val="0"/>
          <w:noProof/>
          <w:color w:val="auto"/>
          <w:sz w:val="24"/>
        </w:rPr>
      </w:pPr>
      <w:hyperlink w:anchor="_Toc236018437" w:history="1">
        <w:r w:rsidRPr="00494EFD">
          <w:rPr>
            <w:rStyle w:val="Hyperlink"/>
            <w:noProof/>
          </w:rPr>
          <w:t>Part IX: Verification System Overview</w:t>
        </w:r>
        <w:r>
          <w:rPr>
            <w:noProof/>
            <w:webHidden/>
          </w:rPr>
          <w:tab/>
        </w:r>
        <w:r>
          <w:rPr>
            <w:noProof/>
            <w:webHidden/>
          </w:rPr>
          <w:fldChar w:fldCharType="begin"/>
        </w:r>
        <w:r>
          <w:rPr>
            <w:noProof/>
            <w:webHidden/>
          </w:rPr>
          <w:instrText xml:space="preserve"> PAGEREF _Toc236018437 \h </w:instrText>
        </w:r>
        <w:r>
          <w:rPr>
            <w:noProof/>
            <w:webHidden/>
          </w:rPr>
        </w:r>
        <w:r>
          <w:rPr>
            <w:noProof/>
            <w:webHidden/>
          </w:rPr>
          <w:fldChar w:fldCharType="separate"/>
        </w:r>
        <w:r>
          <w:rPr>
            <w:noProof/>
            <w:webHidden/>
          </w:rPr>
          <w:t>22</w:t>
        </w:r>
        <w:r>
          <w:rPr>
            <w:noProof/>
            <w:webHidden/>
          </w:rPr>
          <w:fldChar w:fldCharType="end"/>
        </w:r>
      </w:hyperlink>
    </w:p>
    <w:p w14:paraId="0FF90836" w14:textId="202CFBD3" w:rsidR="005F15B8" w:rsidRDefault="005F15B8">
      <w:pPr>
        <w:pStyle w:val="TOC2"/>
        <w:rPr>
          <w:rFonts w:asciiTheme="minorHAnsi" w:eastAsiaTheme="minorEastAsia" w:hAnsiTheme="minorHAnsi"/>
          <w:noProof/>
          <w:color w:val="auto"/>
          <w:sz w:val="24"/>
        </w:rPr>
      </w:pPr>
      <w:hyperlink w:anchor="_Toc236018438" w:history="1">
        <w:r w:rsidRPr="00494EFD">
          <w:rPr>
            <w:rStyle w:val="Hyperlink"/>
            <w:noProof/>
          </w:rPr>
          <w:t>Article 29: Verification Principles</w:t>
        </w:r>
        <w:r>
          <w:rPr>
            <w:noProof/>
            <w:webHidden/>
          </w:rPr>
          <w:tab/>
        </w:r>
        <w:r>
          <w:rPr>
            <w:noProof/>
            <w:webHidden/>
          </w:rPr>
          <w:fldChar w:fldCharType="begin"/>
        </w:r>
        <w:r>
          <w:rPr>
            <w:noProof/>
            <w:webHidden/>
          </w:rPr>
          <w:instrText xml:space="preserve"> PAGEREF _Toc236018438 \h </w:instrText>
        </w:r>
        <w:r>
          <w:rPr>
            <w:noProof/>
            <w:webHidden/>
          </w:rPr>
        </w:r>
        <w:r>
          <w:rPr>
            <w:noProof/>
            <w:webHidden/>
          </w:rPr>
          <w:fldChar w:fldCharType="separate"/>
        </w:r>
        <w:r>
          <w:rPr>
            <w:noProof/>
            <w:webHidden/>
          </w:rPr>
          <w:t>22</w:t>
        </w:r>
        <w:r>
          <w:rPr>
            <w:noProof/>
            <w:webHidden/>
          </w:rPr>
          <w:fldChar w:fldCharType="end"/>
        </w:r>
      </w:hyperlink>
    </w:p>
    <w:p w14:paraId="5FBCCB5E" w14:textId="511F054D" w:rsidR="005F15B8" w:rsidRDefault="005F15B8">
      <w:pPr>
        <w:pStyle w:val="TOC1"/>
        <w:rPr>
          <w:rFonts w:asciiTheme="minorHAnsi" w:eastAsiaTheme="minorEastAsia" w:hAnsiTheme="minorHAnsi"/>
          <w:b w:val="0"/>
          <w:noProof/>
          <w:color w:val="auto"/>
          <w:sz w:val="24"/>
        </w:rPr>
      </w:pPr>
      <w:hyperlink w:anchor="_Toc236018439" w:history="1">
        <w:r w:rsidRPr="00494EFD">
          <w:rPr>
            <w:rStyle w:val="Hyperlink"/>
            <w:noProof/>
          </w:rPr>
          <w:t>Part X: Economic Architecture and Stabilization Dividends</w:t>
        </w:r>
        <w:r>
          <w:rPr>
            <w:noProof/>
            <w:webHidden/>
          </w:rPr>
          <w:tab/>
        </w:r>
        <w:r>
          <w:rPr>
            <w:noProof/>
            <w:webHidden/>
          </w:rPr>
          <w:fldChar w:fldCharType="begin"/>
        </w:r>
        <w:r>
          <w:rPr>
            <w:noProof/>
            <w:webHidden/>
          </w:rPr>
          <w:instrText xml:space="preserve"> PAGEREF _Toc236018439 \h </w:instrText>
        </w:r>
        <w:r>
          <w:rPr>
            <w:noProof/>
            <w:webHidden/>
          </w:rPr>
        </w:r>
        <w:r>
          <w:rPr>
            <w:noProof/>
            <w:webHidden/>
          </w:rPr>
          <w:fldChar w:fldCharType="separate"/>
        </w:r>
        <w:r>
          <w:rPr>
            <w:noProof/>
            <w:webHidden/>
          </w:rPr>
          <w:t>23</w:t>
        </w:r>
        <w:r>
          <w:rPr>
            <w:noProof/>
            <w:webHidden/>
          </w:rPr>
          <w:fldChar w:fldCharType="end"/>
        </w:r>
      </w:hyperlink>
    </w:p>
    <w:p w14:paraId="68D2C77D" w14:textId="62F4362F" w:rsidR="005F15B8" w:rsidRDefault="005F15B8">
      <w:pPr>
        <w:pStyle w:val="TOC2"/>
        <w:rPr>
          <w:rFonts w:asciiTheme="minorHAnsi" w:eastAsiaTheme="minorEastAsia" w:hAnsiTheme="minorHAnsi"/>
          <w:noProof/>
          <w:color w:val="auto"/>
          <w:sz w:val="24"/>
        </w:rPr>
      </w:pPr>
      <w:hyperlink w:anchor="_Toc236018440" w:history="1">
        <w:r w:rsidRPr="00494EFD">
          <w:rPr>
            <w:rStyle w:val="Hyperlink"/>
            <w:noProof/>
          </w:rPr>
          <w:t>Article 30: Zero-Toll Rule and Service-Fee System</w:t>
        </w:r>
        <w:r>
          <w:rPr>
            <w:noProof/>
            <w:webHidden/>
          </w:rPr>
          <w:tab/>
        </w:r>
        <w:r>
          <w:rPr>
            <w:noProof/>
            <w:webHidden/>
          </w:rPr>
          <w:fldChar w:fldCharType="begin"/>
        </w:r>
        <w:r>
          <w:rPr>
            <w:noProof/>
            <w:webHidden/>
          </w:rPr>
          <w:instrText xml:space="preserve"> PAGEREF _Toc236018440 \h </w:instrText>
        </w:r>
        <w:r>
          <w:rPr>
            <w:noProof/>
            <w:webHidden/>
          </w:rPr>
        </w:r>
        <w:r>
          <w:rPr>
            <w:noProof/>
            <w:webHidden/>
          </w:rPr>
          <w:fldChar w:fldCharType="separate"/>
        </w:r>
        <w:r>
          <w:rPr>
            <w:noProof/>
            <w:webHidden/>
          </w:rPr>
          <w:t>23</w:t>
        </w:r>
        <w:r>
          <w:rPr>
            <w:noProof/>
            <w:webHidden/>
          </w:rPr>
          <w:fldChar w:fldCharType="end"/>
        </w:r>
      </w:hyperlink>
    </w:p>
    <w:p w14:paraId="793BE74A" w14:textId="2F1D02D1" w:rsidR="005F15B8" w:rsidRDefault="005F15B8">
      <w:pPr>
        <w:pStyle w:val="TOC2"/>
        <w:rPr>
          <w:rFonts w:asciiTheme="minorHAnsi" w:eastAsiaTheme="minorEastAsia" w:hAnsiTheme="minorHAnsi"/>
          <w:noProof/>
          <w:color w:val="auto"/>
          <w:sz w:val="24"/>
        </w:rPr>
      </w:pPr>
      <w:hyperlink w:anchor="_Toc236018441" w:history="1">
        <w:r w:rsidRPr="00494EFD">
          <w:rPr>
            <w:rStyle w:val="Hyperlink"/>
            <w:noProof/>
          </w:rPr>
          <w:t>Article 31: The Common Benefit Fund</w:t>
        </w:r>
        <w:r>
          <w:rPr>
            <w:noProof/>
            <w:webHidden/>
          </w:rPr>
          <w:tab/>
        </w:r>
        <w:r>
          <w:rPr>
            <w:noProof/>
            <w:webHidden/>
          </w:rPr>
          <w:fldChar w:fldCharType="begin"/>
        </w:r>
        <w:r>
          <w:rPr>
            <w:noProof/>
            <w:webHidden/>
          </w:rPr>
          <w:instrText xml:space="preserve"> PAGEREF _Toc236018441 \h </w:instrText>
        </w:r>
        <w:r>
          <w:rPr>
            <w:noProof/>
            <w:webHidden/>
          </w:rPr>
        </w:r>
        <w:r>
          <w:rPr>
            <w:noProof/>
            <w:webHidden/>
          </w:rPr>
          <w:fldChar w:fldCharType="separate"/>
        </w:r>
        <w:r>
          <w:rPr>
            <w:noProof/>
            <w:webHidden/>
          </w:rPr>
          <w:t>24</w:t>
        </w:r>
        <w:r>
          <w:rPr>
            <w:noProof/>
            <w:webHidden/>
          </w:rPr>
          <w:fldChar w:fldCharType="end"/>
        </w:r>
      </w:hyperlink>
    </w:p>
    <w:p w14:paraId="0A24FCC5" w14:textId="6BFE42B9" w:rsidR="005F15B8" w:rsidRDefault="005F15B8">
      <w:pPr>
        <w:pStyle w:val="TOC2"/>
        <w:rPr>
          <w:rFonts w:asciiTheme="minorHAnsi" w:eastAsiaTheme="minorEastAsia" w:hAnsiTheme="minorHAnsi"/>
          <w:noProof/>
          <w:color w:val="auto"/>
          <w:sz w:val="24"/>
        </w:rPr>
      </w:pPr>
      <w:hyperlink w:anchor="_Toc236018442" w:history="1">
        <w:r w:rsidRPr="00494EFD">
          <w:rPr>
            <w:rStyle w:val="Hyperlink"/>
            <w:noProof/>
          </w:rPr>
          <w:t>Article 32: The Maritime Livelihoods Facility</w:t>
        </w:r>
        <w:r>
          <w:rPr>
            <w:noProof/>
            <w:webHidden/>
          </w:rPr>
          <w:tab/>
        </w:r>
        <w:r>
          <w:rPr>
            <w:noProof/>
            <w:webHidden/>
          </w:rPr>
          <w:fldChar w:fldCharType="begin"/>
        </w:r>
        <w:r>
          <w:rPr>
            <w:noProof/>
            <w:webHidden/>
          </w:rPr>
          <w:instrText xml:space="preserve"> PAGEREF _Toc236018442 \h </w:instrText>
        </w:r>
        <w:r>
          <w:rPr>
            <w:noProof/>
            <w:webHidden/>
          </w:rPr>
        </w:r>
        <w:r>
          <w:rPr>
            <w:noProof/>
            <w:webHidden/>
          </w:rPr>
          <w:fldChar w:fldCharType="separate"/>
        </w:r>
        <w:r>
          <w:rPr>
            <w:noProof/>
            <w:webHidden/>
          </w:rPr>
          <w:t>24</w:t>
        </w:r>
        <w:r>
          <w:rPr>
            <w:noProof/>
            <w:webHidden/>
          </w:rPr>
          <w:fldChar w:fldCharType="end"/>
        </w:r>
      </w:hyperlink>
    </w:p>
    <w:p w14:paraId="4801C0D9" w14:textId="3F8C4500" w:rsidR="005F15B8" w:rsidRDefault="005F15B8">
      <w:pPr>
        <w:pStyle w:val="TOC2"/>
        <w:rPr>
          <w:rFonts w:asciiTheme="minorHAnsi" w:eastAsiaTheme="minorEastAsia" w:hAnsiTheme="minorHAnsi"/>
          <w:noProof/>
          <w:color w:val="auto"/>
          <w:sz w:val="24"/>
        </w:rPr>
      </w:pPr>
      <w:hyperlink w:anchor="_Toc236018443" w:history="1">
        <w:r w:rsidRPr="00494EFD">
          <w:rPr>
            <w:rStyle w:val="Hyperlink"/>
            <w:noProof/>
          </w:rPr>
          <w:t>Article 33: Compliance Credit Exchange</w:t>
        </w:r>
        <w:r>
          <w:rPr>
            <w:noProof/>
            <w:webHidden/>
          </w:rPr>
          <w:tab/>
        </w:r>
        <w:r>
          <w:rPr>
            <w:noProof/>
            <w:webHidden/>
          </w:rPr>
          <w:fldChar w:fldCharType="begin"/>
        </w:r>
        <w:r>
          <w:rPr>
            <w:noProof/>
            <w:webHidden/>
          </w:rPr>
          <w:instrText xml:space="preserve"> PAGEREF _Toc236018443 \h </w:instrText>
        </w:r>
        <w:r>
          <w:rPr>
            <w:noProof/>
            <w:webHidden/>
          </w:rPr>
        </w:r>
        <w:r>
          <w:rPr>
            <w:noProof/>
            <w:webHidden/>
          </w:rPr>
          <w:fldChar w:fldCharType="separate"/>
        </w:r>
        <w:r>
          <w:rPr>
            <w:noProof/>
            <w:webHidden/>
          </w:rPr>
          <w:t>24</w:t>
        </w:r>
        <w:r>
          <w:rPr>
            <w:noProof/>
            <w:webHidden/>
          </w:rPr>
          <w:fldChar w:fldCharType="end"/>
        </w:r>
      </w:hyperlink>
    </w:p>
    <w:p w14:paraId="06500FEA" w14:textId="46E1A31D" w:rsidR="005F15B8" w:rsidRDefault="005F15B8">
      <w:pPr>
        <w:pStyle w:val="TOC2"/>
        <w:rPr>
          <w:rFonts w:asciiTheme="minorHAnsi" w:eastAsiaTheme="minorEastAsia" w:hAnsiTheme="minorHAnsi"/>
          <w:noProof/>
          <w:color w:val="auto"/>
          <w:sz w:val="24"/>
        </w:rPr>
      </w:pPr>
      <w:hyperlink w:anchor="_Toc236018444" w:history="1">
        <w:r w:rsidRPr="00494EFD">
          <w:rPr>
            <w:rStyle w:val="Hyperlink"/>
            <w:noProof/>
          </w:rPr>
          <w:t>Article 34: Quiet Window Certification, Cooperative Conversion, and the Data Dividend</w:t>
        </w:r>
        <w:r>
          <w:rPr>
            <w:noProof/>
            <w:webHidden/>
          </w:rPr>
          <w:tab/>
        </w:r>
        <w:r>
          <w:rPr>
            <w:noProof/>
            <w:webHidden/>
          </w:rPr>
          <w:fldChar w:fldCharType="begin"/>
        </w:r>
        <w:r>
          <w:rPr>
            <w:noProof/>
            <w:webHidden/>
          </w:rPr>
          <w:instrText xml:space="preserve"> PAGEREF _Toc236018444 \h </w:instrText>
        </w:r>
        <w:r>
          <w:rPr>
            <w:noProof/>
            <w:webHidden/>
          </w:rPr>
        </w:r>
        <w:r>
          <w:rPr>
            <w:noProof/>
            <w:webHidden/>
          </w:rPr>
          <w:fldChar w:fldCharType="separate"/>
        </w:r>
        <w:r>
          <w:rPr>
            <w:noProof/>
            <w:webHidden/>
          </w:rPr>
          <w:t>25</w:t>
        </w:r>
        <w:r>
          <w:rPr>
            <w:noProof/>
            <w:webHidden/>
          </w:rPr>
          <w:fldChar w:fldCharType="end"/>
        </w:r>
      </w:hyperlink>
    </w:p>
    <w:p w14:paraId="487F37A2" w14:textId="5612DE63" w:rsidR="005F15B8" w:rsidRDefault="005F15B8">
      <w:pPr>
        <w:pStyle w:val="TOC1"/>
        <w:rPr>
          <w:rFonts w:asciiTheme="minorHAnsi" w:eastAsiaTheme="minorEastAsia" w:hAnsiTheme="minorHAnsi"/>
          <w:b w:val="0"/>
          <w:noProof/>
          <w:color w:val="auto"/>
          <w:sz w:val="24"/>
        </w:rPr>
      </w:pPr>
      <w:hyperlink w:anchor="_Toc236018445" w:history="1">
        <w:r w:rsidRPr="00494EFD">
          <w:rPr>
            <w:rStyle w:val="Hyperlink"/>
            <w:noProof/>
          </w:rPr>
          <w:t>Part XI: Dispute Resolution, Amendment, and Continuity</w:t>
        </w:r>
        <w:r>
          <w:rPr>
            <w:noProof/>
            <w:webHidden/>
          </w:rPr>
          <w:tab/>
        </w:r>
        <w:r>
          <w:rPr>
            <w:noProof/>
            <w:webHidden/>
          </w:rPr>
          <w:fldChar w:fldCharType="begin"/>
        </w:r>
        <w:r>
          <w:rPr>
            <w:noProof/>
            <w:webHidden/>
          </w:rPr>
          <w:instrText xml:space="preserve"> PAGEREF _Toc236018445 \h </w:instrText>
        </w:r>
        <w:r>
          <w:rPr>
            <w:noProof/>
            <w:webHidden/>
          </w:rPr>
        </w:r>
        <w:r>
          <w:rPr>
            <w:noProof/>
            <w:webHidden/>
          </w:rPr>
          <w:fldChar w:fldCharType="separate"/>
        </w:r>
        <w:r>
          <w:rPr>
            <w:noProof/>
            <w:webHidden/>
          </w:rPr>
          <w:t>26</w:t>
        </w:r>
        <w:r>
          <w:rPr>
            <w:noProof/>
            <w:webHidden/>
          </w:rPr>
          <w:fldChar w:fldCharType="end"/>
        </w:r>
      </w:hyperlink>
    </w:p>
    <w:p w14:paraId="53862176" w14:textId="3654C137" w:rsidR="005F15B8" w:rsidRDefault="005F15B8">
      <w:pPr>
        <w:pStyle w:val="TOC2"/>
        <w:rPr>
          <w:rFonts w:asciiTheme="minorHAnsi" w:eastAsiaTheme="minorEastAsia" w:hAnsiTheme="minorHAnsi"/>
          <w:noProof/>
          <w:color w:val="auto"/>
          <w:sz w:val="24"/>
        </w:rPr>
      </w:pPr>
      <w:hyperlink w:anchor="_Toc236018446" w:history="1">
        <w:r w:rsidRPr="00494EFD">
          <w:rPr>
            <w:rStyle w:val="Hyperlink"/>
            <w:noProof/>
          </w:rPr>
          <w:t>Article 35: Tiered Dispute Resolution</w:t>
        </w:r>
        <w:r>
          <w:rPr>
            <w:noProof/>
            <w:webHidden/>
          </w:rPr>
          <w:tab/>
        </w:r>
        <w:r>
          <w:rPr>
            <w:noProof/>
            <w:webHidden/>
          </w:rPr>
          <w:fldChar w:fldCharType="begin"/>
        </w:r>
        <w:r>
          <w:rPr>
            <w:noProof/>
            <w:webHidden/>
          </w:rPr>
          <w:instrText xml:space="preserve"> PAGEREF _Toc236018446 \h </w:instrText>
        </w:r>
        <w:r>
          <w:rPr>
            <w:noProof/>
            <w:webHidden/>
          </w:rPr>
        </w:r>
        <w:r>
          <w:rPr>
            <w:noProof/>
            <w:webHidden/>
          </w:rPr>
          <w:fldChar w:fldCharType="separate"/>
        </w:r>
        <w:r>
          <w:rPr>
            <w:noProof/>
            <w:webHidden/>
          </w:rPr>
          <w:t>26</w:t>
        </w:r>
        <w:r>
          <w:rPr>
            <w:noProof/>
            <w:webHidden/>
          </w:rPr>
          <w:fldChar w:fldCharType="end"/>
        </w:r>
      </w:hyperlink>
    </w:p>
    <w:p w14:paraId="5BBE7D03" w14:textId="4A23522C" w:rsidR="005F15B8" w:rsidRDefault="005F15B8">
      <w:pPr>
        <w:pStyle w:val="TOC2"/>
        <w:rPr>
          <w:rFonts w:asciiTheme="minorHAnsi" w:eastAsiaTheme="minorEastAsia" w:hAnsiTheme="minorHAnsi"/>
          <w:noProof/>
          <w:color w:val="auto"/>
          <w:sz w:val="24"/>
        </w:rPr>
      </w:pPr>
      <w:hyperlink w:anchor="_Toc236018447" w:history="1">
        <w:r w:rsidRPr="00494EFD">
          <w:rPr>
            <w:rStyle w:val="Hyperlink"/>
            <w:noProof/>
          </w:rPr>
          <w:t>Article 36: Amendment, Withdrawal, Succession, and Continuity</w:t>
        </w:r>
        <w:r>
          <w:rPr>
            <w:noProof/>
            <w:webHidden/>
          </w:rPr>
          <w:tab/>
        </w:r>
        <w:r>
          <w:rPr>
            <w:noProof/>
            <w:webHidden/>
          </w:rPr>
          <w:fldChar w:fldCharType="begin"/>
        </w:r>
        <w:r>
          <w:rPr>
            <w:noProof/>
            <w:webHidden/>
          </w:rPr>
          <w:instrText xml:space="preserve"> PAGEREF _Toc236018447 \h </w:instrText>
        </w:r>
        <w:r>
          <w:rPr>
            <w:noProof/>
            <w:webHidden/>
          </w:rPr>
        </w:r>
        <w:r>
          <w:rPr>
            <w:noProof/>
            <w:webHidden/>
          </w:rPr>
          <w:fldChar w:fldCharType="separate"/>
        </w:r>
        <w:r>
          <w:rPr>
            <w:noProof/>
            <w:webHidden/>
          </w:rPr>
          <w:t>26</w:t>
        </w:r>
        <w:r>
          <w:rPr>
            <w:noProof/>
            <w:webHidden/>
          </w:rPr>
          <w:fldChar w:fldCharType="end"/>
        </w:r>
      </w:hyperlink>
    </w:p>
    <w:p w14:paraId="35CED16E" w14:textId="4BAF5AAB" w:rsidR="005F15B8" w:rsidRDefault="005F15B8">
      <w:pPr>
        <w:pStyle w:val="TOC1"/>
        <w:rPr>
          <w:rFonts w:asciiTheme="minorHAnsi" w:eastAsiaTheme="minorEastAsia" w:hAnsiTheme="minorHAnsi"/>
          <w:b w:val="0"/>
          <w:noProof/>
          <w:color w:val="auto"/>
          <w:sz w:val="24"/>
        </w:rPr>
      </w:pPr>
      <w:hyperlink w:anchor="_Toc236018448" w:history="1">
        <w:r w:rsidRPr="00494EFD">
          <w:rPr>
            <w:rStyle w:val="Hyperlink"/>
            <w:noProof/>
          </w:rPr>
          <w:t>Part XII: Final Provisions</w:t>
        </w:r>
        <w:r>
          <w:rPr>
            <w:noProof/>
            <w:webHidden/>
          </w:rPr>
          <w:tab/>
        </w:r>
        <w:r>
          <w:rPr>
            <w:noProof/>
            <w:webHidden/>
          </w:rPr>
          <w:fldChar w:fldCharType="begin"/>
        </w:r>
        <w:r>
          <w:rPr>
            <w:noProof/>
            <w:webHidden/>
          </w:rPr>
          <w:instrText xml:space="preserve"> PAGEREF _Toc236018448 \h </w:instrText>
        </w:r>
        <w:r>
          <w:rPr>
            <w:noProof/>
            <w:webHidden/>
          </w:rPr>
        </w:r>
        <w:r>
          <w:rPr>
            <w:noProof/>
            <w:webHidden/>
          </w:rPr>
          <w:fldChar w:fldCharType="separate"/>
        </w:r>
        <w:r>
          <w:rPr>
            <w:noProof/>
            <w:webHidden/>
          </w:rPr>
          <w:t>26</w:t>
        </w:r>
        <w:r>
          <w:rPr>
            <w:noProof/>
            <w:webHidden/>
          </w:rPr>
          <w:fldChar w:fldCharType="end"/>
        </w:r>
      </w:hyperlink>
    </w:p>
    <w:p w14:paraId="5A452DAB" w14:textId="36F38606" w:rsidR="005F15B8" w:rsidRDefault="005F15B8">
      <w:pPr>
        <w:pStyle w:val="TOC2"/>
        <w:rPr>
          <w:rFonts w:asciiTheme="minorHAnsi" w:eastAsiaTheme="minorEastAsia" w:hAnsiTheme="minorHAnsi"/>
          <w:noProof/>
          <w:color w:val="auto"/>
          <w:sz w:val="24"/>
        </w:rPr>
      </w:pPr>
      <w:hyperlink w:anchor="_Toc236018449" w:history="1">
        <w:r w:rsidRPr="00494EFD">
          <w:rPr>
            <w:rStyle w:val="Hyperlink"/>
            <w:noProof/>
          </w:rPr>
          <w:t>Article 37: Depositary, Linkage, and Entry into Force</w:t>
        </w:r>
        <w:r>
          <w:rPr>
            <w:noProof/>
            <w:webHidden/>
          </w:rPr>
          <w:tab/>
        </w:r>
        <w:r>
          <w:rPr>
            <w:noProof/>
            <w:webHidden/>
          </w:rPr>
          <w:fldChar w:fldCharType="begin"/>
        </w:r>
        <w:r>
          <w:rPr>
            <w:noProof/>
            <w:webHidden/>
          </w:rPr>
          <w:instrText xml:space="preserve"> PAGEREF _Toc236018449 \h </w:instrText>
        </w:r>
        <w:r>
          <w:rPr>
            <w:noProof/>
            <w:webHidden/>
          </w:rPr>
        </w:r>
        <w:r>
          <w:rPr>
            <w:noProof/>
            <w:webHidden/>
          </w:rPr>
          <w:fldChar w:fldCharType="separate"/>
        </w:r>
        <w:r>
          <w:rPr>
            <w:noProof/>
            <w:webHidden/>
          </w:rPr>
          <w:t>26</w:t>
        </w:r>
        <w:r>
          <w:rPr>
            <w:noProof/>
            <w:webHidden/>
          </w:rPr>
          <w:fldChar w:fldCharType="end"/>
        </w:r>
      </w:hyperlink>
    </w:p>
    <w:p w14:paraId="2AF5E89E" w14:textId="5ED1B3FA" w:rsidR="005F15B8" w:rsidRDefault="005F15B8">
      <w:pPr>
        <w:pStyle w:val="TOC1"/>
        <w:rPr>
          <w:rFonts w:asciiTheme="minorHAnsi" w:eastAsiaTheme="minorEastAsia" w:hAnsiTheme="minorHAnsi"/>
          <w:b w:val="0"/>
          <w:noProof/>
          <w:color w:val="auto"/>
          <w:sz w:val="24"/>
        </w:rPr>
      </w:pPr>
      <w:hyperlink w:anchor="_Toc236018450" w:history="1">
        <w:r w:rsidRPr="00494EFD">
          <w:rPr>
            <w:rStyle w:val="Hyperlink"/>
            <w:noProof/>
          </w:rPr>
          <w:t>Annex A: Speed Craft Safety Protocol</w:t>
        </w:r>
        <w:r>
          <w:rPr>
            <w:noProof/>
            <w:webHidden/>
          </w:rPr>
          <w:tab/>
        </w:r>
        <w:r>
          <w:rPr>
            <w:noProof/>
            <w:webHidden/>
          </w:rPr>
          <w:fldChar w:fldCharType="begin"/>
        </w:r>
        <w:r>
          <w:rPr>
            <w:noProof/>
            <w:webHidden/>
          </w:rPr>
          <w:instrText xml:space="preserve"> PAGEREF _Toc236018450 \h </w:instrText>
        </w:r>
        <w:r>
          <w:rPr>
            <w:noProof/>
            <w:webHidden/>
          </w:rPr>
        </w:r>
        <w:r>
          <w:rPr>
            <w:noProof/>
            <w:webHidden/>
          </w:rPr>
          <w:fldChar w:fldCharType="separate"/>
        </w:r>
        <w:r>
          <w:rPr>
            <w:noProof/>
            <w:webHidden/>
          </w:rPr>
          <w:t>27</w:t>
        </w:r>
        <w:r>
          <w:rPr>
            <w:noProof/>
            <w:webHidden/>
          </w:rPr>
          <w:fldChar w:fldCharType="end"/>
        </w:r>
      </w:hyperlink>
    </w:p>
    <w:p w14:paraId="36E9B3AA" w14:textId="44C383F2" w:rsidR="005F15B8" w:rsidRDefault="005F15B8">
      <w:pPr>
        <w:pStyle w:val="TOC2"/>
        <w:rPr>
          <w:rFonts w:asciiTheme="minorHAnsi" w:eastAsiaTheme="minorEastAsia" w:hAnsiTheme="minorHAnsi"/>
          <w:noProof/>
          <w:color w:val="auto"/>
          <w:sz w:val="24"/>
        </w:rPr>
      </w:pPr>
      <w:hyperlink w:anchor="_Toc236018451" w:history="1">
        <w:r w:rsidRPr="00494EFD">
          <w:rPr>
            <w:rStyle w:val="Hyperlink"/>
            <w:noProof/>
          </w:rPr>
          <w:t>A.1 Mission and Non-Interdiction Rule</w:t>
        </w:r>
        <w:r>
          <w:rPr>
            <w:noProof/>
            <w:webHidden/>
          </w:rPr>
          <w:tab/>
        </w:r>
        <w:r>
          <w:rPr>
            <w:noProof/>
            <w:webHidden/>
          </w:rPr>
          <w:fldChar w:fldCharType="begin"/>
        </w:r>
        <w:r>
          <w:rPr>
            <w:noProof/>
            <w:webHidden/>
          </w:rPr>
          <w:instrText xml:space="preserve"> PAGEREF _Toc236018451 \h </w:instrText>
        </w:r>
        <w:r>
          <w:rPr>
            <w:noProof/>
            <w:webHidden/>
          </w:rPr>
        </w:r>
        <w:r>
          <w:rPr>
            <w:noProof/>
            <w:webHidden/>
          </w:rPr>
          <w:fldChar w:fldCharType="separate"/>
        </w:r>
        <w:r>
          <w:rPr>
            <w:noProof/>
            <w:webHidden/>
          </w:rPr>
          <w:t>27</w:t>
        </w:r>
        <w:r>
          <w:rPr>
            <w:noProof/>
            <w:webHidden/>
          </w:rPr>
          <w:fldChar w:fldCharType="end"/>
        </w:r>
      </w:hyperlink>
    </w:p>
    <w:p w14:paraId="3E9E586D" w14:textId="59BE93D1" w:rsidR="005F15B8" w:rsidRDefault="005F15B8">
      <w:pPr>
        <w:pStyle w:val="TOC2"/>
        <w:rPr>
          <w:rFonts w:asciiTheme="minorHAnsi" w:eastAsiaTheme="minorEastAsia" w:hAnsiTheme="minorHAnsi"/>
          <w:noProof/>
          <w:color w:val="auto"/>
          <w:sz w:val="24"/>
        </w:rPr>
      </w:pPr>
      <w:hyperlink w:anchor="_Toc236018452" w:history="1">
        <w:r w:rsidRPr="00494EFD">
          <w:rPr>
            <w:rStyle w:val="Hyperlink"/>
            <w:noProof/>
          </w:rPr>
          <w:t>A.2 Behavioral Norms and Distances</w:t>
        </w:r>
        <w:r>
          <w:rPr>
            <w:noProof/>
            <w:webHidden/>
          </w:rPr>
          <w:tab/>
        </w:r>
        <w:r>
          <w:rPr>
            <w:noProof/>
            <w:webHidden/>
          </w:rPr>
          <w:fldChar w:fldCharType="begin"/>
        </w:r>
        <w:r>
          <w:rPr>
            <w:noProof/>
            <w:webHidden/>
          </w:rPr>
          <w:instrText xml:space="preserve"> PAGEREF _Toc236018452 \h </w:instrText>
        </w:r>
        <w:r>
          <w:rPr>
            <w:noProof/>
            <w:webHidden/>
          </w:rPr>
        </w:r>
        <w:r>
          <w:rPr>
            <w:noProof/>
            <w:webHidden/>
          </w:rPr>
          <w:fldChar w:fldCharType="separate"/>
        </w:r>
        <w:r>
          <w:rPr>
            <w:noProof/>
            <w:webHidden/>
          </w:rPr>
          <w:t>27</w:t>
        </w:r>
        <w:r>
          <w:rPr>
            <w:noProof/>
            <w:webHidden/>
          </w:rPr>
          <w:fldChar w:fldCharType="end"/>
        </w:r>
      </w:hyperlink>
    </w:p>
    <w:p w14:paraId="5BB31501" w14:textId="60F96144" w:rsidR="005F15B8" w:rsidRDefault="005F15B8">
      <w:pPr>
        <w:pStyle w:val="TOC2"/>
        <w:rPr>
          <w:rFonts w:asciiTheme="minorHAnsi" w:eastAsiaTheme="minorEastAsia" w:hAnsiTheme="minorHAnsi"/>
          <w:noProof/>
          <w:color w:val="auto"/>
          <w:sz w:val="24"/>
        </w:rPr>
      </w:pPr>
      <w:hyperlink w:anchor="_Toc236018453" w:history="1">
        <w:r w:rsidRPr="00494EFD">
          <w:rPr>
            <w:rStyle w:val="Hyperlink"/>
            <w:noProof/>
          </w:rPr>
          <w:t>A.3 Lead-Escort Operating Procedure</w:t>
        </w:r>
        <w:r>
          <w:rPr>
            <w:noProof/>
            <w:webHidden/>
          </w:rPr>
          <w:tab/>
        </w:r>
        <w:r>
          <w:rPr>
            <w:noProof/>
            <w:webHidden/>
          </w:rPr>
          <w:fldChar w:fldCharType="begin"/>
        </w:r>
        <w:r>
          <w:rPr>
            <w:noProof/>
            <w:webHidden/>
          </w:rPr>
          <w:instrText xml:space="preserve"> PAGEREF _Toc236018453 \h </w:instrText>
        </w:r>
        <w:r>
          <w:rPr>
            <w:noProof/>
            <w:webHidden/>
          </w:rPr>
        </w:r>
        <w:r>
          <w:rPr>
            <w:noProof/>
            <w:webHidden/>
          </w:rPr>
          <w:fldChar w:fldCharType="separate"/>
        </w:r>
        <w:r>
          <w:rPr>
            <w:noProof/>
            <w:webHidden/>
          </w:rPr>
          <w:t>28</w:t>
        </w:r>
        <w:r>
          <w:rPr>
            <w:noProof/>
            <w:webHidden/>
          </w:rPr>
          <w:fldChar w:fldCharType="end"/>
        </w:r>
      </w:hyperlink>
    </w:p>
    <w:p w14:paraId="0039A52D" w14:textId="01884195" w:rsidR="005F15B8" w:rsidRDefault="005F15B8">
      <w:pPr>
        <w:pStyle w:val="TOC2"/>
        <w:rPr>
          <w:rFonts w:asciiTheme="minorHAnsi" w:eastAsiaTheme="minorEastAsia" w:hAnsiTheme="minorHAnsi"/>
          <w:noProof/>
          <w:color w:val="auto"/>
          <w:sz w:val="24"/>
        </w:rPr>
      </w:pPr>
      <w:hyperlink w:anchor="_Toc236018454" w:history="1">
        <w:r w:rsidRPr="00494EFD">
          <w:rPr>
            <w:rStyle w:val="Hyperlink"/>
            <w:noProof/>
          </w:rPr>
          <w:t>A.4 Multi-Craft and Drone Coordination</w:t>
        </w:r>
        <w:r>
          <w:rPr>
            <w:noProof/>
            <w:webHidden/>
          </w:rPr>
          <w:tab/>
        </w:r>
        <w:r>
          <w:rPr>
            <w:noProof/>
            <w:webHidden/>
          </w:rPr>
          <w:fldChar w:fldCharType="begin"/>
        </w:r>
        <w:r>
          <w:rPr>
            <w:noProof/>
            <w:webHidden/>
          </w:rPr>
          <w:instrText xml:space="preserve"> PAGEREF _Toc236018454 \h </w:instrText>
        </w:r>
        <w:r>
          <w:rPr>
            <w:noProof/>
            <w:webHidden/>
          </w:rPr>
        </w:r>
        <w:r>
          <w:rPr>
            <w:noProof/>
            <w:webHidden/>
          </w:rPr>
          <w:fldChar w:fldCharType="separate"/>
        </w:r>
        <w:r>
          <w:rPr>
            <w:noProof/>
            <w:webHidden/>
          </w:rPr>
          <w:t>28</w:t>
        </w:r>
        <w:r>
          <w:rPr>
            <w:noProof/>
            <w:webHidden/>
          </w:rPr>
          <w:fldChar w:fldCharType="end"/>
        </w:r>
      </w:hyperlink>
    </w:p>
    <w:p w14:paraId="3E8272B5" w14:textId="71C083EE" w:rsidR="005F15B8" w:rsidRDefault="005F15B8">
      <w:pPr>
        <w:pStyle w:val="TOC2"/>
        <w:rPr>
          <w:rFonts w:asciiTheme="minorHAnsi" w:eastAsiaTheme="minorEastAsia" w:hAnsiTheme="minorHAnsi"/>
          <w:noProof/>
          <w:color w:val="auto"/>
          <w:sz w:val="24"/>
        </w:rPr>
      </w:pPr>
      <w:hyperlink w:anchor="_Toc236018455" w:history="1">
        <w:r w:rsidRPr="00494EFD">
          <w:rPr>
            <w:rStyle w:val="Hyperlink"/>
            <w:noProof/>
          </w:rPr>
          <w:t>A.5 Encounter Incident Ladder</w:t>
        </w:r>
        <w:r>
          <w:rPr>
            <w:noProof/>
            <w:webHidden/>
          </w:rPr>
          <w:tab/>
        </w:r>
        <w:r>
          <w:rPr>
            <w:noProof/>
            <w:webHidden/>
          </w:rPr>
          <w:fldChar w:fldCharType="begin"/>
        </w:r>
        <w:r>
          <w:rPr>
            <w:noProof/>
            <w:webHidden/>
          </w:rPr>
          <w:instrText xml:space="preserve"> PAGEREF _Toc236018455 \h </w:instrText>
        </w:r>
        <w:r>
          <w:rPr>
            <w:noProof/>
            <w:webHidden/>
          </w:rPr>
        </w:r>
        <w:r>
          <w:rPr>
            <w:noProof/>
            <w:webHidden/>
          </w:rPr>
          <w:fldChar w:fldCharType="separate"/>
        </w:r>
        <w:r>
          <w:rPr>
            <w:noProof/>
            <w:webHidden/>
          </w:rPr>
          <w:t>29</w:t>
        </w:r>
        <w:r>
          <w:rPr>
            <w:noProof/>
            <w:webHidden/>
          </w:rPr>
          <w:fldChar w:fldCharType="end"/>
        </w:r>
      </w:hyperlink>
    </w:p>
    <w:p w14:paraId="2D776EE9" w14:textId="63CB3E78" w:rsidR="005F15B8" w:rsidRDefault="005F15B8">
      <w:pPr>
        <w:pStyle w:val="TOC1"/>
        <w:rPr>
          <w:rFonts w:asciiTheme="minorHAnsi" w:eastAsiaTheme="minorEastAsia" w:hAnsiTheme="minorHAnsi"/>
          <w:b w:val="0"/>
          <w:noProof/>
          <w:color w:val="auto"/>
          <w:sz w:val="24"/>
        </w:rPr>
      </w:pPr>
      <w:hyperlink w:anchor="_Toc236018456" w:history="1">
        <w:r w:rsidRPr="00494EFD">
          <w:rPr>
            <w:rStyle w:val="Hyperlink"/>
            <w:noProof/>
          </w:rPr>
          <w:t>Annex B: Verification and Compliance Protocol</w:t>
        </w:r>
        <w:r>
          <w:rPr>
            <w:noProof/>
            <w:webHidden/>
          </w:rPr>
          <w:tab/>
        </w:r>
        <w:r>
          <w:rPr>
            <w:noProof/>
            <w:webHidden/>
          </w:rPr>
          <w:fldChar w:fldCharType="begin"/>
        </w:r>
        <w:r>
          <w:rPr>
            <w:noProof/>
            <w:webHidden/>
          </w:rPr>
          <w:instrText xml:space="preserve"> PAGEREF _Toc236018456 \h </w:instrText>
        </w:r>
        <w:r>
          <w:rPr>
            <w:noProof/>
            <w:webHidden/>
          </w:rPr>
        </w:r>
        <w:r>
          <w:rPr>
            <w:noProof/>
            <w:webHidden/>
          </w:rPr>
          <w:fldChar w:fldCharType="separate"/>
        </w:r>
        <w:r>
          <w:rPr>
            <w:noProof/>
            <w:webHidden/>
          </w:rPr>
          <w:t>29</w:t>
        </w:r>
        <w:r>
          <w:rPr>
            <w:noProof/>
            <w:webHidden/>
          </w:rPr>
          <w:fldChar w:fldCharType="end"/>
        </w:r>
      </w:hyperlink>
    </w:p>
    <w:p w14:paraId="59E6AABF" w14:textId="36677F00" w:rsidR="005F15B8" w:rsidRDefault="005F15B8">
      <w:pPr>
        <w:pStyle w:val="TOC2"/>
        <w:rPr>
          <w:rFonts w:asciiTheme="minorHAnsi" w:eastAsiaTheme="minorEastAsia" w:hAnsiTheme="minorHAnsi"/>
          <w:noProof/>
          <w:color w:val="auto"/>
          <w:sz w:val="24"/>
        </w:rPr>
      </w:pPr>
      <w:hyperlink w:anchor="_Toc236018457" w:history="1">
        <w:r w:rsidRPr="00494EFD">
          <w:rPr>
            <w:rStyle w:val="Hyperlink"/>
            <w:noProof/>
          </w:rPr>
          <w:t>B.1 Monitoring Infrastructure</w:t>
        </w:r>
        <w:r>
          <w:rPr>
            <w:noProof/>
            <w:webHidden/>
          </w:rPr>
          <w:tab/>
        </w:r>
        <w:r>
          <w:rPr>
            <w:noProof/>
            <w:webHidden/>
          </w:rPr>
          <w:fldChar w:fldCharType="begin"/>
        </w:r>
        <w:r>
          <w:rPr>
            <w:noProof/>
            <w:webHidden/>
          </w:rPr>
          <w:instrText xml:space="preserve"> PAGEREF _Toc236018457 \h </w:instrText>
        </w:r>
        <w:r>
          <w:rPr>
            <w:noProof/>
            <w:webHidden/>
          </w:rPr>
        </w:r>
        <w:r>
          <w:rPr>
            <w:noProof/>
            <w:webHidden/>
          </w:rPr>
          <w:fldChar w:fldCharType="separate"/>
        </w:r>
        <w:r>
          <w:rPr>
            <w:noProof/>
            <w:webHidden/>
          </w:rPr>
          <w:t>29</w:t>
        </w:r>
        <w:r>
          <w:rPr>
            <w:noProof/>
            <w:webHidden/>
          </w:rPr>
          <w:fldChar w:fldCharType="end"/>
        </w:r>
      </w:hyperlink>
    </w:p>
    <w:p w14:paraId="013153E2" w14:textId="345F0075" w:rsidR="005F15B8" w:rsidRDefault="005F15B8">
      <w:pPr>
        <w:pStyle w:val="TOC2"/>
        <w:rPr>
          <w:rFonts w:asciiTheme="minorHAnsi" w:eastAsiaTheme="minorEastAsia" w:hAnsiTheme="minorHAnsi"/>
          <w:noProof/>
          <w:color w:val="auto"/>
          <w:sz w:val="24"/>
        </w:rPr>
      </w:pPr>
      <w:hyperlink w:anchor="_Toc236018458" w:history="1">
        <w:r w:rsidRPr="00494EFD">
          <w:rPr>
            <w:rStyle w:val="Hyperlink"/>
            <w:noProof/>
          </w:rPr>
          <w:t>B.2 Anomaly Classification</w:t>
        </w:r>
        <w:r>
          <w:rPr>
            <w:noProof/>
            <w:webHidden/>
          </w:rPr>
          <w:tab/>
        </w:r>
        <w:r>
          <w:rPr>
            <w:noProof/>
            <w:webHidden/>
          </w:rPr>
          <w:fldChar w:fldCharType="begin"/>
        </w:r>
        <w:r>
          <w:rPr>
            <w:noProof/>
            <w:webHidden/>
          </w:rPr>
          <w:instrText xml:space="preserve"> PAGEREF _Toc236018458 \h </w:instrText>
        </w:r>
        <w:r>
          <w:rPr>
            <w:noProof/>
            <w:webHidden/>
          </w:rPr>
        </w:r>
        <w:r>
          <w:rPr>
            <w:noProof/>
            <w:webHidden/>
          </w:rPr>
          <w:fldChar w:fldCharType="separate"/>
        </w:r>
        <w:r>
          <w:rPr>
            <w:noProof/>
            <w:webHidden/>
          </w:rPr>
          <w:t>29</w:t>
        </w:r>
        <w:r>
          <w:rPr>
            <w:noProof/>
            <w:webHidden/>
          </w:rPr>
          <w:fldChar w:fldCharType="end"/>
        </w:r>
      </w:hyperlink>
    </w:p>
    <w:p w14:paraId="5C6BA731" w14:textId="360AC0E3" w:rsidR="005F15B8" w:rsidRDefault="005F15B8">
      <w:pPr>
        <w:pStyle w:val="TOC2"/>
        <w:rPr>
          <w:rFonts w:asciiTheme="minorHAnsi" w:eastAsiaTheme="minorEastAsia" w:hAnsiTheme="minorHAnsi"/>
          <w:noProof/>
          <w:color w:val="auto"/>
          <w:sz w:val="24"/>
        </w:rPr>
      </w:pPr>
      <w:hyperlink w:anchor="_Toc236018459" w:history="1">
        <w:r w:rsidRPr="00494EFD">
          <w:rPr>
            <w:rStyle w:val="Hyperlink"/>
            <w:noProof/>
          </w:rPr>
          <w:t>B.3 Randomized Verification Windows</w:t>
        </w:r>
        <w:r>
          <w:rPr>
            <w:noProof/>
            <w:webHidden/>
          </w:rPr>
          <w:tab/>
        </w:r>
        <w:r>
          <w:rPr>
            <w:noProof/>
            <w:webHidden/>
          </w:rPr>
          <w:fldChar w:fldCharType="begin"/>
        </w:r>
        <w:r>
          <w:rPr>
            <w:noProof/>
            <w:webHidden/>
          </w:rPr>
          <w:instrText xml:space="preserve"> PAGEREF _Toc236018459 \h </w:instrText>
        </w:r>
        <w:r>
          <w:rPr>
            <w:noProof/>
            <w:webHidden/>
          </w:rPr>
        </w:r>
        <w:r>
          <w:rPr>
            <w:noProof/>
            <w:webHidden/>
          </w:rPr>
          <w:fldChar w:fldCharType="separate"/>
        </w:r>
        <w:r>
          <w:rPr>
            <w:noProof/>
            <w:webHidden/>
          </w:rPr>
          <w:t>30</w:t>
        </w:r>
        <w:r>
          <w:rPr>
            <w:noProof/>
            <w:webHidden/>
          </w:rPr>
          <w:fldChar w:fldCharType="end"/>
        </w:r>
      </w:hyperlink>
    </w:p>
    <w:p w14:paraId="28F9F572" w14:textId="0DD6ACED" w:rsidR="005F15B8" w:rsidRDefault="005F15B8">
      <w:pPr>
        <w:pStyle w:val="TOC2"/>
        <w:rPr>
          <w:rFonts w:asciiTheme="minorHAnsi" w:eastAsiaTheme="minorEastAsia" w:hAnsiTheme="minorHAnsi"/>
          <w:noProof/>
          <w:color w:val="auto"/>
          <w:sz w:val="24"/>
        </w:rPr>
      </w:pPr>
      <w:hyperlink w:anchor="_Toc236018460" w:history="1">
        <w:r w:rsidRPr="00494EFD">
          <w:rPr>
            <w:rStyle w:val="Hyperlink"/>
            <w:noProof/>
          </w:rPr>
          <w:t>B.4 Challenge and Managed Access</w:t>
        </w:r>
        <w:r>
          <w:rPr>
            <w:noProof/>
            <w:webHidden/>
          </w:rPr>
          <w:tab/>
        </w:r>
        <w:r>
          <w:rPr>
            <w:noProof/>
            <w:webHidden/>
          </w:rPr>
          <w:fldChar w:fldCharType="begin"/>
        </w:r>
        <w:r>
          <w:rPr>
            <w:noProof/>
            <w:webHidden/>
          </w:rPr>
          <w:instrText xml:space="preserve"> PAGEREF _Toc236018460 \h </w:instrText>
        </w:r>
        <w:r>
          <w:rPr>
            <w:noProof/>
            <w:webHidden/>
          </w:rPr>
        </w:r>
        <w:r>
          <w:rPr>
            <w:noProof/>
            <w:webHidden/>
          </w:rPr>
          <w:fldChar w:fldCharType="separate"/>
        </w:r>
        <w:r>
          <w:rPr>
            <w:noProof/>
            <w:webHidden/>
          </w:rPr>
          <w:t>30</w:t>
        </w:r>
        <w:r>
          <w:rPr>
            <w:noProof/>
            <w:webHidden/>
          </w:rPr>
          <w:fldChar w:fldCharType="end"/>
        </w:r>
      </w:hyperlink>
    </w:p>
    <w:p w14:paraId="1849D1E9" w14:textId="52C15B6B" w:rsidR="005F15B8" w:rsidRDefault="005F15B8">
      <w:pPr>
        <w:pStyle w:val="TOC2"/>
        <w:rPr>
          <w:rFonts w:asciiTheme="minorHAnsi" w:eastAsiaTheme="minorEastAsia" w:hAnsiTheme="minorHAnsi"/>
          <w:noProof/>
          <w:color w:val="auto"/>
          <w:sz w:val="24"/>
        </w:rPr>
      </w:pPr>
      <w:hyperlink w:anchor="_Toc236018461" w:history="1">
        <w:r w:rsidRPr="00494EFD">
          <w:rPr>
            <w:rStyle w:val="Hyperlink"/>
            <w:noProof/>
          </w:rPr>
          <w:t>B.5 Certification Gates</w:t>
        </w:r>
        <w:r>
          <w:rPr>
            <w:noProof/>
            <w:webHidden/>
          </w:rPr>
          <w:tab/>
        </w:r>
        <w:r>
          <w:rPr>
            <w:noProof/>
            <w:webHidden/>
          </w:rPr>
          <w:fldChar w:fldCharType="begin"/>
        </w:r>
        <w:r>
          <w:rPr>
            <w:noProof/>
            <w:webHidden/>
          </w:rPr>
          <w:instrText xml:space="preserve"> PAGEREF _Toc236018461 \h </w:instrText>
        </w:r>
        <w:r>
          <w:rPr>
            <w:noProof/>
            <w:webHidden/>
          </w:rPr>
        </w:r>
        <w:r>
          <w:rPr>
            <w:noProof/>
            <w:webHidden/>
          </w:rPr>
          <w:fldChar w:fldCharType="separate"/>
        </w:r>
        <w:r>
          <w:rPr>
            <w:noProof/>
            <w:webHidden/>
          </w:rPr>
          <w:t>30</w:t>
        </w:r>
        <w:r>
          <w:rPr>
            <w:noProof/>
            <w:webHidden/>
          </w:rPr>
          <w:fldChar w:fldCharType="end"/>
        </w:r>
      </w:hyperlink>
    </w:p>
    <w:p w14:paraId="630693A9" w14:textId="5DE99C83" w:rsidR="005F15B8" w:rsidRDefault="005F15B8">
      <w:pPr>
        <w:pStyle w:val="TOC2"/>
        <w:rPr>
          <w:rFonts w:asciiTheme="minorHAnsi" w:eastAsiaTheme="minorEastAsia" w:hAnsiTheme="minorHAnsi"/>
          <w:noProof/>
          <w:color w:val="auto"/>
          <w:sz w:val="24"/>
        </w:rPr>
      </w:pPr>
      <w:hyperlink w:anchor="_Toc236018462" w:history="1">
        <w:r w:rsidRPr="00494EFD">
          <w:rPr>
            <w:rStyle w:val="Hyperlink"/>
            <w:noProof/>
          </w:rPr>
          <w:t>B.6 Severity Scale and Scoring Schedule</w:t>
        </w:r>
        <w:r>
          <w:rPr>
            <w:noProof/>
            <w:webHidden/>
          </w:rPr>
          <w:tab/>
        </w:r>
        <w:r>
          <w:rPr>
            <w:noProof/>
            <w:webHidden/>
          </w:rPr>
          <w:fldChar w:fldCharType="begin"/>
        </w:r>
        <w:r>
          <w:rPr>
            <w:noProof/>
            <w:webHidden/>
          </w:rPr>
          <w:instrText xml:space="preserve"> PAGEREF _Toc236018462 \h </w:instrText>
        </w:r>
        <w:r>
          <w:rPr>
            <w:noProof/>
            <w:webHidden/>
          </w:rPr>
        </w:r>
        <w:r>
          <w:rPr>
            <w:noProof/>
            <w:webHidden/>
          </w:rPr>
          <w:fldChar w:fldCharType="separate"/>
        </w:r>
        <w:r>
          <w:rPr>
            <w:noProof/>
            <w:webHidden/>
          </w:rPr>
          <w:t>30</w:t>
        </w:r>
        <w:r>
          <w:rPr>
            <w:noProof/>
            <w:webHidden/>
          </w:rPr>
          <w:fldChar w:fldCharType="end"/>
        </w:r>
      </w:hyperlink>
    </w:p>
    <w:p w14:paraId="0E5BA732" w14:textId="616A3121" w:rsidR="005F15B8" w:rsidRDefault="005F15B8">
      <w:pPr>
        <w:pStyle w:val="TOC2"/>
        <w:rPr>
          <w:rFonts w:asciiTheme="minorHAnsi" w:eastAsiaTheme="minorEastAsia" w:hAnsiTheme="minorHAnsi"/>
          <w:noProof/>
          <w:color w:val="auto"/>
          <w:sz w:val="24"/>
        </w:rPr>
      </w:pPr>
      <w:hyperlink w:anchor="_Toc236018463" w:history="1">
        <w:r w:rsidRPr="00494EFD">
          <w:rPr>
            <w:rStyle w:val="Hyperlink"/>
            <w:noProof/>
          </w:rPr>
          <w:t>B.7 Data Sovereignty, Whistleblower Channel, and False Reports</w:t>
        </w:r>
        <w:r>
          <w:rPr>
            <w:noProof/>
            <w:webHidden/>
          </w:rPr>
          <w:tab/>
        </w:r>
        <w:r>
          <w:rPr>
            <w:noProof/>
            <w:webHidden/>
          </w:rPr>
          <w:fldChar w:fldCharType="begin"/>
        </w:r>
        <w:r>
          <w:rPr>
            <w:noProof/>
            <w:webHidden/>
          </w:rPr>
          <w:instrText xml:space="preserve"> PAGEREF _Toc236018463 \h </w:instrText>
        </w:r>
        <w:r>
          <w:rPr>
            <w:noProof/>
            <w:webHidden/>
          </w:rPr>
        </w:r>
        <w:r>
          <w:rPr>
            <w:noProof/>
            <w:webHidden/>
          </w:rPr>
          <w:fldChar w:fldCharType="separate"/>
        </w:r>
        <w:r>
          <w:rPr>
            <w:noProof/>
            <w:webHidden/>
          </w:rPr>
          <w:t>31</w:t>
        </w:r>
        <w:r>
          <w:rPr>
            <w:noProof/>
            <w:webHidden/>
          </w:rPr>
          <w:fldChar w:fldCharType="end"/>
        </w:r>
      </w:hyperlink>
    </w:p>
    <w:p w14:paraId="6D29D2BF" w14:textId="0AAE1C83" w:rsidR="005F15B8" w:rsidRDefault="005F15B8">
      <w:pPr>
        <w:pStyle w:val="TOC1"/>
        <w:rPr>
          <w:rFonts w:asciiTheme="minorHAnsi" w:eastAsiaTheme="minorEastAsia" w:hAnsiTheme="minorHAnsi"/>
          <w:b w:val="0"/>
          <w:noProof/>
          <w:color w:val="auto"/>
          <w:sz w:val="24"/>
        </w:rPr>
      </w:pPr>
      <w:hyperlink w:anchor="_Toc236018464" w:history="1">
        <w:r w:rsidRPr="00494EFD">
          <w:rPr>
            <w:rStyle w:val="Hyperlink"/>
            <w:noProof/>
          </w:rPr>
          <w:t>Annex C: Governance and Participation Schedule</w:t>
        </w:r>
        <w:r>
          <w:rPr>
            <w:noProof/>
            <w:webHidden/>
          </w:rPr>
          <w:tab/>
        </w:r>
        <w:r>
          <w:rPr>
            <w:noProof/>
            <w:webHidden/>
          </w:rPr>
          <w:fldChar w:fldCharType="begin"/>
        </w:r>
        <w:r>
          <w:rPr>
            <w:noProof/>
            <w:webHidden/>
          </w:rPr>
          <w:instrText xml:space="preserve"> PAGEREF _Toc236018464 \h </w:instrText>
        </w:r>
        <w:r>
          <w:rPr>
            <w:noProof/>
            <w:webHidden/>
          </w:rPr>
        </w:r>
        <w:r>
          <w:rPr>
            <w:noProof/>
            <w:webHidden/>
          </w:rPr>
          <w:fldChar w:fldCharType="separate"/>
        </w:r>
        <w:r>
          <w:rPr>
            <w:noProof/>
            <w:webHidden/>
          </w:rPr>
          <w:t>31</w:t>
        </w:r>
        <w:r>
          <w:rPr>
            <w:noProof/>
            <w:webHidden/>
          </w:rPr>
          <w:fldChar w:fldCharType="end"/>
        </w:r>
      </w:hyperlink>
    </w:p>
    <w:p w14:paraId="7886E251" w14:textId="1592666B" w:rsidR="005F15B8" w:rsidRDefault="005F15B8">
      <w:pPr>
        <w:pStyle w:val="TOC2"/>
        <w:rPr>
          <w:rFonts w:asciiTheme="minorHAnsi" w:eastAsiaTheme="minorEastAsia" w:hAnsiTheme="minorHAnsi"/>
          <w:noProof/>
          <w:color w:val="auto"/>
          <w:sz w:val="24"/>
        </w:rPr>
      </w:pPr>
      <w:hyperlink w:anchor="_Toc236018465" w:history="1">
        <w:r w:rsidRPr="00494EFD">
          <w:rPr>
            <w:rStyle w:val="Hyperlink"/>
            <w:noProof/>
          </w:rPr>
          <w:t>C.1 Bodies, Seats, and Staffing</w:t>
        </w:r>
        <w:r>
          <w:rPr>
            <w:noProof/>
            <w:webHidden/>
          </w:rPr>
          <w:tab/>
        </w:r>
        <w:r>
          <w:rPr>
            <w:noProof/>
            <w:webHidden/>
          </w:rPr>
          <w:fldChar w:fldCharType="begin"/>
        </w:r>
        <w:r>
          <w:rPr>
            <w:noProof/>
            <w:webHidden/>
          </w:rPr>
          <w:instrText xml:space="preserve"> PAGEREF _Toc236018465 \h </w:instrText>
        </w:r>
        <w:r>
          <w:rPr>
            <w:noProof/>
            <w:webHidden/>
          </w:rPr>
        </w:r>
        <w:r>
          <w:rPr>
            <w:noProof/>
            <w:webHidden/>
          </w:rPr>
          <w:fldChar w:fldCharType="separate"/>
        </w:r>
        <w:r>
          <w:rPr>
            <w:noProof/>
            <w:webHidden/>
          </w:rPr>
          <w:t>31</w:t>
        </w:r>
        <w:r>
          <w:rPr>
            <w:noProof/>
            <w:webHidden/>
          </w:rPr>
          <w:fldChar w:fldCharType="end"/>
        </w:r>
      </w:hyperlink>
    </w:p>
    <w:p w14:paraId="69A54438" w14:textId="57C988F8" w:rsidR="005F15B8" w:rsidRDefault="005F15B8">
      <w:pPr>
        <w:pStyle w:val="TOC2"/>
        <w:rPr>
          <w:rFonts w:asciiTheme="minorHAnsi" w:eastAsiaTheme="minorEastAsia" w:hAnsiTheme="minorHAnsi"/>
          <w:noProof/>
          <w:color w:val="auto"/>
          <w:sz w:val="24"/>
        </w:rPr>
      </w:pPr>
      <w:hyperlink w:anchor="_Toc236018466" w:history="1">
        <w:r w:rsidRPr="00494EFD">
          <w:rPr>
            <w:rStyle w:val="Hyperlink"/>
            <w:noProof/>
          </w:rPr>
          <w:t>C.2 Decision Rules</w:t>
        </w:r>
        <w:r>
          <w:rPr>
            <w:noProof/>
            <w:webHidden/>
          </w:rPr>
          <w:tab/>
        </w:r>
        <w:r>
          <w:rPr>
            <w:noProof/>
            <w:webHidden/>
          </w:rPr>
          <w:fldChar w:fldCharType="begin"/>
        </w:r>
        <w:r>
          <w:rPr>
            <w:noProof/>
            <w:webHidden/>
          </w:rPr>
          <w:instrText xml:space="preserve"> PAGEREF _Toc236018466 \h </w:instrText>
        </w:r>
        <w:r>
          <w:rPr>
            <w:noProof/>
            <w:webHidden/>
          </w:rPr>
        </w:r>
        <w:r>
          <w:rPr>
            <w:noProof/>
            <w:webHidden/>
          </w:rPr>
          <w:fldChar w:fldCharType="separate"/>
        </w:r>
        <w:r>
          <w:rPr>
            <w:noProof/>
            <w:webHidden/>
          </w:rPr>
          <w:t>31</w:t>
        </w:r>
        <w:r>
          <w:rPr>
            <w:noProof/>
            <w:webHidden/>
          </w:rPr>
          <w:fldChar w:fldCharType="end"/>
        </w:r>
      </w:hyperlink>
    </w:p>
    <w:p w14:paraId="04370FDC" w14:textId="182F38F7" w:rsidR="005F15B8" w:rsidRDefault="005F15B8">
      <w:pPr>
        <w:pStyle w:val="TOC2"/>
        <w:rPr>
          <w:rFonts w:asciiTheme="minorHAnsi" w:eastAsiaTheme="minorEastAsia" w:hAnsiTheme="minorHAnsi"/>
          <w:noProof/>
          <w:color w:val="auto"/>
          <w:sz w:val="24"/>
        </w:rPr>
      </w:pPr>
      <w:hyperlink w:anchor="_Toc236018467" w:history="1">
        <w:r w:rsidRPr="00494EFD">
          <w:rPr>
            <w:rStyle w:val="Hyperlink"/>
            <w:noProof/>
          </w:rPr>
          <w:t>C.3 Budget and Cost Allocation</w:t>
        </w:r>
        <w:r>
          <w:rPr>
            <w:noProof/>
            <w:webHidden/>
          </w:rPr>
          <w:tab/>
        </w:r>
        <w:r>
          <w:rPr>
            <w:noProof/>
            <w:webHidden/>
          </w:rPr>
          <w:fldChar w:fldCharType="begin"/>
        </w:r>
        <w:r>
          <w:rPr>
            <w:noProof/>
            <w:webHidden/>
          </w:rPr>
          <w:instrText xml:space="preserve"> PAGEREF _Toc236018467 \h </w:instrText>
        </w:r>
        <w:r>
          <w:rPr>
            <w:noProof/>
            <w:webHidden/>
          </w:rPr>
        </w:r>
        <w:r>
          <w:rPr>
            <w:noProof/>
            <w:webHidden/>
          </w:rPr>
          <w:fldChar w:fldCharType="separate"/>
        </w:r>
        <w:r>
          <w:rPr>
            <w:noProof/>
            <w:webHidden/>
          </w:rPr>
          <w:t>32</w:t>
        </w:r>
        <w:r>
          <w:rPr>
            <w:noProof/>
            <w:webHidden/>
          </w:rPr>
          <w:fldChar w:fldCharType="end"/>
        </w:r>
      </w:hyperlink>
    </w:p>
    <w:p w14:paraId="4F681388" w14:textId="7E23BCA6" w:rsidR="005F15B8" w:rsidRDefault="005F15B8">
      <w:pPr>
        <w:pStyle w:val="TOC2"/>
        <w:rPr>
          <w:rFonts w:asciiTheme="minorHAnsi" w:eastAsiaTheme="minorEastAsia" w:hAnsiTheme="minorHAnsi"/>
          <w:noProof/>
          <w:color w:val="auto"/>
          <w:sz w:val="24"/>
        </w:rPr>
      </w:pPr>
      <w:hyperlink w:anchor="_Toc236018468" w:history="1">
        <w:r w:rsidRPr="00494EFD">
          <w:rPr>
            <w:rStyle w:val="Hyperlink"/>
            <w:noProof/>
          </w:rPr>
          <w:t>C.4 Participation Matrix</w:t>
        </w:r>
        <w:r>
          <w:rPr>
            <w:noProof/>
            <w:webHidden/>
          </w:rPr>
          <w:tab/>
        </w:r>
        <w:r>
          <w:rPr>
            <w:noProof/>
            <w:webHidden/>
          </w:rPr>
          <w:fldChar w:fldCharType="begin"/>
        </w:r>
        <w:r>
          <w:rPr>
            <w:noProof/>
            <w:webHidden/>
          </w:rPr>
          <w:instrText xml:space="preserve"> PAGEREF _Toc236018468 \h </w:instrText>
        </w:r>
        <w:r>
          <w:rPr>
            <w:noProof/>
            <w:webHidden/>
          </w:rPr>
        </w:r>
        <w:r>
          <w:rPr>
            <w:noProof/>
            <w:webHidden/>
          </w:rPr>
          <w:fldChar w:fldCharType="separate"/>
        </w:r>
        <w:r>
          <w:rPr>
            <w:noProof/>
            <w:webHidden/>
          </w:rPr>
          <w:t>32</w:t>
        </w:r>
        <w:r>
          <w:rPr>
            <w:noProof/>
            <w:webHidden/>
          </w:rPr>
          <w:fldChar w:fldCharType="end"/>
        </w:r>
      </w:hyperlink>
    </w:p>
    <w:p w14:paraId="66C2337A" w14:textId="448AA52B" w:rsidR="005F15B8" w:rsidRDefault="005F15B8">
      <w:pPr>
        <w:pStyle w:val="TOC2"/>
        <w:rPr>
          <w:rFonts w:asciiTheme="minorHAnsi" w:eastAsiaTheme="minorEastAsia" w:hAnsiTheme="minorHAnsi"/>
          <w:noProof/>
          <w:color w:val="auto"/>
          <w:sz w:val="24"/>
        </w:rPr>
      </w:pPr>
      <w:hyperlink w:anchor="_Toc236018469" w:history="1">
        <w:r w:rsidRPr="00494EFD">
          <w:rPr>
            <w:rStyle w:val="Hyperlink"/>
            <w:noProof/>
          </w:rPr>
          <w:t>C.5 Accession Sequence</w:t>
        </w:r>
        <w:r>
          <w:rPr>
            <w:noProof/>
            <w:webHidden/>
          </w:rPr>
          <w:tab/>
        </w:r>
        <w:r>
          <w:rPr>
            <w:noProof/>
            <w:webHidden/>
          </w:rPr>
          <w:fldChar w:fldCharType="begin"/>
        </w:r>
        <w:r>
          <w:rPr>
            <w:noProof/>
            <w:webHidden/>
          </w:rPr>
          <w:instrText xml:space="preserve"> PAGEREF _Toc236018469 \h </w:instrText>
        </w:r>
        <w:r>
          <w:rPr>
            <w:noProof/>
            <w:webHidden/>
          </w:rPr>
        </w:r>
        <w:r>
          <w:rPr>
            <w:noProof/>
            <w:webHidden/>
          </w:rPr>
          <w:fldChar w:fldCharType="separate"/>
        </w:r>
        <w:r>
          <w:rPr>
            <w:noProof/>
            <w:webHidden/>
          </w:rPr>
          <w:t>32</w:t>
        </w:r>
        <w:r>
          <w:rPr>
            <w:noProof/>
            <w:webHidden/>
          </w:rPr>
          <w:fldChar w:fldCharType="end"/>
        </w:r>
      </w:hyperlink>
    </w:p>
    <w:p w14:paraId="433DBED0" w14:textId="1390C7D4" w:rsidR="005F15B8" w:rsidRDefault="005F15B8">
      <w:pPr>
        <w:pStyle w:val="TOC1"/>
        <w:rPr>
          <w:rFonts w:asciiTheme="minorHAnsi" w:eastAsiaTheme="minorEastAsia" w:hAnsiTheme="minorHAnsi"/>
          <w:b w:val="0"/>
          <w:noProof/>
          <w:color w:val="auto"/>
          <w:sz w:val="24"/>
        </w:rPr>
      </w:pPr>
      <w:hyperlink w:anchor="_Toc236018470" w:history="1">
        <w:r w:rsidRPr="00494EFD">
          <w:rPr>
            <w:rStyle w:val="Hyperlink"/>
            <w:noProof/>
          </w:rPr>
          <w:t>Annex D: Corridor and Navigation Technical Schedule</w:t>
        </w:r>
        <w:r>
          <w:rPr>
            <w:noProof/>
            <w:webHidden/>
          </w:rPr>
          <w:tab/>
        </w:r>
        <w:r>
          <w:rPr>
            <w:noProof/>
            <w:webHidden/>
          </w:rPr>
          <w:fldChar w:fldCharType="begin"/>
        </w:r>
        <w:r>
          <w:rPr>
            <w:noProof/>
            <w:webHidden/>
          </w:rPr>
          <w:instrText xml:space="preserve"> PAGEREF _Toc236018470 \h </w:instrText>
        </w:r>
        <w:r>
          <w:rPr>
            <w:noProof/>
            <w:webHidden/>
          </w:rPr>
        </w:r>
        <w:r>
          <w:rPr>
            <w:noProof/>
            <w:webHidden/>
          </w:rPr>
          <w:fldChar w:fldCharType="separate"/>
        </w:r>
        <w:r>
          <w:rPr>
            <w:noProof/>
            <w:webHidden/>
          </w:rPr>
          <w:t>32</w:t>
        </w:r>
        <w:r>
          <w:rPr>
            <w:noProof/>
            <w:webHidden/>
          </w:rPr>
          <w:fldChar w:fldCharType="end"/>
        </w:r>
      </w:hyperlink>
    </w:p>
    <w:p w14:paraId="32CE1631" w14:textId="50717F1F" w:rsidR="005F15B8" w:rsidRDefault="005F15B8">
      <w:pPr>
        <w:pStyle w:val="TOC2"/>
        <w:rPr>
          <w:rFonts w:asciiTheme="minorHAnsi" w:eastAsiaTheme="minorEastAsia" w:hAnsiTheme="minorHAnsi"/>
          <w:noProof/>
          <w:color w:val="auto"/>
          <w:sz w:val="24"/>
        </w:rPr>
      </w:pPr>
      <w:hyperlink w:anchor="_Toc236018471" w:history="1">
        <w:r w:rsidRPr="00494EFD">
          <w:rPr>
            <w:rStyle w:val="Hyperlink"/>
            <w:noProof/>
          </w:rPr>
          <w:t>D.1 Governance Area and Corridors</w:t>
        </w:r>
        <w:r>
          <w:rPr>
            <w:noProof/>
            <w:webHidden/>
          </w:rPr>
          <w:tab/>
        </w:r>
        <w:r>
          <w:rPr>
            <w:noProof/>
            <w:webHidden/>
          </w:rPr>
          <w:fldChar w:fldCharType="begin"/>
        </w:r>
        <w:r>
          <w:rPr>
            <w:noProof/>
            <w:webHidden/>
          </w:rPr>
          <w:instrText xml:space="preserve"> PAGEREF _Toc236018471 \h </w:instrText>
        </w:r>
        <w:r>
          <w:rPr>
            <w:noProof/>
            <w:webHidden/>
          </w:rPr>
        </w:r>
        <w:r>
          <w:rPr>
            <w:noProof/>
            <w:webHidden/>
          </w:rPr>
          <w:fldChar w:fldCharType="separate"/>
        </w:r>
        <w:r>
          <w:rPr>
            <w:noProof/>
            <w:webHidden/>
          </w:rPr>
          <w:t>33</w:t>
        </w:r>
        <w:r>
          <w:rPr>
            <w:noProof/>
            <w:webHidden/>
          </w:rPr>
          <w:fldChar w:fldCharType="end"/>
        </w:r>
      </w:hyperlink>
    </w:p>
    <w:p w14:paraId="27362D78" w14:textId="3E2870FD" w:rsidR="005F15B8" w:rsidRDefault="005F15B8">
      <w:pPr>
        <w:pStyle w:val="TOC2"/>
        <w:rPr>
          <w:rFonts w:asciiTheme="minorHAnsi" w:eastAsiaTheme="minorEastAsia" w:hAnsiTheme="minorHAnsi"/>
          <w:noProof/>
          <w:color w:val="auto"/>
          <w:sz w:val="24"/>
        </w:rPr>
      </w:pPr>
      <w:hyperlink w:anchor="_Toc236018472" w:history="1">
        <w:r w:rsidRPr="00494EFD">
          <w:rPr>
            <w:rStyle w:val="Hyperlink"/>
            <w:noProof/>
          </w:rPr>
          <w:t>D.2 Traffic Separation and Waypoints</w:t>
        </w:r>
        <w:r>
          <w:rPr>
            <w:noProof/>
            <w:webHidden/>
          </w:rPr>
          <w:tab/>
        </w:r>
        <w:r>
          <w:rPr>
            <w:noProof/>
            <w:webHidden/>
          </w:rPr>
          <w:fldChar w:fldCharType="begin"/>
        </w:r>
        <w:r>
          <w:rPr>
            <w:noProof/>
            <w:webHidden/>
          </w:rPr>
          <w:instrText xml:space="preserve"> PAGEREF _Toc236018472 \h </w:instrText>
        </w:r>
        <w:r>
          <w:rPr>
            <w:noProof/>
            <w:webHidden/>
          </w:rPr>
        </w:r>
        <w:r>
          <w:rPr>
            <w:noProof/>
            <w:webHidden/>
          </w:rPr>
          <w:fldChar w:fldCharType="separate"/>
        </w:r>
        <w:r>
          <w:rPr>
            <w:noProof/>
            <w:webHidden/>
          </w:rPr>
          <w:t>33</w:t>
        </w:r>
        <w:r>
          <w:rPr>
            <w:noProof/>
            <w:webHidden/>
          </w:rPr>
          <w:fldChar w:fldCharType="end"/>
        </w:r>
      </w:hyperlink>
    </w:p>
    <w:p w14:paraId="647B1C00" w14:textId="3D4D0650" w:rsidR="005F15B8" w:rsidRDefault="005F15B8">
      <w:pPr>
        <w:pStyle w:val="TOC2"/>
        <w:rPr>
          <w:rFonts w:asciiTheme="minorHAnsi" w:eastAsiaTheme="minorEastAsia" w:hAnsiTheme="minorHAnsi"/>
          <w:noProof/>
          <w:color w:val="auto"/>
          <w:sz w:val="24"/>
        </w:rPr>
      </w:pPr>
      <w:hyperlink w:anchor="_Toc236018473" w:history="1">
        <w:r w:rsidRPr="00494EFD">
          <w:rPr>
            <w:rStyle w:val="Hyperlink"/>
            <w:noProof/>
          </w:rPr>
          <w:t>D.3 Flow States</w:t>
        </w:r>
        <w:r>
          <w:rPr>
            <w:noProof/>
            <w:webHidden/>
          </w:rPr>
          <w:tab/>
        </w:r>
        <w:r>
          <w:rPr>
            <w:noProof/>
            <w:webHidden/>
          </w:rPr>
          <w:fldChar w:fldCharType="begin"/>
        </w:r>
        <w:r>
          <w:rPr>
            <w:noProof/>
            <w:webHidden/>
          </w:rPr>
          <w:instrText xml:space="preserve"> PAGEREF _Toc236018473 \h </w:instrText>
        </w:r>
        <w:r>
          <w:rPr>
            <w:noProof/>
            <w:webHidden/>
          </w:rPr>
        </w:r>
        <w:r>
          <w:rPr>
            <w:noProof/>
            <w:webHidden/>
          </w:rPr>
          <w:fldChar w:fldCharType="separate"/>
        </w:r>
        <w:r>
          <w:rPr>
            <w:noProof/>
            <w:webHidden/>
          </w:rPr>
          <w:t>33</w:t>
        </w:r>
        <w:r>
          <w:rPr>
            <w:noProof/>
            <w:webHidden/>
          </w:rPr>
          <w:fldChar w:fldCharType="end"/>
        </w:r>
      </w:hyperlink>
    </w:p>
    <w:p w14:paraId="61EE09CF" w14:textId="193D61FC" w:rsidR="005F15B8" w:rsidRDefault="005F15B8">
      <w:pPr>
        <w:pStyle w:val="TOC2"/>
        <w:rPr>
          <w:rFonts w:asciiTheme="minorHAnsi" w:eastAsiaTheme="minorEastAsia" w:hAnsiTheme="minorHAnsi"/>
          <w:noProof/>
          <w:color w:val="auto"/>
          <w:sz w:val="24"/>
        </w:rPr>
      </w:pPr>
      <w:hyperlink w:anchor="_Toc236018474" w:history="1">
        <w:r w:rsidRPr="00494EFD">
          <w:rPr>
            <w:rStyle w:val="Hyperlink"/>
            <w:noProof/>
          </w:rPr>
          <w:t>D.4 Vessel Classification and Reporting</w:t>
        </w:r>
        <w:r>
          <w:rPr>
            <w:noProof/>
            <w:webHidden/>
          </w:rPr>
          <w:tab/>
        </w:r>
        <w:r>
          <w:rPr>
            <w:noProof/>
            <w:webHidden/>
          </w:rPr>
          <w:fldChar w:fldCharType="begin"/>
        </w:r>
        <w:r>
          <w:rPr>
            <w:noProof/>
            <w:webHidden/>
          </w:rPr>
          <w:instrText xml:space="preserve"> PAGEREF _Toc236018474 \h </w:instrText>
        </w:r>
        <w:r>
          <w:rPr>
            <w:noProof/>
            <w:webHidden/>
          </w:rPr>
        </w:r>
        <w:r>
          <w:rPr>
            <w:noProof/>
            <w:webHidden/>
          </w:rPr>
          <w:fldChar w:fldCharType="separate"/>
        </w:r>
        <w:r>
          <w:rPr>
            <w:noProof/>
            <w:webHidden/>
          </w:rPr>
          <w:t>34</w:t>
        </w:r>
        <w:r>
          <w:rPr>
            <w:noProof/>
            <w:webHidden/>
          </w:rPr>
          <w:fldChar w:fldCharType="end"/>
        </w:r>
      </w:hyperlink>
    </w:p>
    <w:p w14:paraId="03FB33ED" w14:textId="7C312C75" w:rsidR="005F15B8" w:rsidRDefault="005F15B8">
      <w:pPr>
        <w:pStyle w:val="TOC1"/>
        <w:rPr>
          <w:rFonts w:asciiTheme="minorHAnsi" w:eastAsiaTheme="minorEastAsia" w:hAnsiTheme="minorHAnsi"/>
          <w:b w:val="0"/>
          <w:noProof/>
          <w:color w:val="auto"/>
          <w:sz w:val="24"/>
        </w:rPr>
      </w:pPr>
      <w:hyperlink w:anchor="_Toc236018475" w:history="1">
        <w:r w:rsidRPr="00494EFD">
          <w:rPr>
            <w:rStyle w:val="Hyperlink"/>
            <w:noProof/>
          </w:rPr>
          <w:t>Annex E: Mine Hazard Countermeasures Protocol</w:t>
        </w:r>
        <w:r>
          <w:rPr>
            <w:noProof/>
            <w:webHidden/>
          </w:rPr>
          <w:tab/>
        </w:r>
        <w:r>
          <w:rPr>
            <w:noProof/>
            <w:webHidden/>
          </w:rPr>
          <w:fldChar w:fldCharType="begin"/>
        </w:r>
        <w:r>
          <w:rPr>
            <w:noProof/>
            <w:webHidden/>
          </w:rPr>
          <w:instrText xml:space="preserve"> PAGEREF _Toc236018475 \h </w:instrText>
        </w:r>
        <w:r>
          <w:rPr>
            <w:noProof/>
            <w:webHidden/>
          </w:rPr>
        </w:r>
        <w:r>
          <w:rPr>
            <w:noProof/>
            <w:webHidden/>
          </w:rPr>
          <w:fldChar w:fldCharType="separate"/>
        </w:r>
        <w:r>
          <w:rPr>
            <w:noProof/>
            <w:webHidden/>
          </w:rPr>
          <w:t>34</w:t>
        </w:r>
        <w:r>
          <w:rPr>
            <w:noProof/>
            <w:webHidden/>
          </w:rPr>
          <w:fldChar w:fldCharType="end"/>
        </w:r>
      </w:hyperlink>
    </w:p>
    <w:p w14:paraId="5703C9E3" w14:textId="22B4B7D9" w:rsidR="005F15B8" w:rsidRDefault="005F15B8">
      <w:pPr>
        <w:pStyle w:val="TOC2"/>
        <w:rPr>
          <w:rFonts w:asciiTheme="minorHAnsi" w:eastAsiaTheme="minorEastAsia" w:hAnsiTheme="minorHAnsi"/>
          <w:noProof/>
          <w:color w:val="auto"/>
          <w:sz w:val="24"/>
        </w:rPr>
      </w:pPr>
      <w:hyperlink w:anchor="_Toc236018476" w:history="1">
        <w:r w:rsidRPr="00494EFD">
          <w:rPr>
            <w:rStyle w:val="Hyperlink"/>
            <w:noProof/>
          </w:rPr>
          <w:t>E.1 Pillars</w:t>
        </w:r>
        <w:r>
          <w:rPr>
            <w:noProof/>
            <w:webHidden/>
          </w:rPr>
          <w:tab/>
        </w:r>
        <w:r>
          <w:rPr>
            <w:noProof/>
            <w:webHidden/>
          </w:rPr>
          <w:fldChar w:fldCharType="begin"/>
        </w:r>
        <w:r>
          <w:rPr>
            <w:noProof/>
            <w:webHidden/>
          </w:rPr>
          <w:instrText xml:space="preserve"> PAGEREF _Toc236018476 \h </w:instrText>
        </w:r>
        <w:r>
          <w:rPr>
            <w:noProof/>
            <w:webHidden/>
          </w:rPr>
        </w:r>
        <w:r>
          <w:rPr>
            <w:noProof/>
            <w:webHidden/>
          </w:rPr>
          <w:fldChar w:fldCharType="separate"/>
        </w:r>
        <w:r>
          <w:rPr>
            <w:noProof/>
            <w:webHidden/>
          </w:rPr>
          <w:t>34</w:t>
        </w:r>
        <w:r>
          <w:rPr>
            <w:noProof/>
            <w:webHidden/>
          </w:rPr>
          <w:fldChar w:fldCharType="end"/>
        </w:r>
      </w:hyperlink>
    </w:p>
    <w:p w14:paraId="4764EB8C" w14:textId="68E8206C" w:rsidR="005F15B8" w:rsidRDefault="005F15B8">
      <w:pPr>
        <w:pStyle w:val="TOC2"/>
        <w:rPr>
          <w:rFonts w:asciiTheme="minorHAnsi" w:eastAsiaTheme="minorEastAsia" w:hAnsiTheme="minorHAnsi"/>
          <w:noProof/>
          <w:color w:val="auto"/>
          <w:sz w:val="24"/>
        </w:rPr>
      </w:pPr>
      <w:hyperlink w:anchor="_Toc236018477" w:history="1">
        <w:r w:rsidRPr="00494EFD">
          <w:rPr>
            <w:rStyle w:val="Hyperlink"/>
            <w:noProof/>
          </w:rPr>
          <w:t>E.2 Operating Sequence</w:t>
        </w:r>
        <w:r>
          <w:rPr>
            <w:noProof/>
            <w:webHidden/>
          </w:rPr>
          <w:tab/>
        </w:r>
        <w:r>
          <w:rPr>
            <w:noProof/>
            <w:webHidden/>
          </w:rPr>
          <w:fldChar w:fldCharType="begin"/>
        </w:r>
        <w:r>
          <w:rPr>
            <w:noProof/>
            <w:webHidden/>
          </w:rPr>
          <w:instrText xml:space="preserve"> PAGEREF _Toc236018477 \h </w:instrText>
        </w:r>
        <w:r>
          <w:rPr>
            <w:noProof/>
            <w:webHidden/>
          </w:rPr>
        </w:r>
        <w:r>
          <w:rPr>
            <w:noProof/>
            <w:webHidden/>
          </w:rPr>
          <w:fldChar w:fldCharType="separate"/>
        </w:r>
        <w:r>
          <w:rPr>
            <w:noProof/>
            <w:webHidden/>
          </w:rPr>
          <w:t>34</w:t>
        </w:r>
        <w:r>
          <w:rPr>
            <w:noProof/>
            <w:webHidden/>
          </w:rPr>
          <w:fldChar w:fldCharType="end"/>
        </w:r>
      </w:hyperlink>
    </w:p>
    <w:p w14:paraId="05AD2AC9" w14:textId="678A2DBF" w:rsidR="005F15B8" w:rsidRDefault="005F15B8">
      <w:pPr>
        <w:pStyle w:val="TOC2"/>
        <w:rPr>
          <w:rFonts w:asciiTheme="minorHAnsi" w:eastAsiaTheme="minorEastAsia" w:hAnsiTheme="minorHAnsi"/>
          <w:noProof/>
          <w:color w:val="auto"/>
          <w:sz w:val="24"/>
        </w:rPr>
      </w:pPr>
      <w:hyperlink w:anchor="_Toc236018478" w:history="1">
        <w:r w:rsidRPr="00494EFD">
          <w:rPr>
            <w:rStyle w:val="Hyperlink"/>
            <w:noProof/>
          </w:rPr>
          <w:t>E.3 Participation</w:t>
        </w:r>
        <w:r>
          <w:rPr>
            <w:noProof/>
            <w:webHidden/>
          </w:rPr>
          <w:tab/>
        </w:r>
        <w:r>
          <w:rPr>
            <w:noProof/>
            <w:webHidden/>
          </w:rPr>
          <w:fldChar w:fldCharType="begin"/>
        </w:r>
        <w:r>
          <w:rPr>
            <w:noProof/>
            <w:webHidden/>
          </w:rPr>
          <w:instrText xml:space="preserve"> PAGEREF _Toc236018478 \h </w:instrText>
        </w:r>
        <w:r>
          <w:rPr>
            <w:noProof/>
            <w:webHidden/>
          </w:rPr>
        </w:r>
        <w:r>
          <w:rPr>
            <w:noProof/>
            <w:webHidden/>
          </w:rPr>
          <w:fldChar w:fldCharType="separate"/>
        </w:r>
        <w:r>
          <w:rPr>
            <w:noProof/>
            <w:webHidden/>
          </w:rPr>
          <w:t>35</w:t>
        </w:r>
        <w:r>
          <w:rPr>
            <w:noProof/>
            <w:webHidden/>
          </w:rPr>
          <w:fldChar w:fldCharType="end"/>
        </w:r>
      </w:hyperlink>
    </w:p>
    <w:p w14:paraId="5F4F1B16" w14:textId="049BD82F" w:rsidR="005F15B8" w:rsidRDefault="005F15B8">
      <w:pPr>
        <w:pStyle w:val="TOC1"/>
        <w:rPr>
          <w:rFonts w:asciiTheme="minorHAnsi" w:eastAsiaTheme="minorEastAsia" w:hAnsiTheme="minorHAnsi"/>
          <w:b w:val="0"/>
          <w:noProof/>
          <w:color w:val="auto"/>
          <w:sz w:val="24"/>
        </w:rPr>
      </w:pPr>
      <w:hyperlink w:anchor="_Toc236018479" w:history="1">
        <w:r w:rsidRPr="00494EFD">
          <w:rPr>
            <w:rStyle w:val="Hyperlink"/>
            <w:noProof/>
          </w:rPr>
          <w:t>Annex F: Stabilization Dividends Program Schedule</w:t>
        </w:r>
        <w:r>
          <w:rPr>
            <w:noProof/>
            <w:webHidden/>
          </w:rPr>
          <w:tab/>
        </w:r>
        <w:r>
          <w:rPr>
            <w:noProof/>
            <w:webHidden/>
          </w:rPr>
          <w:fldChar w:fldCharType="begin"/>
        </w:r>
        <w:r>
          <w:rPr>
            <w:noProof/>
            <w:webHidden/>
          </w:rPr>
          <w:instrText xml:space="preserve"> PAGEREF _Toc236018479 \h </w:instrText>
        </w:r>
        <w:r>
          <w:rPr>
            <w:noProof/>
            <w:webHidden/>
          </w:rPr>
        </w:r>
        <w:r>
          <w:rPr>
            <w:noProof/>
            <w:webHidden/>
          </w:rPr>
          <w:fldChar w:fldCharType="separate"/>
        </w:r>
        <w:r>
          <w:rPr>
            <w:noProof/>
            <w:webHidden/>
          </w:rPr>
          <w:t>35</w:t>
        </w:r>
        <w:r>
          <w:rPr>
            <w:noProof/>
            <w:webHidden/>
          </w:rPr>
          <w:fldChar w:fldCharType="end"/>
        </w:r>
      </w:hyperlink>
    </w:p>
    <w:p w14:paraId="78CF126D" w14:textId="33CF76F9" w:rsidR="005F15B8" w:rsidRDefault="005F15B8">
      <w:pPr>
        <w:pStyle w:val="TOC2"/>
        <w:rPr>
          <w:rFonts w:asciiTheme="minorHAnsi" w:eastAsiaTheme="minorEastAsia" w:hAnsiTheme="minorHAnsi"/>
          <w:noProof/>
          <w:color w:val="auto"/>
          <w:sz w:val="24"/>
        </w:rPr>
      </w:pPr>
      <w:hyperlink w:anchor="_Toc236018480" w:history="1">
        <w:r w:rsidRPr="00494EFD">
          <w:rPr>
            <w:rStyle w:val="Hyperlink"/>
            <w:noProof/>
          </w:rPr>
          <w:t>F.1 Common Benefit Fund Rules</w:t>
        </w:r>
        <w:r>
          <w:rPr>
            <w:noProof/>
            <w:webHidden/>
          </w:rPr>
          <w:tab/>
        </w:r>
        <w:r>
          <w:rPr>
            <w:noProof/>
            <w:webHidden/>
          </w:rPr>
          <w:fldChar w:fldCharType="begin"/>
        </w:r>
        <w:r>
          <w:rPr>
            <w:noProof/>
            <w:webHidden/>
          </w:rPr>
          <w:instrText xml:space="preserve"> PAGEREF _Toc236018480 \h </w:instrText>
        </w:r>
        <w:r>
          <w:rPr>
            <w:noProof/>
            <w:webHidden/>
          </w:rPr>
        </w:r>
        <w:r>
          <w:rPr>
            <w:noProof/>
            <w:webHidden/>
          </w:rPr>
          <w:fldChar w:fldCharType="separate"/>
        </w:r>
        <w:r>
          <w:rPr>
            <w:noProof/>
            <w:webHidden/>
          </w:rPr>
          <w:t>35</w:t>
        </w:r>
        <w:r>
          <w:rPr>
            <w:noProof/>
            <w:webHidden/>
          </w:rPr>
          <w:fldChar w:fldCharType="end"/>
        </w:r>
      </w:hyperlink>
    </w:p>
    <w:p w14:paraId="3B02CDF8" w14:textId="50C5BAD3" w:rsidR="005F15B8" w:rsidRDefault="005F15B8">
      <w:pPr>
        <w:pStyle w:val="TOC2"/>
        <w:rPr>
          <w:rFonts w:asciiTheme="minorHAnsi" w:eastAsiaTheme="minorEastAsia" w:hAnsiTheme="minorHAnsi"/>
          <w:noProof/>
          <w:color w:val="auto"/>
          <w:sz w:val="24"/>
        </w:rPr>
      </w:pPr>
      <w:hyperlink w:anchor="_Toc236018481" w:history="1">
        <w:r w:rsidRPr="00494EFD">
          <w:rPr>
            <w:rStyle w:val="Hyperlink"/>
            <w:noProof/>
          </w:rPr>
          <w:t>F.2 Maritime Livelihoods Facility Rules</w:t>
        </w:r>
        <w:r>
          <w:rPr>
            <w:noProof/>
            <w:webHidden/>
          </w:rPr>
          <w:tab/>
        </w:r>
        <w:r>
          <w:rPr>
            <w:noProof/>
            <w:webHidden/>
          </w:rPr>
          <w:fldChar w:fldCharType="begin"/>
        </w:r>
        <w:r>
          <w:rPr>
            <w:noProof/>
            <w:webHidden/>
          </w:rPr>
          <w:instrText xml:space="preserve"> PAGEREF _Toc236018481 \h </w:instrText>
        </w:r>
        <w:r>
          <w:rPr>
            <w:noProof/>
            <w:webHidden/>
          </w:rPr>
        </w:r>
        <w:r>
          <w:rPr>
            <w:noProof/>
            <w:webHidden/>
          </w:rPr>
          <w:fldChar w:fldCharType="separate"/>
        </w:r>
        <w:r>
          <w:rPr>
            <w:noProof/>
            <w:webHidden/>
          </w:rPr>
          <w:t>35</w:t>
        </w:r>
        <w:r>
          <w:rPr>
            <w:noProof/>
            <w:webHidden/>
          </w:rPr>
          <w:fldChar w:fldCharType="end"/>
        </w:r>
      </w:hyperlink>
    </w:p>
    <w:p w14:paraId="75A46BFF" w14:textId="3F5AB8F0" w:rsidR="005F15B8" w:rsidRDefault="005F15B8">
      <w:pPr>
        <w:pStyle w:val="TOC2"/>
        <w:rPr>
          <w:rFonts w:asciiTheme="minorHAnsi" w:eastAsiaTheme="minorEastAsia" w:hAnsiTheme="minorHAnsi"/>
          <w:noProof/>
          <w:color w:val="auto"/>
          <w:sz w:val="24"/>
        </w:rPr>
      </w:pPr>
      <w:hyperlink w:anchor="_Toc236018482" w:history="1">
        <w:r w:rsidRPr="00494EFD">
          <w:rPr>
            <w:rStyle w:val="Hyperlink"/>
            <w:noProof/>
          </w:rPr>
          <w:t>F.3 Compliance Credit Exchange Rules</w:t>
        </w:r>
        <w:r>
          <w:rPr>
            <w:noProof/>
            <w:webHidden/>
          </w:rPr>
          <w:tab/>
        </w:r>
        <w:r>
          <w:rPr>
            <w:noProof/>
            <w:webHidden/>
          </w:rPr>
          <w:fldChar w:fldCharType="begin"/>
        </w:r>
        <w:r>
          <w:rPr>
            <w:noProof/>
            <w:webHidden/>
          </w:rPr>
          <w:instrText xml:space="preserve"> PAGEREF _Toc236018482 \h </w:instrText>
        </w:r>
        <w:r>
          <w:rPr>
            <w:noProof/>
            <w:webHidden/>
          </w:rPr>
        </w:r>
        <w:r>
          <w:rPr>
            <w:noProof/>
            <w:webHidden/>
          </w:rPr>
          <w:fldChar w:fldCharType="separate"/>
        </w:r>
        <w:r>
          <w:rPr>
            <w:noProof/>
            <w:webHidden/>
          </w:rPr>
          <w:t>35</w:t>
        </w:r>
        <w:r>
          <w:rPr>
            <w:noProof/>
            <w:webHidden/>
          </w:rPr>
          <w:fldChar w:fldCharType="end"/>
        </w:r>
      </w:hyperlink>
    </w:p>
    <w:p w14:paraId="3FD00BB9" w14:textId="3A3E6A96" w:rsidR="005F15B8" w:rsidRDefault="005F15B8">
      <w:pPr>
        <w:pStyle w:val="TOC2"/>
        <w:rPr>
          <w:rFonts w:asciiTheme="minorHAnsi" w:eastAsiaTheme="minorEastAsia" w:hAnsiTheme="minorHAnsi"/>
          <w:noProof/>
          <w:color w:val="auto"/>
          <w:sz w:val="24"/>
        </w:rPr>
      </w:pPr>
      <w:hyperlink w:anchor="_Toc236018483" w:history="1">
        <w:r w:rsidRPr="00494EFD">
          <w:rPr>
            <w:rStyle w:val="Hyperlink"/>
            <w:noProof/>
          </w:rPr>
          <w:t>F.4 Quiet Window and Conversion Program Operations</w:t>
        </w:r>
        <w:r>
          <w:rPr>
            <w:noProof/>
            <w:webHidden/>
          </w:rPr>
          <w:tab/>
        </w:r>
        <w:r>
          <w:rPr>
            <w:noProof/>
            <w:webHidden/>
          </w:rPr>
          <w:fldChar w:fldCharType="begin"/>
        </w:r>
        <w:r>
          <w:rPr>
            <w:noProof/>
            <w:webHidden/>
          </w:rPr>
          <w:instrText xml:space="preserve"> PAGEREF _Toc236018483 \h </w:instrText>
        </w:r>
        <w:r>
          <w:rPr>
            <w:noProof/>
            <w:webHidden/>
          </w:rPr>
        </w:r>
        <w:r>
          <w:rPr>
            <w:noProof/>
            <w:webHidden/>
          </w:rPr>
          <w:fldChar w:fldCharType="separate"/>
        </w:r>
        <w:r>
          <w:rPr>
            <w:noProof/>
            <w:webHidden/>
          </w:rPr>
          <w:t>36</w:t>
        </w:r>
        <w:r>
          <w:rPr>
            <w:noProof/>
            <w:webHidden/>
          </w:rPr>
          <w:fldChar w:fldCharType="end"/>
        </w:r>
      </w:hyperlink>
    </w:p>
    <w:p w14:paraId="2B5E9C3D" w14:textId="1B4E252F" w:rsidR="005F15B8" w:rsidRDefault="005F15B8">
      <w:pPr>
        <w:pStyle w:val="TOC2"/>
        <w:rPr>
          <w:rFonts w:asciiTheme="minorHAnsi" w:eastAsiaTheme="minorEastAsia" w:hAnsiTheme="minorHAnsi"/>
          <w:noProof/>
          <w:color w:val="auto"/>
          <w:sz w:val="24"/>
        </w:rPr>
      </w:pPr>
      <w:hyperlink w:anchor="_Toc236018484" w:history="1">
        <w:r w:rsidRPr="00494EFD">
          <w:rPr>
            <w:rStyle w:val="Hyperlink"/>
            <w:noProof/>
          </w:rPr>
          <w:t>F.5 Transparency and Audit</w:t>
        </w:r>
        <w:r>
          <w:rPr>
            <w:noProof/>
            <w:webHidden/>
          </w:rPr>
          <w:tab/>
        </w:r>
        <w:r>
          <w:rPr>
            <w:noProof/>
            <w:webHidden/>
          </w:rPr>
          <w:fldChar w:fldCharType="begin"/>
        </w:r>
        <w:r>
          <w:rPr>
            <w:noProof/>
            <w:webHidden/>
          </w:rPr>
          <w:instrText xml:space="preserve"> PAGEREF _Toc236018484 \h </w:instrText>
        </w:r>
        <w:r>
          <w:rPr>
            <w:noProof/>
            <w:webHidden/>
          </w:rPr>
        </w:r>
        <w:r>
          <w:rPr>
            <w:noProof/>
            <w:webHidden/>
          </w:rPr>
          <w:fldChar w:fldCharType="separate"/>
        </w:r>
        <w:r>
          <w:rPr>
            <w:noProof/>
            <w:webHidden/>
          </w:rPr>
          <w:t>36</w:t>
        </w:r>
        <w:r>
          <w:rPr>
            <w:noProof/>
            <w:webHidden/>
          </w:rPr>
          <w:fldChar w:fldCharType="end"/>
        </w:r>
      </w:hyperlink>
    </w:p>
    <w:p w14:paraId="159CCC1E" w14:textId="679C9671" w:rsidR="00EF22B4" w:rsidRDefault="00000000">
      <w:r>
        <w:fldChar w:fldCharType="end"/>
      </w:r>
    </w:p>
    <w:p w14:paraId="3B4F6886" w14:textId="77777777" w:rsidR="00EF22B4" w:rsidRDefault="00EF22B4">
      <w:pPr>
        <w:sectPr w:rsidR="00EF22B4">
          <w:pgSz w:w="11906" w:h="16838"/>
          <w:pgMar w:top="1620" w:right="1440" w:bottom="1440" w:left="1440" w:header="720" w:footer="720" w:gutter="0"/>
          <w:cols w:space="720"/>
        </w:sectPr>
      </w:pPr>
    </w:p>
    <w:p w14:paraId="7069BD69" w14:textId="77777777" w:rsidR="00EF22B4" w:rsidRDefault="00000000">
      <w:pPr>
        <w:pStyle w:val="Heading1"/>
        <w:pBdr>
          <w:bottom w:val="single" w:sz="8" w:space="2" w:color="B8860B"/>
        </w:pBdr>
      </w:pPr>
      <w:bookmarkStart w:id="1" w:name="_Toc236018399"/>
      <w:r>
        <w:lastRenderedPageBreak/>
        <w:t>Reading and Drafting Note</w:t>
      </w:r>
      <w:bookmarkStart w:id="2" w:name="_TocBM1"/>
      <w:bookmarkEnd w:id="1"/>
      <w:bookmarkEnd w:id="2"/>
    </w:p>
    <w:p w14:paraId="23945218" w14:textId="77777777" w:rsidR="00EF22B4" w:rsidRDefault="00000000">
      <w:r>
        <w:t>This document is a working treaty draft for the Strait of Hormuz. It assembles a complete governance system from modular parts: a participation architecture, a light governance structure, a verification system, a compliance engine, shock hardening, and a set of stabilization dividends. Six annexes carry the operational detail. A negotiator reads the main text for the structure and the annexes for the numbers.</w:t>
      </w:r>
    </w:p>
    <w:p w14:paraId="0C1E1A65" w14:textId="77777777" w:rsidR="00EF22B4" w:rsidRDefault="00000000">
      <w:r>
        <w:t>The draft draws its mechanics from a family of conceptual peace architectures and verification protocols developed for volatile, multi-actor conflicts. Every borrowed mechanic carries a new functional name inside this text. The naming rule is deliberate: each name describes what the mechanic does, in plain operational language, with no metaphor, no theme, and no political signal. A mechanism named for what it does provokes no argument about what it means.</w:t>
      </w:r>
    </w:p>
    <w:p w14:paraId="79E74697" w14:textId="77777777" w:rsidR="00EF22B4" w:rsidRDefault="00000000">
      <w:r>
        <w:t>One drafting discipline governs every sentence. All obligations execute in the active present tense. Prohibitions appear as features of the shared framework architecture, never as unilateral restraint by any single Party. Consequences state themselves as immediate operational realities, not as threats. This discipline keeps the text free of hierarchy, free of perceived capitulation, and free of the modal vocabulary that turns treaty language into negotiating friction.</w:t>
      </w:r>
    </w:p>
    <w:p w14:paraId="388C0E02" w14:textId="77777777" w:rsidR="00EF22B4" w:rsidRDefault="00000000">
      <w:r>
        <w:t>The Accord respects every red line registered by the prospective Parties during the drafting consultations: Iranian sovereignty over its waters and facilities; Omani neutrality and the refusal of passage tolls; Emirati assurance against any expansion of unilateral control; the exclusion of foreign forces from governance authority; the absolute protection of humanitarian traffic; and the exclusion of snapback mechanics, permanent exclusion, and open-ended access demands. Where red lines meet, the text engineers the middle ground and states the engineering openly.</w:t>
      </w:r>
    </w:p>
    <w:p w14:paraId="70024601" w14:textId="77777777" w:rsidR="00EF22B4" w:rsidRDefault="00000000">
      <w:r>
        <w:t>This is a design document, not a signed instrument. It exists so that analysts test it, negotiators contest it, and principals improve it.</w:t>
      </w:r>
    </w:p>
    <w:p w14:paraId="2244880E" w14:textId="77777777" w:rsidR="00EF22B4" w:rsidRDefault="00000000">
      <w:pPr>
        <w:pStyle w:val="Heading1"/>
        <w:pBdr>
          <w:bottom w:val="single" w:sz="8" w:space="2" w:color="B8860B"/>
        </w:pBdr>
      </w:pPr>
      <w:bookmarkStart w:id="3" w:name="_Toc236018400"/>
      <w:r>
        <w:t>Preamble</w:t>
      </w:r>
      <w:bookmarkStart w:id="4" w:name="_TocBM2"/>
      <w:bookmarkEnd w:id="3"/>
      <w:bookmarkEnd w:id="4"/>
    </w:p>
    <w:p w14:paraId="3A2445F2" w14:textId="77777777" w:rsidR="00EF22B4" w:rsidRDefault="00000000">
      <w:r>
        <w:t>The Parties to this Accord,</w:t>
      </w:r>
    </w:p>
    <w:p w14:paraId="1C9C2BFC" w14:textId="77777777" w:rsidR="00EF22B4" w:rsidRDefault="00000000">
      <w:r>
        <w:t>Recognizing the Strait of Hormuz as an essential international waterway through which a substantial share of the world's traded energy passes every day;</w:t>
      </w:r>
    </w:p>
    <w:p w14:paraId="2E501892" w14:textId="77777777" w:rsidR="00EF22B4" w:rsidRDefault="00000000">
      <w:r>
        <w:t>Affirming the principles of the United Nations Convention on the Law of the Sea regarding transit passage through straits used for international navigation;</w:t>
      </w:r>
    </w:p>
    <w:p w14:paraId="51CB7174" w14:textId="77777777" w:rsidR="00EF22B4" w:rsidRDefault="00000000">
      <w:r>
        <w:t>Recalling the Islamabad Memorandum of Understanding and the technical frameworks adopted under it, and building upon the working arrangements developed by the littoral states since June 2026;</w:t>
      </w:r>
    </w:p>
    <w:p w14:paraId="04CC55DF" w14:textId="77777777" w:rsidR="00EF22B4" w:rsidRDefault="00000000">
      <w:r>
        <w:lastRenderedPageBreak/>
        <w:t>Acknowledging that safe transit, honest verification, and shared economic interest bind the littoral states and the user states together more durably than any enforcement threat;</w:t>
      </w:r>
    </w:p>
    <w:p w14:paraId="2E07009D" w14:textId="77777777" w:rsidR="00EF22B4" w:rsidRDefault="00000000">
      <w:r>
        <w:t>Determining that governance of the waterway survives shocks, spoilers, and political cycles only where the architecture absorbs pressure rather than fractures under it;</w:t>
      </w:r>
    </w:p>
    <w:p w14:paraId="5DAF4E24" w14:textId="77777777" w:rsidR="00EF22B4" w:rsidRDefault="00000000">
      <w:r>
        <w:t>Convinced that stability flows from visible reciprocity, from consequences that stay proportional, and from benefits that reach the coastal communities whose choices shape the waterway;</w:t>
      </w:r>
    </w:p>
    <w:p w14:paraId="2955A361" w14:textId="77777777" w:rsidR="00EF22B4" w:rsidRDefault="00000000">
      <w:r>
        <w:t>Agree as follows:</w:t>
      </w:r>
    </w:p>
    <w:p w14:paraId="55699415" w14:textId="77777777" w:rsidR="00EF22B4" w:rsidRDefault="00000000">
      <w:pPr>
        <w:pStyle w:val="Heading1"/>
        <w:pBdr>
          <w:bottom w:val="single" w:sz="8" w:space="2" w:color="B8860B"/>
        </w:pBdr>
      </w:pPr>
      <w:bookmarkStart w:id="5" w:name="_Toc236018401"/>
      <w:r>
        <w:t>Part I: Purpose, Scope, and Definitions</w:t>
      </w:r>
      <w:bookmarkStart w:id="6" w:name="_TocBM3"/>
      <w:bookmarkEnd w:id="5"/>
      <w:bookmarkEnd w:id="6"/>
    </w:p>
    <w:p w14:paraId="4E62CD48" w14:textId="77777777" w:rsidR="00EF22B4" w:rsidRDefault="00000000">
      <w:pPr>
        <w:pStyle w:val="Heading2"/>
      </w:pPr>
      <w:bookmarkStart w:id="7" w:name="_Toc236018402"/>
      <w:r>
        <w:t>Article 1: Purpose</w:t>
      </w:r>
      <w:bookmarkEnd w:id="7"/>
    </w:p>
    <w:p w14:paraId="3F6A3353" w14:textId="77777777" w:rsidR="00EF22B4" w:rsidRDefault="00000000">
      <w:r>
        <w:t>The Accord establishes a durable, civilian-led governance system for the Strait of Hormuz. The system pursues four outcomes simultaneously:</w:t>
      </w:r>
    </w:p>
    <w:p w14:paraId="683FCDC4" w14:textId="77777777" w:rsidR="00EF22B4" w:rsidRDefault="00000000">
      <w:pPr>
        <w:numPr>
          <w:ilvl w:val="0"/>
          <w:numId w:val="2"/>
        </w:numPr>
      </w:pPr>
      <w:r>
        <w:t>Safe, predictable, and non-discriminatory transit for commercial vessels of every flag;</w:t>
      </w:r>
    </w:p>
    <w:p w14:paraId="72C5D781" w14:textId="77777777" w:rsidR="00EF22B4" w:rsidRDefault="00000000">
      <w:pPr>
        <w:numPr>
          <w:ilvl w:val="0"/>
          <w:numId w:val="2"/>
        </w:numPr>
      </w:pPr>
      <w:r>
        <w:t>Verified de-escalation between the armed forces and the fast attack craft that operate in and around the transit corridors;</w:t>
      </w:r>
    </w:p>
    <w:p w14:paraId="2AE96102" w14:textId="77777777" w:rsidR="00EF22B4" w:rsidRDefault="00000000">
      <w:pPr>
        <w:numPr>
          <w:ilvl w:val="0"/>
          <w:numId w:val="2"/>
        </w:numPr>
      </w:pPr>
      <w:r>
        <w:t>A compliance and verification architecture that treats deviation as data, consequence as proportional, and recovery as guaranteed;</w:t>
      </w:r>
    </w:p>
    <w:p w14:paraId="563B47FE" w14:textId="77777777" w:rsidR="00EF22B4" w:rsidRDefault="00000000">
      <w:pPr>
        <w:numPr>
          <w:ilvl w:val="0"/>
          <w:numId w:val="2"/>
        </w:numPr>
      </w:pPr>
      <w:r>
        <w:t>Shared economic benefit that reaches littoral states, user states, insurers, and the coastal communities of the wider waterway, so that peace pays more than disruption.</w:t>
      </w:r>
    </w:p>
    <w:p w14:paraId="3B45B2F1" w14:textId="77777777" w:rsidR="00EF22B4" w:rsidRDefault="00000000">
      <w:pPr>
        <w:pStyle w:val="Heading2"/>
      </w:pPr>
      <w:bookmarkStart w:id="8" w:name="_Toc236018403"/>
      <w:r>
        <w:t>Article 2: Scope of Application</w:t>
      </w:r>
      <w:bookmarkEnd w:id="8"/>
    </w:p>
    <w:p w14:paraId="7BEE8EF4" w14:textId="77777777" w:rsidR="00EF22B4" w:rsidRDefault="00000000">
      <w:r>
        <w:t>The Accord governs:</w:t>
      </w:r>
    </w:p>
    <w:p w14:paraId="09EF2AD1" w14:textId="77777777" w:rsidR="00EF22B4" w:rsidRDefault="00000000">
      <w:pPr>
        <w:numPr>
          <w:ilvl w:val="0"/>
          <w:numId w:val="1"/>
        </w:numPr>
      </w:pPr>
      <w:r>
        <w:t>Civilian maritime navigation, routing, and traffic management within the Governance Area defined in Annex D;</w:t>
      </w:r>
    </w:p>
    <w:p w14:paraId="374A574A" w14:textId="77777777" w:rsidR="00EF22B4" w:rsidRDefault="00000000">
      <w:pPr>
        <w:numPr>
          <w:ilvl w:val="0"/>
          <w:numId w:val="1"/>
        </w:numPr>
      </w:pPr>
      <w:r>
        <w:rPr>
          <w:rFonts w:cs="Calibri"/>
          <w:szCs w:val="21"/>
        </w:rPr>
        <w:t>Safety of navigation, hazard management, mine countermeasures, and search and rescue;</w:t>
      </w:r>
    </w:p>
    <w:p w14:paraId="3A0370AC" w14:textId="77777777" w:rsidR="00EF22B4" w:rsidRDefault="00000000">
      <w:pPr>
        <w:numPr>
          <w:ilvl w:val="0"/>
          <w:numId w:val="1"/>
        </w:numPr>
      </w:pPr>
      <w:r>
        <w:rPr>
          <w:rFonts w:cs="Calibri"/>
          <w:szCs w:val="21"/>
        </w:rPr>
        <w:t>Behavioral norms for speed craft, drones, and naval forces operating near commercial traffic;</w:t>
      </w:r>
    </w:p>
    <w:p w14:paraId="31065891" w14:textId="77777777" w:rsidR="00EF22B4" w:rsidRDefault="00000000">
      <w:pPr>
        <w:numPr>
          <w:ilvl w:val="0"/>
          <w:numId w:val="1"/>
        </w:numPr>
      </w:pPr>
      <w:r>
        <w:rPr>
          <w:rFonts w:cs="Calibri"/>
          <w:szCs w:val="21"/>
        </w:rPr>
        <w:t>Service fees, revenue sharing, and the stabilization dividend programs;</w:t>
      </w:r>
    </w:p>
    <w:p w14:paraId="5B808399" w14:textId="77777777" w:rsidR="00EF22B4" w:rsidRDefault="00000000">
      <w:pPr>
        <w:numPr>
          <w:ilvl w:val="0"/>
          <w:numId w:val="1"/>
        </w:numPr>
      </w:pPr>
      <w:r>
        <w:rPr>
          <w:rFonts w:cs="Calibri"/>
          <w:szCs w:val="21"/>
        </w:rPr>
        <w:t>Verification, compliance, and dispute resolution for every obligation created under the Accord.</w:t>
      </w:r>
    </w:p>
    <w:p w14:paraId="6C456503" w14:textId="77777777" w:rsidR="00EF22B4" w:rsidRDefault="00000000">
      <w:r>
        <w:rPr>
          <w:rFonts w:cs="Calibri"/>
          <w:szCs w:val="21"/>
        </w:rPr>
        <w:t>The Accord does not govern military alliances, sanctions regimes, cargo content, territorial delimitation, or the internal security doctrines of any Party. The framework architecture excludes every security arrangement beyond the deconfliction functions defined in this text.</w:t>
      </w:r>
    </w:p>
    <w:p w14:paraId="3D411B87" w14:textId="77777777" w:rsidR="00EF22B4" w:rsidRDefault="00000000">
      <w:r>
        <w:rPr>
          <w:rFonts w:cs="Calibri"/>
          <w:szCs w:val="21"/>
        </w:rPr>
        <w:lastRenderedPageBreak/>
        <w:t>Nothing in this Accord prejudices the legal positions, sovereignty claims, maritime boundaries, or sanctions positions of any Party. Participation creates no recognition of any entity, claim, or jurisdictional assertion. Data collected under the Accord serves technical verification exclusively, and no political meaning attaches to its collection or sharing.</w:t>
      </w:r>
    </w:p>
    <w:p w14:paraId="05C9D234" w14:textId="77777777" w:rsidR="00EF22B4" w:rsidRDefault="00000000">
      <w:pPr>
        <w:pStyle w:val="Heading2"/>
      </w:pPr>
      <w:bookmarkStart w:id="9" w:name="_Toc236018404"/>
      <w:r>
        <w:rPr>
          <w:rFonts w:cs="Calibri"/>
          <w:szCs w:val="26"/>
        </w:rPr>
        <w:t>Article 3: Definitions</w:t>
      </w:r>
      <w:bookmarkEnd w:id="9"/>
    </w:p>
    <w:p w14:paraId="2A91C54C" w14:textId="77777777" w:rsidR="00EF22B4" w:rsidRDefault="00000000">
      <w:r>
        <w:rPr>
          <w:rFonts w:cs="Calibri"/>
          <w:szCs w:val="21"/>
        </w:rPr>
        <w:t>For the purposes of this Accord:</w:t>
      </w:r>
    </w:p>
    <w:p w14:paraId="354AB520" w14:textId="77777777" w:rsidR="00EF22B4" w:rsidRDefault="00000000">
      <w:pPr>
        <w:numPr>
          <w:ilvl w:val="0"/>
          <w:numId w:val="1"/>
        </w:numPr>
      </w:pPr>
      <w:r>
        <w:rPr>
          <w:rFonts w:cs="Calibri"/>
          <w:szCs w:val="21"/>
        </w:rPr>
        <w:t>"Governance Area" means the geographic area defined in Annex D, comprising the Strait of Hormuz, its approaches, and the dual transit corridors.</w:t>
      </w:r>
    </w:p>
    <w:p w14:paraId="0E134F2A" w14:textId="77777777" w:rsidR="00EF22B4" w:rsidRDefault="00000000">
      <w:pPr>
        <w:numPr>
          <w:ilvl w:val="0"/>
          <w:numId w:val="1"/>
        </w:numPr>
      </w:pPr>
      <w:r>
        <w:rPr>
          <w:rFonts w:cs="Calibri"/>
          <w:szCs w:val="21"/>
        </w:rPr>
        <w:t>"Transit Passage" means continuous and expeditious navigation consistent with the United Nations Convention on the Law of the Sea.</w:t>
      </w:r>
    </w:p>
    <w:p w14:paraId="15D0BD20" w14:textId="77777777" w:rsidR="00EF22B4" w:rsidRDefault="00000000">
      <w:pPr>
        <w:numPr>
          <w:ilvl w:val="0"/>
          <w:numId w:val="1"/>
        </w:numPr>
      </w:pPr>
      <w:r>
        <w:rPr>
          <w:rFonts w:cs="Calibri"/>
          <w:szCs w:val="21"/>
        </w:rPr>
        <w:t>"Core Littoral Party" means the Islamic Republic of Iran, the Sultanate of Oman, and the United Arab Emirates.</w:t>
      </w:r>
    </w:p>
    <w:p w14:paraId="03F43751" w14:textId="77777777" w:rsidR="00EF22B4" w:rsidRDefault="00000000">
      <w:pPr>
        <w:numPr>
          <w:ilvl w:val="0"/>
          <w:numId w:val="1"/>
        </w:numPr>
      </w:pPr>
      <w:r>
        <w:rPr>
          <w:rFonts w:cs="Calibri"/>
          <w:szCs w:val="21"/>
        </w:rPr>
        <w:t>"Co-Steward" means Iran and Oman in their capacity as the two primary operational stewards of the corridor system.</w:t>
      </w:r>
    </w:p>
    <w:p w14:paraId="4AFAC4DD" w14:textId="77777777" w:rsidR="00EF22B4" w:rsidRDefault="00000000">
      <w:pPr>
        <w:numPr>
          <w:ilvl w:val="0"/>
          <w:numId w:val="1"/>
        </w:numPr>
      </w:pPr>
      <w:r>
        <w:rPr>
          <w:rFonts w:cs="Calibri"/>
          <w:szCs w:val="21"/>
        </w:rPr>
        <w:t>"Modular Commitment Unit" or "MCU" means a single self-contained reciprocal commitment instantiated as a standalone annex schedule under Article 12.</w:t>
      </w:r>
    </w:p>
    <w:p w14:paraId="115F3318" w14:textId="77777777" w:rsidR="00EF22B4" w:rsidRDefault="00000000">
      <w:pPr>
        <w:numPr>
          <w:ilvl w:val="0"/>
          <w:numId w:val="1"/>
        </w:numPr>
      </w:pPr>
      <w:r>
        <w:rPr>
          <w:rFonts w:cs="Calibri"/>
          <w:szCs w:val="21"/>
        </w:rPr>
        <w:t>"Speed Craft" means any fast patrol, interdiction, or escort craft under 35 meters in length operated by a littoral state or its affiliated forces.</w:t>
      </w:r>
    </w:p>
    <w:p w14:paraId="0C37ED46" w14:textId="77777777" w:rsidR="00EF22B4" w:rsidRDefault="00000000">
      <w:pPr>
        <w:numPr>
          <w:ilvl w:val="0"/>
          <w:numId w:val="1"/>
        </w:numPr>
      </w:pPr>
      <w:r>
        <w:rPr>
          <w:rFonts w:cs="Calibri"/>
          <w:szCs w:val="21"/>
        </w:rPr>
        <w:t>"Unattributed Incident" means a hostile or disruptive act affecting the Governance Area whose perpetrator remains unidentified after the attribution procedure in Article 25 completes.</w:t>
      </w:r>
    </w:p>
    <w:p w14:paraId="589649D4" w14:textId="77777777" w:rsidR="00EF22B4" w:rsidRDefault="00000000">
      <w:pPr>
        <w:numPr>
          <w:ilvl w:val="0"/>
          <w:numId w:val="1"/>
        </w:numPr>
      </w:pPr>
      <w:r>
        <w:rPr>
          <w:rFonts w:cs="Calibri"/>
          <w:szCs w:val="21"/>
        </w:rPr>
        <w:t>"Coastal Community Participant" means a municipality, port authority, fishing cooperative, or licensed coastal transport cooperative registered under Article 5.7.</w:t>
      </w:r>
    </w:p>
    <w:p w14:paraId="189B3B16" w14:textId="77777777" w:rsidR="00EF22B4" w:rsidRDefault="00000000">
      <w:pPr>
        <w:numPr>
          <w:ilvl w:val="0"/>
          <w:numId w:val="1"/>
        </w:numPr>
      </w:pPr>
      <w:r>
        <w:rPr>
          <w:rFonts w:cs="Calibri"/>
          <w:szCs w:val="21"/>
        </w:rPr>
        <w:t>"Convergent Evidence Standard" means the verification rule under which a compliance finding rests on at least three independent data inputs and a human certifier, as specified in Annex B.</w:t>
      </w:r>
    </w:p>
    <w:p w14:paraId="16367224" w14:textId="77777777" w:rsidR="00EF22B4" w:rsidRDefault="00000000">
      <w:pPr>
        <w:numPr>
          <w:ilvl w:val="0"/>
          <w:numId w:val="1"/>
        </w:numPr>
      </w:pPr>
      <w:r>
        <w:rPr>
          <w:rFonts w:cs="Calibri"/>
          <w:szCs w:val="21"/>
        </w:rPr>
        <w:t>"Compliance Credit" means the non-monetary credit earned through verified compliance and attribution cooperation under Article 33.</w:t>
      </w:r>
    </w:p>
    <w:p w14:paraId="41C59CEE" w14:textId="77777777" w:rsidR="00EF22B4" w:rsidRDefault="00000000">
      <w:pPr>
        <w:numPr>
          <w:ilvl w:val="0"/>
          <w:numId w:val="1"/>
        </w:numPr>
      </w:pPr>
      <w:r>
        <w:rPr>
          <w:rFonts w:cs="Calibri"/>
          <w:szCs w:val="21"/>
        </w:rPr>
        <w:t>"Quiet Window" means a period of 90 consecutive days with zero Unattributed Incidents in a defined coastal zone.</w:t>
      </w:r>
    </w:p>
    <w:p w14:paraId="552225BC" w14:textId="77777777" w:rsidR="00EF22B4" w:rsidRDefault="00000000">
      <w:pPr>
        <w:pStyle w:val="Heading1"/>
        <w:pBdr>
          <w:bottom w:val="single" w:sz="8" w:space="2" w:color="B8860B"/>
        </w:pBdr>
      </w:pPr>
      <w:bookmarkStart w:id="10" w:name="_Toc236018405"/>
      <w:r>
        <w:rPr>
          <w:rFonts w:cs="Calibri"/>
          <w:szCs w:val="32"/>
        </w:rPr>
        <w:lastRenderedPageBreak/>
        <w:t>Part II: Permanent Core Undertakings</w:t>
      </w:r>
      <w:bookmarkStart w:id="11" w:name="_TocBM4"/>
      <w:bookmarkEnd w:id="10"/>
      <w:bookmarkEnd w:id="11"/>
    </w:p>
    <w:p w14:paraId="1A0E7DE2" w14:textId="77777777" w:rsidR="00EF22B4" w:rsidRDefault="00000000">
      <w:pPr>
        <w:pStyle w:val="Heading2"/>
      </w:pPr>
      <w:bookmarkStart w:id="12" w:name="_Toc236018406"/>
      <w:r>
        <w:rPr>
          <w:rFonts w:cs="Calibri"/>
          <w:szCs w:val="26"/>
        </w:rPr>
        <w:t>Article 4: The Core Set</w:t>
      </w:r>
      <w:bookmarkEnd w:id="12"/>
    </w:p>
    <w:p w14:paraId="38FFFFC0" w14:textId="77777777" w:rsidR="00EF22B4" w:rsidRDefault="00000000">
      <w:r>
        <w:rPr>
          <w:rFonts w:cs="Calibri"/>
          <w:szCs w:val="21"/>
        </w:rPr>
        <w:t>Twelve undertakings form the permanent core of the Accord. They bind every Party from entry into force, they survive every shock mechanism in Part VI, they sit beyond the reach of rotation, amendment by ordinary procedure, and suspension, and no mechanism in this Accord ever trades them away. A breach of a core undertaking constitutes the gravest event the framework contemplates and activates the emergency procedures of Article 35.4.</w:t>
      </w:r>
    </w:p>
    <w:p w14:paraId="50032883" w14:textId="77777777" w:rsidR="00EF22B4" w:rsidRDefault="00000000">
      <w:r>
        <w:rPr>
          <w:rFonts w:cs="Calibri"/>
          <w:b/>
          <w:szCs w:val="21"/>
        </w:rPr>
        <w:t xml:space="preserve">CU-1. Non-use of force. </w:t>
      </w:r>
      <w:r>
        <w:rPr>
          <w:rFonts w:cs="Calibri"/>
          <w:szCs w:val="21"/>
        </w:rPr>
        <w:t>The Parties resolve every dispute arising under this Accord through the mechanisms of this Accord. The framework architecture excludes the threat or use of force in connection with any matter subject to an MCU.</w:t>
      </w:r>
    </w:p>
    <w:p w14:paraId="24361989" w14:textId="77777777" w:rsidR="00EF22B4" w:rsidRDefault="00000000">
      <w:r>
        <w:rPr>
          <w:rFonts w:cs="Calibri"/>
          <w:b/>
          <w:szCs w:val="21"/>
        </w:rPr>
        <w:t xml:space="preserve">CU-2. Absolute non-interdiction. </w:t>
      </w:r>
      <w:r>
        <w:rPr>
          <w:rFonts w:cs="Calibri"/>
          <w:szCs w:val="21"/>
        </w:rPr>
        <w:t>Commercial transit operates under an absolute non-interdiction protocol inside the transit corridors. No Party stops, boards, diverts, or delays a commercial vessel inside a corridor except under the search and rescue and safety-of-life exceptions of Annex A and Annex D.</w:t>
      </w:r>
    </w:p>
    <w:p w14:paraId="4A7E5E7B" w14:textId="77777777" w:rsidR="00EF22B4" w:rsidRDefault="00000000">
      <w:r>
        <w:rPr>
          <w:rFonts w:cs="Calibri"/>
          <w:b/>
          <w:szCs w:val="21"/>
        </w:rPr>
        <w:t xml:space="preserve">CU-3. Zero passage tolls. </w:t>
      </w:r>
      <w:r>
        <w:rPr>
          <w:rFonts w:cs="Calibri"/>
          <w:szCs w:val="21"/>
        </w:rPr>
        <w:t xml:space="preserve">Passage through the Strait remains free of tolls, dues, or charges of any kind. Cost recovery operates exclusively through the service-fee system of Article 30 for services </w:t>
      </w:r>
      <w:proofErr w:type="gramStart"/>
      <w:r>
        <w:rPr>
          <w:rFonts w:cs="Calibri"/>
          <w:szCs w:val="21"/>
        </w:rPr>
        <w:t>actually rendered</w:t>
      </w:r>
      <w:proofErr w:type="gramEnd"/>
      <w:r>
        <w:rPr>
          <w:rFonts w:cs="Calibri"/>
          <w:szCs w:val="21"/>
        </w:rPr>
        <w:t>.</w:t>
      </w:r>
    </w:p>
    <w:p w14:paraId="6CFB79FC" w14:textId="77777777" w:rsidR="00EF22B4" w:rsidRDefault="00000000">
      <w:r>
        <w:rPr>
          <w:rFonts w:cs="Calibri"/>
          <w:b/>
          <w:szCs w:val="21"/>
        </w:rPr>
        <w:t xml:space="preserve">CU-4. Sovereignty preservation. </w:t>
      </w:r>
      <w:r>
        <w:rPr>
          <w:rFonts w:cs="Calibri"/>
          <w:szCs w:val="21"/>
        </w:rPr>
        <w:t>Each littoral Party retains full sovereignty over its territorial waters, ports, and facilities. The framework architecture excludes foreign control over Iranian waters, Emirati waters, or Omani waters, and excludes any expansion of unilateral authority by any Party over the waters of another.</w:t>
      </w:r>
    </w:p>
    <w:p w14:paraId="0683A892" w14:textId="77777777" w:rsidR="00EF22B4" w:rsidRDefault="00000000">
      <w:r>
        <w:rPr>
          <w:rFonts w:cs="Calibri"/>
          <w:b/>
          <w:szCs w:val="21"/>
        </w:rPr>
        <w:t xml:space="preserve">CU-5. Civilian governance only. </w:t>
      </w:r>
      <w:r>
        <w:rPr>
          <w:rFonts w:cs="Calibri"/>
          <w:szCs w:val="21"/>
        </w:rPr>
        <w:t>The governance system handles navigation, safety, and civilian traffic. The framework architecture excludes governance authority over military forces, alliances, or deployments. Security actors participate only as Security Liaisons under Article 5.5.</w:t>
      </w:r>
    </w:p>
    <w:p w14:paraId="03E68B6F" w14:textId="77777777" w:rsidR="00EF22B4" w:rsidRDefault="00000000">
      <w:r>
        <w:rPr>
          <w:rFonts w:cs="Calibri"/>
          <w:b/>
          <w:szCs w:val="21"/>
        </w:rPr>
        <w:t xml:space="preserve">CU-6. No unannounced foreign access. </w:t>
      </w:r>
      <w:r>
        <w:rPr>
          <w:rFonts w:cs="Calibri"/>
          <w:szCs w:val="21"/>
        </w:rPr>
        <w:t>Verification access operates through the Independent Verification Office under the managed access rules of Annex B. The framework architecture excludes unannounced access by the military personnel of any state to any facility of any Party.</w:t>
      </w:r>
    </w:p>
    <w:p w14:paraId="3E7FE31D" w14:textId="77777777" w:rsidR="00EF22B4" w:rsidRDefault="00000000">
      <w:r>
        <w:rPr>
          <w:rFonts w:cs="Calibri"/>
          <w:b/>
          <w:szCs w:val="21"/>
        </w:rPr>
        <w:t xml:space="preserve">CU-7. Humanitarian absolutes. </w:t>
      </w:r>
      <w:r>
        <w:rPr>
          <w:rFonts w:cs="Calibri"/>
          <w:szCs w:val="21"/>
        </w:rPr>
        <w:t>Humanitarian traffic, medical evacuation, and distress response remain absolute. No consequence, suspension, step-back, or dispute touches food, medicine, medical equipment, or safety-of-life operations.</w:t>
      </w:r>
    </w:p>
    <w:p w14:paraId="4B389571" w14:textId="77777777" w:rsidR="00EF22B4" w:rsidRDefault="00000000">
      <w:r>
        <w:rPr>
          <w:rFonts w:cs="Calibri"/>
          <w:b/>
          <w:szCs w:val="21"/>
        </w:rPr>
        <w:t xml:space="preserve">CU-8. No snapback, no permanent exclusion. </w:t>
      </w:r>
      <w:r>
        <w:rPr>
          <w:rFonts w:cs="Calibri"/>
          <w:szCs w:val="21"/>
        </w:rPr>
        <w:t>The framework architecture excludes snapback mechanics, automatic termination, and permanent exclusion. Every consequence carries a defined earn-back pathway, and sustained compliance restores full standing.</w:t>
      </w:r>
    </w:p>
    <w:p w14:paraId="54C9FBF2" w14:textId="77777777" w:rsidR="00EF22B4" w:rsidRDefault="00000000">
      <w:r>
        <w:rPr>
          <w:rFonts w:cs="Calibri"/>
          <w:b/>
          <w:szCs w:val="21"/>
        </w:rPr>
        <w:t xml:space="preserve">CU-9. Proportional consequence. </w:t>
      </w:r>
      <w:r>
        <w:rPr>
          <w:rFonts w:cs="Calibri"/>
          <w:szCs w:val="21"/>
        </w:rPr>
        <w:t>Every consequence matches the severity and duration of its triggering event under the graduated schedule of Part VII. Minor events produce minor consequences.</w:t>
      </w:r>
    </w:p>
    <w:p w14:paraId="63D36255" w14:textId="77777777" w:rsidR="00EF22B4" w:rsidRDefault="00000000">
      <w:r>
        <w:rPr>
          <w:rFonts w:cs="Calibri"/>
          <w:b/>
          <w:szCs w:val="21"/>
        </w:rPr>
        <w:lastRenderedPageBreak/>
        <w:t xml:space="preserve">CU-10. Human certification. </w:t>
      </w:r>
      <w:r>
        <w:rPr>
          <w:rFonts w:cs="Calibri"/>
          <w:szCs w:val="21"/>
        </w:rPr>
        <w:t>No automated system classifies a violation or triggers a consequence. A human certifier of the Independent Verification Office anchors every finding, and an executive consultation window of 48 hours precedes every Level 2 or Level 3 consequence.</w:t>
      </w:r>
    </w:p>
    <w:p w14:paraId="3F70348A" w14:textId="77777777" w:rsidR="00EF22B4" w:rsidRDefault="00000000">
      <w:r>
        <w:rPr>
          <w:rFonts w:cs="Calibri"/>
          <w:b/>
          <w:szCs w:val="21"/>
        </w:rPr>
        <w:t xml:space="preserve">CU-11. Transparency. </w:t>
      </w:r>
      <w:r>
        <w:rPr>
          <w:rFonts w:cs="Calibri"/>
          <w:szCs w:val="21"/>
        </w:rPr>
        <w:t xml:space="preserve">Every bulletin, certification, score, and incident summary </w:t>
      </w:r>
      <w:proofErr w:type="gramStart"/>
      <w:r>
        <w:rPr>
          <w:rFonts w:cs="Calibri"/>
          <w:szCs w:val="21"/>
        </w:rPr>
        <w:t>publishes</w:t>
      </w:r>
      <w:proofErr w:type="gramEnd"/>
      <w:r>
        <w:rPr>
          <w:rFonts w:cs="Calibri"/>
          <w:szCs w:val="21"/>
        </w:rPr>
        <w:t xml:space="preserve"> to all Parties simultaneously. The framework architecture excludes secret findings, secret annexes with operational effect, and preferential data access.</w:t>
      </w:r>
    </w:p>
    <w:p w14:paraId="4E9C6DEB" w14:textId="77777777" w:rsidR="00EF22B4" w:rsidRDefault="00000000">
      <w:r>
        <w:rPr>
          <w:rFonts w:cs="Calibri"/>
          <w:b/>
          <w:szCs w:val="21"/>
        </w:rPr>
        <w:t xml:space="preserve">CU-12. Non-kinetic mission boundary. </w:t>
      </w:r>
      <w:r>
        <w:rPr>
          <w:rFonts w:cs="Calibri"/>
          <w:szCs w:val="21"/>
        </w:rPr>
        <w:t>No asset, vessel, aircraft, or personnel assigned to any Accord function supports offensive military operations. Mine countermeasure assets, escort craft, and monitoring systems operate under civilian direction within their stated missions, and no Party repurposes them for kinetic missions.</w:t>
      </w:r>
    </w:p>
    <w:p w14:paraId="6231BDC4" w14:textId="77777777" w:rsidR="00EF22B4" w:rsidRDefault="00000000">
      <w:r>
        <w:rPr>
          <w:rFonts w:cs="Calibri"/>
          <w:szCs w:val="21"/>
        </w:rPr>
        <w:t>The Core Set amends only by unanimity of the Core Littoral Parties plus a two-thirds vote of all Parties. The Accord registers each core undertaking as a locked principle, and the rolling review cycles of Part V reopen no locked principle.</w:t>
      </w:r>
    </w:p>
    <w:p w14:paraId="2949E989" w14:textId="77777777" w:rsidR="00EF22B4" w:rsidRDefault="00000000">
      <w:pPr>
        <w:pStyle w:val="Heading1"/>
        <w:pBdr>
          <w:bottom w:val="single" w:sz="8" w:space="2" w:color="B8860B"/>
        </w:pBdr>
      </w:pPr>
      <w:bookmarkStart w:id="13" w:name="_Toc236018407"/>
      <w:r>
        <w:rPr>
          <w:rFonts w:cs="Calibri"/>
          <w:szCs w:val="32"/>
        </w:rPr>
        <w:t>Part III: Participation Architecture</w:t>
      </w:r>
      <w:bookmarkStart w:id="14" w:name="_TocBM5"/>
      <w:bookmarkEnd w:id="13"/>
      <w:bookmarkEnd w:id="14"/>
    </w:p>
    <w:p w14:paraId="139104BD" w14:textId="77777777" w:rsidR="00EF22B4" w:rsidRDefault="00000000">
      <w:r>
        <w:rPr>
          <w:rFonts w:cs="Calibri"/>
          <w:szCs w:val="21"/>
        </w:rPr>
        <w:t xml:space="preserve">The Accord organizes participation into seven tiers. Each tier carries defined rights, defined obligations, and a defined entry procedure. The tier design lets every actor join at the depth its politics </w:t>
      </w:r>
      <w:proofErr w:type="gramStart"/>
      <w:r>
        <w:rPr>
          <w:rFonts w:cs="Calibri"/>
          <w:szCs w:val="21"/>
        </w:rPr>
        <w:t>tolerates, and</w:t>
      </w:r>
      <w:proofErr w:type="gramEnd"/>
      <w:r>
        <w:rPr>
          <w:rFonts w:cs="Calibri"/>
          <w:szCs w:val="21"/>
        </w:rPr>
        <w:t xml:space="preserve"> lets depth grow as trust accumulates. No tier obliges any participant to accept the obligations of a deeper tier.</w:t>
      </w:r>
    </w:p>
    <w:p w14:paraId="3D6F8394" w14:textId="77777777" w:rsidR="00EF22B4" w:rsidRDefault="00000000">
      <w:pPr>
        <w:pStyle w:val="Heading2"/>
      </w:pPr>
      <w:bookmarkStart w:id="15" w:name="_Toc236018408"/>
      <w:r>
        <w:rPr>
          <w:rFonts w:cs="Calibri"/>
          <w:szCs w:val="26"/>
        </w:rPr>
        <w:t>Article 5: Participation Tiers</w:t>
      </w:r>
      <w:bookmarkEnd w:id="15"/>
    </w:p>
    <w:p w14:paraId="7A179217" w14:textId="77777777" w:rsidR="00EF22B4" w:rsidRDefault="00000000">
      <w:pPr>
        <w:pStyle w:val="Heading3"/>
      </w:pPr>
      <w:r>
        <w:rPr>
          <w:rFonts w:cs="Calibri"/>
          <w:szCs w:val="23"/>
        </w:rPr>
        <w:t>5.1 Tier 1: Core Littoral Parties</w:t>
      </w:r>
    </w:p>
    <w:p w14:paraId="754C6793" w14:textId="77777777" w:rsidR="00EF22B4" w:rsidRDefault="00000000">
      <w:r>
        <w:rPr>
          <w:rFonts w:cs="Calibri"/>
          <w:szCs w:val="21"/>
        </w:rPr>
        <w:t>Iran and Oman hold primary stewardship of the Accord as Co-Stewards. The Co-Stewards co-chair the operational bodies, supply the duty officer pairs of the Joint Coordination Center, operate the corridor escort and vessel traffic services, and hold equal standing on every question before the Accord Council. The United Arab Emirates holds the third Core Littoral seat, with primary responsibility for port interface, outbound traffic coordination, and survey capacity. Each Core Littoral Party holds one vote on the Accord Council. Core Littoral Parties adopt the full Accord, including Annexes A through F.</w:t>
      </w:r>
    </w:p>
    <w:p w14:paraId="0F2E6FE9" w14:textId="77777777" w:rsidR="00EF22B4" w:rsidRDefault="00000000">
      <w:pPr>
        <w:pStyle w:val="Heading3"/>
      </w:pPr>
      <w:r>
        <w:rPr>
          <w:rFonts w:cs="Calibri"/>
          <w:szCs w:val="23"/>
        </w:rPr>
        <w:t>5.2 Tier 1-A: Depositary-Link State</w:t>
      </w:r>
    </w:p>
    <w:p w14:paraId="0387FAB7" w14:textId="77777777" w:rsidR="00EF22B4" w:rsidRDefault="00000000">
      <w:r>
        <w:rPr>
          <w:rFonts w:cs="Calibri"/>
          <w:szCs w:val="21"/>
        </w:rPr>
        <w:t>Pakistan holds the special status of Depositary-Link State. In this status, Pakistan registers the Accord's linkage to the Islamabad Memorandum of Understanding in its capacity as depositary of that instrument, seats a permanent liaison at the Joint Coordination Center, contributes hydrographic data for the eastern approaches, and participates in the Accord Council with full voice and with vote on matters touching the eastern approaches and the Gwadar coastal zone programs. The Depositary-Link State adopts Annexes A, C, and D, and accedes to other annexes at its election. This status honors Pakistan's convening role in the parent framework while adding no governance burden inconsistent with its red lines.</w:t>
      </w:r>
    </w:p>
    <w:p w14:paraId="12A9F362" w14:textId="77777777" w:rsidR="00EF22B4" w:rsidRDefault="00000000">
      <w:pPr>
        <w:pStyle w:val="Heading3"/>
      </w:pPr>
      <w:r>
        <w:rPr>
          <w:rFonts w:cs="Calibri"/>
          <w:szCs w:val="23"/>
        </w:rPr>
        <w:lastRenderedPageBreak/>
        <w:t>5.3 Tier 2: Associate Littoral Parties</w:t>
      </w:r>
    </w:p>
    <w:p w14:paraId="1CEAB339" w14:textId="77777777" w:rsidR="00EF22B4" w:rsidRDefault="00000000">
      <w:r>
        <w:rPr>
          <w:rFonts w:cs="Calibri"/>
          <w:szCs w:val="21"/>
        </w:rPr>
        <w:t>Saudi Arabia, Qatar, and Bahrain join as Associate Littoral Parties. Kuwait and Iraq hold standing eligibility. An Associate Littoral Party adopts Annex A (Speed Craft Safety), Annex C (Governance), and Annex D (Corridors), seats a liaison officer at the Joint Coordination Center, contributes funding and survey support at its election, and votes on the Accord Council on matters directly affecting its traffic. Associate status keeps the security annex optional: accession to Annex B verification protocols proceeds module by module under Article 12.</w:t>
      </w:r>
    </w:p>
    <w:p w14:paraId="72EA4328" w14:textId="77777777" w:rsidR="00EF22B4" w:rsidRDefault="00000000">
      <w:pPr>
        <w:pStyle w:val="Heading3"/>
      </w:pPr>
      <w:r>
        <w:rPr>
          <w:rFonts w:cs="Calibri"/>
          <w:szCs w:val="23"/>
        </w:rPr>
        <w:t>5.4 Tier 3: Observer User States</w:t>
      </w:r>
    </w:p>
    <w:p w14:paraId="201F513D" w14:textId="77777777" w:rsidR="00EF22B4" w:rsidRDefault="00000000">
      <w:r>
        <w:rPr>
          <w:rFonts w:cs="Calibri"/>
          <w:szCs w:val="21"/>
        </w:rPr>
        <w:t>India, China, Japan, the Republic of Korea, and the European Union join as Observer User States. Observers seat delegates on the Technical Standards Committee, receive every bulletin and certification, contribute data and expertise, and hold no vote. Observer endorsement of the corridor and safety regime anchors the insurance alignment of Article 30.</w:t>
      </w:r>
    </w:p>
    <w:p w14:paraId="6C7C66CD" w14:textId="77777777" w:rsidR="00EF22B4" w:rsidRDefault="00000000">
      <w:pPr>
        <w:pStyle w:val="Heading3"/>
      </w:pPr>
      <w:r>
        <w:rPr>
          <w:rFonts w:cs="Calibri"/>
          <w:szCs w:val="23"/>
        </w:rPr>
        <w:t>5.5 Tier 4: Institutional Partners</w:t>
      </w:r>
    </w:p>
    <w:p w14:paraId="7B80B7E9" w14:textId="77777777" w:rsidR="00EF22B4" w:rsidRDefault="00000000">
      <w:r>
        <w:rPr>
          <w:rFonts w:cs="Calibri"/>
          <w:szCs w:val="21"/>
        </w:rPr>
        <w:t>The International Maritime Organization, the International Hydrographic Organization, the International Chamber of Shipping, and the Protection and Indemnity Clubs participate as Institutional Partners. They register the traffic separation scheme, certify technical standards, and align risk classification with verified governance performance. Institutional Partners sign no treaty instrument and hold no governance authority.</w:t>
      </w:r>
    </w:p>
    <w:p w14:paraId="141C6626" w14:textId="77777777" w:rsidR="00EF22B4" w:rsidRDefault="00000000">
      <w:pPr>
        <w:pStyle w:val="Heading3"/>
      </w:pPr>
      <w:r>
        <w:rPr>
          <w:rFonts w:cs="Calibri"/>
          <w:szCs w:val="23"/>
        </w:rPr>
        <w:t>5.6 Tier 5: Security Liaisons</w:t>
      </w:r>
    </w:p>
    <w:p w14:paraId="20878710" w14:textId="77777777" w:rsidR="00EF22B4" w:rsidRDefault="00000000">
      <w:r>
        <w:rPr>
          <w:rFonts w:cs="Calibri"/>
          <w:szCs w:val="21"/>
        </w:rPr>
        <w:t>The United States, the United Kingdom, and France participate as Security Liaisons, never as Parties. A Security Liaison maintains a deconfliction channel with the Joint Coordination Center, provides advance notice of exercises, shares non-classified navigational warnings, coordinates on search and rescue, and responds to drone interference affecting commercial traffic. The framework architecture excludes any governance role, voting right, economic role, or verification access for Security Liaisons. This bounded presence answers the red lines of every littoral Party: the liaison stands close enough to prevent miscalculation and far enough to preserve littoral ownership of the system.</w:t>
      </w:r>
    </w:p>
    <w:p w14:paraId="0A5540B1" w14:textId="77777777" w:rsidR="00EF22B4" w:rsidRDefault="00000000">
      <w:pPr>
        <w:pStyle w:val="Heading3"/>
      </w:pPr>
      <w:r>
        <w:t>5.7 Tier 6: Coastal Community Participants</w:t>
      </w:r>
    </w:p>
    <w:p w14:paraId="039F6B8B" w14:textId="77777777" w:rsidR="00EF22B4" w:rsidRDefault="00000000">
      <w:r>
        <w:t xml:space="preserve">Municipalities, port authorities, fishing cooperatives, and licensed coastal transport cooperatives of the wider waterway register as Coastal Community Participants. This tier includes communities of the Musandam Peninsula, the Iranian coast from Bandar Abbas to Chabahar, the </w:t>
      </w:r>
      <w:proofErr w:type="spellStart"/>
      <w:r>
        <w:t>Balochistan</w:t>
      </w:r>
      <w:proofErr w:type="spellEnd"/>
      <w:r>
        <w:t xml:space="preserve"> coast including Gwadar, and the Yemeni coastal communities of the Bab el-Mandeb corridor, including Hodeidah. Registration flows through the sponsoring Core Littoral Party or the Depositary-Link State, requires no political status determination, and creates no recognition of any authority. Coastal Community Participants receive the stabilization dividends of Part X, supply hazard reports under the Data Dividend, and seat two rotating delegates on the Maritime Livelihoods Facility board. This tier carries the Accord's quiet thesis: the communities closest to the water hold the cheapest peace, and the system pays them for it.</w:t>
      </w:r>
    </w:p>
    <w:p w14:paraId="15ED718A" w14:textId="77777777" w:rsidR="00EF22B4" w:rsidRDefault="00000000">
      <w:pPr>
        <w:pStyle w:val="Heading2"/>
      </w:pPr>
      <w:bookmarkStart w:id="16" w:name="_Toc236018409"/>
      <w:r>
        <w:lastRenderedPageBreak/>
        <w:t>Article 6: Accession and Standing</w:t>
      </w:r>
      <w:bookmarkEnd w:id="16"/>
    </w:p>
    <w:p w14:paraId="51297DE5" w14:textId="77777777" w:rsidR="00EF22B4" w:rsidRDefault="00000000">
      <w:r>
        <w:t xml:space="preserve">Accession proceeds by instrument deposited with the Depositary. An acceding participant names its tier and its adopted annexes. Tier migration operates upward and downward by written notice, with obligations adjusting at the next quarterly cycle. The Accord treats every participant's standing as a measurable, published quantity: the Contribution and Cost Register of Article 11.3 </w:t>
      </w:r>
      <w:proofErr w:type="gramStart"/>
      <w:r>
        <w:t>records</w:t>
      </w:r>
      <w:proofErr w:type="gramEnd"/>
      <w:r>
        <w:t xml:space="preserve"> each participant's verified inputs, and the Register feeds the dividend and credit calculations of Part X. Withdrawal follows Article 36.3, with twelve months notice and continuing obligations through the notice period.</w:t>
      </w:r>
    </w:p>
    <w:tbl>
      <w:tblPr>
        <w:tblW w:w="5000" w:type="pct"/>
        <w:tblInd w:w="10" w:type="dxa"/>
        <w:tblBorders>
          <w:top w:val="single" w:sz="10" w:space="0" w:color="1F3A4D"/>
          <w:bottom w:val="single" w:sz="10" w:space="0" w:color="1F3A4D"/>
          <w:insideH w:val="single" w:sz="4" w:space="0" w:color="C9D2D8"/>
        </w:tblBorders>
        <w:tblCellMar>
          <w:left w:w="10" w:type="dxa"/>
          <w:right w:w="10" w:type="dxa"/>
        </w:tblCellMar>
        <w:tblLook w:val="04A0" w:firstRow="1" w:lastRow="0" w:firstColumn="1" w:lastColumn="0" w:noHBand="0" w:noVBand="1"/>
      </w:tblPr>
      <w:tblGrid>
        <w:gridCol w:w="1655"/>
        <w:gridCol w:w="2782"/>
        <w:gridCol w:w="2207"/>
        <w:gridCol w:w="2402"/>
      </w:tblGrid>
      <w:tr w:rsidR="00EF22B4" w14:paraId="69773C57" w14:textId="77777777">
        <w:tblPrEx>
          <w:tblCellMar>
            <w:top w:w="0" w:type="dxa"/>
            <w:bottom w:w="0" w:type="dxa"/>
          </w:tblCellMar>
        </w:tblPrEx>
        <w:trPr>
          <w:tblHeader/>
        </w:trPr>
        <w:tc>
          <w:tcPr>
            <w:tcW w:w="1700" w:type="dxa"/>
            <w:shd w:val="clear" w:color="auto" w:fill="EDF1F4"/>
          </w:tcPr>
          <w:p w14:paraId="3FCF8DF6" w14:textId="77777777" w:rsidR="00EF22B4" w:rsidRDefault="00000000">
            <w:pPr>
              <w:spacing w:before="40" w:after="40"/>
            </w:pPr>
            <w:r>
              <w:rPr>
                <w:b/>
                <w:color w:val="1F3A4D"/>
                <w:sz w:val="19"/>
              </w:rPr>
              <w:t>Tier</w:t>
            </w:r>
          </w:p>
        </w:tc>
        <w:tc>
          <w:tcPr>
            <w:tcW w:w="2900" w:type="dxa"/>
            <w:shd w:val="clear" w:color="auto" w:fill="EDF1F4"/>
          </w:tcPr>
          <w:p w14:paraId="1885F30E" w14:textId="77777777" w:rsidR="00EF22B4" w:rsidRDefault="00000000">
            <w:pPr>
              <w:spacing w:before="40" w:after="40"/>
            </w:pPr>
            <w:r>
              <w:rPr>
                <w:b/>
                <w:color w:val="1F3A4D"/>
                <w:sz w:val="19"/>
              </w:rPr>
              <w:t>Participants</w:t>
            </w:r>
          </w:p>
        </w:tc>
        <w:tc>
          <w:tcPr>
            <w:tcW w:w="2300" w:type="dxa"/>
            <w:shd w:val="clear" w:color="auto" w:fill="EDF1F4"/>
          </w:tcPr>
          <w:p w14:paraId="65CA2E02" w14:textId="77777777" w:rsidR="00EF22B4" w:rsidRDefault="00000000">
            <w:pPr>
              <w:spacing w:before="40" w:after="40"/>
            </w:pPr>
            <w:r>
              <w:rPr>
                <w:b/>
                <w:color w:val="1F3A4D"/>
                <w:sz w:val="19"/>
              </w:rPr>
              <w:t>Standing</w:t>
            </w:r>
          </w:p>
        </w:tc>
        <w:tc>
          <w:tcPr>
            <w:tcW w:w="2500" w:type="dxa"/>
            <w:shd w:val="clear" w:color="auto" w:fill="EDF1F4"/>
          </w:tcPr>
          <w:p w14:paraId="1853FF56" w14:textId="77777777" w:rsidR="00EF22B4" w:rsidRDefault="00000000">
            <w:pPr>
              <w:spacing w:before="40" w:after="40"/>
            </w:pPr>
            <w:r>
              <w:rPr>
                <w:b/>
                <w:color w:val="1F3A4D"/>
                <w:sz w:val="19"/>
              </w:rPr>
              <w:t>Core Function</w:t>
            </w:r>
          </w:p>
        </w:tc>
      </w:tr>
      <w:tr w:rsidR="00EF22B4" w14:paraId="682AAA12" w14:textId="77777777">
        <w:tblPrEx>
          <w:tblCellMar>
            <w:top w:w="0" w:type="dxa"/>
            <w:bottom w:w="0" w:type="dxa"/>
          </w:tblCellMar>
        </w:tblPrEx>
        <w:tc>
          <w:tcPr>
            <w:tcW w:w="1700" w:type="dxa"/>
          </w:tcPr>
          <w:p w14:paraId="1E52B4FE" w14:textId="77777777" w:rsidR="00EF22B4" w:rsidRDefault="00000000">
            <w:pPr>
              <w:spacing w:before="40" w:after="40"/>
            </w:pPr>
            <w:r>
              <w:rPr>
                <w:sz w:val="19"/>
              </w:rPr>
              <w:t>1: Core Littoral</w:t>
            </w:r>
          </w:p>
        </w:tc>
        <w:tc>
          <w:tcPr>
            <w:tcW w:w="2900" w:type="dxa"/>
          </w:tcPr>
          <w:p w14:paraId="65F63084" w14:textId="77777777" w:rsidR="00EF22B4" w:rsidRDefault="00000000">
            <w:pPr>
              <w:spacing w:before="40" w:after="40"/>
            </w:pPr>
            <w:r>
              <w:rPr>
                <w:sz w:val="19"/>
              </w:rPr>
              <w:t>Iran, Oman (Co-Stewards); UAE</w:t>
            </w:r>
          </w:p>
        </w:tc>
        <w:tc>
          <w:tcPr>
            <w:tcW w:w="2300" w:type="dxa"/>
          </w:tcPr>
          <w:p w14:paraId="30B0134B" w14:textId="77777777" w:rsidR="00EF22B4" w:rsidRDefault="00000000">
            <w:pPr>
              <w:spacing w:before="40" w:after="40"/>
            </w:pPr>
            <w:r>
              <w:rPr>
                <w:sz w:val="19"/>
              </w:rPr>
              <w:t>Full Party, Council vote</w:t>
            </w:r>
          </w:p>
        </w:tc>
        <w:tc>
          <w:tcPr>
            <w:tcW w:w="2500" w:type="dxa"/>
          </w:tcPr>
          <w:p w14:paraId="6DE0E7D4" w14:textId="77777777" w:rsidR="00EF22B4" w:rsidRDefault="00000000">
            <w:pPr>
              <w:spacing w:before="40" w:after="40"/>
            </w:pPr>
            <w:r>
              <w:rPr>
                <w:sz w:val="19"/>
              </w:rPr>
              <w:t>Corridor operation, escort, VTS, verification</w:t>
            </w:r>
          </w:p>
        </w:tc>
      </w:tr>
      <w:tr w:rsidR="00EF22B4" w14:paraId="7A39A209" w14:textId="77777777">
        <w:tblPrEx>
          <w:tblCellMar>
            <w:top w:w="0" w:type="dxa"/>
            <w:bottom w:w="0" w:type="dxa"/>
          </w:tblCellMar>
        </w:tblPrEx>
        <w:tc>
          <w:tcPr>
            <w:tcW w:w="1700" w:type="dxa"/>
          </w:tcPr>
          <w:p w14:paraId="47CB70B2" w14:textId="77777777" w:rsidR="00EF22B4" w:rsidRDefault="00000000">
            <w:pPr>
              <w:spacing w:before="40" w:after="40"/>
            </w:pPr>
            <w:r>
              <w:rPr>
                <w:sz w:val="19"/>
              </w:rPr>
              <w:t>1-A: Depositary-Link</w:t>
            </w:r>
          </w:p>
        </w:tc>
        <w:tc>
          <w:tcPr>
            <w:tcW w:w="2900" w:type="dxa"/>
          </w:tcPr>
          <w:p w14:paraId="62AF35AD" w14:textId="77777777" w:rsidR="00EF22B4" w:rsidRDefault="00000000">
            <w:pPr>
              <w:spacing w:before="40" w:after="40"/>
            </w:pPr>
            <w:r>
              <w:rPr>
                <w:sz w:val="19"/>
              </w:rPr>
              <w:t>Pakistan</w:t>
            </w:r>
          </w:p>
        </w:tc>
        <w:tc>
          <w:tcPr>
            <w:tcW w:w="2300" w:type="dxa"/>
          </w:tcPr>
          <w:p w14:paraId="76AB25F4" w14:textId="77777777" w:rsidR="00EF22B4" w:rsidRDefault="00000000">
            <w:pPr>
              <w:spacing w:before="40" w:after="40"/>
            </w:pPr>
            <w:r>
              <w:rPr>
                <w:sz w:val="19"/>
              </w:rPr>
              <w:t>Full voice; vote on eastern approaches</w:t>
            </w:r>
          </w:p>
        </w:tc>
        <w:tc>
          <w:tcPr>
            <w:tcW w:w="2500" w:type="dxa"/>
          </w:tcPr>
          <w:p w14:paraId="1EDC085D" w14:textId="77777777" w:rsidR="00EF22B4" w:rsidRDefault="00000000">
            <w:pPr>
              <w:spacing w:before="40" w:after="40"/>
            </w:pPr>
            <w:r>
              <w:rPr>
                <w:sz w:val="19"/>
              </w:rPr>
              <w:t>MoU linkage, liaison, Gwadar programs</w:t>
            </w:r>
          </w:p>
        </w:tc>
      </w:tr>
      <w:tr w:rsidR="00EF22B4" w14:paraId="717EE9BC" w14:textId="77777777">
        <w:tblPrEx>
          <w:tblCellMar>
            <w:top w:w="0" w:type="dxa"/>
            <w:bottom w:w="0" w:type="dxa"/>
          </w:tblCellMar>
        </w:tblPrEx>
        <w:tc>
          <w:tcPr>
            <w:tcW w:w="1700" w:type="dxa"/>
          </w:tcPr>
          <w:p w14:paraId="100A33B3" w14:textId="77777777" w:rsidR="00EF22B4" w:rsidRDefault="00000000">
            <w:pPr>
              <w:spacing w:before="40" w:after="40"/>
            </w:pPr>
            <w:r>
              <w:rPr>
                <w:sz w:val="19"/>
              </w:rPr>
              <w:t>2: Associate Littoral</w:t>
            </w:r>
          </w:p>
        </w:tc>
        <w:tc>
          <w:tcPr>
            <w:tcW w:w="2900" w:type="dxa"/>
          </w:tcPr>
          <w:p w14:paraId="726E1A63" w14:textId="77777777" w:rsidR="00EF22B4" w:rsidRDefault="00000000">
            <w:pPr>
              <w:spacing w:before="40" w:after="40"/>
            </w:pPr>
            <w:r>
              <w:rPr>
                <w:sz w:val="19"/>
              </w:rPr>
              <w:t>Saudi Arabia, Qatar, Bahrain (Kuwait, Iraq eligible)</w:t>
            </w:r>
          </w:p>
        </w:tc>
        <w:tc>
          <w:tcPr>
            <w:tcW w:w="2300" w:type="dxa"/>
          </w:tcPr>
          <w:p w14:paraId="04F7494C" w14:textId="77777777" w:rsidR="00EF22B4" w:rsidRDefault="00000000">
            <w:pPr>
              <w:spacing w:before="40" w:after="40"/>
            </w:pPr>
            <w:r>
              <w:rPr>
                <w:sz w:val="19"/>
              </w:rPr>
              <w:t>Party; vote on traffic matters</w:t>
            </w:r>
          </w:p>
        </w:tc>
        <w:tc>
          <w:tcPr>
            <w:tcW w:w="2500" w:type="dxa"/>
          </w:tcPr>
          <w:p w14:paraId="1DC38981" w14:textId="77777777" w:rsidR="00EF22B4" w:rsidRDefault="00000000">
            <w:pPr>
              <w:spacing w:before="40" w:after="40"/>
            </w:pPr>
            <w:r>
              <w:rPr>
                <w:sz w:val="19"/>
              </w:rPr>
              <w:t>Regional legitimacy, funding, survey support</w:t>
            </w:r>
          </w:p>
        </w:tc>
      </w:tr>
      <w:tr w:rsidR="00EF22B4" w14:paraId="695F504A" w14:textId="77777777">
        <w:tblPrEx>
          <w:tblCellMar>
            <w:top w:w="0" w:type="dxa"/>
            <w:bottom w:w="0" w:type="dxa"/>
          </w:tblCellMar>
        </w:tblPrEx>
        <w:tc>
          <w:tcPr>
            <w:tcW w:w="1700" w:type="dxa"/>
          </w:tcPr>
          <w:p w14:paraId="2CD9C344" w14:textId="77777777" w:rsidR="00EF22B4" w:rsidRDefault="00000000">
            <w:pPr>
              <w:spacing w:before="40" w:after="40"/>
            </w:pPr>
            <w:r>
              <w:rPr>
                <w:sz w:val="19"/>
              </w:rPr>
              <w:t>3: Observer User States</w:t>
            </w:r>
          </w:p>
        </w:tc>
        <w:tc>
          <w:tcPr>
            <w:tcW w:w="2900" w:type="dxa"/>
          </w:tcPr>
          <w:p w14:paraId="3924C5D2" w14:textId="77777777" w:rsidR="00EF22B4" w:rsidRDefault="00000000">
            <w:pPr>
              <w:spacing w:before="40" w:after="40"/>
            </w:pPr>
            <w:r>
              <w:rPr>
                <w:sz w:val="19"/>
              </w:rPr>
              <w:t>India, China, Japan, Korea, EU</w:t>
            </w:r>
          </w:p>
        </w:tc>
        <w:tc>
          <w:tcPr>
            <w:tcW w:w="2300" w:type="dxa"/>
          </w:tcPr>
          <w:p w14:paraId="52C5D305" w14:textId="77777777" w:rsidR="00EF22B4" w:rsidRDefault="00000000">
            <w:pPr>
              <w:spacing w:before="40" w:after="40"/>
            </w:pPr>
            <w:r>
              <w:rPr>
                <w:sz w:val="19"/>
              </w:rPr>
              <w:t>Non-voting observer</w:t>
            </w:r>
          </w:p>
        </w:tc>
        <w:tc>
          <w:tcPr>
            <w:tcW w:w="2500" w:type="dxa"/>
          </w:tcPr>
          <w:p w14:paraId="0A3D3678" w14:textId="77777777" w:rsidR="00EF22B4" w:rsidRDefault="00000000">
            <w:pPr>
              <w:spacing w:before="40" w:after="40"/>
            </w:pPr>
            <w:r>
              <w:rPr>
                <w:sz w:val="19"/>
              </w:rPr>
              <w:t>Market and insurance alignment</w:t>
            </w:r>
          </w:p>
        </w:tc>
      </w:tr>
      <w:tr w:rsidR="00EF22B4" w14:paraId="0498C3A6" w14:textId="77777777">
        <w:tblPrEx>
          <w:tblCellMar>
            <w:top w:w="0" w:type="dxa"/>
            <w:bottom w:w="0" w:type="dxa"/>
          </w:tblCellMar>
        </w:tblPrEx>
        <w:tc>
          <w:tcPr>
            <w:tcW w:w="1700" w:type="dxa"/>
          </w:tcPr>
          <w:p w14:paraId="089817A7" w14:textId="77777777" w:rsidR="00EF22B4" w:rsidRDefault="00000000">
            <w:pPr>
              <w:spacing w:before="40" w:after="40"/>
            </w:pPr>
            <w:r>
              <w:rPr>
                <w:sz w:val="19"/>
              </w:rPr>
              <w:t>4: Institutional Partners</w:t>
            </w:r>
          </w:p>
        </w:tc>
        <w:tc>
          <w:tcPr>
            <w:tcW w:w="2900" w:type="dxa"/>
          </w:tcPr>
          <w:p w14:paraId="4DD0234E" w14:textId="77777777" w:rsidR="00EF22B4" w:rsidRDefault="00000000">
            <w:pPr>
              <w:spacing w:before="40" w:after="40"/>
            </w:pPr>
            <w:r>
              <w:rPr>
                <w:sz w:val="19"/>
              </w:rPr>
              <w:t>IMO, IHO, ICS, P&amp;I Clubs</w:t>
            </w:r>
          </w:p>
        </w:tc>
        <w:tc>
          <w:tcPr>
            <w:tcW w:w="2300" w:type="dxa"/>
          </w:tcPr>
          <w:p w14:paraId="44E745AC" w14:textId="77777777" w:rsidR="00EF22B4" w:rsidRDefault="00000000">
            <w:pPr>
              <w:spacing w:before="40" w:after="40"/>
            </w:pPr>
            <w:r>
              <w:rPr>
                <w:sz w:val="19"/>
              </w:rPr>
              <w:t>Technical partner</w:t>
            </w:r>
          </w:p>
        </w:tc>
        <w:tc>
          <w:tcPr>
            <w:tcW w:w="2500" w:type="dxa"/>
          </w:tcPr>
          <w:p w14:paraId="7768A542" w14:textId="77777777" w:rsidR="00EF22B4" w:rsidRDefault="00000000">
            <w:pPr>
              <w:spacing w:before="40" w:after="40"/>
            </w:pPr>
            <w:r>
              <w:rPr>
                <w:sz w:val="19"/>
              </w:rPr>
              <w:t>Standards, registration, risk classification</w:t>
            </w:r>
          </w:p>
        </w:tc>
      </w:tr>
      <w:tr w:rsidR="00EF22B4" w14:paraId="47D5A7B9" w14:textId="77777777">
        <w:tblPrEx>
          <w:tblCellMar>
            <w:top w:w="0" w:type="dxa"/>
            <w:bottom w:w="0" w:type="dxa"/>
          </w:tblCellMar>
        </w:tblPrEx>
        <w:tc>
          <w:tcPr>
            <w:tcW w:w="1700" w:type="dxa"/>
          </w:tcPr>
          <w:p w14:paraId="739675B8" w14:textId="77777777" w:rsidR="00EF22B4" w:rsidRDefault="00000000">
            <w:pPr>
              <w:spacing w:before="40" w:after="40"/>
            </w:pPr>
            <w:r>
              <w:rPr>
                <w:sz w:val="19"/>
              </w:rPr>
              <w:t>5: Security Liaisons</w:t>
            </w:r>
          </w:p>
        </w:tc>
        <w:tc>
          <w:tcPr>
            <w:tcW w:w="2900" w:type="dxa"/>
          </w:tcPr>
          <w:p w14:paraId="6E2EF972" w14:textId="77777777" w:rsidR="00EF22B4" w:rsidRDefault="00000000">
            <w:pPr>
              <w:spacing w:before="40" w:after="40"/>
            </w:pPr>
            <w:r>
              <w:rPr>
                <w:sz w:val="19"/>
              </w:rPr>
              <w:t>United States, United Kingdom, France</w:t>
            </w:r>
          </w:p>
        </w:tc>
        <w:tc>
          <w:tcPr>
            <w:tcW w:w="2300" w:type="dxa"/>
          </w:tcPr>
          <w:p w14:paraId="1B246FF2" w14:textId="77777777" w:rsidR="00EF22B4" w:rsidRDefault="00000000">
            <w:pPr>
              <w:spacing w:before="40" w:after="40"/>
            </w:pPr>
            <w:r>
              <w:rPr>
                <w:sz w:val="19"/>
              </w:rPr>
              <w:t>Non-party liaison</w:t>
            </w:r>
          </w:p>
        </w:tc>
        <w:tc>
          <w:tcPr>
            <w:tcW w:w="2500" w:type="dxa"/>
          </w:tcPr>
          <w:p w14:paraId="5FE74F2F" w14:textId="77777777" w:rsidR="00EF22B4" w:rsidRDefault="00000000">
            <w:pPr>
              <w:spacing w:before="40" w:after="40"/>
            </w:pPr>
            <w:r>
              <w:rPr>
                <w:sz w:val="19"/>
              </w:rPr>
              <w:t>Deconfliction and crisis response only</w:t>
            </w:r>
          </w:p>
        </w:tc>
      </w:tr>
      <w:tr w:rsidR="00EF22B4" w14:paraId="10FE95E7" w14:textId="77777777">
        <w:tblPrEx>
          <w:tblCellMar>
            <w:top w:w="0" w:type="dxa"/>
            <w:bottom w:w="0" w:type="dxa"/>
          </w:tblCellMar>
        </w:tblPrEx>
        <w:tc>
          <w:tcPr>
            <w:tcW w:w="1700" w:type="dxa"/>
          </w:tcPr>
          <w:p w14:paraId="6A904264" w14:textId="77777777" w:rsidR="00EF22B4" w:rsidRDefault="00000000">
            <w:pPr>
              <w:spacing w:before="40" w:after="40"/>
            </w:pPr>
            <w:r>
              <w:rPr>
                <w:sz w:val="19"/>
              </w:rPr>
              <w:t>6: Coastal Communities</w:t>
            </w:r>
          </w:p>
        </w:tc>
        <w:tc>
          <w:tcPr>
            <w:tcW w:w="2900" w:type="dxa"/>
          </w:tcPr>
          <w:p w14:paraId="3B4FDC88" w14:textId="77777777" w:rsidR="00EF22B4" w:rsidRDefault="00000000">
            <w:pPr>
              <w:spacing w:before="40" w:after="40"/>
            </w:pPr>
            <w:r>
              <w:rPr>
                <w:sz w:val="19"/>
              </w:rPr>
              <w:t>Municipalities, cooperatives of the wider waterway</w:t>
            </w:r>
          </w:p>
        </w:tc>
        <w:tc>
          <w:tcPr>
            <w:tcW w:w="2300" w:type="dxa"/>
          </w:tcPr>
          <w:p w14:paraId="01CC1DF5" w14:textId="77777777" w:rsidR="00EF22B4" w:rsidRDefault="00000000">
            <w:pPr>
              <w:spacing w:before="40" w:after="40"/>
            </w:pPr>
            <w:r>
              <w:rPr>
                <w:sz w:val="19"/>
              </w:rPr>
              <w:t>Registered participant</w:t>
            </w:r>
          </w:p>
        </w:tc>
        <w:tc>
          <w:tcPr>
            <w:tcW w:w="2500" w:type="dxa"/>
          </w:tcPr>
          <w:p w14:paraId="0EA5FD99" w14:textId="77777777" w:rsidR="00EF22B4" w:rsidRDefault="00000000">
            <w:pPr>
              <w:spacing w:before="40" w:after="40"/>
            </w:pPr>
            <w:r>
              <w:rPr>
                <w:sz w:val="19"/>
              </w:rPr>
              <w:t>Hazard reporting, dividend recipients</w:t>
            </w:r>
          </w:p>
        </w:tc>
      </w:tr>
    </w:tbl>
    <w:p w14:paraId="11C975B2" w14:textId="77777777" w:rsidR="00EF22B4" w:rsidRDefault="00000000">
      <w:pPr>
        <w:pStyle w:val="Caption"/>
      </w:pPr>
      <w:r>
        <w:t>Table 1: Participation tiers and standing</w:t>
      </w:r>
    </w:p>
    <w:p w14:paraId="78B4D8AB" w14:textId="77777777" w:rsidR="00EF22B4" w:rsidRDefault="00000000">
      <w:pPr>
        <w:pStyle w:val="Heading1"/>
        <w:pBdr>
          <w:bottom w:val="single" w:sz="8" w:space="2" w:color="B8860B"/>
        </w:pBdr>
      </w:pPr>
      <w:bookmarkStart w:id="17" w:name="_Toc236018410"/>
      <w:r>
        <w:t>Part IV: Governance Bodies</w:t>
      </w:r>
      <w:bookmarkStart w:id="18" w:name="_TocBM6"/>
      <w:bookmarkEnd w:id="17"/>
      <w:bookmarkEnd w:id="18"/>
    </w:p>
    <w:p w14:paraId="4CE9225D" w14:textId="77777777" w:rsidR="00EF22B4" w:rsidRDefault="00000000">
      <w:r>
        <w:t>Five bodies run the Accord. The footprint stays deliberately small: one council, one operations center, one verification office, one technical committee, and one financial facilitator, supported by a depositary function. Annex C carries the full staffing, budget, and cost allocation schedule. Two design rules govern everything in this Part: rotation prevents capture, and smallness prevents the institution from becoming a prize worth fighting over.</w:t>
      </w:r>
    </w:p>
    <w:p w14:paraId="26D82892" w14:textId="77777777" w:rsidR="00EF22B4" w:rsidRDefault="00000000">
      <w:pPr>
        <w:pStyle w:val="Heading2"/>
      </w:pPr>
      <w:bookmarkStart w:id="19" w:name="_Toc236018411"/>
      <w:r>
        <w:t>Article 7: The Accord Council</w:t>
      </w:r>
      <w:bookmarkEnd w:id="19"/>
    </w:p>
    <w:p w14:paraId="4D993A43" w14:textId="77777777" w:rsidR="00EF22B4" w:rsidRDefault="00000000">
      <w:r>
        <w:t xml:space="preserve">The Accord Council is the political body of the Accord. It comprises one delegate from each Core Littoral Party, the Depositary-Link State, and each Associate Littoral Party, with observers from Tier 3 and Tier 4. The chair rotates every six months among the Core Littoral Parties in alphabetical order, and no delegate </w:t>
      </w:r>
      <w:r>
        <w:lastRenderedPageBreak/>
        <w:t>chairs twice consecutively. The Council meets quarterly in Muscat and convenes virtually between sessions.</w:t>
      </w:r>
    </w:p>
    <w:p w14:paraId="0A5CF249" w14:textId="77777777" w:rsidR="00EF22B4" w:rsidRDefault="00000000">
      <w:r>
        <w:t>The Council adopts and retires MCUs, approves the budget, appoints the head of the Independent Verification Office by two-thirds vote, and resolves disputes at the political tier. Decisions proceed by consensus; failing consensus within 72 hours, a two-thirds vote of voting members decides every matter except core undertakings (unanimity of Core Littoral Parties plus two-thirds of all Parties), membership removal (consensus), and budget adoption (two-thirds including at least two Core Littoral Parties).</w:t>
      </w:r>
    </w:p>
    <w:p w14:paraId="2AC79B1C" w14:textId="77777777" w:rsidR="00EF22B4" w:rsidRDefault="00000000">
      <w:pPr>
        <w:pStyle w:val="Heading2"/>
      </w:pPr>
      <w:bookmarkStart w:id="20" w:name="_Toc236018412"/>
      <w:r>
        <w:t>Article 8: The Joint Coordination Center</w:t>
      </w:r>
      <w:bookmarkEnd w:id="20"/>
    </w:p>
    <w:p w14:paraId="46964AAD" w14:textId="77777777" w:rsidR="00EF22B4" w:rsidRDefault="00000000">
      <w:r>
        <w:t>The Joint Coordination Center (JCC) operates from Muscat with a standing staff of twelve: four operational duty officers, four data and charting specialists, two liaison coordinators, one safety officer, and one administrator. The duty officer pair always comprises one officer nominated by Iran and one nominated by Oman, rotating the senior watch position annually. The Depositary-Link State and each Associate Littoral Party seat one liaison officer each at their own cost. The JCC runs the corridor assignment system, the hotline network, the incident log, the hazard bulletin service, and the shared operational picture. It publishes the Open Water Bulletin daily and the incident summary weekly.</w:t>
      </w:r>
    </w:p>
    <w:p w14:paraId="0EBBAFF5" w14:textId="77777777" w:rsidR="00EF22B4" w:rsidRDefault="00000000">
      <w:r>
        <w:t xml:space="preserve">The JCC holds no political authority. It executes the corridor rules, the escort protocol of Annex A, and the notification triggers of the Early Indicator Protocol. Every JCC action </w:t>
      </w:r>
      <w:proofErr w:type="gramStart"/>
      <w:r>
        <w:t>logs</w:t>
      </w:r>
      <w:proofErr w:type="gramEnd"/>
      <w:r>
        <w:t xml:space="preserve"> to the shared registry with an identical timestamp for every Party.</w:t>
      </w:r>
    </w:p>
    <w:p w14:paraId="515A0D10" w14:textId="77777777" w:rsidR="00EF22B4" w:rsidRDefault="00000000">
      <w:pPr>
        <w:pStyle w:val="Heading2"/>
      </w:pPr>
      <w:bookmarkStart w:id="21" w:name="_Toc236018413"/>
      <w:r>
        <w:t>Article 9: The Independent Verification Office</w:t>
      </w:r>
      <w:bookmarkEnd w:id="21"/>
    </w:p>
    <w:p w14:paraId="06B40E76" w14:textId="77777777" w:rsidR="00EF22B4" w:rsidRDefault="00000000">
      <w:r>
        <w:t>The Independent Verification Office (IVO) is the instrument of fact for the Accord. It comprises nine professionals: a head, four field verifiers, two data analysts, one legal secretary, and one administrator. The Council appoints the head by two-thirds vote for a single non-renewable term of six years. Removal proceeds only for demonstrated conflict of interest, documented bias, or material breach of the independence safeguards, by the same two-thirds vote; policy disagreement supplies no ground. The Facilitator administers the IVO budget from pooled contributions, so that no Party traces its money to any finding.</w:t>
      </w:r>
    </w:p>
    <w:p w14:paraId="449B6AB5" w14:textId="77777777" w:rsidR="00EF22B4" w:rsidRDefault="00000000">
      <w:r>
        <w:t>The IVO maintains the sensor and data infrastructure of Annex B, certifies compliance at the gates of Article 12 and Annex B, administers the Demonstration Duty of Article 23, runs the Randomized Verification Windows, and publishes the compliance scorecard quarterly. Its findings publish to all Parties simultaneously. Where the IVO cannot verify, it says so, and a non-finding itself enters the record as a reportable output.</w:t>
      </w:r>
    </w:p>
    <w:p w14:paraId="1959712E" w14:textId="77777777" w:rsidR="00EF22B4" w:rsidRDefault="00000000">
      <w:pPr>
        <w:pStyle w:val="Heading2"/>
      </w:pPr>
      <w:bookmarkStart w:id="22" w:name="_Toc236018414"/>
      <w:r>
        <w:t>Article 10: Technical Standards Committee, Facilitator, and Depositary</w:t>
      </w:r>
      <w:bookmarkEnd w:id="22"/>
    </w:p>
    <w:p w14:paraId="1757B9DF" w14:textId="77777777" w:rsidR="00EF22B4" w:rsidRDefault="00000000">
      <w:r>
        <w:t>The Technical Standards Committee harmonizes vessel traffic services, pilotage standards, data formats, and charting. It comprises technical delegates of the Parties and observers and works by consensus; unresolved technical questions escalate to the Council with a written options paper.</w:t>
      </w:r>
    </w:p>
    <w:p w14:paraId="1B82506B" w14:textId="77777777" w:rsidR="00EF22B4" w:rsidRDefault="00000000">
      <w:r>
        <w:lastRenderedPageBreak/>
        <w:t>The Swiss Confederation serves as Facilitator. The Facilitator administers the escrow accounts, the Transit Services Fund, the Common Benefit Fund, and the Maritime Livelihoods Facility, contracts independent auditors, and operates the whistleblower channel of Annex B. The Facilitator holds no vote and no policy role.</w:t>
      </w:r>
    </w:p>
    <w:p w14:paraId="7153D962" w14:textId="77777777" w:rsidR="00EF22B4" w:rsidRDefault="00000000">
      <w:r>
        <w:t>The Sultanate of Oman serves as Depositary. The Depositary holds the instruments of accession, registers amendments, and records the linkage of this Accord to the Islamabad Memorandum of Understanding through the Depositary-Link State.</w:t>
      </w:r>
    </w:p>
    <w:p w14:paraId="38C76D80" w14:textId="77777777" w:rsidR="00EF22B4" w:rsidRDefault="00000000">
      <w:pPr>
        <w:pStyle w:val="Heading2"/>
      </w:pPr>
      <w:bookmarkStart w:id="23" w:name="_Toc236018415"/>
      <w:r>
        <w:t>Article 11: Cost Discipline and Institutional Impermanence</w:t>
      </w:r>
      <w:bookmarkEnd w:id="23"/>
    </w:p>
    <w:p w14:paraId="55C0ACBA" w14:textId="77777777" w:rsidR="00EF22B4" w:rsidRDefault="00000000">
      <w:pPr>
        <w:pStyle w:val="Heading3"/>
      </w:pPr>
      <w:r>
        <w:t>11.1 Lean Budget Rule</w:t>
      </w:r>
    </w:p>
    <w:p w14:paraId="5BAF449E" w14:textId="77777777" w:rsidR="00EF22B4" w:rsidRDefault="00000000">
      <w:r>
        <w:t>The standing budget of the governance bodies operates under an annual cap adopted at entry into force and published in Annex C. The cap adjusts only by two-thirds Council vote. The JCC and IVO operate virtual-first: meetings default to secure video, and travel draws on a capped pool. Each Party bears the cost of its own delegations and liaison officers. The pooled budget funds only the shared bodies, and the Facilitator audits it annually with publication of the full audit.</w:t>
      </w:r>
    </w:p>
    <w:p w14:paraId="6DE85490" w14:textId="77777777" w:rsidR="00EF22B4" w:rsidRDefault="00000000">
      <w:pPr>
        <w:pStyle w:val="Heading3"/>
      </w:pPr>
      <w:r>
        <w:t>11.2 Scheduled Dissolution Review</w:t>
      </w:r>
    </w:p>
    <w:p w14:paraId="0500F920" w14:textId="77777777" w:rsidR="00EF22B4" w:rsidRDefault="00000000">
      <w:r>
        <w:t>Every committee, working group, and program body of the Accord carries a scheduled dissolution review every twenty-four months. Continuation requires affirmative written consent of the Council; silence dissolves. The review keeps the structure free of institutional drift and free of bodies that persist past their usefulness. The standing bodies of Articles 7 through 10 renew by the same rule on a four-year cycle. The Core Undertakings and the MCUs stand outside this rule: institutions dissolve, commitments endure.</w:t>
      </w:r>
    </w:p>
    <w:p w14:paraId="1161E7D1" w14:textId="77777777" w:rsidR="00EF22B4" w:rsidRDefault="00000000">
      <w:pPr>
        <w:pStyle w:val="Heading3"/>
      </w:pPr>
      <w:r>
        <w:t>11.3 The Contribution and Cost Register</w:t>
      </w:r>
    </w:p>
    <w:p w14:paraId="7406F053" w14:textId="77777777" w:rsidR="00EF22B4" w:rsidRDefault="00000000">
      <w:r>
        <w:t>The IVO maintains a public Contribution and Cost Register. Every participant registers its verified inputs: escort hours, survey data, funding, hazard reports, compliance acts, and restraint. Every participant also registers the costs it discloses for each input, on a standardized template covering political, operational, and financial cost. The Register replaces suspicion with evidence: every Party sees what every other Party contributes and what each contribution costs. The Register feeds the Compliance Credit Exchange of Article 33 and the dividend allocations of Part X.</w:t>
      </w:r>
    </w:p>
    <w:p w14:paraId="493E9138" w14:textId="77777777" w:rsidR="00EF22B4" w:rsidRDefault="00000000">
      <w:pPr>
        <w:pStyle w:val="Heading1"/>
        <w:pBdr>
          <w:bottom w:val="single" w:sz="8" w:space="2" w:color="B8860B"/>
        </w:pBdr>
      </w:pPr>
      <w:bookmarkStart w:id="24" w:name="_Toc236018416"/>
      <w:r>
        <w:t>Part V: The Modular Commitment System</w:t>
      </w:r>
      <w:bookmarkStart w:id="25" w:name="_TocBM7"/>
      <w:bookmarkEnd w:id="24"/>
      <w:bookmarkEnd w:id="25"/>
    </w:p>
    <w:p w14:paraId="0055EEEF" w14:textId="77777777" w:rsidR="00EF22B4" w:rsidRDefault="00000000">
      <w:r>
        <w:t>The Accord binds no grand bargain. It binds small reciprocal commitments, each one self-contained, each one verifiable, each one severable without collapse. This Part defines the unit, the activation logic, and the continuity rules.</w:t>
      </w:r>
    </w:p>
    <w:p w14:paraId="7BBBF547" w14:textId="77777777" w:rsidR="00EF22B4" w:rsidRDefault="00000000">
      <w:pPr>
        <w:pStyle w:val="Heading2"/>
      </w:pPr>
      <w:bookmarkStart w:id="26" w:name="_Toc236018417"/>
      <w:r>
        <w:lastRenderedPageBreak/>
        <w:t>Article 12: Modular Commitment Units</w:t>
      </w:r>
      <w:bookmarkEnd w:id="26"/>
    </w:p>
    <w:p w14:paraId="74BD964F" w14:textId="77777777" w:rsidR="00EF22B4" w:rsidRDefault="00000000">
      <w:pPr>
        <w:pStyle w:val="Heading3"/>
      </w:pPr>
      <w:r>
        <w:t>12.1 The Unit</w:t>
      </w:r>
    </w:p>
    <w:p w14:paraId="283C441F" w14:textId="77777777" w:rsidR="00EF22B4" w:rsidRDefault="00000000">
      <w:r>
        <w:t>A Modular Commitment Unit (MCU) is a single reciprocal commitment between two or more Parties, instantiated as a standalone annex schedule. Each MCU specifies: the commitment on each side, the verification method from Annex B, the certification gate, the escrow reference where applicable, and the consequence mapping from Part VII. An MCU operates independently of every other MCU. The failure of one MCU suspends only itself under Isolation Mode and disturbs nothing else.</w:t>
      </w:r>
    </w:p>
    <w:p w14:paraId="2B0E10A3" w14:textId="77777777" w:rsidR="00EF22B4" w:rsidRDefault="00000000">
      <w:pPr>
        <w:pStyle w:val="Heading3"/>
      </w:pPr>
      <w:r>
        <w:t>12.2 Commitment Classes</w:t>
      </w:r>
    </w:p>
    <w:tbl>
      <w:tblPr>
        <w:tblW w:w="5000" w:type="pct"/>
        <w:tblInd w:w="10" w:type="dxa"/>
        <w:tblBorders>
          <w:top w:val="single" w:sz="10" w:space="0" w:color="1F3A4D"/>
          <w:bottom w:val="single" w:sz="10" w:space="0" w:color="1F3A4D"/>
          <w:insideH w:val="single" w:sz="4" w:space="0" w:color="C9D2D8"/>
        </w:tblBorders>
        <w:tblCellMar>
          <w:left w:w="10" w:type="dxa"/>
          <w:right w:w="10" w:type="dxa"/>
        </w:tblCellMar>
        <w:tblLook w:val="04A0" w:firstRow="1" w:lastRow="0" w:firstColumn="1" w:lastColumn="0" w:noHBand="0" w:noVBand="1"/>
      </w:tblPr>
      <w:tblGrid>
        <w:gridCol w:w="1143"/>
        <w:gridCol w:w="1729"/>
        <w:gridCol w:w="3134"/>
        <w:gridCol w:w="3040"/>
      </w:tblGrid>
      <w:tr w:rsidR="00EF22B4" w14:paraId="64F4231C" w14:textId="77777777">
        <w:tblPrEx>
          <w:tblCellMar>
            <w:top w:w="0" w:type="dxa"/>
            <w:bottom w:w="0" w:type="dxa"/>
          </w:tblCellMar>
        </w:tblPrEx>
        <w:trPr>
          <w:tblHeader/>
        </w:trPr>
        <w:tc>
          <w:tcPr>
            <w:tcW w:w="1200" w:type="dxa"/>
            <w:shd w:val="clear" w:color="auto" w:fill="EDF1F4"/>
          </w:tcPr>
          <w:p w14:paraId="55A0F99B" w14:textId="77777777" w:rsidR="00EF22B4" w:rsidRDefault="00000000">
            <w:pPr>
              <w:spacing w:before="40" w:after="40"/>
            </w:pPr>
            <w:r>
              <w:rPr>
                <w:b/>
                <w:color w:val="1F3A4D"/>
                <w:sz w:val="19"/>
              </w:rPr>
              <w:t>Class</w:t>
            </w:r>
          </w:p>
        </w:tc>
        <w:tc>
          <w:tcPr>
            <w:tcW w:w="1800" w:type="dxa"/>
            <w:shd w:val="clear" w:color="auto" w:fill="EDF1F4"/>
          </w:tcPr>
          <w:p w14:paraId="1B949896" w14:textId="77777777" w:rsidR="00EF22B4" w:rsidRDefault="00000000">
            <w:pPr>
              <w:spacing w:before="40" w:after="40"/>
            </w:pPr>
            <w:r>
              <w:rPr>
                <w:b/>
                <w:color w:val="1F3A4D"/>
                <w:sz w:val="19"/>
              </w:rPr>
              <w:t>Name</w:t>
            </w:r>
          </w:p>
        </w:tc>
        <w:tc>
          <w:tcPr>
            <w:tcW w:w="3300" w:type="dxa"/>
            <w:shd w:val="clear" w:color="auto" w:fill="EDF1F4"/>
          </w:tcPr>
          <w:p w14:paraId="2EAE6DD6" w14:textId="77777777" w:rsidR="00EF22B4" w:rsidRDefault="00000000">
            <w:pPr>
              <w:spacing w:before="40" w:after="40"/>
            </w:pPr>
            <w:r>
              <w:rPr>
                <w:b/>
                <w:color w:val="1F3A4D"/>
                <w:sz w:val="19"/>
              </w:rPr>
              <w:t>Content</w:t>
            </w:r>
          </w:p>
        </w:tc>
        <w:tc>
          <w:tcPr>
            <w:tcW w:w="3200" w:type="dxa"/>
            <w:shd w:val="clear" w:color="auto" w:fill="EDF1F4"/>
          </w:tcPr>
          <w:p w14:paraId="74B87F2F" w14:textId="77777777" w:rsidR="00EF22B4" w:rsidRDefault="00000000">
            <w:pPr>
              <w:spacing w:before="40" w:after="40"/>
            </w:pPr>
            <w:r>
              <w:rPr>
                <w:b/>
                <w:color w:val="1F3A4D"/>
                <w:sz w:val="19"/>
              </w:rPr>
              <w:t>Verification Intensity</w:t>
            </w:r>
          </w:p>
        </w:tc>
      </w:tr>
      <w:tr w:rsidR="00EF22B4" w14:paraId="0A65AE6B" w14:textId="77777777">
        <w:tblPrEx>
          <w:tblCellMar>
            <w:top w:w="0" w:type="dxa"/>
            <w:bottom w:w="0" w:type="dxa"/>
          </w:tblCellMar>
        </w:tblPrEx>
        <w:tc>
          <w:tcPr>
            <w:tcW w:w="1200" w:type="dxa"/>
          </w:tcPr>
          <w:p w14:paraId="04F3DEE3" w14:textId="77777777" w:rsidR="00EF22B4" w:rsidRDefault="00000000">
            <w:pPr>
              <w:spacing w:before="40" w:after="40"/>
            </w:pPr>
            <w:r>
              <w:rPr>
                <w:sz w:val="19"/>
              </w:rPr>
              <w:t>Class 1</w:t>
            </w:r>
          </w:p>
        </w:tc>
        <w:tc>
          <w:tcPr>
            <w:tcW w:w="1800" w:type="dxa"/>
          </w:tcPr>
          <w:p w14:paraId="1ABA6BA8" w14:textId="77777777" w:rsidR="00EF22B4" w:rsidRDefault="00000000">
            <w:pPr>
              <w:spacing w:before="40" w:after="40"/>
            </w:pPr>
            <w:r>
              <w:rPr>
                <w:sz w:val="19"/>
              </w:rPr>
              <w:t>Critical</w:t>
            </w:r>
          </w:p>
        </w:tc>
        <w:tc>
          <w:tcPr>
            <w:tcW w:w="3300" w:type="dxa"/>
          </w:tcPr>
          <w:p w14:paraId="7CC0C08D" w14:textId="77777777" w:rsidR="00EF22B4" w:rsidRDefault="00000000">
            <w:pPr>
              <w:spacing w:before="40" w:after="40"/>
            </w:pPr>
            <w:r>
              <w:rPr>
                <w:sz w:val="19"/>
              </w:rPr>
              <w:t>Corridor access, non-interdiction, core de-escalation</w:t>
            </w:r>
          </w:p>
        </w:tc>
        <w:tc>
          <w:tcPr>
            <w:tcW w:w="3200" w:type="dxa"/>
          </w:tcPr>
          <w:p w14:paraId="09A7EE17" w14:textId="77777777" w:rsidR="00EF22B4" w:rsidRDefault="00000000">
            <w:pPr>
              <w:spacing w:before="40" w:after="40"/>
            </w:pPr>
            <w:r>
              <w:rPr>
                <w:sz w:val="19"/>
              </w:rPr>
              <w:t>Maximum: certification gates, escrow, quarterly audit</w:t>
            </w:r>
          </w:p>
        </w:tc>
      </w:tr>
      <w:tr w:rsidR="00EF22B4" w14:paraId="2CFADFE3" w14:textId="77777777">
        <w:tblPrEx>
          <w:tblCellMar>
            <w:top w:w="0" w:type="dxa"/>
            <w:bottom w:w="0" w:type="dxa"/>
          </w:tblCellMar>
        </w:tblPrEx>
        <w:tc>
          <w:tcPr>
            <w:tcW w:w="1200" w:type="dxa"/>
          </w:tcPr>
          <w:p w14:paraId="79E0EBFA" w14:textId="77777777" w:rsidR="00EF22B4" w:rsidRDefault="00000000">
            <w:pPr>
              <w:spacing w:before="40" w:after="40"/>
            </w:pPr>
            <w:r>
              <w:rPr>
                <w:sz w:val="19"/>
              </w:rPr>
              <w:t>Class 2</w:t>
            </w:r>
          </w:p>
        </w:tc>
        <w:tc>
          <w:tcPr>
            <w:tcW w:w="1800" w:type="dxa"/>
          </w:tcPr>
          <w:p w14:paraId="44C9BCFF" w14:textId="77777777" w:rsidR="00EF22B4" w:rsidRDefault="00000000">
            <w:pPr>
              <w:spacing w:before="40" w:after="40"/>
            </w:pPr>
            <w:r>
              <w:rPr>
                <w:sz w:val="19"/>
              </w:rPr>
              <w:t>Stabilizing</w:t>
            </w:r>
          </w:p>
        </w:tc>
        <w:tc>
          <w:tcPr>
            <w:tcW w:w="3300" w:type="dxa"/>
          </w:tcPr>
          <w:p w14:paraId="0A646120" w14:textId="77777777" w:rsidR="00EF22B4" w:rsidRDefault="00000000">
            <w:pPr>
              <w:spacing w:before="40" w:after="40"/>
            </w:pPr>
            <w:r>
              <w:rPr>
                <w:sz w:val="19"/>
              </w:rPr>
              <w:t>Behavioral norms, notification rules, escort protocol</w:t>
            </w:r>
          </w:p>
        </w:tc>
        <w:tc>
          <w:tcPr>
            <w:tcW w:w="3200" w:type="dxa"/>
          </w:tcPr>
          <w:p w14:paraId="47EEBDF9" w14:textId="77777777" w:rsidR="00EF22B4" w:rsidRDefault="00000000">
            <w:pPr>
              <w:spacing w:before="40" w:after="40"/>
            </w:pPr>
            <w:r>
              <w:rPr>
                <w:sz w:val="19"/>
              </w:rPr>
              <w:t>Standard: telemetry, quarterly certification</w:t>
            </w:r>
          </w:p>
        </w:tc>
      </w:tr>
      <w:tr w:rsidR="00EF22B4" w14:paraId="21814AA6" w14:textId="77777777">
        <w:tblPrEx>
          <w:tblCellMar>
            <w:top w:w="0" w:type="dxa"/>
            <w:bottom w:w="0" w:type="dxa"/>
          </w:tblCellMar>
        </w:tblPrEx>
        <w:tc>
          <w:tcPr>
            <w:tcW w:w="1200" w:type="dxa"/>
          </w:tcPr>
          <w:p w14:paraId="2F6BC68E" w14:textId="77777777" w:rsidR="00EF22B4" w:rsidRDefault="00000000">
            <w:pPr>
              <w:spacing w:before="40" w:after="40"/>
            </w:pPr>
            <w:r>
              <w:rPr>
                <w:sz w:val="19"/>
              </w:rPr>
              <w:t>Class 3</w:t>
            </w:r>
          </w:p>
        </w:tc>
        <w:tc>
          <w:tcPr>
            <w:tcW w:w="1800" w:type="dxa"/>
          </w:tcPr>
          <w:p w14:paraId="54AD0D2D" w14:textId="77777777" w:rsidR="00EF22B4" w:rsidRDefault="00000000">
            <w:pPr>
              <w:spacing w:before="40" w:after="40"/>
            </w:pPr>
            <w:r>
              <w:rPr>
                <w:sz w:val="19"/>
              </w:rPr>
              <w:t>Enabling</w:t>
            </w:r>
          </w:p>
        </w:tc>
        <w:tc>
          <w:tcPr>
            <w:tcW w:w="3300" w:type="dxa"/>
          </w:tcPr>
          <w:p w14:paraId="0DDF5E27" w14:textId="77777777" w:rsidR="00EF22B4" w:rsidRDefault="00000000">
            <w:pPr>
              <w:spacing w:before="40" w:after="40"/>
            </w:pPr>
            <w:r>
              <w:rPr>
                <w:sz w:val="19"/>
              </w:rPr>
              <w:t>Data sharing, dividends, technical cooperation</w:t>
            </w:r>
          </w:p>
        </w:tc>
        <w:tc>
          <w:tcPr>
            <w:tcW w:w="3200" w:type="dxa"/>
          </w:tcPr>
          <w:p w14:paraId="4D2BB9BC" w14:textId="77777777" w:rsidR="00EF22B4" w:rsidRDefault="00000000">
            <w:pPr>
              <w:spacing w:before="40" w:after="40"/>
            </w:pPr>
            <w:r>
              <w:rPr>
                <w:sz w:val="19"/>
              </w:rPr>
              <w:t>Light: self-report with spot verification</w:t>
            </w:r>
          </w:p>
        </w:tc>
      </w:tr>
    </w:tbl>
    <w:p w14:paraId="7819849D" w14:textId="77777777" w:rsidR="00EF22B4" w:rsidRDefault="00000000">
      <w:pPr>
        <w:pStyle w:val="Caption"/>
      </w:pPr>
      <w:r>
        <w:t>Table 2: Commitment classes</w:t>
      </w:r>
    </w:p>
    <w:p w14:paraId="060171BA" w14:textId="77777777" w:rsidR="00EF22B4" w:rsidRDefault="00000000">
      <w:r>
        <w:t>The class system lets the Accord hold the corridor open under maximum verification while lighter cooperation runs under lighter verification. Verification intensity scales with stakes, and the Parties see the scaling in the schedule, so the architecture stays fair and stays perceived as fair.</w:t>
      </w:r>
    </w:p>
    <w:p w14:paraId="00749543" w14:textId="77777777" w:rsidR="00EF22B4" w:rsidRDefault="00000000">
      <w:pPr>
        <w:pStyle w:val="Heading3"/>
      </w:pPr>
      <w:r>
        <w:t>12.3 The Four-Stage Commitment Escalator</w:t>
      </w:r>
    </w:p>
    <w:p w14:paraId="138ED0A8" w14:textId="77777777" w:rsidR="00EF22B4" w:rsidRDefault="00000000">
      <w:r>
        <w:t xml:space="preserve">Every new MCU enters through four stages. Stage One is declarative: the Parties announce the commitment and open the data channel. Stage Two is a 90-day pilot with full verification but reversible standing. Stage Three is verified operation for four consecutive quarters. Stage Four is standing: the MCU joins the permanent schedule. Each stage publishes its pass or </w:t>
      </w:r>
      <w:proofErr w:type="gramStart"/>
      <w:r>
        <w:t>pause</w:t>
      </w:r>
      <w:proofErr w:type="gramEnd"/>
      <w:r>
        <w:t xml:space="preserve">. A pause at any stage suspends the MCU in place without prejudice and without consequence, and the pilot resumes when the certifying conditions return. The escalator protects honesty: a Party commits at the depth it </w:t>
      </w:r>
      <w:proofErr w:type="gramStart"/>
      <w:r>
        <w:t>actually holds</w:t>
      </w:r>
      <w:proofErr w:type="gramEnd"/>
      <w:r>
        <w:t>, and overstated commitments fail early and cheaply rather than late and expensively.</w:t>
      </w:r>
    </w:p>
    <w:p w14:paraId="68E7820A" w14:textId="77777777" w:rsidR="00EF22B4" w:rsidRDefault="00000000">
      <w:pPr>
        <w:pStyle w:val="Heading2"/>
      </w:pPr>
      <w:bookmarkStart w:id="27" w:name="_Toc236018418"/>
      <w:r>
        <w:t>Article 13: Concurrent Activation and Synchronization Gates</w:t>
      </w:r>
      <w:bookmarkEnd w:id="27"/>
    </w:p>
    <w:p w14:paraId="1474AA24" w14:textId="77777777" w:rsidR="00EF22B4" w:rsidRDefault="00000000">
      <w:pPr>
        <w:pStyle w:val="Heading3"/>
      </w:pPr>
      <w:r>
        <w:t>13.1 Concurrent Activation Protocol</w:t>
      </w:r>
    </w:p>
    <w:p w14:paraId="5AAFE378" w14:textId="77777777" w:rsidR="00EF22B4" w:rsidRDefault="00000000">
      <w:r>
        <w:t xml:space="preserve">The Accord activates through parallel tracks, never through a single sequence. Track One covers corridor operations and non-interdiction. Track Two covers speed craft and drone norms. Track Three covers verification infrastructure. Track Four covers the economic programs. Track Five covers the community dividends. Each track initializes the moment its Parties and its funding stand ready; no track waits for any </w:t>
      </w:r>
      <w:r>
        <w:lastRenderedPageBreak/>
        <w:t>other. The design removes the gatekeeper problem: no Party holds the whole Accord hostage by stalling one track, and no spoiler kills the system by killing one part of it.</w:t>
      </w:r>
    </w:p>
    <w:p w14:paraId="28B65BDF" w14:textId="77777777" w:rsidR="00EF22B4" w:rsidRDefault="00000000">
      <w:pPr>
        <w:pStyle w:val="Heading3"/>
      </w:pPr>
      <w:r>
        <w:t>13.2 Synchronization Gates</w:t>
      </w:r>
    </w:p>
    <w:p w14:paraId="76EF355A" w14:textId="77777777" w:rsidR="00EF22B4" w:rsidRDefault="00000000">
      <w:r>
        <w:t>Twice yearly, the Council convenes a Synchronization Gate. At each Gate, the tracks exchange data, align tempos, and renegotiate interface points. The Gate produces a joint tempo map for the next six months: which MCUs deepen, which pilots start, which programs scale. The Gate locks nothing; it synchronizes. Tracks move at different speeds between Gates, and the system treats uneven speed as normal rather than as betrayal.</w:t>
      </w:r>
    </w:p>
    <w:p w14:paraId="51DEB881" w14:textId="77777777" w:rsidR="00EF22B4" w:rsidRDefault="00000000">
      <w:pPr>
        <w:pStyle w:val="Heading2"/>
      </w:pPr>
      <w:bookmarkStart w:id="28" w:name="_Toc236018419"/>
      <w:r>
        <w:t>Article 14: Continuity, Deepening, and Replication</w:t>
      </w:r>
      <w:bookmarkEnd w:id="28"/>
    </w:p>
    <w:p w14:paraId="6858FB9C" w14:textId="77777777" w:rsidR="00EF22B4" w:rsidRDefault="00000000">
      <w:pPr>
        <w:pStyle w:val="Heading3"/>
      </w:pPr>
      <w:r>
        <w:t>14.1 Standing Continuation Rule</w:t>
      </w:r>
    </w:p>
    <w:p w14:paraId="38B98C34" w14:textId="77777777" w:rsidR="00EF22B4" w:rsidRDefault="00000000">
      <w:r>
        <w:t>Every MCU continues by default. Lapse requires an affirmative written decision of the participating Parties. Silence continues. This rule removes the expiry cliff that kills frameworks on schedule: renewal is the resting state, and termination is the exertion. The Parties negotiate forward from continuity, never backward from collapse.</w:t>
      </w:r>
    </w:p>
    <w:p w14:paraId="41447C62" w14:textId="77777777" w:rsidR="00EF22B4" w:rsidRDefault="00000000">
      <w:pPr>
        <w:pStyle w:val="Heading3"/>
      </w:pPr>
      <w:r>
        <w:t>14.2 Usage Deepening Rule</w:t>
      </w:r>
    </w:p>
    <w:p w14:paraId="7B649F1A" w14:textId="77777777" w:rsidR="00EF22B4" w:rsidRDefault="00000000">
      <w:r>
        <w:t>Any MCU that operates through four consecutive verified quarters automatically acquires the option, exercisable by any participating Party, to open a deepening protocol: wider geographic scope, an additional commitment class, or a higher verification grade. Non-use leaves the MCU untouched. The rule rewards operation itself: what works, deepens; what pauses, waits.</w:t>
      </w:r>
    </w:p>
    <w:p w14:paraId="5E38B10A" w14:textId="77777777" w:rsidR="00EF22B4" w:rsidRDefault="00000000">
      <w:pPr>
        <w:pStyle w:val="Heading3"/>
      </w:pPr>
      <w:r>
        <w:t>14.3 Incremental Step Banking</w:t>
      </w:r>
    </w:p>
    <w:p w14:paraId="3FECAB91" w14:textId="77777777" w:rsidR="00EF22B4" w:rsidRDefault="00000000">
      <w:r>
        <w:rPr>
          <w:rFonts w:cs="Calibri"/>
          <w:szCs w:val="21"/>
        </w:rPr>
        <w:t>The system banks micro-commitments. A Party that completes and verifies three small procedural steps, such as a notification, a data transfer, or a joint drill, locks those steps into the permanent schedule as one standing step. Banked steps survive Isolation Mode, leadership changes, and Council deadlocks. The banking rule converts the small, forgettable acts of daily cooperation into irreversible structure, and it gives every desk officer a reason to log the quiet wins.</w:t>
      </w:r>
    </w:p>
    <w:p w14:paraId="757EB8D5" w14:textId="77777777" w:rsidR="00EF22B4" w:rsidRDefault="00000000">
      <w:pPr>
        <w:pStyle w:val="Heading3"/>
      </w:pPr>
      <w:r>
        <w:rPr>
          <w:rFonts w:cs="Calibri"/>
          <w:szCs w:val="23"/>
        </w:rPr>
        <w:t>14.4 Design Replication Rule</w:t>
      </w:r>
    </w:p>
    <w:p w14:paraId="1985B772" w14:textId="77777777" w:rsidR="00EF22B4" w:rsidRDefault="00000000">
      <w:r>
        <w:rPr>
          <w:rFonts w:cs="Calibri"/>
          <w:szCs w:val="21"/>
        </w:rPr>
        <w:t>Every MCU publishes its full technical specification. Any other pair or group of Parties adopts the design verbatim with one-sentence notice. Success replicates without permission and without reinvention.</w:t>
      </w:r>
    </w:p>
    <w:p w14:paraId="39DB51D4" w14:textId="77777777" w:rsidR="00EF22B4" w:rsidRDefault="00000000">
      <w:pPr>
        <w:pStyle w:val="Heading1"/>
        <w:pBdr>
          <w:bottom w:val="single" w:sz="8" w:space="2" w:color="B8860B"/>
        </w:pBdr>
      </w:pPr>
      <w:bookmarkStart w:id="29" w:name="_Toc236018420"/>
      <w:r>
        <w:rPr>
          <w:rFonts w:cs="Calibri"/>
          <w:szCs w:val="32"/>
        </w:rPr>
        <w:t>Part VI: Stress and Shock Mechanics</w:t>
      </w:r>
      <w:bookmarkStart w:id="30" w:name="_TocBM8"/>
      <w:bookmarkEnd w:id="29"/>
      <w:bookmarkEnd w:id="30"/>
    </w:p>
    <w:p w14:paraId="2DDEFB72" w14:textId="77777777" w:rsidR="00EF22B4" w:rsidRDefault="00000000">
      <w:r>
        <w:rPr>
          <w:rFonts w:cs="Calibri"/>
          <w:szCs w:val="21"/>
        </w:rPr>
        <w:t>Frameworks die at their weakest joint, and the weakest joint is always the schedule. This Part equips the Accord with the mechanics that absorb pressure, flex without breaking, and convert shocks into procedure rather than collapse.</w:t>
      </w:r>
    </w:p>
    <w:p w14:paraId="5E611E8D" w14:textId="77777777" w:rsidR="00EF22B4" w:rsidRDefault="00000000">
      <w:pPr>
        <w:pStyle w:val="Heading2"/>
      </w:pPr>
      <w:bookmarkStart w:id="31" w:name="_Toc236018421"/>
      <w:r>
        <w:rPr>
          <w:rFonts w:cs="Calibri"/>
          <w:szCs w:val="26"/>
        </w:rPr>
        <w:lastRenderedPageBreak/>
        <w:t>Article 15: Ambient Pressure Index</w:t>
      </w:r>
      <w:bookmarkEnd w:id="31"/>
    </w:p>
    <w:p w14:paraId="4EDDF4C4" w14:textId="77777777" w:rsidR="00EF22B4" w:rsidRDefault="00000000">
      <w:r>
        <w:rPr>
          <w:rFonts w:cs="Calibri"/>
          <w:szCs w:val="21"/>
        </w:rPr>
        <w:t>The JCC computes and publishes an Ambient Pressure Index (API) every 24 hours. The API aggregates five indicators into a 0-to-100 score: regional military posture reports, verified incident rate, cyber event counts against maritime infrastructure, insurance market stress, and the diplomatic temperature measured through the liaison channels. Five levels govern the system's posture:</w:t>
      </w:r>
    </w:p>
    <w:tbl>
      <w:tblPr>
        <w:tblW w:w="5000" w:type="pct"/>
        <w:tblInd w:w="10" w:type="dxa"/>
        <w:tblBorders>
          <w:top w:val="single" w:sz="10" w:space="0" w:color="1F3A4D"/>
          <w:bottom w:val="single" w:sz="10" w:space="0" w:color="1F3A4D"/>
          <w:insideH w:val="single" w:sz="4" w:space="0" w:color="C9D2D8"/>
        </w:tblBorders>
        <w:tblCellMar>
          <w:left w:w="10" w:type="dxa"/>
          <w:right w:w="10" w:type="dxa"/>
        </w:tblCellMar>
        <w:tblLook w:val="04A0" w:firstRow="1" w:lastRow="0" w:firstColumn="1" w:lastColumn="0" w:noHBand="0" w:noVBand="1"/>
      </w:tblPr>
      <w:tblGrid>
        <w:gridCol w:w="2012"/>
        <w:gridCol w:w="1433"/>
        <w:gridCol w:w="5601"/>
      </w:tblGrid>
      <w:tr w:rsidR="00EF22B4" w14:paraId="4243BECE" w14:textId="77777777">
        <w:tblPrEx>
          <w:tblCellMar>
            <w:top w:w="0" w:type="dxa"/>
            <w:bottom w:w="0" w:type="dxa"/>
          </w:tblCellMar>
        </w:tblPrEx>
        <w:trPr>
          <w:tblHeader/>
        </w:trPr>
        <w:tc>
          <w:tcPr>
            <w:tcW w:w="2100" w:type="dxa"/>
            <w:shd w:val="clear" w:color="auto" w:fill="EDF1F4"/>
          </w:tcPr>
          <w:p w14:paraId="3403F279" w14:textId="77777777" w:rsidR="00EF22B4" w:rsidRDefault="00000000">
            <w:pPr>
              <w:spacing w:before="40" w:after="40"/>
            </w:pPr>
            <w:r>
              <w:rPr>
                <w:rFonts w:cs="Calibri"/>
                <w:b/>
                <w:color w:val="1F3A4D"/>
                <w:sz w:val="19"/>
                <w:szCs w:val="19"/>
              </w:rPr>
              <w:t>Level</w:t>
            </w:r>
          </w:p>
        </w:tc>
        <w:tc>
          <w:tcPr>
            <w:tcW w:w="1500" w:type="dxa"/>
            <w:shd w:val="clear" w:color="auto" w:fill="EDF1F4"/>
          </w:tcPr>
          <w:p w14:paraId="1679DBAF" w14:textId="77777777" w:rsidR="00EF22B4" w:rsidRDefault="00000000">
            <w:pPr>
              <w:spacing w:before="40" w:after="40"/>
            </w:pPr>
            <w:r>
              <w:rPr>
                <w:rFonts w:cs="Calibri"/>
                <w:b/>
                <w:color w:val="1F3A4D"/>
                <w:sz w:val="19"/>
                <w:szCs w:val="19"/>
              </w:rPr>
              <w:t>Band</w:t>
            </w:r>
          </w:p>
        </w:tc>
        <w:tc>
          <w:tcPr>
            <w:tcW w:w="5900" w:type="dxa"/>
            <w:shd w:val="clear" w:color="auto" w:fill="EDF1F4"/>
          </w:tcPr>
          <w:p w14:paraId="5BED863D" w14:textId="77777777" w:rsidR="00EF22B4" w:rsidRDefault="00000000">
            <w:pPr>
              <w:spacing w:before="40" w:after="40"/>
            </w:pPr>
            <w:r>
              <w:rPr>
                <w:rFonts w:cs="Calibri"/>
                <w:b/>
                <w:color w:val="1F3A4D"/>
                <w:sz w:val="19"/>
                <w:szCs w:val="19"/>
              </w:rPr>
              <w:t>System Response</w:t>
            </w:r>
          </w:p>
        </w:tc>
      </w:tr>
      <w:tr w:rsidR="00EF22B4" w14:paraId="737AE450" w14:textId="77777777">
        <w:tblPrEx>
          <w:tblCellMar>
            <w:top w:w="0" w:type="dxa"/>
            <w:bottom w:w="0" w:type="dxa"/>
          </w:tblCellMar>
        </w:tblPrEx>
        <w:tc>
          <w:tcPr>
            <w:tcW w:w="2100" w:type="dxa"/>
          </w:tcPr>
          <w:p w14:paraId="3BFBCD36" w14:textId="77777777" w:rsidR="00EF22B4" w:rsidRDefault="00000000">
            <w:pPr>
              <w:spacing w:before="40" w:after="40"/>
            </w:pPr>
            <w:r>
              <w:rPr>
                <w:rFonts w:cs="Calibri"/>
                <w:sz w:val="19"/>
                <w:szCs w:val="19"/>
              </w:rPr>
              <w:t>Level 1: Green</w:t>
            </w:r>
          </w:p>
        </w:tc>
        <w:tc>
          <w:tcPr>
            <w:tcW w:w="1500" w:type="dxa"/>
          </w:tcPr>
          <w:p w14:paraId="45FC6B6E" w14:textId="77777777" w:rsidR="00EF22B4" w:rsidRDefault="00000000">
            <w:pPr>
              <w:spacing w:before="40" w:after="40"/>
            </w:pPr>
            <w:r>
              <w:rPr>
                <w:rFonts w:cs="Calibri"/>
                <w:sz w:val="19"/>
                <w:szCs w:val="19"/>
              </w:rPr>
              <w:t>0 to 20</w:t>
            </w:r>
          </w:p>
        </w:tc>
        <w:tc>
          <w:tcPr>
            <w:tcW w:w="5900" w:type="dxa"/>
          </w:tcPr>
          <w:p w14:paraId="7FB23A7E" w14:textId="77777777" w:rsidR="00EF22B4" w:rsidRDefault="00000000">
            <w:pPr>
              <w:spacing w:before="40" w:after="40"/>
            </w:pPr>
            <w:r>
              <w:rPr>
                <w:rFonts w:cs="Calibri"/>
                <w:sz w:val="19"/>
                <w:szCs w:val="19"/>
              </w:rPr>
              <w:t>Standard operations, quarterly certification</w:t>
            </w:r>
          </w:p>
        </w:tc>
      </w:tr>
      <w:tr w:rsidR="00EF22B4" w14:paraId="57AE49F9" w14:textId="77777777">
        <w:tblPrEx>
          <w:tblCellMar>
            <w:top w:w="0" w:type="dxa"/>
            <w:bottom w:w="0" w:type="dxa"/>
          </w:tblCellMar>
        </w:tblPrEx>
        <w:tc>
          <w:tcPr>
            <w:tcW w:w="2100" w:type="dxa"/>
          </w:tcPr>
          <w:p w14:paraId="4C95CAAC" w14:textId="77777777" w:rsidR="00EF22B4" w:rsidRDefault="00000000">
            <w:pPr>
              <w:spacing w:before="40" w:after="40"/>
            </w:pPr>
            <w:r>
              <w:rPr>
                <w:rFonts w:cs="Calibri"/>
                <w:sz w:val="19"/>
                <w:szCs w:val="19"/>
              </w:rPr>
              <w:t>Level 2: Amber</w:t>
            </w:r>
          </w:p>
        </w:tc>
        <w:tc>
          <w:tcPr>
            <w:tcW w:w="1500" w:type="dxa"/>
          </w:tcPr>
          <w:p w14:paraId="298CFAD5" w14:textId="77777777" w:rsidR="00EF22B4" w:rsidRDefault="00000000">
            <w:pPr>
              <w:spacing w:before="40" w:after="40"/>
            </w:pPr>
            <w:r>
              <w:rPr>
                <w:rFonts w:cs="Calibri"/>
                <w:sz w:val="19"/>
                <w:szCs w:val="19"/>
              </w:rPr>
              <w:t>21 to 40</w:t>
            </w:r>
          </w:p>
        </w:tc>
        <w:tc>
          <w:tcPr>
            <w:tcW w:w="5900" w:type="dxa"/>
          </w:tcPr>
          <w:p w14:paraId="207F88C2" w14:textId="77777777" w:rsidR="00EF22B4" w:rsidRDefault="00000000">
            <w:pPr>
              <w:spacing w:before="40" w:after="40"/>
            </w:pPr>
            <w:r>
              <w:rPr>
                <w:rFonts w:cs="Calibri"/>
                <w:sz w:val="19"/>
                <w:szCs w:val="19"/>
              </w:rPr>
              <w:t>Enhanced monitoring, weekly certification, hotline staffing raised</w:t>
            </w:r>
          </w:p>
        </w:tc>
      </w:tr>
      <w:tr w:rsidR="00EF22B4" w14:paraId="117FA30F" w14:textId="77777777">
        <w:tblPrEx>
          <w:tblCellMar>
            <w:top w:w="0" w:type="dxa"/>
            <w:bottom w:w="0" w:type="dxa"/>
          </w:tblCellMar>
        </w:tblPrEx>
        <w:tc>
          <w:tcPr>
            <w:tcW w:w="2100" w:type="dxa"/>
          </w:tcPr>
          <w:p w14:paraId="5458CAF2" w14:textId="77777777" w:rsidR="00EF22B4" w:rsidRDefault="00000000">
            <w:pPr>
              <w:spacing w:before="40" w:after="40"/>
            </w:pPr>
            <w:r>
              <w:rPr>
                <w:rFonts w:cs="Calibri"/>
                <w:sz w:val="19"/>
                <w:szCs w:val="19"/>
              </w:rPr>
              <w:t>Level 3: Elevated</w:t>
            </w:r>
          </w:p>
        </w:tc>
        <w:tc>
          <w:tcPr>
            <w:tcW w:w="1500" w:type="dxa"/>
          </w:tcPr>
          <w:p w14:paraId="6D6E788F" w14:textId="77777777" w:rsidR="00EF22B4" w:rsidRDefault="00000000">
            <w:pPr>
              <w:spacing w:before="40" w:after="40"/>
            </w:pPr>
            <w:r>
              <w:rPr>
                <w:rFonts w:cs="Calibri"/>
                <w:sz w:val="19"/>
                <w:szCs w:val="19"/>
              </w:rPr>
              <w:t>41 to 60</w:t>
            </w:r>
          </w:p>
        </w:tc>
        <w:tc>
          <w:tcPr>
            <w:tcW w:w="5900" w:type="dxa"/>
          </w:tcPr>
          <w:p w14:paraId="4213ED33" w14:textId="77777777" w:rsidR="00EF22B4" w:rsidRDefault="00000000">
            <w:pPr>
              <w:spacing w:before="40" w:after="40"/>
            </w:pPr>
            <w:r>
              <w:rPr>
                <w:rFonts w:cs="Calibri"/>
                <w:sz w:val="19"/>
                <w:szCs w:val="19"/>
              </w:rPr>
              <w:t>Flex windows activate, Class 3 verification lightens, no new Class 1 obligations activate</w:t>
            </w:r>
          </w:p>
        </w:tc>
      </w:tr>
      <w:tr w:rsidR="00EF22B4" w14:paraId="3428F201" w14:textId="77777777">
        <w:tblPrEx>
          <w:tblCellMar>
            <w:top w:w="0" w:type="dxa"/>
            <w:bottom w:w="0" w:type="dxa"/>
          </w:tblCellMar>
        </w:tblPrEx>
        <w:tc>
          <w:tcPr>
            <w:tcW w:w="2100" w:type="dxa"/>
          </w:tcPr>
          <w:p w14:paraId="689F2EA5" w14:textId="77777777" w:rsidR="00EF22B4" w:rsidRDefault="00000000">
            <w:pPr>
              <w:spacing w:before="40" w:after="40"/>
            </w:pPr>
            <w:r>
              <w:rPr>
                <w:rFonts w:cs="Calibri"/>
                <w:sz w:val="19"/>
                <w:szCs w:val="19"/>
              </w:rPr>
              <w:t>Level 4: Severe</w:t>
            </w:r>
          </w:p>
        </w:tc>
        <w:tc>
          <w:tcPr>
            <w:tcW w:w="1500" w:type="dxa"/>
          </w:tcPr>
          <w:p w14:paraId="3DCD529F" w14:textId="77777777" w:rsidR="00EF22B4" w:rsidRDefault="00000000">
            <w:pPr>
              <w:spacing w:before="40" w:after="40"/>
            </w:pPr>
            <w:r>
              <w:rPr>
                <w:rFonts w:cs="Calibri"/>
                <w:sz w:val="19"/>
                <w:szCs w:val="19"/>
              </w:rPr>
              <w:t>61 to 80</w:t>
            </w:r>
          </w:p>
        </w:tc>
        <w:tc>
          <w:tcPr>
            <w:tcW w:w="5900" w:type="dxa"/>
          </w:tcPr>
          <w:p w14:paraId="08E78012" w14:textId="77777777" w:rsidR="00EF22B4" w:rsidRDefault="00000000">
            <w:pPr>
              <w:spacing w:before="40" w:after="40"/>
            </w:pPr>
            <w:r>
              <w:rPr>
                <w:rFonts w:cs="Calibri"/>
                <w:sz w:val="19"/>
                <w:szCs w:val="19"/>
              </w:rPr>
              <w:t>Daily Council contact, pre-authorized alternate channels arm, optional obligations hold open</w:t>
            </w:r>
          </w:p>
        </w:tc>
      </w:tr>
      <w:tr w:rsidR="00EF22B4" w14:paraId="714A4F00" w14:textId="77777777">
        <w:tblPrEx>
          <w:tblCellMar>
            <w:top w:w="0" w:type="dxa"/>
            <w:bottom w:w="0" w:type="dxa"/>
          </w:tblCellMar>
        </w:tblPrEx>
        <w:tc>
          <w:tcPr>
            <w:tcW w:w="2100" w:type="dxa"/>
          </w:tcPr>
          <w:p w14:paraId="21D8E46F" w14:textId="77777777" w:rsidR="00EF22B4" w:rsidRDefault="00000000">
            <w:pPr>
              <w:spacing w:before="40" w:after="40"/>
            </w:pPr>
            <w:r>
              <w:rPr>
                <w:rFonts w:cs="Calibri"/>
                <w:sz w:val="19"/>
                <w:szCs w:val="19"/>
              </w:rPr>
              <w:t>Level 5: Critical</w:t>
            </w:r>
          </w:p>
        </w:tc>
        <w:tc>
          <w:tcPr>
            <w:tcW w:w="1500" w:type="dxa"/>
          </w:tcPr>
          <w:p w14:paraId="18C04886" w14:textId="77777777" w:rsidR="00EF22B4" w:rsidRDefault="00000000">
            <w:pPr>
              <w:spacing w:before="40" w:after="40"/>
            </w:pPr>
            <w:r>
              <w:rPr>
                <w:rFonts w:cs="Calibri"/>
                <w:sz w:val="19"/>
                <w:szCs w:val="19"/>
              </w:rPr>
              <w:t>81 to 100</w:t>
            </w:r>
          </w:p>
        </w:tc>
        <w:tc>
          <w:tcPr>
            <w:tcW w:w="5900" w:type="dxa"/>
          </w:tcPr>
          <w:p w14:paraId="23AAFA1F" w14:textId="77777777" w:rsidR="00EF22B4" w:rsidRDefault="00000000">
            <w:pPr>
              <w:spacing w:before="40" w:after="40"/>
            </w:pPr>
            <w:r>
              <w:rPr>
                <w:rFonts w:cs="Calibri"/>
                <w:sz w:val="19"/>
                <w:szCs w:val="19"/>
              </w:rPr>
              <w:t>Humanitarian floor locks, standing contact protocols activate, core obligations remain in force</w:t>
            </w:r>
          </w:p>
        </w:tc>
      </w:tr>
    </w:tbl>
    <w:p w14:paraId="4AC5A7BD" w14:textId="77777777" w:rsidR="00EF22B4" w:rsidRDefault="00000000">
      <w:pPr>
        <w:pStyle w:val="Caption"/>
      </w:pPr>
      <w:r>
        <w:rPr>
          <w:rFonts w:cs="Calibri"/>
          <w:szCs w:val="19"/>
        </w:rPr>
        <w:t>Table 3: Ambient Pressure Index levels</w:t>
      </w:r>
    </w:p>
    <w:p w14:paraId="1BC0D780" w14:textId="77777777" w:rsidR="00EF22B4" w:rsidRDefault="00000000">
      <w:r>
        <w:rPr>
          <w:rFonts w:cs="Calibri"/>
          <w:szCs w:val="21"/>
        </w:rPr>
        <w:t>The API sets the conditions; the Parties act within them. The index produces no automatic legal effect on core undertakings. It tunes tempo, staffing, and verification intensity, and it makes pressure visible to everyone at once, so no Party reads tension unilaterally and overreacts alone.</w:t>
      </w:r>
    </w:p>
    <w:p w14:paraId="50181B2C" w14:textId="77777777" w:rsidR="00EF22B4" w:rsidRDefault="00000000">
      <w:pPr>
        <w:pStyle w:val="Heading2"/>
      </w:pPr>
      <w:bookmarkStart w:id="32" w:name="_Toc236018422"/>
      <w:r>
        <w:rPr>
          <w:rFonts w:cs="Calibri"/>
          <w:szCs w:val="26"/>
        </w:rPr>
        <w:t>Article 16: Calibrated Schedule Adjustments</w:t>
      </w:r>
      <w:bookmarkEnd w:id="32"/>
    </w:p>
    <w:p w14:paraId="47D74060" w14:textId="77777777" w:rsidR="00EF22B4" w:rsidRDefault="00000000">
      <w:r>
        <w:rPr>
          <w:rFonts w:cs="Calibri"/>
          <w:szCs w:val="21"/>
        </w:rPr>
        <w:t>The Accord builds schedule flexibility into the architecture, so that a Party under domestic pressure uses a designed valve instead of a walkout. Three valve classes operate:</w:t>
      </w:r>
    </w:p>
    <w:p w14:paraId="27CD711A" w14:textId="77777777" w:rsidR="00EF22B4" w:rsidRDefault="00000000">
      <w:pPr>
        <w:numPr>
          <w:ilvl w:val="0"/>
          <w:numId w:val="1"/>
        </w:numPr>
      </w:pPr>
      <w:r>
        <w:rPr>
          <w:rFonts w:cs="Calibri"/>
          <w:szCs w:val="21"/>
        </w:rPr>
        <w:t>Micro Flex: a Party delays any single non-core obligation by up to 14 days, twice per quarterly cycle, by written notice to the JCC. No reason, no approval, no score penalty. The notice itself enters the Register as data.</w:t>
      </w:r>
    </w:p>
    <w:p w14:paraId="0F78BE33" w14:textId="77777777" w:rsidR="00EF22B4" w:rsidRDefault="00000000">
      <w:pPr>
        <w:numPr>
          <w:ilvl w:val="0"/>
          <w:numId w:val="1"/>
        </w:numPr>
      </w:pPr>
      <w:r>
        <w:rPr>
          <w:rFonts w:cs="Calibri"/>
          <w:szCs w:val="21"/>
        </w:rPr>
        <w:t>Macro Flex: a Party restructures its own obligation set for one cycle, shifting effort between MCUs, with Council approval by simple majority. The Register publishes the restructure.</w:t>
      </w:r>
    </w:p>
    <w:p w14:paraId="26257682" w14:textId="77777777" w:rsidR="00EF22B4" w:rsidRDefault="00000000">
      <w:pPr>
        <w:numPr>
          <w:ilvl w:val="0"/>
          <w:numId w:val="1"/>
        </w:numPr>
      </w:pPr>
      <w:r>
        <w:rPr>
          <w:rFonts w:cs="Calibri"/>
          <w:szCs w:val="21"/>
        </w:rPr>
        <w:t>Deep Flex: a Party declares a visible pause of up to 90 days on a defined subset of obligations. The pause publishes in the Open Water Bulletin, the obligations hold open, and re-entry proceeds without penalty at the declared date. A Deep Flex during API Level 3 or above requires no justification at all.</w:t>
      </w:r>
    </w:p>
    <w:p w14:paraId="064013C0" w14:textId="77777777" w:rsidR="00EF22B4" w:rsidRDefault="00000000">
      <w:r>
        <w:rPr>
          <w:rFonts w:cs="Calibri"/>
          <w:szCs w:val="21"/>
        </w:rPr>
        <w:t>A designed pause prevents a panic withdrawal. The Party that bends in the open stays in the architecture; the Party with no valve breaks something bigger.</w:t>
      </w:r>
    </w:p>
    <w:p w14:paraId="63425AE7" w14:textId="77777777" w:rsidR="00EF22B4" w:rsidRDefault="00000000">
      <w:pPr>
        <w:pStyle w:val="Heading2"/>
      </w:pPr>
      <w:bookmarkStart w:id="33" w:name="_Toc236018423"/>
      <w:r>
        <w:rPr>
          <w:rFonts w:cs="Calibri"/>
          <w:szCs w:val="26"/>
        </w:rPr>
        <w:lastRenderedPageBreak/>
        <w:t>Article 17: Pre-Authorized Alternate Channels</w:t>
      </w:r>
      <w:bookmarkEnd w:id="33"/>
    </w:p>
    <w:p w14:paraId="03A64BEE" w14:textId="77777777" w:rsidR="00EF22B4" w:rsidRDefault="00000000">
      <w:r>
        <w:rPr>
          <w:rFonts w:cs="Calibri"/>
          <w:szCs w:val="21"/>
        </w:rPr>
        <w:t xml:space="preserve">For every critical function, the Accord pre-authorizes a degraded fallback. If the JCC loses connectivity, the corridor assignment system fails over to </w:t>
      </w:r>
      <w:proofErr w:type="gramStart"/>
      <w:r>
        <w:rPr>
          <w:rFonts w:cs="Calibri"/>
          <w:szCs w:val="21"/>
        </w:rPr>
        <w:t>published</w:t>
      </w:r>
      <w:proofErr w:type="gramEnd"/>
      <w:r>
        <w:rPr>
          <w:rFonts w:cs="Calibri"/>
          <w:szCs w:val="21"/>
        </w:rPr>
        <w:t xml:space="preserve"> daily schedules computed 72 hours in advance. If the IVO loses sensor feeds, verification falls back to port records, flag-state attestations, and observer data under a reduced-evidence protocol. If the Council deadlocks, the standing continuation rule of Article 14.1 carries every MCU forward unchanged. If a liaison channel goes silent, the Depositary relays. Every fallback exists on paper before anyone needs it, and every fallback carries an expiry: degraded modes run for 30 days and then demand either restoration or a Council decision.</w:t>
      </w:r>
    </w:p>
    <w:p w14:paraId="1DBB8E2E" w14:textId="77777777" w:rsidR="00EF22B4" w:rsidRDefault="00000000">
      <w:pPr>
        <w:pStyle w:val="Heading2"/>
      </w:pPr>
      <w:bookmarkStart w:id="34" w:name="_Toc236018424"/>
      <w:r>
        <w:rPr>
          <w:rFonts w:cs="Calibri"/>
          <w:szCs w:val="26"/>
        </w:rPr>
        <w:t>Article 18: Early Indicator Protocol</w:t>
      </w:r>
      <w:bookmarkEnd w:id="34"/>
    </w:p>
    <w:p w14:paraId="3F4A2E56" w14:textId="77777777" w:rsidR="00EF22B4" w:rsidRDefault="00000000">
      <w:r>
        <w:rPr>
          <w:rFonts w:cs="Calibri"/>
          <w:szCs w:val="21"/>
        </w:rPr>
        <w:t>The system listens for small signals before large ones arrive. The Early Indicator Protocol aggregates micro-signals into a daily watch list: unusual speed craft concentrations, AIS dark-running clusters, unscheduled drone activity, social media surge patterns around the corridor, abrupt insurance quote movements, and fishing fleet displacement. Fishing crews and coastal informants file hazard and anomaly reports through a dedicated channel, and the Data Dividend of Article 34.4 pays for verified reports. No single micro-signal triggers anything. A convergence of three independent micro-signals raises the watch level and notifies all Parties simultaneously through the JCC. The protocol makes the waterway's edge states visible early, cheaply, and collectively.</w:t>
      </w:r>
    </w:p>
    <w:p w14:paraId="1BE078DA" w14:textId="77777777" w:rsidR="00EF22B4" w:rsidRDefault="00000000">
      <w:pPr>
        <w:pStyle w:val="Heading2"/>
      </w:pPr>
      <w:bookmarkStart w:id="35" w:name="_Toc236018425"/>
      <w:r>
        <w:rPr>
          <w:rFonts w:cs="Calibri"/>
          <w:szCs w:val="26"/>
        </w:rPr>
        <w:t>Article 19: Coordinated Posture Shift</w:t>
      </w:r>
      <w:bookmarkEnd w:id="35"/>
    </w:p>
    <w:p w14:paraId="0D891459" w14:textId="77777777" w:rsidR="00EF22B4" w:rsidRDefault="00000000">
      <w:r>
        <w:rPr>
          <w:rFonts w:cs="Calibri"/>
          <w:szCs w:val="21"/>
        </w:rPr>
        <w:t>When a verified threat concentrates in a defined zone, the Core Littoral Parties execute a Coordinated Posture Shift: a synchronized, pre-scripted adjustment of patrol patterns, escort density, and corridor traffic spacing that every Party sees in real time on the shared picture. Four pre-scripted shift patterns exist (Alpha: escort density increase; Beta: traffic spacing increase; Gamma: corridor narrowing to the southern lane; Delta: temporary managed-flow state under Annex D). A shift activates on the joint call of the two Co-Stewards, or on IVO certification of a Level 3 anomaly under Annex B, and it stands down on the same authority. The shift is collective by design: no Party moves alone, no Party reads another's movement as escalation, and the waterway never confronts a swarm with a single isolated response.</w:t>
      </w:r>
    </w:p>
    <w:p w14:paraId="5EDE42F1" w14:textId="77777777" w:rsidR="00EF22B4" w:rsidRDefault="00000000">
      <w:pPr>
        <w:pStyle w:val="Heading2"/>
      </w:pPr>
      <w:bookmarkStart w:id="36" w:name="_Toc236018426"/>
      <w:r>
        <w:rPr>
          <w:rFonts w:cs="Calibri"/>
          <w:szCs w:val="26"/>
        </w:rPr>
        <w:t>Article 20: Isolation Mode, Clock Reset, and Pressure-Adjusted Scoring</w:t>
      </w:r>
      <w:bookmarkEnd w:id="36"/>
    </w:p>
    <w:p w14:paraId="0FBB02A0" w14:textId="77777777" w:rsidR="00EF22B4" w:rsidRDefault="00000000">
      <w:pPr>
        <w:pStyle w:val="Heading3"/>
      </w:pPr>
      <w:r>
        <w:rPr>
          <w:rFonts w:cs="Calibri"/>
          <w:szCs w:val="23"/>
        </w:rPr>
        <w:t>20.1 Isolation Mode</w:t>
      </w:r>
    </w:p>
    <w:p w14:paraId="14607D42" w14:textId="77777777" w:rsidR="00EF22B4" w:rsidRDefault="00000000">
      <w:r>
        <w:rPr>
          <w:rFonts w:cs="Calibri"/>
          <w:szCs w:val="21"/>
        </w:rPr>
        <w:t>Any single MCU enters Isolation Mode on the declaration of a participating Party or on IVO certification of a Level 3 anomaly touching that MCU. In Isolation Mode, the MCU freezes in place: obligations suspend, benefits suspend, the escrow holds, and the verification record preserves. Declared linkage between MCUs follows the declaration; undeclared linkage does not exist. A failure in the mine countermeasure schedule never touches the corridor schedule; a corridor dispute never touches the dividend programs. The firewall is architectural, not rhetorical.</w:t>
      </w:r>
    </w:p>
    <w:p w14:paraId="54B20B3E" w14:textId="77777777" w:rsidR="00EF22B4" w:rsidRDefault="00000000">
      <w:pPr>
        <w:pStyle w:val="Heading3"/>
      </w:pPr>
      <w:r>
        <w:rPr>
          <w:rFonts w:cs="Calibri"/>
          <w:szCs w:val="23"/>
        </w:rPr>
        <w:lastRenderedPageBreak/>
        <w:t>20.2 Clock Reset Event</w:t>
      </w:r>
    </w:p>
    <w:p w14:paraId="4D662130" w14:textId="77777777" w:rsidR="00EF22B4" w:rsidRDefault="00000000">
      <w:r>
        <w:rPr>
          <w:rFonts w:cs="Calibri"/>
          <w:szCs w:val="21"/>
        </w:rPr>
        <w:t>When a verified shock exceeds severity 70 on the Annex B scale, any Party declares a Clock Reset Event. The declaration pauses every clock in the affected track: escalation ladders hold, score multipliers hold, certification windows hold. The shock processes through a 21-day structured sequence: joint fact-finding in days 1 to 7, Council consultation in days 8 to 14, resumption or redesign vote in days 15 to 21. Each Party holds two Clock Reset declarations per rolling twelve months; a third declaration within the window triggers a design review of the track rather than a pause, because a track that needs constant resetting carries a design fault, not bad luck.</w:t>
      </w:r>
    </w:p>
    <w:p w14:paraId="62141C35" w14:textId="77777777" w:rsidR="00EF22B4" w:rsidRDefault="00000000">
      <w:pPr>
        <w:pStyle w:val="Heading3"/>
      </w:pPr>
      <w:r>
        <w:rPr>
          <w:rFonts w:cs="Calibri"/>
          <w:szCs w:val="23"/>
        </w:rPr>
        <w:t>20.3 Pressure-Adjusted Scoring</w:t>
      </w:r>
    </w:p>
    <w:p w14:paraId="388AFB11" w14:textId="77777777" w:rsidR="00EF22B4" w:rsidRDefault="00000000">
      <w:r>
        <w:rPr>
          <w:rFonts w:cs="Calibri"/>
          <w:szCs w:val="21"/>
        </w:rPr>
        <w:t>The compliance scorecard of Article 9 adjusts its expectations to the ambient pressure. At API Level 3, Class 3 verification lightens and the scoring thresholds relax by one band; at Level 4 and 5, only core undertakings and Class 1 MCUs score at all. Pressure-adjusted scoring keeps the scorecard honest: it measures what the environment permits, it punishes no Party for weather it did not make, and it preserves the integrity of the measurement for the calmer days when full rigor returns.</w:t>
      </w:r>
    </w:p>
    <w:p w14:paraId="46CE7E89" w14:textId="77777777" w:rsidR="00EF22B4" w:rsidRDefault="00000000">
      <w:pPr>
        <w:pStyle w:val="Heading1"/>
        <w:pBdr>
          <w:bottom w:val="single" w:sz="8" w:space="2" w:color="B8860B"/>
        </w:pBdr>
      </w:pPr>
      <w:bookmarkStart w:id="37" w:name="_Toc236018427"/>
      <w:r>
        <w:rPr>
          <w:rFonts w:cs="Calibri"/>
          <w:szCs w:val="32"/>
        </w:rPr>
        <w:t>Part VII: Compliance and Consequence Architecture</w:t>
      </w:r>
      <w:bookmarkStart w:id="38" w:name="_TocBM9"/>
      <w:bookmarkEnd w:id="37"/>
      <w:bookmarkEnd w:id="38"/>
    </w:p>
    <w:p w14:paraId="7AD932EB" w14:textId="77777777" w:rsidR="00EF22B4" w:rsidRDefault="00000000">
      <w:r>
        <w:rPr>
          <w:rFonts w:cs="Calibri"/>
          <w:szCs w:val="21"/>
        </w:rPr>
        <w:t>The Accord treats deviation as data, not betrayal. Consequences arrive graduated, proportionate, reversible, and human-certified, and recovery operates as a right, not a favor. This Part defines the ladder down and the ladder back up.</w:t>
      </w:r>
    </w:p>
    <w:p w14:paraId="798369D0" w14:textId="77777777" w:rsidR="00EF22B4" w:rsidRDefault="00000000">
      <w:pPr>
        <w:pStyle w:val="Heading2"/>
      </w:pPr>
      <w:bookmarkStart w:id="39" w:name="_Toc236018428"/>
      <w:r>
        <w:rPr>
          <w:rFonts w:cs="Calibri"/>
          <w:szCs w:val="26"/>
        </w:rPr>
        <w:t>Article 21: Graduated Response Levels</w:t>
      </w:r>
      <w:bookmarkEnd w:id="39"/>
    </w:p>
    <w:p w14:paraId="417F47EC" w14:textId="77777777" w:rsidR="00EF22B4" w:rsidRDefault="00000000">
      <w:r>
        <w:rPr>
          <w:rFonts w:cs="Calibri"/>
          <w:szCs w:val="21"/>
        </w:rPr>
        <w:t>The IVO classifies every verified deviation into one of three levels, using the maritime telemetry signatures of Annex B:</w:t>
      </w:r>
    </w:p>
    <w:p w14:paraId="4AF71036" w14:textId="77777777" w:rsidR="00EF22B4" w:rsidRDefault="00000000">
      <w:r>
        <w:rPr>
          <w:rFonts w:cs="Calibri"/>
          <w:b/>
          <w:szCs w:val="21"/>
        </w:rPr>
        <w:t xml:space="preserve">Level 1: Technical Deviation. </w:t>
      </w:r>
      <w:r>
        <w:rPr>
          <w:rFonts w:cs="Calibri"/>
          <w:szCs w:val="21"/>
        </w:rPr>
        <w:t>One-time telemetry interruption, reporting lag under 24 hours, single minor equipment outage, or documentation discrepancy without pattern. Consequence: none. The deviation logs, the Party receives an engineering window of 14 days, and the record closes on certified repair.</w:t>
      </w:r>
    </w:p>
    <w:p w14:paraId="0335BB8A" w14:textId="77777777" w:rsidR="00EF22B4" w:rsidRDefault="00000000">
      <w:r>
        <w:rPr>
          <w:rFonts w:cs="Calibri"/>
          <w:b/>
          <w:szCs w:val="21"/>
        </w:rPr>
        <w:t xml:space="preserve">Level 2: Material Deviation. </w:t>
      </w:r>
      <w:r>
        <w:rPr>
          <w:rFonts w:cs="Calibri"/>
          <w:szCs w:val="21"/>
        </w:rPr>
        <w:t>Sustained telemetry gaps, repeated reporting failures, obstructed verification activity, or a pattern of minor incidents. Consequence: graduated reduction of discretionary benefits under Article 22.</w:t>
      </w:r>
    </w:p>
    <w:p w14:paraId="3F686165" w14:textId="77777777" w:rsidR="00EF22B4" w:rsidRDefault="00000000">
      <w:r>
        <w:rPr>
          <w:rFonts w:cs="Calibri"/>
          <w:b/>
          <w:szCs w:val="21"/>
        </w:rPr>
        <w:t xml:space="preserve">Level 3: Deliberate Hostile Conduct. </w:t>
      </w:r>
      <w:r>
        <w:rPr>
          <w:rFonts w:cs="Calibri"/>
          <w:szCs w:val="21"/>
        </w:rPr>
        <w:t xml:space="preserve">Armed interference with commercial transit, deliberate damage to monitoring infrastructure, or verified coordination with actors conducting attacks in the Governance Area. Consequence: </w:t>
      </w:r>
      <w:proofErr w:type="gramStart"/>
      <w:r>
        <w:rPr>
          <w:rFonts w:cs="Calibri"/>
          <w:szCs w:val="21"/>
        </w:rPr>
        <w:t>the</w:t>
      </w:r>
      <w:proofErr w:type="gramEnd"/>
      <w:r>
        <w:rPr>
          <w:rFonts w:cs="Calibri"/>
          <w:szCs w:val="21"/>
        </w:rPr>
        <w:t xml:space="preserve"> Level 3 schedule of Article 22 plus the hardening mechanics of Part VIII.</w:t>
      </w:r>
    </w:p>
    <w:p w14:paraId="226D2561" w14:textId="77777777" w:rsidR="00EF22B4" w:rsidRDefault="00000000">
      <w:r>
        <w:rPr>
          <w:rFonts w:cs="Calibri"/>
          <w:szCs w:val="21"/>
        </w:rPr>
        <w:t xml:space="preserve">Every classification </w:t>
      </w:r>
      <w:proofErr w:type="gramStart"/>
      <w:r>
        <w:rPr>
          <w:rFonts w:cs="Calibri"/>
          <w:szCs w:val="21"/>
        </w:rPr>
        <w:t>rests</w:t>
      </w:r>
      <w:proofErr w:type="gramEnd"/>
      <w:r>
        <w:rPr>
          <w:rFonts w:cs="Calibri"/>
          <w:szCs w:val="21"/>
        </w:rPr>
        <w:t xml:space="preserve"> on the Convergent Evidence Standard and the Human Certification Requirement. The affected Party receives the full evidence file and 72 hours to respond before any classification publishes.</w:t>
      </w:r>
    </w:p>
    <w:p w14:paraId="503FC1DE" w14:textId="77777777" w:rsidR="00EF22B4" w:rsidRDefault="00000000">
      <w:pPr>
        <w:pStyle w:val="Heading2"/>
      </w:pPr>
      <w:bookmarkStart w:id="40" w:name="_Toc236018429"/>
      <w:r>
        <w:rPr>
          <w:rFonts w:cs="Calibri"/>
          <w:szCs w:val="26"/>
        </w:rPr>
        <w:lastRenderedPageBreak/>
        <w:t>Article 22: Sequenced Impact and Earn-Back</w:t>
      </w:r>
      <w:bookmarkEnd w:id="40"/>
    </w:p>
    <w:p w14:paraId="38FD545D" w14:textId="77777777" w:rsidR="00EF22B4" w:rsidRDefault="00000000">
      <w:pPr>
        <w:pStyle w:val="Heading3"/>
      </w:pPr>
      <w:r>
        <w:rPr>
          <w:rFonts w:cs="Calibri"/>
          <w:szCs w:val="23"/>
        </w:rPr>
        <w:t>22.1 Sequenced Impact Order</w:t>
      </w:r>
    </w:p>
    <w:p w14:paraId="699A5125" w14:textId="77777777" w:rsidR="00EF22B4" w:rsidRDefault="00000000">
      <w:r>
        <w:rPr>
          <w:rFonts w:cs="Calibri"/>
          <w:szCs w:val="21"/>
        </w:rPr>
        <w:t>Consequences touch discretionary benefits first and never touch humanitarian traffic, safety-of-life operations, or the core undertakings. The sequence runs: first, fee discounts and Compliance Credit accrual; second, priority berthing and fast-lane access; third, dividend eligibility at the program margin; fourth, participation depth in non-core MCUs. Humanitarian absolutes sit outside the sequence entirely.</w:t>
      </w:r>
    </w:p>
    <w:p w14:paraId="6027DEB8" w14:textId="77777777" w:rsidR="00EF22B4" w:rsidRDefault="00000000">
      <w:pPr>
        <w:pStyle w:val="Heading3"/>
      </w:pPr>
      <w:r>
        <w:rPr>
          <w:rFonts w:cs="Calibri"/>
          <w:szCs w:val="23"/>
        </w:rPr>
        <w:t>22.2 Level 2 Schedule</w:t>
      </w:r>
    </w:p>
    <w:p w14:paraId="7498105B" w14:textId="77777777" w:rsidR="00EF22B4" w:rsidRDefault="00000000">
      <w:r>
        <w:rPr>
          <w:rFonts w:cs="Calibri"/>
          <w:szCs w:val="21"/>
        </w:rPr>
        <w:t>A Level 2 classification reduces discretionary benefits by 10 percent for the first 30 days, 15 percent for days 31 to 90, and 25 percent thereafter while the deviation persists. Every increment publishes with its evidence.</w:t>
      </w:r>
    </w:p>
    <w:p w14:paraId="08B87942" w14:textId="77777777" w:rsidR="00EF22B4" w:rsidRDefault="00000000">
      <w:pPr>
        <w:pStyle w:val="Heading3"/>
      </w:pPr>
      <w:r>
        <w:rPr>
          <w:rFonts w:cs="Calibri"/>
          <w:szCs w:val="23"/>
        </w:rPr>
        <w:t>22.3 Level 3 Schedule</w:t>
      </w:r>
    </w:p>
    <w:p w14:paraId="281098BE" w14:textId="77777777" w:rsidR="00EF22B4" w:rsidRDefault="00000000">
      <w:r>
        <w:rPr>
          <w:rFonts w:cs="Calibri"/>
          <w:szCs w:val="21"/>
        </w:rPr>
        <w:t>A Level 3 classification reduces discretionary benefits by 25, 35, or 50 percent, scaled to the remediation speed the Party demonstrates: cooperation with the investigation and cessation within 14 days places the consequence at 25 percent; delay beyond 60 days places it at 50 percent. Suspension of MCU participation applies only to the MCUs the conduct touched, under Isolation Mode.</w:t>
      </w:r>
    </w:p>
    <w:p w14:paraId="1FC07A9B" w14:textId="77777777" w:rsidR="00EF22B4" w:rsidRDefault="00000000">
      <w:pPr>
        <w:pStyle w:val="Heading3"/>
      </w:pPr>
      <w:r>
        <w:rPr>
          <w:rFonts w:cs="Calibri"/>
          <w:szCs w:val="23"/>
        </w:rPr>
        <w:t>22.4 Earn-Back Pathway</w:t>
      </w:r>
    </w:p>
    <w:p w14:paraId="362C4E06" w14:textId="77777777" w:rsidR="00EF22B4" w:rsidRDefault="00000000">
      <w:r>
        <w:rPr>
          <w:rFonts w:cs="Calibri"/>
          <w:szCs w:val="21"/>
        </w:rPr>
        <w:t>Earn-back operates as a guaranteed right with defined gates. A Level 2 Party earns full restoration after 14 consecutive days of certified compliance. A Level 3 Party earns restoration after 90 consecutive days of certified compliance plus completion of the remediation acts the IVO specifies at classification. The IVO certifies continuously during the earn-back window, so the Party sees its own progress in real time. No Party accumulates permanent stigma: sustained compliance restores full standing, and the scorecard records the recovery as prominently as it recorded the fall.</w:t>
      </w:r>
    </w:p>
    <w:p w14:paraId="5CB9FB1E" w14:textId="77777777" w:rsidR="00EF22B4" w:rsidRDefault="00000000">
      <w:pPr>
        <w:pStyle w:val="Heading3"/>
      </w:pPr>
      <w:r>
        <w:rPr>
          <w:rFonts w:cs="Calibri"/>
          <w:szCs w:val="23"/>
        </w:rPr>
        <w:t>22.5 Point Schedule</w:t>
      </w:r>
    </w:p>
    <w:p w14:paraId="65E39DEA" w14:textId="77777777" w:rsidR="00EF22B4" w:rsidRDefault="00000000">
      <w:r>
        <w:rPr>
          <w:rFonts w:cs="Calibri"/>
          <w:szCs w:val="21"/>
        </w:rPr>
        <w:t>Alongside the levels, the IVO maintains a rolling point tally per Party per MCU: telemetry failure scores 2 points, reporting failure 3, verification obstruction 5, security incident 8. Points expire after 180 clean days. A tally of 0 to 4 points produces no action; 5 to 7 publishes a warning; 8 to 11 adds a 10 percent discretionary reduction; 12 and above suspends the MCU for 30 days and opens 90 days of intensive monitoring. The point schedule handles the small failures that no ladder handles, and it keeps the ladder free for the failures that matter.</w:t>
      </w:r>
    </w:p>
    <w:p w14:paraId="682E090D" w14:textId="77777777" w:rsidR="00EF22B4" w:rsidRDefault="00000000">
      <w:pPr>
        <w:pStyle w:val="Heading2"/>
      </w:pPr>
      <w:bookmarkStart w:id="41" w:name="_Toc236018430"/>
      <w:r>
        <w:rPr>
          <w:rFonts w:cs="Calibri"/>
          <w:szCs w:val="26"/>
        </w:rPr>
        <w:t>Article 23: Demonstration Duty and Accuracy Safeguards</w:t>
      </w:r>
      <w:bookmarkEnd w:id="41"/>
    </w:p>
    <w:p w14:paraId="491E18E8" w14:textId="77777777" w:rsidR="00EF22B4" w:rsidRDefault="00000000">
      <w:pPr>
        <w:pStyle w:val="Heading3"/>
      </w:pPr>
      <w:r>
        <w:rPr>
          <w:rFonts w:cs="Calibri"/>
          <w:szCs w:val="23"/>
        </w:rPr>
        <w:t>23.1 Demonstration Duty</w:t>
      </w:r>
    </w:p>
    <w:p w14:paraId="22AE4650" w14:textId="77777777" w:rsidR="00EF22B4" w:rsidRDefault="00000000">
      <w:r>
        <w:t xml:space="preserve">Where the IVO certifies a Level 2 or Level 3 finding against a Party, that Party holds a Demonstration Duty: within 72 hours it presents verifiable evidence of its own compliance position, and the IVO weighs that </w:t>
      </w:r>
      <w:r>
        <w:lastRenderedPageBreak/>
        <w:t>evidence on the same Convergent Evidence Standard as the original finding. The duty inverts the ordinary posture: instead of the accuser proving the violation to a skeptical accused, the accused demonstrates its compliance to a neutral certifier. The inversion works because the Accord's own sensors and registers supply the demonstration material, so an innocent Party proves innocence cheaply and quickly.</w:t>
      </w:r>
    </w:p>
    <w:p w14:paraId="12CC3039" w14:textId="77777777" w:rsidR="00EF22B4" w:rsidRDefault="00000000">
      <w:pPr>
        <w:pStyle w:val="Heading3"/>
      </w:pPr>
      <w:r>
        <w:t>23.2 False-Finding Compensation</w:t>
      </w:r>
    </w:p>
    <w:p w14:paraId="3E62C749" w14:textId="77777777" w:rsidR="00EF22B4" w:rsidRDefault="00000000">
      <w:r>
        <w:t>If the Demonstration Duty overturns the finding, the consequences reverse with double compensation: the Party receives twice the discretionary benefits it lost, drawn from the Common Benefit Fund, and the IVO publishes a correction with the same prominence as the original finding. The wrongly certified Party then enters a Recovery Interval of 90 days: no new finding against it proceeds to consequence without a two-thirds Council vote. The Accord prices its own errors, so the verification system earns trust by paying for its mistakes.</w:t>
      </w:r>
    </w:p>
    <w:p w14:paraId="6E84076B" w14:textId="77777777" w:rsidR="00EF22B4" w:rsidRDefault="00000000">
      <w:pPr>
        <w:pStyle w:val="Heading3"/>
      </w:pPr>
      <w:r>
        <w:t>23.3 Challenge Bond Rule</w:t>
      </w:r>
    </w:p>
    <w:p w14:paraId="5A1D9426" w14:textId="77777777" w:rsidR="00EF22B4" w:rsidRDefault="00000000">
      <w:r>
        <w:t>A Party that repeatedly advances challenges the IVO rejects places a challenge bond: a modest escrow deposit against the cost of repeated verification. Successful challenges return the bond doubled from the same compensation rule. The bond keeps the challenge channel honest without closing it.</w:t>
      </w:r>
    </w:p>
    <w:p w14:paraId="3BC94E72" w14:textId="77777777" w:rsidR="00EF22B4" w:rsidRDefault="00000000">
      <w:pPr>
        <w:pStyle w:val="Heading2"/>
      </w:pPr>
      <w:bookmarkStart w:id="42" w:name="_Toc236018431"/>
      <w:r>
        <w:t>Article 24: Enumerated Obstruction Acts and Standing</w:t>
      </w:r>
      <w:bookmarkEnd w:id="42"/>
    </w:p>
    <w:p w14:paraId="34D340AF" w14:textId="77777777" w:rsidR="00EF22B4" w:rsidRDefault="00000000">
      <w:pPr>
        <w:pStyle w:val="Heading3"/>
      </w:pPr>
      <w:r>
        <w:t>24.1 Enumerated Obstruction Acts</w:t>
      </w:r>
    </w:p>
    <w:p w14:paraId="2765482D" w14:textId="77777777" w:rsidR="00EF22B4" w:rsidRDefault="00000000">
      <w:r>
        <w:t xml:space="preserve">The Accord names obstruction precisely, so that obstruction of verification carries a cost independent of the underlying question. The enumerated acts </w:t>
      </w:r>
      <w:proofErr w:type="gramStart"/>
      <w:r>
        <w:t>are:</w:t>
      </w:r>
      <w:proofErr w:type="gramEnd"/>
      <w:r>
        <w:t xml:space="preserve"> denial of IVO physical access beyond the managed access rules; deliberate interference with sensors or data links; falsification of Register entries; intimidation of whistleblowers or coastal informants; and failure to meet a Demonstration Duty without explanation. Each act carries a fixed consequence from the Article 22 schedule, applied to the obstruction itself. A Party that blocks the camera pays for blocking the camera, regardless of what the camera had to show.</w:t>
      </w:r>
    </w:p>
    <w:p w14:paraId="738EAE93" w14:textId="77777777" w:rsidR="00EF22B4" w:rsidRDefault="00000000">
      <w:pPr>
        <w:pStyle w:val="Heading3"/>
      </w:pPr>
      <w:r>
        <w:t>24.2 Self-Report Discount</w:t>
      </w:r>
    </w:p>
    <w:p w14:paraId="43CC4180" w14:textId="77777777" w:rsidR="00EF22B4" w:rsidRDefault="00000000">
      <w:r>
        <w:t>A Party that self-reports its own deviation before the IVO detects it receives a 50 percent reduction of the scheduled consequence and a preferential earn-back window. The discount makes honesty the cheapest strategy available inside the system.</w:t>
      </w:r>
    </w:p>
    <w:p w14:paraId="0DF9AE55" w14:textId="77777777" w:rsidR="00EF22B4" w:rsidRDefault="00000000">
      <w:pPr>
        <w:pStyle w:val="Heading3"/>
      </w:pPr>
      <w:r>
        <w:t>24.3 Enhanced Standing</w:t>
      </w:r>
    </w:p>
    <w:p w14:paraId="3EA1BCC2" w14:textId="77777777" w:rsidR="00EF22B4" w:rsidRDefault="00000000">
      <w:r>
        <w:t>A Party with two Level 3 classifications in 24 months enters Enhanced Standing: 12 months of intensified verification, monthly certification, and a dedicated IVO liaison team at the Party's own cost share. Twelve consecutive clean months restore ordinary standing automatically. Enhanced Standing publishes like everything else; it carries a fixed exit, and the exit arrives on performance, not negotiation.</w:t>
      </w:r>
    </w:p>
    <w:p w14:paraId="5DD33C0F" w14:textId="77777777" w:rsidR="00EF22B4" w:rsidRDefault="00000000">
      <w:pPr>
        <w:pStyle w:val="Heading1"/>
        <w:pBdr>
          <w:bottom w:val="single" w:sz="8" w:space="2" w:color="B8860B"/>
        </w:pBdr>
      </w:pPr>
      <w:bookmarkStart w:id="43" w:name="_Toc236018432"/>
      <w:r>
        <w:lastRenderedPageBreak/>
        <w:t>Part VIII: Spoiler and Proxy Shock Hardening</w:t>
      </w:r>
      <w:bookmarkStart w:id="44" w:name="_TocBM10"/>
      <w:bookmarkEnd w:id="43"/>
      <w:bookmarkEnd w:id="44"/>
    </w:p>
    <w:p w14:paraId="0BB406A3" w14:textId="77777777" w:rsidR="00EF22B4" w:rsidRDefault="00000000">
      <w:r>
        <w:t xml:space="preserve">The Accord assumes that spoilers </w:t>
      </w:r>
      <w:proofErr w:type="gramStart"/>
      <w:r>
        <w:t>exist:</w:t>
      </w:r>
      <w:proofErr w:type="gramEnd"/>
      <w:r>
        <w:t xml:space="preserve"> armed proxies, external saboteurs, internal hardliners, and anonymous actors who profit from disruption. It hardens against them not by pretending they away but by changing their economics, their anonymity, and their blast radius.</w:t>
      </w:r>
    </w:p>
    <w:p w14:paraId="146F4002" w14:textId="77777777" w:rsidR="00EF22B4" w:rsidRDefault="00000000">
      <w:pPr>
        <w:pStyle w:val="Heading2"/>
      </w:pPr>
      <w:bookmarkStart w:id="45" w:name="_Toc236018433"/>
      <w:r>
        <w:t>Article 25: The Attribution Standard</w:t>
      </w:r>
      <w:bookmarkEnd w:id="45"/>
    </w:p>
    <w:p w14:paraId="0AF74753" w14:textId="77777777" w:rsidR="00EF22B4" w:rsidRDefault="00000000">
      <w:pPr>
        <w:pStyle w:val="Heading3"/>
      </w:pPr>
      <w:r>
        <w:t>25.1 Zero Unattributed Violence</w:t>
      </w:r>
    </w:p>
    <w:p w14:paraId="4B77F047" w14:textId="77777777" w:rsidR="00EF22B4" w:rsidRDefault="00000000">
      <w:r>
        <w:t>The Accord measures itself by one hard number: the count of Unattributed Incidents in the Governance Area. Every hostile act affecting the waterway enters the attribution procedure within 72 hours. The IVO leads a joint technical attribution team with the affected Parties, using sensor data, forensics, flag and ownership records, and the liaison channels. Attribution findings publish on the Convergent Evidence Standard.</w:t>
      </w:r>
    </w:p>
    <w:p w14:paraId="5349A550" w14:textId="77777777" w:rsidR="00EF22B4" w:rsidRDefault="00000000">
      <w:pPr>
        <w:pStyle w:val="Heading3"/>
      </w:pPr>
      <w:r>
        <w:t>25.2 Self-Identification Preserves the Clock</w:t>
      </w:r>
    </w:p>
    <w:p w14:paraId="4B57DFE1" w14:textId="77777777" w:rsidR="00EF22B4" w:rsidRDefault="00000000">
      <w:r>
        <w:t>An actor that self-identifies its action within 72 hours, whether a Party, an affiliate, or a non-state group, preserves the compliance clocks of every Party: the incident processes through the consequences schedule against the identified actor alone, and no Party's earn-back window, Quiet Window, or score resets. Anonymity is the only unforgivable sin in this architecture. The rule makes deniability expensive and honesty cheap, for Parties and proxies alike.</w:t>
      </w:r>
    </w:p>
    <w:p w14:paraId="05349136" w14:textId="77777777" w:rsidR="00EF22B4" w:rsidRDefault="00000000">
      <w:pPr>
        <w:pStyle w:val="Heading3"/>
      </w:pPr>
      <w:r>
        <w:t>25.3 External Shock Exemption</w:t>
      </w:r>
    </w:p>
    <w:p w14:paraId="4CB36942" w14:textId="77777777" w:rsidR="00EF22B4" w:rsidRDefault="00000000">
      <w:r>
        <w:t>Where the attribution procedure certifies that an external actor with no operational link to any Party conducted the attack, the shock triggers a Clock Reset Event for the affected track, and no Party's compliance standing changes. An outside saboteur buys no reset of anyone's hard-earned progress. The exemption closes the cheapest spoiler play in the book: attack anonymously, watch the parties blame each other, watch the clocks burn.</w:t>
      </w:r>
    </w:p>
    <w:p w14:paraId="19D9DC00" w14:textId="77777777" w:rsidR="00EF22B4" w:rsidRDefault="00000000">
      <w:pPr>
        <w:pStyle w:val="Heading3"/>
      </w:pPr>
      <w:r>
        <w:t>25.4 Group Response Commitment</w:t>
      </w:r>
    </w:p>
    <w:p w14:paraId="55D9A95E" w14:textId="77777777" w:rsidR="00EF22B4" w:rsidRDefault="00000000">
      <w:r>
        <w:t>All Parties pre-commit to a collective response posture: an unattributed attack on any Party's traffic or infrastructure triggers a synchronized protective response from all, under the Coordinated Posture Shift of Article 19, plus a joint investigation offer to the attacked Party. The commitment converts a single-victim calculus into a collective one: the attacker faces the whole architecture, and the attacked Party receives the whole architecture's protection. Mutual defense of the process, not of territory, and no military obligation attaches.</w:t>
      </w:r>
    </w:p>
    <w:p w14:paraId="1A434BEC" w14:textId="77777777" w:rsidR="00EF22B4" w:rsidRDefault="00000000">
      <w:pPr>
        <w:pStyle w:val="Heading2"/>
      </w:pPr>
      <w:bookmarkStart w:id="46" w:name="_Toc236018434"/>
      <w:r>
        <w:t>Article 26: Group Response Commitment Operations</w:t>
      </w:r>
      <w:bookmarkEnd w:id="46"/>
    </w:p>
    <w:p w14:paraId="22C46F3C" w14:textId="77777777" w:rsidR="00EF22B4" w:rsidRDefault="00000000">
      <w:r>
        <w:t xml:space="preserve">The Group Response Commitment operates through three standing instruments: the joint investigation team roster of Article 25, the shared operational picture of the JCC, and the dividend suspension rule of </w:t>
      </w:r>
      <w:r>
        <w:lastRenderedPageBreak/>
        <w:t>Article 34.2, under which an Unattributed Incident suspends new Quiet Window accumulation in the affected zone until attribution completes. The instruments make the collective response immediate, technical, and economic rather than rhetorical or military.</w:t>
      </w:r>
    </w:p>
    <w:p w14:paraId="64EC03BF" w14:textId="77777777" w:rsidR="00EF22B4" w:rsidRDefault="00000000">
      <w:pPr>
        <w:pStyle w:val="Heading2"/>
      </w:pPr>
      <w:bookmarkStart w:id="47" w:name="_Toc236018435"/>
      <w:r>
        <w:t>Article 27: Designated Expendable Modules and the Internal Spoiler Firewall</w:t>
      </w:r>
      <w:bookmarkEnd w:id="47"/>
    </w:p>
    <w:p w14:paraId="4D58A402" w14:textId="77777777" w:rsidR="00EF22B4" w:rsidRDefault="00000000">
      <w:pPr>
        <w:pStyle w:val="Heading3"/>
      </w:pPr>
      <w:r>
        <w:t>27.1 Designated Expendable Modules</w:t>
      </w:r>
    </w:p>
    <w:p w14:paraId="5C98B099" w14:textId="77777777" w:rsidR="00EF22B4" w:rsidRDefault="00000000">
      <w:r>
        <w:t>The Accord pre-designates a small set of low-cost, high-visibility MCUs as Designated Expendable Modules: joint drills, cultural exchanges between coast guards, technical workshops. When shock pressure rises, these modules absorb the political cost first: a Party cancels or postpones them visibly, satisfies domestic demands for a response, and the core architecture notices nothing. Sacrificial parts exist so that the frame survives the crash. The Register labels them openly, because their expendability is their function.</w:t>
      </w:r>
    </w:p>
    <w:p w14:paraId="68BBCF8C" w14:textId="77777777" w:rsidR="00EF22B4" w:rsidRDefault="00000000">
      <w:pPr>
        <w:pStyle w:val="Heading3"/>
      </w:pPr>
      <w:r>
        <w:t>27.2 Internal Spoiler Firewall</w:t>
      </w:r>
    </w:p>
    <w:p w14:paraId="08161244" w14:textId="77777777" w:rsidR="00EF22B4" w:rsidRDefault="00000000">
      <w:r>
        <w:t>A Party facing internal obstruction of the Accord, from any organ, faction, or affiliate, activates the Internal Spoiler Firewall by written notice. The notice sidelines the obstructing element from Accord functions for 30 days without penalty to the Party, triggers a quiet IVO mediation channel, and preserves the Party's standing. Sabotage, defined narrowly as material action against an MCU, processes through Part VII against the actor; everything else processes as politics, quietly. The firewall gives a besieged government a tool other than collapse.</w:t>
      </w:r>
    </w:p>
    <w:p w14:paraId="51C77D77" w14:textId="77777777" w:rsidR="00EF22B4" w:rsidRDefault="00000000">
      <w:pPr>
        <w:pStyle w:val="Heading2"/>
      </w:pPr>
      <w:bookmarkStart w:id="48" w:name="_Toc236018436"/>
      <w:r>
        <w:t>Article 28: Interference Allowance</w:t>
      </w:r>
      <w:bookmarkEnd w:id="48"/>
    </w:p>
    <w:p w14:paraId="6D2511FF" w14:textId="77777777" w:rsidR="00EF22B4" w:rsidRDefault="00000000">
      <w:r>
        <w:t>Every verification system generates friction, and unmanaged friction corrodes consent. The Accord budgets it. Each Party holds a monthly Interference Allowance: a published quota of verification contacts, inspections, and data requests scaled to its MCU portfolio. Within the allowance, the Party cooperates without argument. Beyond the allowance, the Party declines without penalty, and the IVO reschedules. An IVO that persistently exhausts allowances reports the pattern to the Council, and the Council rebalances the verification plan. The allowance converts the endless fight over inspection intensity into an accounting exercise, and it protects the dignity of the verified, which is the scarcest resource in any verification regime.</w:t>
      </w:r>
    </w:p>
    <w:p w14:paraId="423066B0" w14:textId="77777777" w:rsidR="00EF22B4" w:rsidRDefault="00000000">
      <w:pPr>
        <w:pStyle w:val="Heading1"/>
        <w:pBdr>
          <w:bottom w:val="single" w:sz="8" w:space="2" w:color="B8860B"/>
        </w:pBdr>
      </w:pPr>
      <w:bookmarkStart w:id="49" w:name="_Toc236018437"/>
      <w:r>
        <w:t>Part IX: Verification System Overview</w:t>
      </w:r>
      <w:bookmarkStart w:id="50" w:name="_TocBM11"/>
      <w:bookmarkEnd w:id="49"/>
      <w:bookmarkEnd w:id="50"/>
    </w:p>
    <w:p w14:paraId="55E03BF0" w14:textId="77777777" w:rsidR="00EF22B4" w:rsidRDefault="00000000">
      <w:pPr>
        <w:pStyle w:val="Heading2"/>
      </w:pPr>
      <w:bookmarkStart w:id="51" w:name="_Toc236018438"/>
      <w:r>
        <w:t>Article 29: Verification Principles</w:t>
      </w:r>
      <w:bookmarkEnd w:id="51"/>
    </w:p>
    <w:p w14:paraId="16684367" w14:textId="77777777" w:rsidR="00EF22B4" w:rsidRDefault="00000000">
      <w:r>
        <w:t>Annex B carries the full verification protocol. Seven principles govern it, and the Parties adopt them here as treaty obligations:</w:t>
      </w:r>
    </w:p>
    <w:p w14:paraId="38EE7865" w14:textId="77777777" w:rsidR="00EF22B4" w:rsidRDefault="00000000">
      <w:pPr>
        <w:numPr>
          <w:ilvl w:val="0"/>
          <w:numId w:val="3"/>
        </w:numPr>
      </w:pPr>
      <w:r>
        <w:lastRenderedPageBreak/>
        <w:t>Convergent Evidence Standard: every compliance finding rests on at least three independent data inputs, such as shore sensors, satellite tasking, port records, or observer reports. No finding rests on a single source, and no finding rests on intelligence that a Party declines to share with the IVO.</w:t>
      </w:r>
    </w:p>
    <w:p w14:paraId="2F8D9A73" w14:textId="77777777" w:rsidR="00EF22B4" w:rsidRDefault="00000000">
      <w:pPr>
        <w:numPr>
          <w:ilvl w:val="0"/>
          <w:numId w:val="3"/>
        </w:numPr>
      </w:pPr>
      <w:r>
        <w:t>Human Certification Requirement: a human certifier anchors every classification. Algorithms flag; humans decide.</w:t>
      </w:r>
    </w:p>
    <w:p w14:paraId="666B0CDC" w14:textId="77777777" w:rsidR="00EF22B4" w:rsidRDefault="00000000">
      <w:pPr>
        <w:numPr>
          <w:ilvl w:val="0"/>
          <w:numId w:val="3"/>
        </w:numPr>
      </w:pPr>
      <w:r>
        <w:t>Simultaneous identical access: every data product, bulletin, and finding reaches every Party at the same time with the same content. The framework architecture excludes preferential data channels.</w:t>
      </w:r>
    </w:p>
    <w:p w14:paraId="33D94105" w14:textId="77777777" w:rsidR="00EF22B4" w:rsidRDefault="00000000">
      <w:pPr>
        <w:numPr>
          <w:ilvl w:val="0"/>
          <w:numId w:val="3"/>
        </w:numPr>
      </w:pPr>
      <w:r>
        <w:t>Randomized Verification Windows: routine verification runs on published schedules; assurance verification runs through randomized windows drawn by the IVO under the Annex B procedure, with 48 hours notice and managed access. The randomness keeps compliance continuous rather than theatrical.</w:t>
      </w:r>
    </w:p>
    <w:p w14:paraId="30A02247" w14:textId="77777777" w:rsidR="00EF22B4" w:rsidRDefault="00000000">
      <w:pPr>
        <w:numPr>
          <w:ilvl w:val="0"/>
          <w:numId w:val="3"/>
        </w:numPr>
      </w:pPr>
      <w:r>
        <w:t>Managed access, never unannounced access: the IVO enters facilities under the managed access rules, with the host Party's escort, within the scope of the window. The framework architecture excludes anywhere-anytime demands and excludes foreign military verification access entirely.</w:t>
      </w:r>
    </w:p>
    <w:p w14:paraId="0A4FBFE2" w14:textId="77777777" w:rsidR="00EF22B4" w:rsidRDefault="00000000">
      <w:pPr>
        <w:numPr>
          <w:ilvl w:val="0"/>
          <w:numId w:val="3"/>
        </w:numPr>
      </w:pPr>
      <w:r>
        <w:t>Data sovereignty and non-</w:t>
      </w:r>
      <w:proofErr w:type="spellStart"/>
      <w:r>
        <w:t>imputability</w:t>
      </w:r>
      <w:proofErr w:type="spellEnd"/>
      <w:r>
        <w:t>: verification data serves the Accord's technical purposes exclusively, lives in the shared registry under joint custody, and feeds no sanctions file, no targeting file, and no third party. Breach of this principle by anyone is a core violation.</w:t>
      </w:r>
    </w:p>
    <w:p w14:paraId="3080FC85" w14:textId="77777777" w:rsidR="00EF22B4" w:rsidRDefault="00000000">
      <w:pPr>
        <w:numPr>
          <w:ilvl w:val="0"/>
          <w:numId w:val="3"/>
        </w:numPr>
      </w:pPr>
      <w:r>
        <w:t>Proportional intrusiveness: verification intensity scales with commitment class, and the Interference Allowance caps the friction each Party absorbs.</w:t>
      </w:r>
    </w:p>
    <w:p w14:paraId="5F6455BA" w14:textId="77777777" w:rsidR="00EF22B4" w:rsidRDefault="00000000">
      <w:r>
        <w:t>Verification in this Accord is heavy where stakes are heavy, light where stakes are light, fair by construction, and priced: the system pays for its own errors under Article 23.2 and budgets its own friction under Article 28.</w:t>
      </w:r>
    </w:p>
    <w:p w14:paraId="2739B17D" w14:textId="77777777" w:rsidR="00EF22B4" w:rsidRDefault="00000000">
      <w:pPr>
        <w:pStyle w:val="Heading1"/>
        <w:pBdr>
          <w:bottom w:val="single" w:sz="8" w:space="2" w:color="B8860B"/>
        </w:pBdr>
      </w:pPr>
      <w:bookmarkStart w:id="52" w:name="_Toc236018439"/>
      <w:r>
        <w:t>Part X: Economic Architecture and Stabilization Dividends</w:t>
      </w:r>
      <w:bookmarkStart w:id="53" w:name="_TocBM12"/>
      <w:bookmarkEnd w:id="52"/>
      <w:bookmarkEnd w:id="53"/>
    </w:p>
    <w:p w14:paraId="6B5AD7FB" w14:textId="77777777" w:rsidR="00EF22B4" w:rsidRDefault="00000000">
      <w:r>
        <w:t>The Accord pays for peace visibly and quietly at once. Visibly, it runs a fee and fund system that rewards the stewards. Quietly, it routes benefit to the coastal communities whose economic alternatives determine whether disruption stays profitable. This Part is the Accord's carrot engine, and its design rule is that no carrot looks like a carrot.</w:t>
      </w:r>
    </w:p>
    <w:p w14:paraId="171CB4A4" w14:textId="77777777" w:rsidR="00EF22B4" w:rsidRDefault="00000000">
      <w:pPr>
        <w:pStyle w:val="Heading2"/>
      </w:pPr>
      <w:bookmarkStart w:id="54" w:name="_Toc236018440"/>
      <w:r>
        <w:t>Article 30: Zero-Toll Rule and Service-Fee System</w:t>
      </w:r>
      <w:bookmarkEnd w:id="54"/>
    </w:p>
    <w:p w14:paraId="434AC62E" w14:textId="77777777" w:rsidR="00EF22B4" w:rsidRDefault="00000000">
      <w:r>
        <w:t xml:space="preserve">Passage through the Strait carries no toll, ever. Cost recovery operates through service fees for services </w:t>
      </w:r>
      <w:proofErr w:type="gramStart"/>
      <w:r>
        <w:t>actually requested</w:t>
      </w:r>
      <w:proofErr w:type="gramEnd"/>
      <w:r>
        <w:t xml:space="preserve"> and rendered: pilotage, escort, hydrographic survey products, expedited clearance, and vessel traffic services beyond the baseline. The Technical Standards Committee sets the fee schedule annually, publishes it, and indexes it to cost. Baseline traffic management, the safety bulletin service, and the hotline network remain free to all users.</w:t>
      </w:r>
    </w:p>
    <w:p w14:paraId="26A19AF2" w14:textId="77777777" w:rsidR="00EF22B4" w:rsidRDefault="00000000">
      <w:r>
        <w:lastRenderedPageBreak/>
        <w:t>Net service revenue flows into the Transit Services Fund under the Facilitator's administration. After operating costs, the Fund distributes the remainder 40 percent to Iran, 40 percent to Oman, and 20 percent to the United Arab Emirates, adjustable by two-thirds Council vote every four years. The distribution honors the middle ground: Oman concedes no toll, Iran gains a lawful revenue stream tied to services and stability rather than to passage, and every user state gains a fee-for-service regime open to full audit. Institutional Partners align insurance classification with verified governance performance, so compliant quarters compress war-risk premiums across the waterway, and the savings flow back to every flag that uses it.</w:t>
      </w:r>
    </w:p>
    <w:p w14:paraId="20C1ED4A" w14:textId="77777777" w:rsidR="00EF22B4" w:rsidRDefault="00000000">
      <w:pPr>
        <w:pStyle w:val="Heading2"/>
      </w:pPr>
      <w:bookmarkStart w:id="55" w:name="_Toc236018441"/>
      <w:r>
        <w:t>Article 31: The Common Benefit Fund</w:t>
      </w:r>
      <w:bookmarkEnd w:id="55"/>
    </w:p>
    <w:p w14:paraId="4AB8EC46" w14:textId="77777777" w:rsidR="00EF22B4" w:rsidRDefault="00000000">
      <w:r>
        <w:t>The Common Benefit Fund pools three streams: a fixed 5 percent share of the Transit Services Fund, voluntary contributions from user states and institutions, and the challenge bond and false-finding compensation flows of Part VII. The Fund finances regional public goods that no single state finances alone: hydrographic survey, navigational aids, search and rescue capacity, oil spill response, and the false-finding compensation reserve. The Fund operates under the Facilitator with a three-member board drawn from the Core Littoral Parties, and it publishes every disbursement. Its logic is reciprocity made structural: every Party contributes something costly, every Party receives something visible, and the Contribution and Cost Register keeps the exchange honest.</w:t>
      </w:r>
    </w:p>
    <w:p w14:paraId="334D22B4" w14:textId="77777777" w:rsidR="00EF22B4" w:rsidRDefault="00000000">
      <w:pPr>
        <w:pStyle w:val="Heading2"/>
      </w:pPr>
      <w:bookmarkStart w:id="56" w:name="_Toc236018442"/>
      <w:r>
        <w:t>Article 32: The Maritime Livelihoods Facility</w:t>
      </w:r>
      <w:bookmarkEnd w:id="56"/>
    </w:p>
    <w:p w14:paraId="31393519" w14:textId="77777777" w:rsidR="00EF22B4" w:rsidRDefault="00000000">
      <w:r>
        <w:t xml:space="preserve">The Maritime Livelihoods Facility finances coastal community projects in the registered zones of Article 5.7: Musandam, the Bandar Abbas to Chabahar coast, the Gwadar and </w:t>
      </w:r>
      <w:proofErr w:type="spellStart"/>
      <w:r>
        <w:t>Balochistan</w:t>
      </w:r>
      <w:proofErr w:type="spellEnd"/>
      <w:r>
        <w:t xml:space="preserve"> coast, and the Yemeni coastal communities of the Bab el-Mandeb corridor including Hodeidah. Projects are small, fast, and concrete: harbor repairs, desalination units, cold storage for fishing fleets, navigation training, cooperative equipment, medical cargo handling.</w:t>
      </w:r>
    </w:p>
    <w:p w14:paraId="7AB6D486" w14:textId="77777777" w:rsidR="00EF22B4" w:rsidRDefault="00000000">
      <w:r>
        <w:t>The Facility releases project tranches to a zone only while that zone holds Quiet Window Certification under Article 34.1. Disbursements flow to municipalities, cooperatives, and port authorities, never to armed groups, through the Facilitator under international humanitarian finance safeguards. The design is deliberate in its subtlety: no actor receives a payment for restraint, and no one honestly calls the money a bribe. The community simply lives better when the water stays calm, and every actor with influence over the calm knows exactly whose prosperity it now carries. Communities adjacent to active conflict zones enter under a humanitarian fast track with lighter certification, so need never waits on politics.</w:t>
      </w:r>
    </w:p>
    <w:p w14:paraId="53040DB8" w14:textId="77777777" w:rsidR="00EF22B4" w:rsidRDefault="00000000">
      <w:pPr>
        <w:pStyle w:val="Heading2"/>
      </w:pPr>
      <w:bookmarkStart w:id="57" w:name="_Toc236018443"/>
      <w:r>
        <w:t>Article 33: Compliance Credit Exchange</w:t>
      </w:r>
      <w:bookmarkEnd w:id="57"/>
    </w:p>
    <w:p w14:paraId="5D8F1B31" w14:textId="77777777" w:rsidR="00EF22B4" w:rsidRDefault="00000000">
      <w:r>
        <w:t>Verified compliance mints Compliance Credits under the Contribution and Cost Register: a certified quarter of Class 1 compliance, a completed attribution cooperation, a verified hazard report program, a hosted inspection beyond the allowance. Credits are non-monetary and redeemable for concrete goods: fuel import facilitation, port equipment from the Common Benefit Fund, medical cargo priority, training slots, and survey products.</w:t>
      </w:r>
    </w:p>
    <w:p w14:paraId="56130E5A" w14:textId="77777777" w:rsidR="00EF22B4" w:rsidRDefault="00000000">
      <w:r>
        <w:lastRenderedPageBreak/>
        <w:t>Each quarter, the Facilitator runs a sealed-bid second-price auction in which Parties and registered Coastal Community Participants exchange credits for the quarter's redemption pool. The second-price rule keeps bidding honest, and the quarterly rhythm keeps the benefit visible. Credits expire after eight quarters, so hoarding loses and participation wins. The Exchange makes compliance a liquid asset for everyone, including the smallest cooperative, and it gives every actor in the system a balance sheet where peace shows a return.</w:t>
      </w:r>
    </w:p>
    <w:p w14:paraId="341A6D96" w14:textId="77777777" w:rsidR="00EF22B4" w:rsidRDefault="00000000">
      <w:pPr>
        <w:pStyle w:val="Heading2"/>
      </w:pPr>
      <w:bookmarkStart w:id="58" w:name="_Toc236018444"/>
      <w:r>
        <w:t>Article 34: Quiet Window Certification, Cooperative Conversion, and the Data Dividend</w:t>
      </w:r>
      <w:bookmarkEnd w:id="58"/>
    </w:p>
    <w:p w14:paraId="74EAD3A1" w14:textId="77777777" w:rsidR="00EF22B4" w:rsidRDefault="00000000">
      <w:pPr>
        <w:pStyle w:val="Heading3"/>
      </w:pPr>
      <w:r>
        <w:t>34.1 Quiet Window Certification</w:t>
      </w:r>
    </w:p>
    <w:p w14:paraId="6FC5B3E8" w14:textId="77777777" w:rsidR="00EF22B4" w:rsidRDefault="00000000">
      <w:r>
        <w:t>A coastal zone earns Quiet Window Certification after 90 consecutive days with zero Unattributed Incidents within its zone and its adjacent waters. Certification unlocks the Maritime Livelihoods Facility tranches, fast-lane cargo processing at participating ports, and a doubling of Data Dividend rates for that zone. An Unattributed Incident suspends accumulation until attribution completes; an incident attributed to an external actor under Article 25.3 suspends nothing. The certification gives every local authority, every port chief, and every armed actor with local influence a shared, countable stake in the same number.</w:t>
      </w:r>
    </w:p>
    <w:p w14:paraId="0E93C531" w14:textId="77777777" w:rsidR="00EF22B4" w:rsidRDefault="00000000">
      <w:pPr>
        <w:pStyle w:val="Heading3"/>
      </w:pPr>
      <w:r>
        <w:t>34.2 Cooperative Conversion Program</w:t>
      </w:r>
    </w:p>
    <w:p w14:paraId="5600B0A8" w14:textId="77777777" w:rsidR="00EF22B4" w:rsidRDefault="00000000">
      <w:r>
        <w:t>The Accord offers informal maritime economy actors a lawful upgrade path. Boat owners and transport networks operating in the gray economy register as licensed coastal transport cooperatives: they receive legal status, insurance access, fee-sharing from the Transit Services Fund for registered coastal services, training, and priority in the Compliance Credit Exchange. Registration requires no confession, no naming of past routes, and no political alignment; it requires future compliance, verified through the ordinary protocols. The program shrinks the income base of the disruption economy by outcompeting it, quietly and legally, one cooperative at a time.</w:t>
      </w:r>
    </w:p>
    <w:p w14:paraId="7385FE49" w14:textId="77777777" w:rsidR="00EF22B4" w:rsidRDefault="00000000">
      <w:pPr>
        <w:pStyle w:val="Heading3"/>
      </w:pPr>
      <w:r>
        <w:t>34.3 Insurance Alignment Dividend</w:t>
      </w:r>
    </w:p>
    <w:p w14:paraId="76792DE1" w14:textId="77777777" w:rsidR="00EF22B4" w:rsidRDefault="00000000">
      <w:r>
        <w:t>The Facilitator publishes a quarterly governance performance certificate to the Institutional Partners. Compliant quarters compress war-risk premiums; the Register records the verified premium savings; and a fixed share of the savings flows into the Maritime Livelihoods Facility. The waterway's own risk market thus funds the communities that keep the risk down.</w:t>
      </w:r>
    </w:p>
    <w:p w14:paraId="21E1F837" w14:textId="77777777" w:rsidR="00EF22B4" w:rsidRDefault="00000000">
      <w:pPr>
        <w:pStyle w:val="Heading3"/>
      </w:pPr>
      <w:r>
        <w:t>34.4 The Data Dividend</w:t>
      </w:r>
    </w:p>
    <w:p w14:paraId="74FC29F9" w14:textId="77777777" w:rsidR="00EF22B4" w:rsidRDefault="00000000">
      <w:r>
        <w:t>The JCC pays published rates for verified hazard reports, anomaly sightings, and pollution reports filed through the Early Indicator Protocol: fishing crews, coastal informants, merchant crews, and cooperatives all earn from the same table. Payment flows through the Facilitator with source protection. The Dividend converts the waterway's thousand eyes into an early warning system that pays for itself, and it gives the coastal population a direct, legal, recurring income from vigilance rather than from silence.</w:t>
      </w:r>
    </w:p>
    <w:p w14:paraId="08E3270D" w14:textId="77777777" w:rsidR="00EF22B4" w:rsidRDefault="00000000">
      <w:pPr>
        <w:pStyle w:val="Heading1"/>
        <w:pBdr>
          <w:bottom w:val="single" w:sz="8" w:space="2" w:color="B8860B"/>
        </w:pBdr>
      </w:pPr>
      <w:bookmarkStart w:id="59" w:name="_Toc236018445"/>
      <w:r>
        <w:lastRenderedPageBreak/>
        <w:t>Part XI: Dispute Resolution, Amendment, and Continuity</w:t>
      </w:r>
      <w:bookmarkStart w:id="60" w:name="_TocBM13"/>
      <w:bookmarkEnd w:id="59"/>
      <w:bookmarkEnd w:id="60"/>
    </w:p>
    <w:p w14:paraId="0D5DDF4A" w14:textId="77777777" w:rsidR="00EF22B4" w:rsidRDefault="00000000">
      <w:pPr>
        <w:pStyle w:val="Heading2"/>
      </w:pPr>
      <w:bookmarkStart w:id="61" w:name="_Toc236018446"/>
      <w:r>
        <w:t>Article 35: Tiered Dispute Resolution</w:t>
      </w:r>
      <w:bookmarkEnd w:id="61"/>
    </w:p>
    <w:p w14:paraId="654BCAE2" w14:textId="77777777" w:rsidR="00EF22B4" w:rsidRDefault="00000000">
      <w:pPr>
        <w:numPr>
          <w:ilvl w:val="0"/>
          <w:numId w:val="4"/>
        </w:numPr>
      </w:pPr>
      <w:r>
        <w:t>Technical tier: disputes over data, classification, or procedure go to the IVO, which decides within 14 days on the Convergent Evidence Standard. Technical decisions bind unless appealed.</w:t>
      </w:r>
    </w:p>
    <w:p w14:paraId="27B3385D" w14:textId="77777777" w:rsidR="00EF22B4" w:rsidRDefault="00000000">
      <w:pPr>
        <w:numPr>
          <w:ilvl w:val="0"/>
          <w:numId w:val="4"/>
        </w:numPr>
      </w:pPr>
      <w:r>
        <w:t>Council tier: appealed or political disputes go to the Accord Council, which mediates within 30 days. A facilitated mediation option stands permanently available through the Facilitator.</w:t>
      </w:r>
    </w:p>
    <w:p w14:paraId="21860FB8" w14:textId="77777777" w:rsidR="00EF22B4" w:rsidRDefault="00000000">
      <w:pPr>
        <w:numPr>
          <w:ilvl w:val="0"/>
          <w:numId w:val="4"/>
        </w:numPr>
      </w:pPr>
      <w:r>
        <w:t>Arbitration tier: unresolved disputes go to a three-member arbitration panel, one member chosen by each side and a chair from a standing roster maintained by the Depositary. The panel decides within 90 days on the text of this Accord.</w:t>
      </w:r>
    </w:p>
    <w:p w14:paraId="2F15C7B5" w14:textId="77777777" w:rsidR="00EF22B4" w:rsidRDefault="00000000">
      <w:pPr>
        <w:numPr>
          <w:ilvl w:val="0"/>
          <w:numId w:val="4"/>
        </w:numPr>
      </w:pPr>
      <w:r>
        <w:t>Emergency tier: a breach of a Core Undertaking convenes the Council within 72 hours in continuous session, activates the Clock Reset procedure for the affected track, and suspends nothing humanitarian ever. The emergency tier exists for the worst day, and its design goal is that the worst day still ends inside the architecture.</w:t>
      </w:r>
    </w:p>
    <w:p w14:paraId="719B37A1" w14:textId="77777777" w:rsidR="00EF22B4" w:rsidRDefault="00000000">
      <w:pPr>
        <w:pStyle w:val="Heading2"/>
      </w:pPr>
      <w:bookmarkStart w:id="62" w:name="_Toc236018447"/>
      <w:r>
        <w:t>Article 36: Amendment, Withdrawal, Succession, and Continuity</w:t>
      </w:r>
      <w:bookmarkEnd w:id="62"/>
    </w:p>
    <w:p w14:paraId="6AB20343" w14:textId="77777777" w:rsidR="00EF22B4" w:rsidRDefault="00000000">
      <w:r>
        <w:t>Amendments to the main text and annexes pass by two-thirds Council vote including at least two Core Littoral Parties, except the Core Undertakings under Article 4. Technical schedules in Annex D update by the Technical Standards Committee with Council ratification at the next Synchronization Gate.</w:t>
      </w:r>
    </w:p>
    <w:p w14:paraId="4A341135" w14:textId="77777777" w:rsidR="00EF22B4" w:rsidRDefault="00000000">
      <w:r>
        <w:t>Withdrawal takes effect twelve months after written notice to the Depositary. Obligations continue through the notice period, escrows settle under their own rules, and banked steps of Article 14.3 remain in force for the remaining Parties. The Accord binds successor governments and successor authorities: the commitments attach to the state and to the corridor, not to the administration of the day.</w:t>
      </w:r>
    </w:p>
    <w:p w14:paraId="4A84FF5C" w14:textId="77777777" w:rsidR="00EF22B4" w:rsidRDefault="00000000">
      <w:r>
        <w:t>The Accord carries no sunset clause. Its bodies face Scheduled Dissolution Review; its commitments stand under the Standing Continuation Rule. The architecture distinguishes between institutions, which it keeps mortal, and commitments, which it keeps permanent.</w:t>
      </w:r>
    </w:p>
    <w:p w14:paraId="6B4555D8" w14:textId="77777777" w:rsidR="00EF22B4" w:rsidRDefault="00000000">
      <w:pPr>
        <w:pStyle w:val="Heading1"/>
        <w:pBdr>
          <w:bottom w:val="single" w:sz="8" w:space="2" w:color="B8860B"/>
        </w:pBdr>
      </w:pPr>
      <w:bookmarkStart w:id="63" w:name="_Toc236018448"/>
      <w:r>
        <w:t>Part XII: Final Provisions</w:t>
      </w:r>
      <w:bookmarkStart w:id="64" w:name="_TocBM14"/>
      <w:bookmarkEnd w:id="63"/>
      <w:bookmarkEnd w:id="64"/>
    </w:p>
    <w:p w14:paraId="5DFB2F1C" w14:textId="77777777" w:rsidR="00EF22B4" w:rsidRDefault="00000000">
      <w:pPr>
        <w:pStyle w:val="Heading2"/>
      </w:pPr>
      <w:bookmarkStart w:id="65" w:name="_Toc236018449"/>
      <w:r>
        <w:t>Article 37: Depositary, Linkage, and Entry into Force</w:t>
      </w:r>
      <w:bookmarkEnd w:id="65"/>
    </w:p>
    <w:p w14:paraId="084B37E4" w14:textId="77777777" w:rsidR="00EF22B4" w:rsidRDefault="00000000">
      <w:r>
        <w:t>The Sultanate of Oman holds this Accord as Depositary. The Depositary-Link State registers the Accord's operative linkage to the Islamabad Memorandum of Understanding, so that the monitoring and navigation working arrangements of the parent framework find their permanent home in this instrument.</w:t>
      </w:r>
    </w:p>
    <w:p w14:paraId="48ABDCD3" w14:textId="77777777" w:rsidR="00EF22B4" w:rsidRDefault="00000000">
      <w:r>
        <w:t xml:space="preserve">The Accord enters into force 30 days after the deposit of instruments by all three Core Littoral Parties. Provisional application of Annexes A, C, and D begins upon signature. Other participants accede under </w:t>
      </w:r>
      <w:r>
        <w:lastRenderedPageBreak/>
        <w:t>Article 6, and the tier architecture keeps the door permanently open: a participant joins at the depth it chooses, deepens when it chooses, and never locks the door behind it.</w:t>
      </w:r>
    </w:p>
    <w:p w14:paraId="044370EF" w14:textId="77777777" w:rsidR="00EF22B4" w:rsidRDefault="00000000">
      <w:r>
        <w:t>The official languages of the Accord are Arabic, English, and Persian, all three equally authoritative. The Depositary maintains the authentic texts and certifies every copy.</w:t>
      </w:r>
    </w:p>
    <w:p w14:paraId="2A5031FB" w14:textId="77777777" w:rsidR="00EF22B4" w:rsidRDefault="00000000">
      <w:pPr>
        <w:pStyle w:val="Heading1"/>
        <w:pBdr>
          <w:bottom w:val="single" w:sz="8" w:space="2" w:color="B8860B"/>
        </w:pBdr>
      </w:pPr>
      <w:bookmarkStart w:id="66" w:name="_Toc236018450"/>
      <w:r>
        <w:t>Annex A: Speed Craft Safety Protocol</w:t>
      </w:r>
      <w:bookmarkStart w:id="67" w:name="_TocBM15"/>
      <w:bookmarkEnd w:id="66"/>
      <w:bookmarkEnd w:id="67"/>
    </w:p>
    <w:p w14:paraId="619A23A7" w14:textId="77777777" w:rsidR="00EF22B4" w:rsidRDefault="00000000">
      <w:r>
        <w:t>This Annex governs the conduct of Speed Craft, unmanned systems, and escort operations in and around the transit corridors. It carries treaty weight as a Class 2 schedule, and its obligations bind the armed forces and affiliated forces of every adopting Party through that Party's chain of command. Its design goal is behavioral de-escalation at the waterline: predictable distances, predictable signals, predictable geometry.</w:t>
      </w:r>
    </w:p>
    <w:p w14:paraId="7156A3B8" w14:textId="77777777" w:rsidR="00EF22B4" w:rsidRDefault="00000000">
      <w:pPr>
        <w:pStyle w:val="Heading2"/>
      </w:pPr>
      <w:bookmarkStart w:id="68" w:name="_Toc236018451"/>
      <w:r>
        <w:t>A.1 Mission and Non-Interdiction Rule</w:t>
      </w:r>
      <w:bookmarkEnd w:id="68"/>
    </w:p>
    <w:p w14:paraId="23D3B2D2" w14:textId="77777777" w:rsidR="00EF22B4" w:rsidRDefault="00000000">
      <w:r>
        <w:t>The Protocol regulates encounter behavior; it creates no right of interference. Inside the transit corridors, the absolute non-interdiction rule of CU-2 governs every Speed Craft of every Party. Lawful stop and inspection authority under national law operates outside the corridors only, and any such operation inside the corridor buffer zone triggers automatic JCC notification and an after-action report within 48 hours. Nothing in this Protocol enlarges or diminishes the legal authority of any Party; it disciplines how craft behave wherever they lawfully operate.</w:t>
      </w:r>
    </w:p>
    <w:p w14:paraId="0B7FE833" w14:textId="77777777" w:rsidR="00EF22B4" w:rsidRDefault="00000000">
      <w:pPr>
        <w:pStyle w:val="Heading2"/>
      </w:pPr>
      <w:bookmarkStart w:id="69" w:name="_Toc236018452"/>
      <w:r>
        <w:t>A.2 Behavioral Norms and Distances</w:t>
      </w:r>
      <w:bookmarkEnd w:id="69"/>
    </w:p>
    <w:p w14:paraId="44FBB210" w14:textId="77777777" w:rsidR="00EF22B4" w:rsidRDefault="00000000">
      <w:pPr>
        <w:numPr>
          <w:ilvl w:val="0"/>
          <w:numId w:val="5"/>
        </w:numPr>
      </w:pPr>
      <w:r>
        <w:t xml:space="preserve">Identification: every Speed Craft in the Governance Area displays hull numbers, flies its state flag or service ensign, and </w:t>
      </w:r>
      <w:proofErr w:type="gramStart"/>
      <w:r>
        <w:t>operates AIS or the agreed military position-reporting equivalent at all times</w:t>
      </w:r>
      <w:proofErr w:type="gramEnd"/>
      <w:r>
        <w:t>. Dark-running craft operate only inside pre-notified exercise areas under Section A.4.</w:t>
      </w:r>
    </w:p>
    <w:p w14:paraId="06EAD8DF" w14:textId="77777777" w:rsidR="00EF22B4" w:rsidRDefault="00000000">
      <w:pPr>
        <w:numPr>
          <w:ilvl w:val="0"/>
          <w:numId w:val="5"/>
        </w:numPr>
      </w:pPr>
      <w:r>
        <w:t>Minimum approach: a Speed Craft maintains 1,000 meters from any commercial vessel in a corridor, except during pre-notified escort, search and rescue, or distress response. Approach inside 2,000 meters triggers an automatic notification to the JCC with identity, course, and speed.</w:t>
      </w:r>
    </w:p>
    <w:p w14:paraId="7A8E9A4E" w14:textId="77777777" w:rsidR="00EF22B4" w:rsidRDefault="00000000">
      <w:pPr>
        <w:numPr>
          <w:ilvl w:val="0"/>
          <w:numId w:val="5"/>
        </w:numPr>
      </w:pPr>
      <w:r>
        <w:t>Approach geometry: any approach beyond the escort role runs parallel to the commercial vessel's course, never bow-on, never crossing the bow inside 3 nautical miles, and never from astern at speed. Head-on high-speed runs toward commercial traffic stand as an Enumerated Obstruction Act against this Annex.</w:t>
      </w:r>
    </w:p>
    <w:p w14:paraId="4BC2A47C" w14:textId="77777777" w:rsidR="00EF22B4" w:rsidRDefault="00000000">
      <w:pPr>
        <w:numPr>
          <w:ilvl w:val="0"/>
          <w:numId w:val="5"/>
        </w:numPr>
      </w:pPr>
      <w:r>
        <w:t>Speed discipline: within 5 nautical miles of an occupied corridor lane, Speed Craft limit speed to 25 knots except in emergency response declared on the hotline in real time.</w:t>
      </w:r>
    </w:p>
    <w:p w14:paraId="052D1685" w14:textId="77777777" w:rsidR="00EF22B4" w:rsidRDefault="00000000">
      <w:pPr>
        <w:numPr>
          <w:ilvl w:val="0"/>
          <w:numId w:val="5"/>
        </w:numPr>
      </w:pPr>
      <w:r>
        <w:t xml:space="preserve">Lighting and signals: night operations use standard navigation lights plus the agreed blue escort light when acting in the escort role. Laser dazzling, warning shots, and weapon illumination against </w:t>
      </w:r>
      <w:r>
        <w:lastRenderedPageBreak/>
        <w:t>commercial vessels stand prohibited absolutely, as architecture features of this Protocol binding all Parties equally.</w:t>
      </w:r>
    </w:p>
    <w:p w14:paraId="2DC5AE41" w14:textId="77777777" w:rsidR="00EF22B4" w:rsidRDefault="00000000">
      <w:pPr>
        <w:numPr>
          <w:ilvl w:val="0"/>
          <w:numId w:val="5"/>
        </w:numPr>
      </w:pPr>
      <w:r>
        <w:t>Communications: every encounter with a commercial vessel inside the corridor opens with the standard bridge-to-bridge identification call on the published channel. The hotline between the JCC and each Party's operations room answers within 90 seconds, staffed around the clock.</w:t>
      </w:r>
    </w:p>
    <w:p w14:paraId="13BAC776" w14:textId="77777777" w:rsidR="00EF22B4" w:rsidRDefault="00000000">
      <w:pPr>
        <w:pStyle w:val="Heading2"/>
      </w:pPr>
      <w:bookmarkStart w:id="70" w:name="_Toc236018453"/>
      <w:r>
        <w:t>A.3 Lead-Escort Operating Procedure</w:t>
      </w:r>
      <w:bookmarkEnd w:id="70"/>
    </w:p>
    <w:p w14:paraId="7F82B728" w14:textId="77777777" w:rsidR="00EF22B4" w:rsidRDefault="00000000">
      <w:r>
        <w:t>Where a Party escorts traffic through the corridor, the Lead-Escort Operating Procedure applies:</w:t>
      </w:r>
    </w:p>
    <w:p w14:paraId="54B969B3" w14:textId="77777777" w:rsidR="00EF22B4" w:rsidRDefault="00000000">
      <w:pPr>
        <w:numPr>
          <w:ilvl w:val="0"/>
          <w:numId w:val="6"/>
        </w:numPr>
      </w:pPr>
      <w:r>
        <w:t>Notification: the escorting Party files the escort plan with the JCC 24 hours in advance: route, timing, craft count, call signs, and escorted vessels. The JCC publishes the plan to all Parties simultaneously.</w:t>
      </w:r>
    </w:p>
    <w:p w14:paraId="6818CEB8" w14:textId="77777777" w:rsidR="00EF22B4" w:rsidRDefault="00000000">
      <w:pPr>
        <w:numPr>
          <w:ilvl w:val="0"/>
          <w:numId w:val="6"/>
        </w:numPr>
      </w:pPr>
      <w:r>
        <w:t>Positioning: escort craft station 1 to 2 nautical miles ahead of the lead commercial vessel and never closer than 0.5 nautical miles to any escorted vessel. Flank positions hold abeam at not less than 1 nautical mile.</w:t>
      </w:r>
    </w:p>
    <w:p w14:paraId="1ABF48C1" w14:textId="77777777" w:rsidR="00EF22B4" w:rsidRDefault="00000000">
      <w:pPr>
        <w:numPr>
          <w:ilvl w:val="0"/>
          <w:numId w:val="6"/>
        </w:numPr>
      </w:pPr>
      <w:r>
        <w:t>Handover: at the corridor midpoint waypoint, Iranian and Omani escort elements execute the standing handover procedure on the hotline: position exchange, picture confirmation, and a logged completion report. The handover runs identically in both directions, so neither steward enters the other's zone unannounced.</w:t>
      </w:r>
    </w:p>
    <w:p w14:paraId="3756DAC6" w14:textId="77777777" w:rsidR="00EF22B4" w:rsidRDefault="00000000">
      <w:pPr>
        <w:numPr>
          <w:ilvl w:val="0"/>
          <w:numId w:val="6"/>
        </w:numPr>
      </w:pPr>
      <w:r>
        <w:t>Third-flag coordination: escorted vessels of non-Party flags receive the same procedure. No distinction by flag operates inside the corridor.</w:t>
      </w:r>
    </w:p>
    <w:p w14:paraId="1A139C6C" w14:textId="77777777" w:rsidR="00EF22B4" w:rsidRDefault="00000000">
      <w:pPr>
        <w:numPr>
          <w:ilvl w:val="0"/>
          <w:numId w:val="6"/>
        </w:numPr>
      </w:pPr>
      <w:proofErr w:type="gramStart"/>
      <w:r>
        <w:t>Emergency</w:t>
      </w:r>
      <w:proofErr w:type="gramEnd"/>
      <w:r>
        <w:t xml:space="preserve"> carve-out: distress response overrides every distance rule, and the responding craft declares the emergency on the hotline as it breaks station.</w:t>
      </w:r>
    </w:p>
    <w:p w14:paraId="7D64A170" w14:textId="77777777" w:rsidR="00EF22B4" w:rsidRDefault="00000000">
      <w:pPr>
        <w:pStyle w:val="Heading2"/>
      </w:pPr>
      <w:bookmarkStart w:id="71" w:name="_Toc236018454"/>
      <w:r>
        <w:t>A.4 Multi-Craft and Drone Coordination</w:t>
      </w:r>
      <w:bookmarkEnd w:id="71"/>
    </w:p>
    <w:p w14:paraId="18924D76" w14:textId="77777777" w:rsidR="00EF22B4" w:rsidRDefault="00000000">
      <w:pPr>
        <w:numPr>
          <w:ilvl w:val="0"/>
          <w:numId w:val="7"/>
        </w:numPr>
      </w:pPr>
      <w:r>
        <w:t>Multi-craft operations: any operation involving four or more Speed Craft within 10 nautical miles of a corridor requires 72 hours advance notice to the JCC with area, duration, and purpose. The JCC publishes a notice to mariners and coordinates traffic spacing under Annex D. Unnotified multi-craft concentrations near the corridor feed the Early Indicator Protocol automatically.</w:t>
      </w:r>
    </w:p>
    <w:p w14:paraId="3FB26070" w14:textId="77777777" w:rsidR="00EF22B4" w:rsidRDefault="00000000">
      <w:pPr>
        <w:numPr>
          <w:ilvl w:val="0"/>
          <w:numId w:val="7"/>
        </w:numPr>
      </w:pPr>
      <w:r>
        <w:t>Drone corridors: unmanned aerial systems operate inside pre-declared altitude and route bands filed with the JCC. Drone operations outside declared bands within 25 nautical miles of a corridor require 48 hours notice. Loitering over commercial traffic outside declared bands stands prohibited, as a feature of the shared architecture.</w:t>
      </w:r>
    </w:p>
    <w:p w14:paraId="392A87D9" w14:textId="77777777" w:rsidR="00EF22B4" w:rsidRDefault="00000000">
      <w:pPr>
        <w:numPr>
          <w:ilvl w:val="0"/>
          <w:numId w:val="7"/>
        </w:numPr>
      </w:pPr>
      <w:r>
        <w:t>Interference response: GPS jamming, AIS spoofing, or communications interference affecting commercial traffic activates the Group Response Commitment of Article 25.4 and the Coordinated Posture Shift of Article 19, with the Security Liaisons engaged through the deconfliction channel where their assets operate nearby.</w:t>
      </w:r>
    </w:p>
    <w:p w14:paraId="2FAA5D89" w14:textId="77777777" w:rsidR="00EF22B4" w:rsidRDefault="00000000">
      <w:pPr>
        <w:numPr>
          <w:ilvl w:val="0"/>
          <w:numId w:val="7"/>
        </w:numPr>
      </w:pPr>
      <w:r>
        <w:lastRenderedPageBreak/>
        <w:t>Exercise areas: each Party files its standing exercise areas annually. Exercises inside the Governance Area outside those areas require 14 days notice. Live-fire exercise inside the Governance Area stands excluded from the framework architecture entirely.</w:t>
      </w:r>
    </w:p>
    <w:p w14:paraId="35D3121C" w14:textId="77777777" w:rsidR="00EF22B4" w:rsidRDefault="00000000">
      <w:pPr>
        <w:pStyle w:val="Heading2"/>
      </w:pPr>
      <w:bookmarkStart w:id="72" w:name="_Toc236018455"/>
      <w:r>
        <w:t>A.5 Encounter Incident Ladder</w:t>
      </w:r>
      <w:bookmarkEnd w:id="72"/>
    </w:p>
    <w:p w14:paraId="7D6A7EA1" w14:textId="77777777" w:rsidR="00EF22B4" w:rsidRDefault="00000000">
      <w:r>
        <w:t xml:space="preserve">Every encounter incident follows one ladder: the on-scene craft disengages to 2,000 meters and reports; the JCC logs and notifies all Parties within 30 minutes; the IVO reviews the sensor record within 72 hours; classification proceeds under Annex B. A craft that disengages and reports promptly faces no consequence for the encounter itself. The ladder rewards the behavior it </w:t>
      </w:r>
      <w:proofErr w:type="gramStart"/>
      <w:r>
        <w:t>needs:</w:t>
      </w:r>
      <w:proofErr w:type="gramEnd"/>
      <w:r>
        <w:t xml:space="preserve"> disengage first, report fast, let the system classify.</w:t>
      </w:r>
    </w:p>
    <w:p w14:paraId="7988EB1C" w14:textId="77777777" w:rsidR="00EF22B4" w:rsidRDefault="00000000">
      <w:pPr>
        <w:pStyle w:val="Heading1"/>
        <w:pBdr>
          <w:bottom w:val="single" w:sz="8" w:space="2" w:color="B8860B"/>
        </w:pBdr>
      </w:pPr>
      <w:bookmarkStart w:id="73" w:name="_Toc236018456"/>
      <w:r>
        <w:t>Annex B: Verification and Compliance Protocol</w:t>
      </w:r>
      <w:bookmarkStart w:id="74" w:name="_TocBM16"/>
      <w:bookmarkEnd w:id="73"/>
      <w:bookmarkEnd w:id="74"/>
    </w:p>
    <w:p w14:paraId="14B07E7F" w14:textId="77777777" w:rsidR="00EF22B4" w:rsidRDefault="00000000">
      <w:r>
        <w:t>This Annex carries the verification machinery of the Accord. It is heavy where the stakes are heavy, bounded where dignity demands bounds, and fair by construction. It implements the principles of Article 29.</w:t>
      </w:r>
    </w:p>
    <w:p w14:paraId="51F18236" w14:textId="77777777" w:rsidR="00EF22B4" w:rsidRDefault="00000000">
      <w:pPr>
        <w:pStyle w:val="Heading2"/>
      </w:pPr>
      <w:bookmarkStart w:id="75" w:name="_Toc236018457"/>
      <w:r>
        <w:t>B.1 Monitoring Infrastructure</w:t>
      </w:r>
      <w:bookmarkEnd w:id="75"/>
    </w:p>
    <w:p w14:paraId="391D34AC" w14:textId="77777777" w:rsidR="00EF22B4" w:rsidRDefault="00000000">
      <w:pPr>
        <w:numPr>
          <w:ilvl w:val="0"/>
          <w:numId w:val="8"/>
        </w:numPr>
      </w:pPr>
      <w:r>
        <w:t>Shore sensor network: the IVO operates a fused shore radar, AIS, and electro-optical network on sites hosted by the Core Littoral Parties under host agreements. Sites remain the sovereign property of the host; the IVO operates the sensors under joint custody with data flowing to the shared registry.</w:t>
      </w:r>
    </w:p>
    <w:p w14:paraId="307A8945" w14:textId="77777777" w:rsidR="00EF22B4" w:rsidRDefault="00000000">
      <w:pPr>
        <w:numPr>
          <w:ilvl w:val="0"/>
          <w:numId w:val="8"/>
        </w:numPr>
      </w:pPr>
      <w:r>
        <w:t>Satellite tasking: the IVO contracts commercial electro-optical and synthetic aperture radar tasking on a standing schedule, with surge tasking authority during API Level 3 and above. Tasking parameters publish to all Parties; collection results publish simultaneously.</w:t>
      </w:r>
    </w:p>
    <w:p w14:paraId="67F0ED49" w14:textId="77777777" w:rsidR="00EF22B4" w:rsidRDefault="00000000">
      <w:pPr>
        <w:numPr>
          <w:ilvl w:val="0"/>
          <w:numId w:val="8"/>
        </w:numPr>
      </w:pPr>
      <w:r>
        <w:t>Telemetry and reporting: Parties report movements, incidents, and escort operations through the JCC digital channel with automatic timestamping. Class 1 MCUs carry continuous telemetry where the MCU schedule specifies it.</w:t>
      </w:r>
    </w:p>
    <w:p w14:paraId="20CC05D4" w14:textId="77777777" w:rsidR="00EF22B4" w:rsidRDefault="00000000">
      <w:pPr>
        <w:numPr>
          <w:ilvl w:val="0"/>
          <w:numId w:val="8"/>
        </w:numPr>
      </w:pPr>
      <w:r>
        <w:t>Port and flag records: port state records, pilot logs, and flag-state attestations feed the evidence pool under standardized formats set by the Technical Standards Committee.</w:t>
      </w:r>
    </w:p>
    <w:p w14:paraId="4E08569A" w14:textId="77777777" w:rsidR="00EF22B4" w:rsidRDefault="00000000">
      <w:pPr>
        <w:numPr>
          <w:ilvl w:val="0"/>
          <w:numId w:val="8"/>
        </w:numPr>
      </w:pPr>
      <w:r>
        <w:t>Shared registry: all data lands in the shared registry under joint custody of the IVO and the Facilitator, retained for five years, accessible to every Party simultaneously with identical latency.</w:t>
      </w:r>
    </w:p>
    <w:p w14:paraId="30EF41D1" w14:textId="77777777" w:rsidR="00EF22B4" w:rsidRDefault="00000000">
      <w:pPr>
        <w:pStyle w:val="Heading2"/>
      </w:pPr>
      <w:bookmarkStart w:id="76" w:name="_Toc236018458"/>
      <w:r>
        <w:t>B.2 Anomaly Classification</w:t>
      </w:r>
      <w:bookmarkEnd w:id="76"/>
    </w:p>
    <w:p w14:paraId="65BCA9AB" w14:textId="77777777" w:rsidR="00EF22B4" w:rsidRDefault="00000000">
      <w:r>
        <w:t xml:space="preserve">The IVO classifies anomalies on four levels. Level 1 is a single-source flag, logged without notification. Level 2 is a two-source flag, notified to the affected Party with a 72-hour clarification window. Level 3 is a three-source convergence, triggering certification review, possible managed access, and notice to all </w:t>
      </w:r>
      <w:r>
        <w:lastRenderedPageBreak/>
        <w:t>Parties. Level 4 is a Level 3 convergence plus refusal of clarification or access, triggering the Part VII consequence schedule. Human certifiers anchor every Level 2 and above classification. An algorithm never classifies; it only queues.</w:t>
      </w:r>
    </w:p>
    <w:p w14:paraId="11C5EE8C" w14:textId="77777777" w:rsidR="00EF22B4" w:rsidRDefault="00000000">
      <w:pPr>
        <w:pStyle w:val="Heading2"/>
      </w:pPr>
      <w:bookmarkStart w:id="77" w:name="_Toc236018459"/>
      <w:r>
        <w:t>B.3 Randomized Verification Windows</w:t>
      </w:r>
      <w:bookmarkEnd w:id="77"/>
    </w:p>
    <w:p w14:paraId="715D3A23" w14:textId="77777777" w:rsidR="00EF22B4" w:rsidRDefault="00000000">
      <w:r>
        <w:t>Assurance verification runs on randomized windows. For each Class 1 and Class 2 MCU, the IVO draws verification windows from a published stochastic procedure with a Poisson distribution: the mean interval publishes, the exact dates do not. Each draw produces 48 hours notice to the host Party, and the window opens under managed access: host escort present, scope limited to the window's declared purpose, duration capped at 72 hours. No Party faces more than the drawn cadence; no Party anticipates the exact day; compliance stays continuous because theater gains nothing. The draw procedure, the seed records, and the outcomes all publish, so the randomness itself stands verified.</w:t>
      </w:r>
    </w:p>
    <w:p w14:paraId="208C4348" w14:textId="77777777" w:rsidR="00EF22B4" w:rsidRDefault="00000000">
      <w:pPr>
        <w:pStyle w:val="Heading2"/>
      </w:pPr>
      <w:bookmarkStart w:id="78" w:name="_Toc236018460"/>
      <w:r>
        <w:t>B.4 Challenge and Managed Access</w:t>
      </w:r>
      <w:bookmarkEnd w:id="78"/>
    </w:p>
    <w:p w14:paraId="3FFDF0A8" w14:textId="77777777" w:rsidR="00EF22B4" w:rsidRDefault="00000000">
      <w:r>
        <w:t xml:space="preserve">Any Party raises a verification challenge on any site or activity covered by an MCU. The sequence runs: written notice to the IVO; IVO assessment within 4 hours; clarification exchange within 24 hours; managed access within 72 hours where the assessment finds the challenge grounded. Managed access means: the host escorts, the scope follows the challenge, the duration stays capped, and the host's legitimate security shrouding stays respected through the alternative </w:t>
      </w:r>
      <w:proofErr w:type="gramStart"/>
      <w:r>
        <w:t>measures</w:t>
      </w:r>
      <w:proofErr w:type="gramEnd"/>
      <w:r>
        <w:t xml:space="preserve"> menu (shrouding, managed camera paths, hosted sampling). The framework architecture excludes unannounced access and excludes military personnel of non-littoral states from any access team.</w:t>
      </w:r>
    </w:p>
    <w:p w14:paraId="0C062C29" w14:textId="77777777" w:rsidR="00EF22B4" w:rsidRDefault="00000000">
      <w:pPr>
        <w:pStyle w:val="Heading2"/>
      </w:pPr>
      <w:bookmarkStart w:id="79" w:name="_Toc236018461"/>
      <w:r>
        <w:t>B.5 Certification Gates</w:t>
      </w:r>
      <w:bookmarkEnd w:id="79"/>
    </w:p>
    <w:p w14:paraId="63D8CD2D" w14:textId="77777777" w:rsidR="00EF22B4" w:rsidRDefault="00000000">
      <w:r>
        <w:t>Compliance certification runs on fixed gates: weekly operational summaries from the JCC, monthly IVO certifications per MCU, quarterly scorecards, and the annual full-scope review. Each certification states one of three outcomes: certified, certified with observations, or not certified with reasons. A non-certification states exactly what evidence fell short and exactly what closes the gap. The gates feed the point schedule of Article 22.5, the Earn-Back Pathway of Article 22.4, and the Compliance Credit minting of Article 33. Where the IVO cannot certify and cannot explain, the gap itself publishes as a reportable output, because an unexplained gap is a system failure, not a Party failure.</w:t>
      </w:r>
    </w:p>
    <w:p w14:paraId="0F441E9A" w14:textId="77777777" w:rsidR="00EF22B4" w:rsidRDefault="00000000">
      <w:pPr>
        <w:pStyle w:val="Heading2"/>
      </w:pPr>
      <w:bookmarkStart w:id="80" w:name="_Toc236018462"/>
      <w:r>
        <w:t>B.6 Severity Scale and Scoring Schedule</w:t>
      </w:r>
      <w:bookmarkEnd w:id="80"/>
    </w:p>
    <w:p w14:paraId="4356B8F6" w14:textId="77777777" w:rsidR="00EF22B4" w:rsidRDefault="00000000">
      <w:r>
        <w:t>Incidents and deviations score on a 0-to-100 severity scale: reporting lapses score 1 to 10; telemetry gaps 10 to 25; access obstruction 25 to 45; dangerous encounter conduct 40 to 70; kinetic or destructive acts 70 to 100. The severity score drives the Clock Reset threshold of Article 20.2 and the classification of Article 21. The point schedule of Article 22.5 runs alongside for recurring small failures. All scoring rules publish in full; no unpublished rule ever scores anything.</w:t>
      </w:r>
    </w:p>
    <w:p w14:paraId="710285FD" w14:textId="77777777" w:rsidR="00EF22B4" w:rsidRDefault="00000000">
      <w:pPr>
        <w:pStyle w:val="Heading2"/>
      </w:pPr>
      <w:bookmarkStart w:id="81" w:name="_Toc236018463"/>
      <w:r>
        <w:lastRenderedPageBreak/>
        <w:t>B.7 Data Sovereignty, Whistleblower Channel, and False Reports</w:t>
      </w:r>
      <w:bookmarkEnd w:id="81"/>
    </w:p>
    <w:p w14:paraId="08DB25D6" w14:textId="77777777" w:rsidR="00EF22B4" w:rsidRDefault="00000000">
      <w:r>
        <w:t>Verification data serves the Accord exclusively. The Facilitator operates a protected whistleblower channel open to any person with knowledge of falsification, obstruction, or spoofing, with source protection and a protection fund. A proven false report filed to trigger verification consequences against another Party scores as an Enumerated Obstruction Act against the filer. The channel, the fund, and the penalty balance each other: truth-telling stays safe, and weaponized reporting costs its author.</w:t>
      </w:r>
    </w:p>
    <w:p w14:paraId="5A473E02" w14:textId="77777777" w:rsidR="00EF22B4" w:rsidRDefault="00000000">
      <w:pPr>
        <w:pStyle w:val="Heading1"/>
        <w:pBdr>
          <w:bottom w:val="single" w:sz="8" w:space="2" w:color="B8860B"/>
        </w:pBdr>
      </w:pPr>
      <w:bookmarkStart w:id="82" w:name="_Toc236018464"/>
      <w:r>
        <w:t>Annex C: Governance and Participation Schedule</w:t>
      </w:r>
      <w:bookmarkStart w:id="83" w:name="_TocBM17"/>
      <w:bookmarkEnd w:id="82"/>
      <w:bookmarkEnd w:id="83"/>
    </w:p>
    <w:p w14:paraId="7A22C690" w14:textId="77777777" w:rsidR="00EF22B4" w:rsidRDefault="00000000">
      <w:r>
        <w:t>This Annex fixes the light, cost-effective operating structure of the Accord. The guiding constraint: the institution serves the waterway, never the reverse.</w:t>
      </w:r>
    </w:p>
    <w:p w14:paraId="23287B79" w14:textId="77777777" w:rsidR="00EF22B4" w:rsidRDefault="00000000">
      <w:pPr>
        <w:pStyle w:val="Heading2"/>
      </w:pPr>
      <w:bookmarkStart w:id="84" w:name="_Toc236018465"/>
      <w:r>
        <w:t>C.1 Bodies, Seats, and Staffing</w:t>
      </w:r>
      <w:bookmarkEnd w:id="84"/>
    </w:p>
    <w:tbl>
      <w:tblPr>
        <w:tblW w:w="5000" w:type="pct"/>
        <w:tblInd w:w="10" w:type="dxa"/>
        <w:tblBorders>
          <w:top w:val="single" w:sz="10" w:space="0" w:color="1F3A4D"/>
          <w:bottom w:val="single" w:sz="10" w:space="0" w:color="1F3A4D"/>
          <w:insideH w:val="single" w:sz="4" w:space="0" w:color="C9D2D8"/>
        </w:tblBorders>
        <w:tblCellMar>
          <w:left w:w="10" w:type="dxa"/>
          <w:right w:w="10" w:type="dxa"/>
        </w:tblCellMar>
        <w:tblLook w:val="04A0" w:firstRow="1" w:lastRow="0" w:firstColumn="1" w:lastColumn="0" w:noHBand="0" w:noVBand="1"/>
      </w:tblPr>
      <w:tblGrid>
        <w:gridCol w:w="2288"/>
        <w:gridCol w:w="2271"/>
        <w:gridCol w:w="2099"/>
        <w:gridCol w:w="2388"/>
      </w:tblGrid>
      <w:tr w:rsidR="00EF22B4" w14:paraId="5481FF5F" w14:textId="77777777">
        <w:tblPrEx>
          <w:tblCellMar>
            <w:top w:w="0" w:type="dxa"/>
            <w:bottom w:w="0" w:type="dxa"/>
          </w:tblCellMar>
        </w:tblPrEx>
        <w:trPr>
          <w:tblHeader/>
        </w:trPr>
        <w:tc>
          <w:tcPr>
            <w:tcW w:w="2400" w:type="dxa"/>
            <w:shd w:val="clear" w:color="auto" w:fill="EDF1F4"/>
          </w:tcPr>
          <w:p w14:paraId="63159FDB" w14:textId="77777777" w:rsidR="00EF22B4" w:rsidRDefault="00000000">
            <w:pPr>
              <w:spacing w:before="40" w:after="40"/>
            </w:pPr>
            <w:r>
              <w:rPr>
                <w:b/>
                <w:color w:val="1F3A4D"/>
                <w:sz w:val="19"/>
              </w:rPr>
              <w:t>Body</w:t>
            </w:r>
          </w:p>
        </w:tc>
        <w:tc>
          <w:tcPr>
            <w:tcW w:w="2400" w:type="dxa"/>
            <w:shd w:val="clear" w:color="auto" w:fill="EDF1F4"/>
          </w:tcPr>
          <w:p w14:paraId="4FA278AA" w14:textId="77777777" w:rsidR="00EF22B4" w:rsidRDefault="00000000">
            <w:pPr>
              <w:spacing w:before="40" w:after="40"/>
            </w:pPr>
            <w:r>
              <w:rPr>
                <w:b/>
                <w:color w:val="1F3A4D"/>
                <w:sz w:val="19"/>
              </w:rPr>
              <w:t>Seat</w:t>
            </w:r>
          </w:p>
        </w:tc>
        <w:tc>
          <w:tcPr>
            <w:tcW w:w="2200" w:type="dxa"/>
            <w:shd w:val="clear" w:color="auto" w:fill="EDF1F4"/>
          </w:tcPr>
          <w:p w14:paraId="26FBDF03" w14:textId="77777777" w:rsidR="00EF22B4" w:rsidRDefault="00000000">
            <w:pPr>
              <w:spacing w:before="40" w:after="40"/>
            </w:pPr>
            <w:r>
              <w:rPr>
                <w:b/>
                <w:color w:val="1F3A4D"/>
                <w:sz w:val="19"/>
              </w:rPr>
              <w:t>Standing Staff</w:t>
            </w:r>
          </w:p>
        </w:tc>
        <w:tc>
          <w:tcPr>
            <w:tcW w:w="2500" w:type="dxa"/>
            <w:shd w:val="clear" w:color="auto" w:fill="EDF1F4"/>
          </w:tcPr>
          <w:p w14:paraId="27A733FC" w14:textId="77777777" w:rsidR="00EF22B4" w:rsidRDefault="00000000">
            <w:pPr>
              <w:spacing w:before="40" w:after="40"/>
            </w:pPr>
            <w:r>
              <w:rPr>
                <w:b/>
                <w:color w:val="1F3A4D"/>
                <w:sz w:val="19"/>
              </w:rPr>
              <w:t>Leadership</w:t>
            </w:r>
          </w:p>
        </w:tc>
      </w:tr>
      <w:tr w:rsidR="00EF22B4" w14:paraId="55853CF3" w14:textId="77777777">
        <w:tblPrEx>
          <w:tblCellMar>
            <w:top w:w="0" w:type="dxa"/>
            <w:bottom w:w="0" w:type="dxa"/>
          </w:tblCellMar>
        </w:tblPrEx>
        <w:tc>
          <w:tcPr>
            <w:tcW w:w="2400" w:type="dxa"/>
          </w:tcPr>
          <w:p w14:paraId="1A2EBB87" w14:textId="77777777" w:rsidR="00EF22B4" w:rsidRDefault="00000000">
            <w:pPr>
              <w:spacing w:before="40" w:after="40"/>
            </w:pPr>
            <w:r>
              <w:rPr>
                <w:sz w:val="19"/>
              </w:rPr>
              <w:t>Accord Council</w:t>
            </w:r>
          </w:p>
        </w:tc>
        <w:tc>
          <w:tcPr>
            <w:tcW w:w="2400" w:type="dxa"/>
          </w:tcPr>
          <w:p w14:paraId="0DDCDF9F" w14:textId="77777777" w:rsidR="00EF22B4" w:rsidRDefault="00000000">
            <w:pPr>
              <w:spacing w:before="40" w:after="40"/>
            </w:pPr>
            <w:r>
              <w:rPr>
                <w:sz w:val="19"/>
              </w:rPr>
              <w:t>Rotating (quarterly, Muscat)</w:t>
            </w:r>
          </w:p>
        </w:tc>
        <w:tc>
          <w:tcPr>
            <w:tcW w:w="2200" w:type="dxa"/>
          </w:tcPr>
          <w:p w14:paraId="6D7B855D" w14:textId="77777777" w:rsidR="00EF22B4" w:rsidRDefault="00000000">
            <w:pPr>
              <w:spacing w:before="40" w:after="40"/>
            </w:pPr>
            <w:r>
              <w:rPr>
                <w:sz w:val="19"/>
              </w:rPr>
              <w:t>None (delegations only)</w:t>
            </w:r>
          </w:p>
        </w:tc>
        <w:tc>
          <w:tcPr>
            <w:tcW w:w="2500" w:type="dxa"/>
          </w:tcPr>
          <w:p w14:paraId="36B8403D" w14:textId="77777777" w:rsidR="00EF22B4" w:rsidRDefault="00000000">
            <w:pPr>
              <w:spacing w:before="40" w:after="40"/>
            </w:pPr>
            <w:r>
              <w:rPr>
                <w:sz w:val="19"/>
              </w:rPr>
              <w:t>Chair rotates 6-monthly among Core Littoral Parties</w:t>
            </w:r>
          </w:p>
        </w:tc>
      </w:tr>
      <w:tr w:rsidR="00EF22B4" w14:paraId="7FED1C34" w14:textId="77777777">
        <w:tblPrEx>
          <w:tblCellMar>
            <w:top w:w="0" w:type="dxa"/>
            <w:bottom w:w="0" w:type="dxa"/>
          </w:tblCellMar>
        </w:tblPrEx>
        <w:tc>
          <w:tcPr>
            <w:tcW w:w="2400" w:type="dxa"/>
          </w:tcPr>
          <w:p w14:paraId="7380197B" w14:textId="77777777" w:rsidR="00EF22B4" w:rsidRDefault="00000000">
            <w:pPr>
              <w:spacing w:before="40" w:after="40"/>
            </w:pPr>
            <w:r>
              <w:rPr>
                <w:sz w:val="19"/>
              </w:rPr>
              <w:t>Joint Coordination Center</w:t>
            </w:r>
          </w:p>
        </w:tc>
        <w:tc>
          <w:tcPr>
            <w:tcW w:w="2400" w:type="dxa"/>
          </w:tcPr>
          <w:p w14:paraId="145E7068" w14:textId="77777777" w:rsidR="00EF22B4" w:rsidRDefault="00000000">
            <w:pPr>
              <w:spacing w:before="40" w:after="40"/>
            </w:pPr>
            <w:r>
              <w:rPr>
                <w:sz w:val="19"/>
              </w:rPr>
              <w:t>Muscat</w:t>
            </w:r>
          </w:p>
        </w:tc>
        <w:tc>
          <w:tcPr>
            <w:tcW w:w="2200" w:type="dxa"/>
          </w:tcPr>
          <w:p w14:paraId="060B0ED7" w14:textId="77777777" w:rsidR="00EF22B4" w:rsidRDefault="00000000">
            <w:pPr>
              <w:spacing w:before="40" w:after="40"/>
            </w:pPr>
            <w:r>
              <w:rPr>
                <w:sz w:val="19"/>
              </w:rPr>
              <w:t>12 core + liaisons</w:t>
            </w:r>
          </w:p>
        </w:tc>
        <w:tc>
          <w:tcPr>
            <w:tcW w:w="2500" w:type="dxa"/>
          </w:tcPr>
          <w:p w14:paraId="71450566" w14:textId="77777777" w:rsidR="00EF22B4" w:rsidRDefault="00000000">
            <w:pPr>
              <w:spacing w:before="40" w:after="40"/>
            </w:pPr>
            <w:r>
              <w:rPr>
                <w:sz w:val="19"/>
              </w:rPr>
              <w:t>Duty officer pair: Iran and Oman, senior watch rotating annually</w:t>
            </w:r>
          </w:p>
        </w:tc>
      </w:tr>
      <w:tr w:rsidR="00EF22B4" w14:paraId="6A51AF3E" w14:textId="77777777">
        <w:tblPrEx>
          <w:tblCellMar>
            <w:top w:w="0" w:type="dxa"/>
            <w:bottom w:w="0" w:type="dxa"/>
          </w:tblCellMar>
        </w:tblPrEx>
        <w:tc>
          <w:tcPr>
            <w:tcW w:w="2400" w:type="dxa"/>
          </w:tcPr>
          <w:p w14:paraId="465FE45C" w14:textId="77777777" w:rsidR="00EF22B4" w:rsidRDefault="00000000">
            <w:pPr>
              <w:spacing w:before="40" w:after="40"/>
            </w:pPr>
            <w:r>
              <w:rPr>
                <w:sz w:val="19"/>
              </w:rPr>
              <w:t>Independent Verification Office</w:t>
            </w:r>
          </w:p>
        </w:tc>
        <w:tc>
          <w:tcPr>
            <w:tcW w:w="2400" w:type="dxa"/>
          </w:tcPr>
          <w:p w14:paraId="67C885CB" w14:textId="77777777" w:rsidR="00EF22B4" w:rsidRDefault="00000000">
            <w:pPr>
              <w:spacing w:before="40" w:after="40"/>
            </w:pPr>
            <w:r>
              <w:rPr>
                <w:sz w:val="19"/>
              </w:rPr>
              <w:t>Muscat (field sites hosted)</w:t>
            </w:r>
          </w:p>
        </w:tc>
        <w:tc>
          <w:tcPr>
            <w:tcW w:w="2200" w:type="dxa"/>
          </w:tcPr>
          <w:p w14:paraId="12C1BDED" w14:textId="77777777" w:rsidR="00EF22B4" w:rsidRDefault="00000000">
            <w:pPr>
              <w:spacing w:before="40" w:after="40"/>
            </w:pPr>
            <w:r>
              <w:rPr>
                <w:sz w:val="19"/>
              </w:rPr>
              <w:t>9</w:t>
            </w:r>
          </w:p>
        </w:tc>
        <w:tc>
          <w:tcPr>
            <w:tcW w:w="2500" w:type="dxa"/>
          </w:tcPr>
          <w:p w14:paraId="2D9FE645" w14:textId="77777777" w:rsidR="00EF22B4" w:rsidRDefault="00000000">
            <w:pPr>
              <w:spacing w:before="40" w:after="40"/>
            </w:pPr>
            <w:r>
              <w:rPr>
                <w:sz w:val="19"/>
              </w:rPr>
              <w:t>Head appointed by two-thirds Council vote, single 6-year term</w:t>
            </w:r>
          </w:p>
        </w:tc>
      </w:tr>
      <w:tr w:rsidR="00EF22B4" w14:paraId="616F7257" w14:textId="77777777">
        <w:tblPrEx>
          <w:tblCellMar>
            <w:top w:w="0" w:type="dxa"/>
            <w:bottom w:w="0" w:type="dxa"/>
          </w:tblCellMar>
        </w:tblPrEx>
        <w:tc>
          <w:tcPr>
            <w:tcW w:w="2400" w:type="dxa"/>
          </w:tcPr>
          <w:p w14:paraId="5ABCD6FB" w14:textId="77777777" w:rsidR="00EF22B4" w:rsidRDefault="00000000">
            <w:pPr>
              <w:spacing w:before="40" w:after="40"/>
            </w:pPr>
            <w:r>
              <w:rPr>
                <w:sz w:val="19"/>
              </w:rPr>
              <w:t>Technical Standards Committee</w:t>
            </w:r>
          </w:p>
        </w:tc>
        <w:tc>
          <w:tcPr>
            <w:tcW w:w="2400" w:type="dxa"/>
          </w:tcPr>
          <w:p w14:paraId="199045E2" w14:textId="77777777" w:rsidR="00EF22B4" w:rsidRDefault="00000000">
            <w:pPr>
              <w:spacing w:before="40" w:after="40"/>
            </w:pPr>
            <w:r>
              <w:rPr>
                <w:sz w:val="19"/>
              </w:rPr>
              <w:t>Virtual-first</w:t>
            </w:r>
          </w:p>
        </w:tc>
        <w:tc>
          <w:tcPr>
            <w:tcW w:w="2200" w:type="dxa"/>
          </w:tcPr>
          <w:p w14:paraId="4ED5BBC1" w14:textId="77777777" w:rsidR="00EF22B4" w:rsidRDefault="00000000">
            <w:pPr>
              <w:spacing w:before="40" w:after="40"/>
            </w:pPr>
            <w:r>
              <w:rPr>
                <w:sz w:val="19"/>
              </w:rPr>
              <w:t>None (delegates only)</w:t>
            </w:r>
          </w:p>
        </w:tc>
        <w:tc>
          <w:tcPr>
            <w:tcW w:w="2500" w:type="dxa"/>
          </w:tcPr>
          <w:p w14:paraId="7890ADFB" w14:textId="77777777" w:rsidR="00EF22B4" w:rsidRDefault="00000000">
            <w:pPr>
              <w:spacing w:before="40" w:after="40"/>
            </w:pPr>
            <w:r>
              <w:rPr>
                <w:sz w:val="19"/>
              </w:rPr>
              <w:t>Co-chairs: one Core Littoral, one observer delegate</w:t>
            </w:r>
          </w:p>
        </w:tc>
      </w:tr>
      <w:tr w:rsidR="00EF22B4" w14:paraId="47D5FD14" w14:textId="77777777">
        <w:tblPrEx>
          <w:tblCellMar>
            <w:top w:w="0" w:type="dxa"/>
            <w:bottom w:w="0" w:type="dxa"/>
          </w:tblCellMar>
        </w:tblPrEx>
        <w:tc>
          <w:tcPr>
            <w:tcW w:w="2400" w:type="dxa"/>
          </w:tcPr>
          <w:p w14:paraId="0B824CB3" w14:textId="77777777" w:rsidR="00EF22B4" w:rsidRDefault="00000000">
            <w:pPr>
              <w:spacing w:before="40" w:after="40"/>
            </w:pPr>
            <w:r>
              <w:rPr>
                <w:sz w:val="19"/>
              </w:rPr>
              <w:t>Facilitator functions</w:t>
            </w:r>
          </w:p>
        </w:tc>
        <w:tc>
          <w:tcPr>
            <w:tcW w:w="2400" w:type="dxa"/>
          </w:tcPr>
          <w:p w14:paraId="20C52162" w14:textId="77777777" w:rsidR="00EF22B4" w:rsidRDefault="00000000">
            <w:pPr>
              <w:spacing w:before="40" w:after="40"/>
            </w:pPr>
            <w:r>
              <w:rPr>
                <w:sz w:val="19"/>
              </w:rPr>
              <w:t>Geneva</w:t>
            </w:r>
          </w:p>
        </w:tc>
        <w:tc>
          <w:tcPr>
            <w:tcW w:w="2200" w:type="dxa"/>
          </w:tcPr>
          <w:p w14:paraId="459E627A" w14:textId="77777777" w:rsidR="00EF22B4" w:rsidRDefault="00000000">
            <w:pPr>
              <w:spacing w:before="40" w:after="40"/>
            </w:pPr>
            <w:r>
              <w:rPr>
                <w:sz w:val="19"/>
              </w:rPr>
              <w:t>Within existing Swiss facilitation capacity</w:t>
            </w:r>
          </w:p>
        </w:tc>
        <w:tc>
          <w:tcPr>
            <w:tcW w:w="2500" w:type="dxa"/>
          </w:tcPr>
          <w:p w14:paraId="6834ACCC" w14:textId="77777777" w:rsidR="00EF22B4" w:rsidRDefault="00000000">
            <w:pPr>
              <w:spacing w:before="40" w:after="40"/>
            </w:pPr>
            <w:r>
              <w:rPr>
                <w:sz w:val="19"/>
              </w:rPr>
              <w:t>Swiss Confederation</w:t>
            </w:r>
          </w:p>
        </w:tc>
      </w:tr>
      <w:tr w:rsidR="00EF22B4" w14:paraId="7DD32258" w14:textId="77777777">
        <w:tblPrEx>
          <w:tblCellMar>
            <w:top w:w="0" w:type="dxa"/>
            <w:bottom w:w="0" w:type="dxa"/>
          </w:tblCellMar>
        </w:tblPrEx>
        <w:tc>
          <w:tcPr>
            <w:tcW w:w="2400" w:type="dxa"/>
          </w:tcPr>
          <w:p w14:paraId="775AC27A" w14:textId="77777777" w:rsidR="00EF22B4" w:rsidRDefault="00000000">
            <w:pPr>
              <w:spacing w:before="40" w:after="40"/>
            </w:pPr>
            <w:r>
              <w:rPr>
                <w:sz w:val="19"/>
              </w:rPr>
              <w:t>Depositary functions</w:t>
            </w:r>
          </w:p>
        </w:tc>
        <w:tc>
          <w:tcPr>
            <w:tcW w:w="2400" w:type="dxa"/>
          </w:tcPr>
          <w:p w14:paraId="6FE3B6D5" w14:textId="77777777" w:rsidR="00EF22B4" w:rsidRDefault="00000000">
            <w:pPr>
              <w:spacing w:before="40" w:after="40"/>
            </w:pPr>
            <w:r>
              <w:rPr>
                <w:sz w:val="19"/>
              </w:rPr>
              <w:t>Muscat</w:t>
            </w:r>
          </w:p>
        </w:tc>
        <w:tc>
          <w:tcPr>
            <w:tcW w:w="2200" w:type="dxa"/>
          </w:tcPr>
          <w:p w14:paraId="0DE9F49B" w14:textId="77777777" w:rsidR="00EF22B4" w:rsidRDefault="00000000">
            <w:pPr>
              <w:spacing w:before="40" w:after="40"/>
            </w:pPr>
            <w:r>
              <w:rPr>
                <w:sz w:val="19"/>
              </w:rPr>
              <w:t>Within Omani foreign ministry capacity</w:t>
            </w:r>
          </w:p>
        </w:tc>
        <w:tc>
          <w:tcPr>
            <w:tcW w:w="2500" w:type="dxa"/>
          </w:tcPr>
          <w:p w14:paraId="63598F16" w14:textId="77777777" w:rsidR="00EF22B4" w:rsidRDefault="00000000">
            <w:pPr>
              <w:spacing w:before="40" w:after="40"/>
            </w:pPr>
            <w:r>
              <w:rPr>
                <w:sz w:val="19"/>
              </w:rPr>
              <w:t>Sultanate of Oman</w:t>
            </w:r>
          </w:p>
        </w:tc>
      </w:tr>
    </w:tbl>
    <w:p w14:paraId="27D984A1" w14:textId="77777777" w:rsidR="00EF22B4" w:rsidRDefault="00000000">
      <w:pPr>
        <w:pStyle w:val="Caption"/>
      </w:pPr>
      <w:r>
        <w:t>Table C-1: Bodies, seats, and staffing</w:t>
      </w:r>
    </w:p>
    <w:p w14:paraId="5EC1D54D" w14:textId="77777777" w:rsidR="00EF22B4" w:rsidRDefault="00000000">
      <w:pPr>
        <w:pStyle w:val="Heading2"/>
      </w:pPr>
      <w:bookmarkStart w:id="85" w:name="_Toc236018466"/>
      <w:r>
        <w:t>C.2 Decision Rules</w:t>
      </w:r>
      <w:bookmarkEnd w:id="85"/>
    </w:p>
    <w:p w14:paraId="4D20C962" w14:textId="77777777" w:rsidR="00EF22B4" w:rsidRDefault="00000000">
      <w:r>
        <w:t>Consensus is the default everywhere. Failing consensus within 72 hours: the Council decides by two-thirds of voting members; the Technical Standards Committee refers upward with an options paper; the IVO decides technical classifications on evidence alone. Core Undertaking amendments require unanimity of the Core Littoral Parties plus two-thirds of all Parties. Budget adoption requires two-thirds including at least two Core Littoral Parties. No body ever votes on another body's technical findings.</w:t>
      </w:r>
    </w:p>
    <w:p w14:paraId="7DDA8958" w14:textId="77777777" w:rsidR="00EF22B4" w:rsidRDefault="00000000">
      <w:pPr>
        <w:pStyle w:val="Heading2"/>
      </w:pPr>
      <w:bookmarkStart w:id="86" w:name="_Toc236018467"/>
      <w:r>
        <w:lastRenderedPageBreak/>
        <w:t>C.3 Budget and Cost Allocation</w:t>
      </w:r>
      <w:bookmarkEnd w:id="86"/>
    </w:p>
    <w:p w14:paraId="43D3DF84" w14:textId="77777777" w:rsidR="00EF22B4" w:rsidRDefault="00000000">
      <w:r>
        <w:t>The annual pooled budget cap at entry into force funds the JCC core staff, the IVO, the shared registry, and the audit. Indicative allocation: Core Littoral Parties 45 percent (15 each), Associate Littoral Parties 20 percent, Observer User States and Institutional Partners 30 percent, Depositary-Link State 5 percent. Each participant bears its own delegation, liaison, and hosting costs. The Facilitator audits annually and publishes the full audit. The cap adjusts only by two-thirds Council vote, and any proposal to create a new permanent body answers three written tests first: the function fails without permanence, no existing body absorbs it, and the Scheduled Dissolution Review date appears in its charter.</w:t>
      </w:r>
    </w:p>
    <w:p w14:paraId="3232B02F" w14:textId="77777777" w:rsidR="00EF22B4" w:rsidRDefault="00000000">
      <w:pPr>
        <w:pStyle w:val="Heading2"/>
      </w:pPr>
      <w:bookmarkStart w:id="87" w:name="_Toc236018468"/>
      <w:r>
        <w:t>C.4 Participation Matrix</w:t>
      </w:r>
      <w:bookmarkEnd w:id="87"/>
    </w:p>
    <w:tbl>
      <w:tblPr>
        <w:tblW w:w="5000" w:type="pct"/>
        <w:tblInd w:w="10" w:type="dxa"/>
        <w:tblBorders>
          <w:top w:val="single" w:sz="10" w:space="0" w:color="1F3A4D"/>
          <w:bottom w:val="single" w:sz="10" w:space="0" w:color="1F3A4D"/>
          <w:insideH w:val="single" w:sz="4" w:space="0" w:color="C9D2D8"/>
        </w:tblBorders>
        <w:tblCellMar>
          <w:left w:w="10" w:type="dxa"/>
          <w:right w:w="10" w:type="dxa"/>
        </w:tblCellMar>
        <w:tblLook w:val="04A0" w:firstRow="1" w:lastRow="0" w:firstColumn="1" w:lastColumn="0" w:noHBand="0" w:noVBand="1"/>
      </w:tblPr>
      <w:tblGrid>
        <w:gridCol w:w="1990"/>
        <w:gridCol w:w="2004"/>
        <w:gridCol w:w="1798"/>
        <w:gridCol w:w="1620"/>
        <w:gridCol w:w="1634"/>
      </w:tblGrid>
      <w:tr w:rsidR="00EF22B4" w14:paraId="2E7327B3" w14:textId="77777777">
        <w:tblPrEx>
          <w:tblCellMar>
            <w:top w:w="0" w:type="dxa"/>
            <w:bottom w:w="0" w:type="dxa"/>
          </w:tblCellMar>
        </w:tblPrEx>
        <w:trPr>
          <w:tblHeader/>
        </w:trPr>
        <w:tc>
          <w:tcPr>
            <w:tcW w:w="2100" w:type="dxa"/>
            <w:shd w:val="clear" w:color="auto" w:fill="EDF1F4"/>
          </w:tcPr>
          <w:p w14:paraId="5D9DBDC2" w14:textId="77777777" w:rsidR="00EF22B4" w:rsidRDefault="00000000">
            <w:pPr>
              <w:spacing w:before="40" w:after="40"/>
            </w:pPr>
            <w:r>
              <w:rPr>
                <w:b/>
                <w:color w:val="1F3A4D"/>
                <w:sz w:val="19"/>
              </w:rPr>
              <w:t>Tier</w:t>
            </w:r>
          </w:p>
        </w:tc>
        <w:tc>
          <w:tcPr>
            <w:tcW w:w="2100" w:type="dxa"/>
            <w:shd w:val="clear" w:color="auto" w:fill="EDF1F4"/>
          </w:tcPr>
          <w:p w14:paraId="0785AEA5" w14:textId="77777777" w:rsidR="00EF22B4" w:rsidRDefault="00000000">
            <w:pPr>
              <w:spacing w:before="40" w:after="40"/>
            </w:pPr>
            <w:r>
              <w:rPr>
                <w:b/>
                <w:color w:val="1F3A4D"/>
                <w:sz w:val="19"/>
              </w:rPr>
              <w:t>Annexes Adopted</w:t>
            </w:r>
          </w:p>
        </w:tc>
        <w:tc>
          <w:tcPr>
            <w:tcW w:w="1900" w:type="dxa"/>
            <w:shd w:val="clear" w:color="auto" w:fill="EDF1F4"/>
          </w:tcPr>
          <w:p w14:paraId="2E89AA63" w14:textId="77777777" w:rsidR="00EF22B4" w:rsidRDefault="00000000">
            <w:pPr>
              <w:spacing w:before="40" w:after="40"/>
            </w:pPr>
            <w:r>
              <w:rPr>
                <w:b/>
                <w:color w:val="1F3A4D"/>
                <w:sz w:val="19"/>
              </w:rPr>
              <w:t>Council Role</w:t>
            </w:r>
          </w:p>
        </w:tc>
        <w:tc>
          <w:tcPr>
            <w:tcW w:w="1700" w:type="dxa"/>
            <w:shd w:val="clear" w:color="auto" w:fill="EDF1F4"/>
          </w:tcPr>
          <w:p w14:paraId="725A6583" w14:textId="77777777" w:rsidR="00EF22B4" w:rsidRDefault="00000000">
            <w:pPr>
              <w:spacing w:before="40" w:after="40"/>
            </w:pPr>
            <w:r>
              <w:rPr>
                <w:b/>
                <w:color w:val="1F3A4D"/>
                <w:sz w:val="19"/>
              </w:rPr>
              <w:t>Verification Exposure</w:t>
            </w:r>
          </w:p>
        </w:tc>
        <w:tc>
          <w:tcPr>
            <w:tcW w:w="1700" w:type="dxa"/>
            <w:shd w:val="clear" w:color="auto" w:fill="EDF1F4"/>
          </w:tcPr>
          <w:p w14:paraId="10F552B8" w14:textId="77777777" w:rsidR="00EF22B4" w:rsidRDefault="00000000">
            <w:pPr>
              <w:spacing w:before="40" w:after="40"/>
            </w:pPr>
            <w:r>
              <w:rPr>
                <w:b/>
                <w:color w:val="1F3A4D"/>
                <w:sz w:val="19"/>
              </w:rPr>
              <w:t>Dividend Access</w:t>
            </w:r>
          </w:p>
        </w:tc>
      </w:tr>
      <w:tr w:rsidR="00EF22B4" w14:paraId="06395052" w14:textId="77777777">
        <w:tblPrEx>
          <w:tblCellMar>
            <w:top w:w="0" w:type="dxa"/>
            <w:bottom w:w="0" w:type="dxa"/>
          </w:tblCellMar>
        </w:tblPrEx>
        <w:tc>
          <w:tcPr>
            <w:tcW w:w="2100" w:type="dxa"/>
          </w:tcPr>
          <w:p w14:paraId="12C6C31D" w14:textId="77777777" w:rsidR="00EF22B4" w:rsidRDefault="00000000">
            <w:pPr>
              <w:spacing w:before="40" w:after="40"/>
            </w:pPr>
            <w:r>
              <w:rPr>
                <w:sz w:val="19"/>
              </w:rPr>
              <w:t>1: Core Littoral</w:t>
            </w:r>
          </w:p>
        </w:tc>
        <w:tc>
          <w:tcPr>
            <w:tcW w:w="2100" w:type="dxa"/>
          </w:tcPr>
          <w:p w14:paraId="6E37F524" w14:textId="77777777" w:rsidR="00EF22B4" w:rsidRDefault="00000000">
            <w:pPr>
              <w:spacing w:before="40" w:after="40"/>
            </w:pPr>
            <w:r>
              <w:rPr>
                <w:sz w:val="19"/>
              </w:rPr>
              <w:t>All (A to F)</w:t>
            </w:r>
          </w:p>
        </w:tc>
        <w:tc>
          <w:tcPr>
            <w:tcW w:w="1900" w:type="dxa"/>
          </w:tcPr>
          <w:p w14:paraId="73C45C76" w14:textId="77777777" w:rsidR="00EF22B4" w:rsidRDefault="00000000">
            <w:pPr>
              <w:spacing w:before="40" w:after="40"/>
            </w:pPr>
            <w:r>
              <w:rPr>
                <w:sz w:val="19"/>
              </w:rPr>
              <w:t>Full vote</w:t>
            </w:r>
          </w:p>
        </w:tc>
        <w:tc>
          <w:tcPr>
            <w:tcW w:w="1700" w:type="dxa"/>
          </w:tcPr>
          <w:p w14:paraId="4F1C1AC5" w14:textId="77777777" w:rsidR="00EF22B4" w:rsidRDefault="00000000">
            <w:pPr>
              <w:spacing w:before="40" w:after="40"/>
            </w:pPr>
            <w:r>
              <w:rPr>
                <w:sz w:val="19"/>
              </w:rPr>
              <w:t>Full (Class 1 and 2 MCUs)</w:t>
            </w:r>
          </w:p>
        </w:tc>
        <w:tc>
          <w:tcPr>
            <w:tcW w:w="1700" w:type="dxa"/>
          </w:tcPr>
          <w:p w14:paraId="043BD3CF" w14:textId="77777777" w:rsidR="00EF22B4" w:rsidRDefault="00000000">
            <w:pPr>
              <w:spacing w:before="40" w:after="40"/>
            </w:pPr>
            <w:r>
              <w:rPr>
                <w:sz w:val="19"/>
              </w:rPr>
              <w:t>Full, plus revenue share</w:t>
            </w:r>
          </w:p>
        </w:tc>
      </w:tr>
      <w:tr w:rsidR="00EF22B4" w14:paraId="666D108D" w14:textId="77777777">
        <w:tblPrEx>
          <w:tblCellMar>
            <w:top w:w="0" w:type="dxa"/>
            <w:bottom w:w="0" w:type="dxa"/>
          </w:tblCellMar>
        </w:tblPrEx>
        <w:tc>
          <w:tcPr>
            <w:tcW w:w="2100" w:type="dxa"/>
          </w:tcPr>
          <w:p w14:paraId="5FCAFC08" w14:textId="77777777" w:rsidR="00EF22B4" w:rsidRDefault="00000000">
            <w:pPr>
              <w:spacing w:before="40" w:after="40"/>
            </w:pPr>
            <w:r>
              <w:rPr>
                <w:sz w:val="19"/>
              </w:rPr>
              <w:t>1-A: Depositary-Link</w:t>
            </w:r>
          </w:p>
        </w:tc>
        <w:tc>
          <w:tcPr>
            <w:tcW w:w="2100" w:type="dxa"/>
          </w:tcPr>
          <w:p w14:paraId="09339920" w14:textId="77777777" w:rsidR="00EF22B4" w:rsidRDefault="00000000">
            <w:pPr>
              <w:spacing w:before="40" w:after="40"/>
            </w:pPr>
            <w:r>
              <w:rPr>
                <w:sz w:val="19"/>
              </w:rPr>
              <w:t>A, C, D + election</w:t>
            </w:r>
          </w:p>
        </w:tc>
        <w:tc>
          <w:tcPr>
            <w:tcW w:w="1900" w:type="dxa"/>
          </w:tcPr>
          <w:p w14:paraId="1B86086A" w14:textId="77777777" w:rsidR="00EF22B4" w:rsidRDefault="00000000">
            <w:pPr>
              <w:spacing w:before="40" w:after="40"/>
            </w:pPr>
            <w:r>
              <w:rPr>
                <w:sz w:val="19"/>
              </w:rPr>
              <w:t>Voice; vote on eastern approaches</w:t>
            </w:r>
          </w:p>
        </w:tc>
        <w:tc>
          <w:tcPr>
            <w:tcW w:w="1700" w:type="dxa"/>
          </w:tcPr>
          <w:p w14:paraId="7FFD8F4A" w14:textId="77777777" w:rsidR="00EF22B4" w:rsidRDefault="00000000">
            <w:pPr>
              <w:spacing w:before="40" w:after="40"/>
            </w:pPr>
            <w:r>
              <w:rPr>
                <w:sz w:val="19"/>
              </w:rPr>
              <w:t>Elected modules</w:t>
            </w:r>
          </w:p>
        </w:tc>
        <w:tc>
          <w:tcPr>
            <w:tcW w:w="1700" w:type="dxa"/>
          </w:tcPr>
          <w:p w14:paraId="3D6F0058" w14:textId="77777777" w:rsidR="00EF22B4" w:rsidRDefault="00000000">
            <w:pPr>
              <w:spacing w:before="40" w:after="40"/>
            </w:pPr>
            <w:r>
              <w:rPr>
                <w:sz w:val="19"/>
              </w:rPr>
              <w:t>Full for Gwadar zone</w:t>
            </w:r>
          </w:p>
        </w:tc>
      </w:tr>
      <w:tr w:rsidR="00EF22B4" w14:paraId="7E62C472" w14:textId="77777777">
        <w:tblPrEx>
          <w:tblCellMar>
            <w:top w:w="0" w:type="dxa"/>
            <w:bottom w:w="0" w:type="dxa"/>
          </w:tblCellMar>
        </w:tblPrEx>
        <w:tc>
          <w:tcPr>
            <w:tcW w:w="2100" w:type="dxa"/>
          </w:tcPr>
          <w:p w14:paraId="0120D03C" w14:textId="77777777" w:rsidR="00EF22B4" w:rsidRDefault="00000000">
            <w:pPr>
              <w:spacing w:before="40" w:after="40"/>
            </w:pPr>
            <w:r>
              <w:rPr>
                <w:sz w:val="19"/>
              </w:rPr>
              <w:t>2: Associate Littoral</w:t>
            </w:r>
          </w:p>
        </w:tc>
        <w:tc>
          <w:tcPr>
            <w:tcW w:w="2100" w:type="dxa"/>
          </w:tcPr>
          <w:p w14:paraId="62E14D8F" w14:textId="77777777" w:rsidR="00EF22B4" w:rsidRDefault="00000000">
            <w:pPr>
              <w:spacing w:before="40" w:after="40"/>
            </w:pPr>
            <w:r>
              <w:rPr>
                <w:sz w:val="19"/>
              </w:rPr>
              <w:t>A, C, D (+ B election)</w:t>
            </w:r>
          </w:p>
        </w:tc>
        <w:tc>
          <w:tcPr>
            <w:tcW w:w="1900" w:type="dxa"/>
          </w:tcPr>
          <w:p w14:paraId="786956E4" w14:textId="77777777" w:rsidR="00EF22B4" w:rsidRDefault="00000000">
            <w:pPr>
              <w:spacing w:before="40" w:after="40"/>
            </w:pPr>
            <w:r>
              <w:rPr>
                <w:sz w:val="19"/>
              </w:rPr>
              <w:t>Vote on traffic matters</w:t>
            </w:r>
          </w:p>
        </w:tc>
        <w:tc>
          <w:tcPr>
            <w:tcW w:w="1700" w:type="dxa"/>
          </w:tcPr>
          <w:p w14:paraId="7C375C5D" w14:textId="77777777" w:rsidR="00EF22B4" w:rsidRDefault="00000000">
            <w:pPr>
              <w:spacing w:before="40" w:after="40"/>
            </w:pPr>
            <w:r>
              <w:rPr>
                <w:sz w:val="19"/>
              </w:rPr>
              <w:t>Elected modules</w:t>
            </w:r>
          </w:p>
        </w:tc>
        <w:tc>
          <w:tcPr>
            <w:tcW w:w="1700" w:type="dxa"/>
          </w:tcPr>
          <w:p w14:paraId="72DF5F95" w14:textId="77777777" w:rsidR="00EF22B4" w:rsidRDefault="00000000">
            <w:pPr>
              <w:spacing w:before="40" w:after="40"/>
            </w:pPr>
            <w:r>
              <w:rPr>
                <w:sz w:val="19"/>
              </w:rPr>
              <w:t>Full</w:t>
            </w:r>
          </w:p>
        </w:tc>
      </w:tr>
      <w:tr w:rsidR="00EF22B4" w14:paraId="143212E7" w14:textId="77777777">
        <w:tblPrEx>
          <w:tblCellMar>
            <w:top w:w="0" w:type="dxa"/>
            <w:bottom w:w="0" w:type="dxa"/>
          </w:tblCellMar>
        </w:tblPrEx>
        <w:tc>
          <w:tcPr>
            <w:tcW w:w="2100" w:type="dxa"/>
          </w:tcPr>
          <w:p w14:paraId="2E174A38" w14:textId="77777777" w:rsidR="00EF22B4" w:rsidRDefault="00000000">
            <w:pPr>
              <w:spacing w:before="40" w:after="40"/>
            </w:pPr>
            <w:r>
              <w:rPr>
                <w:sz w:val="19"/>
              </w:rPr>
              <w:t>3: Observer User States</w:t>
            </w:r>
          </w:p>
        </w:tc>
        <w:tc>
          <w:tcPr>
            <w:tcW w:w="2100" w:type="dxa"/>
          </w:tcPr>
          <w:p w14:paraId="4E87031C" w14:textId="77777777" w:rsidR="00EF22B4" w:rsidRDefault="00000000">
            <w:pPr>
              <w:spacing w:before="40" w:after="40"/>
            </w:pPr>
            <w:r>
              <w:rPr>
                <w:sz w:val="19"/>
              </w:rPr>
              <w:t>None (endorsement)</w:t>
            </w:r>
          </w:p>
        </w:tc>
        <w:tc>
          <w:tcPr>
            <w:tcW w:w="1900" w:type="dxa"/>
          </w:tcPr>
          <w:p w14:paraId="2C8F2EED" w14:textId="77777777" w:rsidR="00EF22B4" w:rsidRDefault="00000000">
            <w:pPr>
              <w:spacing w:before="40" w:after="40"/>
            </w:pPr>
            <w:r>
              <w:rPr>
                <w:sz w:val="19"/>
              </w:rPr>
              <w:t>Observer</w:t>
            </w:r>
          </w:p>
        </w:tc>
        <w:tc>
          <w:tcPr>
            <w:tcW w:w="1700" w:type="dxa"/>
          </w:tcPr>
          <w:p w14:paraId="0C080734" w14:textId="77777777" w:rsidR="00EF22B4" w:rsidRDefault="00000000">
            <w:pPr>
              <w:spacing w:before="40" w:after="40"/>
            </w:pPr>
            <w:r>
              <w:rPr>
                <w:sz w:val="19"/>
              </w:rPr>
              <w:t>None</w:t>
            </w:r>
          </w:p>
        </w:tc>
        <w:tc>
          <w:tcPr>
            <w:tcW w:w="1700" w:type="dxa"/>
          </w:tcPr>
          <w:p w14:paraId="2B0905D9" w14:textId="77777777" w:rsidR="00EF22B4" w:rsidRDefault="00000000">
            <w:pPr>
              <w:spacing w:before="40" w:after="40"/>
            </w:pPr>
            <w:r>
              <w:rPr>
                <w:sz w:val="19"/>
              </w:rPr>
              <w:t>Contribution-based</w:t>
            </w:r>
          </w:p>
        </w:tc>
      </w:tr>
      <w:tr w:rsidR="00EF22B4" w14:paraId="20B134BC" w14:textId="77777777">
        <w:tblPrEx>
          <w:tblCellMar>
            <w:top w:w="0" w:type="dxa"/>
            <w:bottom w:w="0" w:type="dxa"/>
          </w:tblCellMar>
        </w:tblPrEx>
        <w:tc>
          <w:tcPr>
            <w:tcW w:w="2100" w:type="dxa"/>
          </w:tcPr>
          <w:p w14:paraId="600BDCD1" w14:textId="77777777" w:rsidR="00EF22B4" w:rsidRDefault="00000000">
            <w:pPr>
              <w:spacing w:before="40" w:after="40"/>
            </w:pPr>
            <w:r>
              <w:rPr>
                <w:sz w:val="19"/>
              </w:rPr>
              <w:t>4: Institutional Partners</w:t>
            </w:r>
          </w:p>
        </w:tc>
        <w:tc>
          <w:tcPr>
            <w:tcW w:w="2100" w:type="dxa"/>
          </w:tcPr>
          <w:p w14:paraId="422320E8" w14:textId="77777777" w:rsidR="00EF22B4" w:rsidRDefault="00000000">
            <w:pPr>
              <w:spacing w:before="40" w:after="40"/>
            </w:pPr>
            <w:r>
              <w:rPr>
                <w:sz w:val="19"/>
              </w:rPr>
              <w:t>None</w:t>
            </w:r>
          </w:p>
        </w:tc>
        <w:tc>
          <w:tcPr>
            <w:tcW w:w="1900" w:type="dxa"/>
          </w:tcPr>
          <w:p w14:paraId="58B23C19" w14:textId="77777777" w:rsidR="00EF22B4" w:rsidRDefault="00000000">
            <w:pPr>
              <w:spacing w:before="40" w:after="40"/>
            </w:pPr>
            <w:r>
              <w:rPr>
                <w:sz w:val="19"/>
              </w:rPr>
              <w:t>Technical</w:t>
            </w:r>
          </w:p>
        </w:tc>
        <w:tc>
          <w:tcPr>
            <w:tcW w:w="1700" w:type="dxa"/>
          </w:tcPr>
          <w:p w14:paraId="48B8606D" w14:textId="77777777" w:rsidR="00EF22B4" w:rsidRDefault="00000000">
            <w:pPr>
              <w:spacing w:before="40" w:after="40"/>
            </w:pPr>
            <w:r>
              <w:rPr>
                <w:sz w:val="19"/>
              </w:rPr>
              <w:t>None</w:t>
            </w:r>
          </w:p>
        </w:tc>
        <w:tc>
          <w:tcPr>
            <w:tcW w:w="1700" w:type="dxa"/>
          </w:tcPr>
          <w:p w14:paraId="64580B2A" w14:textId="77777777" w:rsidR="00EF22B4" w:rsidRDefault="00000000">
            <w:pPr>
              <w:spacing w:before="40" w:after="40"/>
            </w:pPr>
            <w:r>
              <w:rPr>
                <w:sz w:val="19"/>
              </w:rPr>
              <w:t>N/A</w:t>
            </w:r>
          </w:p>
        </w:tc>
      </w:tr>
      <w:tr w:rsidR="00EF22B4" w14:paraId="336F80FA" w14:textId="77777777">
        <w:tblPrEx>
          <w:tblCellMar>
            <w:top w:w="0" w:type="dxa"/>
            <w:bottom w:w="0" w:type="dxa"/>
          </w:tblCellMar>
        </w:tblPrEx>
        <w:tc>
          <w:tcPr>
            <w:tcW w:w="2100" w:type="dxa"/>
          </w:tcPr>
          <w:p w14:paraId="4940C80B" w14:textId="77777777" w:rsidR="00EF22B4" w:rsidRDefault="00000000">
            <w:pPr>
              <w:spacing w:before="40" w:after="40"/>
            </w:pPr>
            <w:r>
              <w:rPr>
                <w:sz w:val="19"/>
              </w:rPr>
              <w:t>5: Security Liaisons</w:t>
            </w:r>
          </w:p>
        </w:tc>
        <w:tc>
          <w:tcPr>
            <w:tcW w:w="2100" w:type="dxa"/>
          </w:tcPr>
          <w:p w14:paraId="55472D3B" w14:textId="77777777" w:rsidR="00EF22B4" w:rsidRDefault="00000000">
            <w:pPr>
              <w:spacing w:before="40" w:after="40"/>
            </w:pPr>
            <w:r>
              <w:rPr>
                <w:sz w:val="19"/>
              </w:rPr>
              <w:t>None</w:t>
            </w:r>
          </w:p>
        </w:tc>
        <w:tc>
          <w:tcPr>
            <w:tcW w:w="1900" w:type="dxa"/>
          </w:tcPr>
          <w:p w14:paraId="269F051B" w14:textId="77777777" w:rsidR="00EF22B4" w:rsidRDefault="00000000">
            <w:pPr>
              <w:spacing w:before="40" w:after="40"/>
            </w:pPr>
            <w:r>
              <w:rPr>
                <w:sz w:val="19"/>
              </w:rPr>
              <w:t>None</w:t>
            </w:r>
          </w:p>
        </w:tc>
        <w:tc>
          <w:tcPr>
            <w:tcW w:w="1700" w:type="dxa"/>
          </w:tcPr>
          <w:p w14:paraId="3D939A07" w14:textId="77777777" w:rsidR="00EF22B4" w:rsidRDefault="00000000">
            <w:pPr>
              <w:spacing w:before="40" w:after="40"/>
            </w:pPr>
            <w:r>
              <w:rPr>
                <w:sz w:val="19"/>
              </w:rPr>
              <w:t>None</w:t>
            </w:r>
          </w:p>
        </w:tc>
        <w:tc>
          <w:tcPr>
            <w:tcW w:w="1700" w:type="dxa"/>
          </w:tcPr>
          <w:p w14:paraId="6288C161" w14:textId="77777777" w:rsidR="00EF22B4" w:rsidRDefault="00000000">
            <w:pPr>
              <w:spacing w:before="40" w:after="40"/>
            </w:pPr>
            <w:r>
              <w:rPr>
                <w:sz w:val="19"/>
              </w:rPr>
              <w:t>None</w:t>
            </w:r>
          </w:p>
        </w:tc>
      </w:tr>
      <w:tr w:rsidR="00EF22B4" w14:paraId="0923CC0E" w14:textId="77777777">
        <w:tblPrEx>
          <w:tblCellMar>
            <w:top w:w="0" w:type="dxa"/>
            <w:bottom w:w="0" w:type="dxa"/>
          </w:tblCellMar>
        </w:tblPrEx>
        <w:tc>
          <w:tcPr>
            <w:tcW w:w="2100" w:type="dxa"/>
          </w:tcPr>
          <w:p w14:paraId="57B3CF62" w14:textId="77777777" w:rsidR="00EF22B4" w:rsidRDefault="00000000">
            <w:pPr>
              <w:spacing w:before="40" w:after="40"/>
            </w:pPr>
            <w:r>
              <w:rPr>
                <w:sz w:val="19"/>
              </w:rPr>
              <w:t>6: Coastal Communities</w:t>
            </w:r>
          </w:p>
        </w:tc>
        <w:tc>
          <w:tcPr>
            <w:tcW w:w="2100" w:type="dxa"/>
          </w:tcPr>
          <w:p w14:paraId="2827D744" w14:textId="77777777" w:rsidR="00EF22B4" w:rsidRDefault="00000000">
            <w:pPr>
              <w:spacing w:before="40" w:after="40"/>
            </w:pPr>
            <w:r>
              <w:rPr>
                <w:sz w:val="19"/>
              </w:rPr>
              <w:t>Program registration</w:t>
            </w:r>
          </w:p>
        </w:tc>
        <w:tc>
          <w:tcPr>
            <w:tcW w:w="1900" w:type="dxa"/>
          </w:tcPr>
          <w:p w14:paraId="1B7A1E6D" w14:textId="77777777" w:rsidR="00EF22B4" w:rsidRDefault="00000000">
            <w:pPr>
              <w:spacing w:before="40" w:after="40"/>
            </w:pPr>
            <w:r>
              <w:rPr>
                <w:sz w:val="19"/>
              </w:rPr>
              <w:t>Two rotating board delegates</w:t>
            </w:r>
          </w:p>
        </w:tc>
        <w:tc>
          <w:tcPr>
            <w:tcW w:w="1700" w:type="dxa"/>
          </w:tcPr>
          <w:p w14:paraId="36EE0374" w14:textId="77777777" w:rsidR="00EF22B4" w:rsidRDefault="00000000">
            <w:pPr>
              <w:spacing w:before="40" w:after="40"/>
            </w:pPr>
            <w:r>
              <w:rPr>
                <w:sz w:val="19"/>
              </w:rPr>
              <w:t>Program-level</w:t>
            </w:r>
          </w:p>
        </w:tc>
        <w:tc>
          <w:tcPr>
            <w:tcW w:w="1700" w:type="dxa"/>
          </w:tcPr>
          <w:p w14:paraId="64075A65" w14:textId="77777777" w:rsidR="00EF22B4" w:rsidRDefault="00000000">
            <w:pPr>
              <w:spacing w:before="40" w:after="40"/>
            </w:pPr>
            <w:r>
              <w:rPr>
                <w:sz w:val="19"/>
              </w:rPr>
              <w:t>Primary recipients</w:t>
            </w:r>
          </w:p>
        </w:tc>
      </w:tr>
    </w:tbl>
    <w:p w14:paraId="3D57F620" w14:textId="77777777" w:rsidR="00EF22B4" w:rsidRDefault="00000000">
      <w:pPr>
        <w:pStyle w:val="Caption"/>
      </w:pPr>
      <w:r>
        <w:t>Table C-2: Participation matrix</w:t>
      </w:r>
    </w:p>
    <w:p w14:paraId="7289F693" w14:textId="77777777" w:rsidR="00EF22B4" w:rsidRDefault="00000000">
      <w:pPr>
        <w:pStyle w:val="Heading2"/>
      </w:pPr>
      <w:bookmarkStart w:id="88" w:name="_Toc236018469"/>
      <w:r>
        <w:t>C.5 Accession Sequence</w:t>
      </w:r>
      <w:bookmarkEnd w:id="88"/>
    </w:p>
    <w:p w14:paraId="31C55426" w14:textId="77777777" w:rsidR="00EF22B4" w:rsidRDefault="00000000">
      <w:r>
        <w:t>Accession follows a fixed sequence: instrument to the Depositary; publication to all Parties; 30-day technical onboarding with the JCC and IVO; first Synchronization Gate as full participant. Provisional application of Annexes A, C, and D operates from signature. The sequence never exceeds 45 days from deposit to participation.</w:t>
      </w:r>
    </w:p>
    <w:p w14:paraId="7A39FB43" w14:textId="77777777" w:rsidR="00EF22B4" w:rsidRDefault="00000000">
      <w:pPr>
        <w:pStyle w:val="Heading1"/>
        <w:pBdr>
          <w:bottom w:val="single" w:sz="8" w:space="2" w:color="B8860B"/>
        </w:pBdr>
      </w:pPr>
      <w:bookmarkStart w:id="89" w:name="_Toc236018470"/>
      <w:r>
        <w:t>Annex D: Corridor and Navigation Technical Schedule</w:t>
      </w:r>
      <w:bookmarkStart w:id="90" w:name="_TocBM18"/>
      <w:bookmarkEnd w:id="89"/>
      <w:bookmarkEnd w:id="90"/>
    </w:p>
    <w:p w14:paraId="1D6921CB" w14:textId="77777777" w:rsidR="00EF22B4" w:rsidRDefault="00000000">
      <w:r>
        <w:t>This Annex fixes the geography and traffic rules of the Governance Area. Coordinates herein are indicative for drafting and stand subject to final hydrographic confirmation by the Technical Standards Committee before entry into force.</w:t>
      </w:r>
    </w:p>
    <w:p w14:paraId="65422450" w14:textId="77777777" w:rsidR="00EF22B4" w:rsidRDefault="00000000">
      <w:pPr>
        <w:pStyle w:val="Heading2"/>
      </w:pPr>
      <w:bookmarkStart w:id="91" w:name="_Toc236018471"/>
      <w:r>
        <w:lastRenderedPageBreak/>
        <w:t>D.1 Governance Area and Corridors</w:t>
      </w:r>
      <w:bookmarkEnd w:id="91"/>
    </w:p>
    <w:p w14:paraId="3577FA6A" w14:textId="77777777" w:rsidR="00EF22B4" w:rsidRDefault="00000000">
      <w:r>
        <w:t>The Governance Area covers the Strait of Hormuz between 25°30'N and 27°00'N, from 55°30'E to 57°30'E, plus defined approach zones east toward Gwadar and west toward the Gulf traffic lanes. Two transit corridors operate:</w:t>
      </w:r>
    </w:p>
    <w:p w14:paraId="56CE76D1" w14:textId="77777777" w:rsidR="00EF22B4" w:rsidRDefault="00000000">
      <w:pPr>
        <w:numPr>
          <w:ilvl w:val="0"/>
          <w:numId w:val="1"/>
        </w:numPr>
      </w:pPr>
      <w:r>
        <w:t>Northern Corridor: a two-mile-wide inbound and outbound pair routed through Iranian territorial waters along the recognized traffic separation scheme, under Iranian vessel traffic service authority with Omani liaison.</w:t>
      </w:r>
    </w:p>
    <w:p w14:paraId="49B1269D" w14:textId="77777777" w:rsidR="00EF22B4" w:rsidRDefault="00000000">
      <w:pPr>
        <w:numPr>
          <w:ilvl w:val="0"/>
          <w:numId w:val="1"/>
        </w:numPr>
      </w:pPr>
      <w:r>
        <w:t>Southern Corridor: a two-mile-wide inbound and outbound pair routed through Omani territorial waters around the Musandam Peninsula, under Omani vessel traffic service authority with Iranian liaison.</w:t>
      </w:r>
    </w:p>
    <w:p w14:paraId="2C232416" w14:textId="77777777" w:rsidR="00EF22B4" w:rsidRDefault="00000000">
      <w:r>
        <w:t>Both corridors operate simultaneously and equally. No corridor carries priority in law; traffic assignment follows the flow rules of Section D.3. The dual design embodies the Accord's founding symmetry: each Co-Steward carries a corridor, each corridor carries the world's traffic, and neither steward holds the waterway alone.</w:t>
      </w:r>
    </w:p>
    <w:p w14:paraId="5B2C2BAB" w14:textId="77777777" w:rsidR="00EF22B4" w:rsidRDefault="00000000">
      <w:pPr>
        <w:pStyle w:val="Heading2"/>
      </w:pPr>
      <w:bookmarkStart w:id="92" w:name="_Toc236018472"/>
      <w:r>
        <w:t>D.2 Traffic Separation and Waypoints</w:t>
      </w:r>
      <w:bookmarkEnd w:id="92"/>
    </w:p>
    <w:p w14:paraId="48942A7E" w14:textId="77777777" w:rsidR="00EF22B4" w:rsidRDefault="00000000">
      <w:r>
        <w:t>The Technical Standards Committee maintains the master chart: lane centerlines, turning waypoints, precautionary areas at the corridor junctions, holding anchorages east and west, and the corridor buffer zones of 2 nautical miles on each side. Within buffer zones, Speed Craft operations follow Annex A and trigger automatic JCC notification. The master chart aligns with the IMO-registered traffic separation scheme, and amendments route through the Institutional Partners for registration.</w:t>
      </w:r>
    </w:p>
    <w:p w14:paraId="772F08C6" w14:textId="77777777" w:rsidR="00EF22B4" w:rsidRDefault="00000000">
      <w:pPr>
        <w:pStyle w:val="Heading2"/>
      </w:pPr>
      <w:bookmarkStart w:id="93" w:name="_Toc236018473"/>
      <w:r>
        <w:t>D.3 Flow States</w:t>
      </w:r>
      <w:bookmarkEnd w:id="93"/>
    </w:p>
    <w:tbl>
      <w:tblPr>
        <w:tblW w:w="5000" w:type="pct"/>
        <w:tblInd w:w="10" w:type="dxa"/>
        <w:tblBorders>
          <w:top w:val="single" w:sz="10" w:space="0" w:color="1F3A4D"/>
          <w:bottom w:val="single" w:sz="10" w:space="0" w:color="1F3A4D"/>
          <w:insideH w:val="single" w:sz="4" w:space="0" w:color="C9D2D8"/>
        </w:tblBorders>
        <w:tblCellMar>
          <w:left w:w="10" w:type="dxa"/>
          <w:right w:w="10" w:type="dxa"/>
        </w:tblCellMar>
        <w:tblLook w:val="04A0" w:firstRow="1" w:lastRow="0" w:firstColumn="1" w:lastColumn="0" w:noHBand="0" w:noVBand="1"/>
      </w:tblPr>
      <w:tblGrid>
        <w:gridCol w:w="1824"/>
        <w:gridCol w:w="2403"/>
        <w:gridCol w:w="4819"/>
      </w:tblGrid>
      <w:tr w:rsidR="00EF22B4" w14:paraId="59BF4ABE" w14:textId="77777777">
        <w:tblPrEx>
          <w:tblCellMar>
            <w:top w:w="0" w:type="dxa"/>
            <w:bottom w:w="0" w:type="dxa"/>
          </w:tblCellMar>
        </w:tblPrEx>
        <w:trPr>
          <w:tblHeader/>
        </w:trPr>
        <w:tc>
          <w:tcPr>
            <w:tcW w:w="1900" w:type="dxa"/>
            <w:shd w:val="clear" w:color="auto" w:fill="EDF1F4"/>
          </w:tcPr>
          <w:p w14:paraId="62708E70" w14:textId="77777777" w:rsidR="00EF22B4" w:rsidRDefault="00000000">
            <w:pPr>
              <w:spacing w:before="40" w:after="40"/>
            </w:pPr>
            <w:r>
              <w:rPr>
                <w:b/>
                <w:color w:val="1F3A4D"/>
                <w:sz w:val="19"/>
              </w:rPr>
              <w:t>Flow State</w:t>
            </w:r>
          </w:p>
        </w:tc>
        <w:tc>
          <w:tcPr>
            <w:tcW w:w="2500" w:type="dxa"/>
            <w:shd w:val="clear" w:color="auto" w:fill="EDF1F4"/>
          </w:tcPr>
          <w:p w14:paraId="131537EE" w14:textId="77777777" w:rsidR="00EF22B4" w:rsidRDefault="00000000">
            <w:pPr>
              <w:spacing w:before="40" w:after="40"/>
            </w:pPr>
            <w:r>
              <w:rPr>
                <w:b/>
                <w:color w:val="1F3A4D"/>
                <w:sz w:val="19"/>
              </w:rPr>
              <w:t>Trigger</w:t>
            </w:r>
          </w:p>
        </w:tc>
        <w:tc>
          <w:tcPr>
            <w:tcW w:w="5100" w:type="dxa"/>
            <w:shd w:val="clear" w:color="auto" w:fill="EDF1F4"/>
          </w:tcPr>
          <w:p w14:paraId="300F65C0" w14:textId="77777777" w:rsidR="00EF22B4" w:rsidRDefault="00000000">
            <w:pPr>
              <w:spacing w:before="40" w:after="40"/>
            </w:pPr>
            <w:r>
              <w:rPr>
                <w:b/>
                <w:color w:val="1F3A4D"/>
                <w:sz w:val="19"/>
              </w:rPr>
              <w:t>Operating Rules</w:t>
            </w:r>
          </w:p>
        </w:tc>
      </w:tr>
      <w:tr w:rsidR="00EF22B4" w14:paraId="60503C31" w14:textId="77777777">
        <w:tblPrEx>
          <w:tblCellMar>
            <w:top w:w="0" w:type="dxa"/>
            <w:bottom w:w="0" w:type="dxa"/>
          </w:tblCellMar>
        </w:tblPrEx>
        <w:tc>
          <w:tcPr>
            <w:tcW w:w="1900" w:type="dxa"/>
          </w:tcPr>
          <w:p w14:paraId="1AA34C9E" w14:textId="77777777" w:rsidR="00EF22B4" w:rsidRDefault="00000000">
            <w:pPr>
              <w:spacing w:before="40" w:after="40"/>
            </w:pPr>
            <w:r>
              <w:rPr>
                <w:sz w:val="19"/>
              </w:rPr>
              <w:t>Normal Flow</w:t>
            </w:r>
          </w:p>
        </w:tc>
        <w:tc>
          <w:tcPr>
            <w:tcW w:w="2500" w:type="dxa"/>
          </w:tcPr>
          <w:p w14:paraId="05BF0AF7" w14:textId="77777777" w:rsidR="00EF22B4" w:rsidRDefault="00000000">
            <w:pPr>
              <w:spacing w:before="40" w:after="40"/>
            </w:pPr>
            <w:r>
              <w:rPr>
                <w:sz w:val="19"/>
              </w:rPr>
              <w:t>API Level 1 or 2</w:t>
            </w:r>
          </w:p>
        </w:tc>
        <w:tc>
          <w:tcPr>
            <w:tcW w:w="5100" w:type="dxa"/>
          </w:tcPr>
          <w:p w14:paraId="0D1456BD" w14:textId="77777777" w:rsidR="00EF22B4" w:rsidRDefault="00000000">
            <w:pPr>
              <w:spacing w:before="40" w:after="40"/>
            </w:pPr>
            <w:r>
              <w:rPr>
                <w:sz w:val="19"/>
              </w:rPr>
              <w:t>Standard TSS operation, both corridors open, routine escort on request</w:t>
            </w:r>
          </w:p>
        </w:tc>
      </w:tr>
      <w:tr w:rsidR="00EF22B4" w14:paraId="2C8CE2A9" w14:textId="77777777">
        <w:tblPrEx>
          <w:tblCellMar>
            <w:top w:w="0" w:type="dxa"/>
            <w:bottom w:w="0" w:type="dxa"/>
          </w:tblCellMar>
        </w:tblPrEx>
        <w:tc>
          <w:tcPr>
            <w:tcW w:w="1900" w:type="dxa"/>
          </w:tcPr>
          <w:p w14:paraId="01221219" w14:textId="77777777" w:rsidR="00EF22B4" w:rsidRDefault="00000000">
            <w:pPr>
              <w:spacing w:before="40" w:after="40"/>
            </w:pPr>
            <w:r>
              <w:rPr>
                <w:sz w:val="19"/>
              </w:rPr>
              <w:t>Managed Flow</w:t>
            </w:r>
          </w:p>
        </w:tc>
        <w:tc>
          <w:tcPr>
            <w:tcW w:w="2500" w:type="dxa"/>
          </w:tcPr>
          <w:p w14:paraId="131D0AF2" w14:textId="77777777" w:rsidR="00EF22B4" w:rsidRDefault="00000000">
            <w:pPr>
              <w:spacing w:before="40" w:after="40"/>
            </w:pPr>
            <w:r>
              <w:rPr>
                <w:sz w:val="19"/>
              </w:rPr>
              <w:t>API Level 3, or Coordinated Posture Shift Alpha/Beta</w:t>
            </w:r>
          </w:p>
        </w:tc>
        <w:tc>
          <w:tcPr>
            <w:tcW w:w="5100" w:type="dxa"/>
          </w:tcPr>
          <w:p w14:paraId="5C39B2CA" w14:textId="77777777" w:rsidR="00EF22B4" w:rsidRDefault="00000000">
            <w:pPr>
              <w:spacing w:before="40" w:after="40"/>
            </w:pPr>
            <w:r>
              <w:rPr>
                <w:sz w:val="19"/>
              </w:rPr>
              <w:t>Increased spacing, convoy windows optional, escort density raised, hourly JCC bulletins</w:t>
            </w:r>
          </w:p>
        </w:tc>
      </w:tr>
      <w:tr w:rsidR="00EF22B4" w14:paraId="4BCE4B1C" w14:textId="77777777">
        <w:tblPrEx>
          <w:tblCellMar>
            <w:top w:w="0" w:type="dxa"/>
            <w:bottom w:w="0" w:type="dxa"/>
          </w:tblCellMar>
        </w:tblPrEx>
        <w:tc>
          <w:tcPr>
            <w:tcW w:w="1900" w:type="dxa"/>
          </w:tcPr>
          <w:p w14:paraId="33E04583" w14:textId="77777777" w:rsidR="00EF22B4" w:rsidRDefault="00000000">
            <w:pPr>
              <w:spacing w:before="40" w:after="40"/>
            </w:pPr>
            <w:r>
              <w:rPr>
                <w:sz w:val="19"/>
              </w:rPr>
              <w:t>Restricted Flow</w:t>
            </w:r>
          </w:p>
        </w:tc>
        <w:tc>
          <w:tcPr>
            <w:tcW w:w="2500" w:type="dxa"/>
          </w:tcPr>
          <w:p w14:paraId="3DD77D72" w14:textId="77777777" w:rsidR="00EF22B4" w:rsidRDefault="00000000">
            <w:pPr>
              <w:spacing w:before="40" w:after="40"/>
            </w:pPr>
            <w:r>
              <w:rPr>
                <w:sz w:val="19"/>
              </w:rPr>
              <w:t>API Level 4 or 5, or Shift Gamma/Delta</w:t>
            </w:r>
          </w:p>
        </w:tc>
        <w:tc>
          <w:tcPr>
            <w:tcW w:w="5100" w:type="dxa"/>
          </w:tcPr>
          <w:p w14:paraId="0EF44380" w14:textId="77777777" w:rsidR="00EF22B4" w:rsidRDefault="00000000">
            <w:pPr>
              <w:spacing w:before="40" w:after="40"/>
            </w:pPr>
            <w:r>
              <w:rPr>
                <w:sz w:val="19"/>
              </w:rPr>
              <w:t>Southern Corridor primary, northern traffic grouped in scheduled windows, humanitarian traffic passes on priority</w:t>
            </w:r>
          </w:p>
        </w:tc>
      </w:tr>
    </w:tbl>
    <w:p w14:paraId="44244132" w14:textId="77777777" w:rsidR="00EF22B4" w:rsidRDefault="00000000">
      <w:pPr>
        <w:pStyle w:val="Caption"/>
      </w:pPr>
      <w:r>
        <w:t>Table D-1: Flow states</w:t>
      </w:r>
    </w:p>
    <w:p w14:paraId="3DE5F4B4" w14:textId="77777777" w:rsidR="00EF22B4" w:rsidRDefault="00000000">
      <w:r>
        <w:t>Flow state declarations issue from the JCC on the joint call of the Co-Stewards, or automatically on API thresholds, and every declaration publishes to all Parties and to mariners simultaneously. Return to a lower state follows the same authority. Humanitarian and medical traffic holds absolute priority in every state.</w:t>
      </w:r>
    </w:p>
    <w:p w14:paraId="39E9798E" w14:textId="77777777" w:rsidR="00EF22B4" w:rsidRDefault="00000000">
      <w:pPr>
        <w:pStyle w:val="Heading2"/>
      </w:pPr>
      <w:bookmarkStart w:id="94" w:name="_Toc236018474"/>
      <w:r>
        <w:lastRenderedPageBreak/>
        <w:t>D.4 Vessel Classification and Reporting</w:t>
      </w:r>
      <w:bookmarkEnd w:id="94"/>
    </w:p>
    <w:p w14:paraId="4CE90019" w14:textId="77777777" w:rsidR="00EF22B4" w:rsidRDefault="00000000">
      <w:r>
        <w:t>Vessels report under three classes: Class V-1 deep-draft tankers and bulk carriers (mandatory corridor use, mandatory position reporting every 15 minutes, escort available on request); Class V-2 general cargo and container vessels (corridor use, reporting every 30 minutes); Class V-3 coastal and fishing vessels under 300 gross tonnage (coastal lanes outside the corridors, reporting on entry and exit, full Data Dividend eligibility). Registered coastal transport cooperatives under Article 34.2 receive the V-3 fast-lane endorsement and priority at holding anchorages.</w:t>
      </w:r>
    </w:p>
    <w:p w14:paraId="21B58BD0" w14:textId="77777777" w:rsidR="00EF22B4" w:rsidRDefault="00000000">
      <w:pPr>
        <w:pStyle w:val="Heading1"/>
        <w:pBdr>
          <w:bottom w:val="single" w:sz="8" w:space="2" w:color="B8860B"/>
        </w:pBdr>
      </w:pPr>
      <w:bookmarkStart w:id="95" w:name="_Toc236018475"/>
      <w:r>
        <w:t>Annex E: Mine Hazard Countermeasures Protocol</w:t>
      </w:r>
      <w:bookmarkStart w:id="96" w:name="_TocBM19"/>
      <w:bookmarkEnd w:id="95"/>
      <w:bookmarkEnd w:id="96"/>
    </w:p>
    <w:p w14:paraId="4CC15E0A" w14:textId="77777777" w:rsidR="00EF22B4" w:rsidRDefault="00000000">
      <w:r>
        <w:t>This Annex establishes the standing mine countermeasures and hazard clearance function for the Governance Area. It operates under civilian lead, under the non-kinetic mission boundary of CU-12, and under the sequencing rules below.</w:t>
      </w:r>
    </w:p>
    <w:p w14:paraId="3141774E" w14:textId="77777777" w:rsidR="00EF22B4" w:rsidRDefault="00000000">
      <w:pPr>
        <w:pStyle w:val="Heading2"/>
      </w:pPr>
      <w:bookmarkStart w:id="97" w:name="_Toc236018476"/>
      <w:r>
        <w:t>E.1 Pillars</w:t>
      </w:r>
      <w:bookmarkEnd w:id="97"/>
    </w:p>
    <w:p w14:paraId="378AC4BA" w14:textId="77777777" w:rsidR="00EF22B4" w:rsidRDefault="00000000">
      <w:pPr>
        <w:numPr>
          <w:ilvl w:val="0"/>
          <w:numId w:val="9"/>
        </w:numPr>
      </w:pPr>
      <w:r>
        <w:t>Survey and mapping: a standing hydrographic and bottom-survey program maintains the mine-free certification of the corridors, funded through the Common Benefit Fund, executed by the Core Littoral Parties with IVO verification.</w:t>
      </w:r>
    </w:p>
    <w:p w14:paraId="61A9E1CB" w14:textId="77777777" w:rsidR="00EF22B4" w:rsidRDefault="00000000">
      <w:pPr>
        <w:numPr>
          <w:ilvl w:val="0"/>
          <w:numId w:val="9"/>
        </w:numPr>
      </w:pPr>
      <w:r>
        <w:t>Clearance capacity: a pooled clearance roster lists the vessels, teams, and equipment each Party contributes on call. The roster publishes; contributions enter the Contribution and Cost Register and mint Compliance Credits.</w:t>
      </w:r>
    </w:p>
    <w:p w14:paraId="4D481ADD" w14:textId="77777777" w:rsidR="00EF22B4" w:rsidRDefault="00000000">
      <w:pPr>
        <w:numPr>
          <w:ilvl w:val="0"/>
          <w:numId w:val="9"/>
        </w:numPr>
      </w:pPr>
      <w:r>
        <w:t>Certification: the IVO certifies corridor clearance status monthly and after every reported mine sighting, on the Convergent Evidence Standard. Certification states clear, clear with observations, or not certified, with the survey gap named.</w:t>
      </w:r>
    </w:p>
    <w:p w14:paraId="623B5C43" w14:textId="77777777" w:rsidR="00EF22B4" w:rsidRDefault="00000000">
      <w:pPr>
        <w:numPr>
          <w:ilvl w:val="0"/>
          <w:numId w:val="9"/>
        </w:numPr>
      </w:pPr>
      <w:r>
        <w:t>Emergency response: a confirmed mine hazard activates the Restricted Flow state for the affected lane, the pooled roster deploys under JCC coordination, and clearance completion certifies before the lane reopens.</w:t>
      </w:r>
    </w:p>
    <w:p w14:paraId="1A4F573A" w14:textId="77777777" w:rsidR="00EF22B4" w:rsidRDefault="00000000">
      <w:pPr>
        <w:pStyle w:val="Heading2"/>
      </w:pPr>
      <w:bookmarkStart w:id="98" w:name="_Toc236018477"/>
      <w:r>
        <w:t>E.2 Operating Sequence</w:t>
      </w:r>
      <w:bookmarkEnd w:id="98"/>
    </w:p>
    <w:p w14:paraId="70D1FA39" w14:textId="77777777" w:rsidR="00EF22B4" w:rsidRDefault="00000000">
      <w:r>
        <w:t>The Protocol operates in repeating phases: baseline survey (continuous), quarterly certification, annual full-area review, and event-driven surge. Each phase publishes its output. Mine countermeasure assets operate under civilian direction of the JCC for the duration of their tasking, display the agreed blue clearance light, and carry no weapons employment authority beyond self-protection under national law. No clearance asset conducts any other mission while tasked, and the IVO observes tasked operations at its election.</w:t>
      </w:r>
    </w:p>
    <w:p w14:paraId="427958B7" w14:textId="77777777" w:rsidR="00EF22B4" w:rsidRDefault="00000000">
      <w:pPr>
        <w:pStyle w:val="Heading2"/>
      </w:pPr>
      <w:bookmarkStart w:id="99" w:name="_Toc236018478"/>
      <w:r>
        <w:lastRenderedPageBreak/>
        <w:t>E.3 Participation</w:t>
      </w:r>
      <w:bookmarkEnd w:id="99"/>
    </w:p>
    <w:p w14:paraId="444D2FA2" w14:textId="77777777" w:rsidR="00EF22B4" w:rsidRDefault="00000000">
      <w:r>
        <w:t>Core Littoral Parties supply the standing survey capacity. Associate Littoral Parties and Observer User States contribute vessels, funds, or expertise at their election. Security Liaisons contribute data and, on the joint invitation of the Co-Stewards, specialized survey support under the same civilian direction. Every contribution mints credits; every operation publishes; every certification rests on three independent inputs.</w:t>
      </w:r>
    </w:p>
    <w:p w14:paraId="60293ACF" w14:textId="77777777" w:rsidR="00EF22B4" w:rsidRDefault="00000000">
      <w:pPr>
        <w:pStyle w:val="Heading1"/>
        <w:pBdr>
          <w:bottom w:val="single" w:sz="8" w:space="2" w:color="B8860B"/>
        </w:pBdr>
      </w:pPr>
      <w:bookmarkStart w:id="100" w:name="_Toc236018479"/>
      <w:r>
        <w:t>Annex F: Stabilization Dividends Program Schedule</w:t>
      </w:r>
      <w:bookmarkStart w:id="101" w:name="_TocBM20"/>
      <w:bookmarkEnd w:id="100"/>
      <w:bookmarkEnd w:id="101"/>
    </w:p>
    <w:p w14:paraId="28C1F2B0" w14:textId="77777777" w:rsidR="00EF22B4" w:rsidRDefault="00000000">
      <w:r>
        <w:t>This Annex operationalizes Part X. Every program herein follows three rules: benefits flow to communities and lawful actors, never to armed groups; eligibility ties to verified calm, never to political posture; and every rial, dirham, and dollar publishes.</w:t>
      </w:r>
    </w:p>
    <w:p w14:paraId="33881B76" w14:textId="77777777" w:rsidR="00EF22B4" w:rsidRDefault="00000000">
      <w:pPr>
        <w:pStyle w:val="Heading2"/>
      </w:pPr>
      <w:bookmarkStart w:id="102" w:name="_Toc236018480"/>
      <w:r>
        <w:t>F.1 Common Benefit Fund Rules</w:t>
      </w:r>
      <w:bookmarkEnd w:id="102"/>
    </w:p>
    <w:p w14:paraId="07924953" w14:textId="77777777" w:rsidR="00EF22B4" w:rsidRDefault="00000000">
      <w:r>
        <w:t>The Fund holds the 5 percent Transit Services Fund share, voluntary contributions, and compensation flows. Its three-member board, one delegate per Core Littoral Party, approves projects above the threshold the Council sets; below the threshold, the Facilitator disburses on standing criteria. The false-finding compensation reserve holds first call on the Fund. All disbursements publish quarterly with the audit.</w:t>
      </w:r>
    </w:p>
    <w:p w14:paraId="1213A542" w14:textId="77777777" w:rsidR="00EF22B4" w:rsidRDefault="00000000">
      <w:pPr>
        <w:pStyle w:val="Heading2"/>
      </w:pPr>
      <w:bookmarkStart w:id="103" w:name="_Toc236018481"/>
      <w:r>
        <w:t>F.2 Maritime Livelihoods Facility Rules</w:t>
      </w:r>
      <w:bookmarkEnd w:id="103"/>
    </w:p>
    <w:p w14:paraId="16B79FFC" w14:textId="77777777" w:rsidR="00EF22B4" w:rsidRDefault="00000000">
      <w:r>
        <w:t xml:space="preserve">The Facility operates in the registered zones: Musandam; the Bandar Abbas to Chabahar coast; the Gwadar and </w:t>
      </w:r>
      <w:proofErr w:type="spellStart"/>
      <w:r>
        <w:t>Balochistan</w:t>
      </w:r>
      <w:proofErr w:type="spellEnd"/>
      <w:r>
        <w:t xml:space="preserve"> coast; and the Yemeni coastal communities of the Bab el-Mandeb corridor, including Hodeidah, under the humanitarian fast track. Project eligibility requires: a Quiet Window Certified zone, a registered Coastal Community Participant as implementing partner, a project under the standing menu (harbor works, desalination, cold chain, training, cooperative equipment, medical cargo handling), and Facilitator finance safeguards. Zones adjacent to active conflict operate at a reduced certification threshold of 45 days, because need there outruns every calendar.</w:t>
      </w:r>
    </w:p>
    <w:p w14:paraId="1D813335" w14:textId="77777777" w:rsidR="00EF22B4" w:rsidRDefault="00000000">
      <w:r>
        <w:t>Two rotating delegates of the Coastal Community Participants sit on the Facility board with voice on project selection. The board publishes every approval, every rejection with reasons, and every completion report.</w:t>
      </w:r>
    </w:p>
    <w:p w14:paraId="009635A0" w14:textId="77777777" w:rsidR="00EF22B4" w:rsidRDefault="00000000">
      <w:pPr>
        <w:pStyle w:val="Heading2"/>
      </w:pPr>
      <w:bookmarkStart w:id="104" w:name="_Toc236018482"/>
      <w:r>
        <w:t>F.3 Compliance Credit Exchange Rules</w:t>
      </w:r>
      <w:bookmarkEnd w:id="104"/>
    </w:p>
    <w:p w14:paraId="1D93E589" w14:textId="77777777" w:rsidR="00EF22B4" w:rsidRDefault="00000000">
      <w:r>
        <w:t xml:space="preserve">Credits mint from the Contribution and Cost Register on a published table: a certified Class 1 quarter, a completed attribution cooperation, a beyond-allowance hosted verification, a sustained hazard-report program. Each quarter, the Facilitator opens a sealed-bid second-price auction for the redemption pool: fuel facilitation, port equipment, medical cargo priority, training slots, survey products. Winning bidders pay the second price in credits; credits expire after eight quarters. The Exchange publishes the full results. </w:t>
      </w:r>
      <w:r>
        <w:lastRenderedPageBreak/>
        <w:t>A Party or cooperative that accumulates credits through three consecutive certified quarters converts them at a 10 percent premium, so sustained compliance compounds.</w:t>
      </w:r>
    </w:p>
    <w:p w14:paraId="4DD98B44" w14:textId="77777777" w:rsidR="00EF22B4" w:rsidRDefault="00000000">
      <w:pPr>
        <w:pStyle w:val="Heading2"/>
      </w:pPr>
      <w:bookmarkStart w:id="105" w:name="_Toc236018483"/>
      <w:r>
        <w:t>F.4 Quiet Window and Conversion Program Operations</w:t>
      </w:r>
      <w:bookmarkEnd w:id="105"/>
    </w:p>
    <w:p w14:paraId="2DC09485" w14:textId="77777777" w:rsidR="00EF22B4" w:rsidRDefault="00000000">
      <w:r>
        <w:t>Quiet Window Certification counts 90 consecutive days with zero Unattributed Incidents in the zone and adjacent waters, measured by the IVO from the shared registry. Certification unlocks Facility tranches, fast-lane cargo processing, and doubled Data Dividend rates. The Cooperative Conversion Program registers informal maritime transport actors as licensed cooperatives on future-compliance terms: legal status, insurance access, fee-sharing for registered coastal services, and priority credit redemption, in exchange for verified compliance going forward. Registration asks nothing about the past and everything about the future.</w:t>
      </w:r>
    </w:p>
    <w:p w14:paraId="500E882F" w14:textId="77777777" w:rsidR="00EF22B4" w:rsidRDefault="00000000">
      <w:pPr>
        <w:pStyle w:val="Heading2"/>
      </w:pPr>
      <w:bookmarkStart w:id="106" w:name="_Toc236018484"/>
      <w:r>
        <w:t>F.5 Transparency and Audit</w:t>
      </w:r>
      <w:bookmarkEnd w:id="106"/>
    </w:p>
    <w:p w14:paraId="588B530E" w14:textId="77777777" w:rsidR="00EF22B4" w:rsidRDefault="00000000">
      <w:r>
        <w:t>The Facilitator publishes a consolidated quarterly dividend report: every fund balance, every disbursement, every certification, every credit minted and redeemed. An independent auditor reviews the full system annually, and the audit publishes in the three official languages. The transparency rule is absolute because the programs' legitimacy is their protection: no actor, domestic or foreign, ever discovers a hidden payment in this architecture, because none exists.</w:t>
      </w:r>
    </w:p>
    <w:p w14:paraId="73FE3412" w14:textId="77777777" w:rsidR="00EF22B4" w:rsidRDefault="00EF22B4">
      <w:pPr>
        <w:spacing w:before="600"/>
      </w:pPr>
    </w:p>
    <w:p w14:paraId="7A209DA2" w14:textId="77777777" w:rsidR="00EF22B4" w:rsidRDefault="00000000">
      <w:pPr>
        <w:pBdr>
          <w:top w:val="single" w:sz="8" w:space="6" w:color="B8860B"/>
        </w:pBdr>
        <w:spacing w:before="400"/>
        <w:jc w:val="center"/>
      </w:pPr>
      <w:r>
        <w:rPr>
          <w:color w:val="45545E"/>
          <w:sz w:val="20"/>
        </w:rPr>
        <w:t xml:space="preserve">END OF WORKING TREATY </w:t>
      </w:r>
      <w:proofErr w:type="gramStart"/>
      <w:r>
        <w:rPr>
          <w:color w:val="45545E"/>
          <w:sz w:val="20"/>
        </w:rPr>
        <w:t>DRAFT  |</w:t>
      </w:r>
      <w:proofErr w:type="gramEnd"/>
      <w:r>
        <w:rPr>
          <w:color w:val="45545E"/>
          <w:sz w:val="20"/>
        </w:rPr>
        <w:t xml:space="preserve">  THE LIT BEACON </w:t>
      </w:r>
      <w:proofErr w:type="gramStart"/>
      <w:r>
        <w:rPr>
          <w:color w:val="45545E"/>
          <w:sz w:val="20"/>
        </w:rPr>
        <w:t>ACCORD  |</w:t>
      </w:r>
      <w:proofErr w:type="gramEnd"/>
      <w:r>
        <w:rPr>
          <w:color w:val="45545E"/>
          <w:sz w:val="20"/>
        </w:rPr>
        <w:t xml:space="preserve">  VERSION 1.0</w:t>
      </w:r>
    </w:p>
    <w:sectPr w:rsidR="00EF22B4">
      <w:headerReference w:type="default" r:id="rId13"/>
      <w:footerReference w:type="default" r:id="rId14"/>
      <w:pgSz w:w="11906" w:h="16838"/>
      <w:pgMar w:top="162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97BC2" w14:textId="77777777" w:rsidR="005F51AD" w:rsidRDefault="005F51AD">
      <w:pPr>
        <w:spacing w:after="0" w:line="240" w:lineRule="auto"/>
      </w:pPr>
      <w:r>
        <w:separator/>
      </w:r>
    </w:p>
  </w:endnote>
  <w:endnote w:type="continuationSeparator" w:id="0">
    <w:p w14:paraId="0FA22D87" w14:textId="77777777" w:rsidR="005F51AD" w:rsidRDefault="005F5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47C4" w14:textId="77777777" w:rsidR="005F15B8" w:rsidRDefault="005F15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3152B" w14:textId="77777777" w:rsidR="005F15B8" w:rsidRDefault="005F15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40E9" w14:textId="77777777" w:rsidR="005F15B8" w:rsidRDefault="005F15B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4415" w14:textId="77777777" w:rsidR="00EF22B4" w:rsidRDefault="00000000">
    <w:pPr>
      <w:jc w:val="center"/>
    </w:pPr>
    <w:r>
      <w:rPr>
        <w:color w:val="7C8890"/>
        <w:sz w:val="17"/>
      </w:rPr>
      <w:t xml:space="preserve">Page </w:t>
    </w:r>
    <w:r>
      <w:rPr>
        <w:color w:val="7C8890"/>
        <w:sz w:val="17"/>
      </w:rPr>
      <w:fldChar w:fldCharType="begin"/>
    </w:r>
    <w:r>
      <w:rPr>
        <w:color w:val="7C8890"/>
        <w:sz w:val="17"/>
      </w:rPr>
      <w:instrText xml:space="preserve"> PAGE </w:instrText>
    </w:r>
    <w:r>
      <w:rPr>
        <w:color w:val="7C8890"/>
        <w:sz w:val="17"/>
      </w:rPr>
      <w:fldChar w:fldCharType="separate"/>
    </w:r>
    <w:r>
      <w:rPr>
        <w:color w:val="7C8890"/>
        <w:sz w:val="17"/>
      </w:rPr>
      <w:t>1</w:t>
    </w:r>
    <w:r>
      <w:rPr>
        <w:color w:val="7C8890"/>
        <w:sz w:val="17"/>
      </w:rPr>
      <w:fldChar w:fldCharType="end"/>
    </w:r>
    <w:r>
      <w:rPr>
        <w:color w:val="7C8890"/>
        <w:sz w:val="17"/>
      </w:rPr>
      <w:t xml:space="preserve"> of </w:t>
    </w:r>
    <w:r>
      <w:rPr>
        <w:color w:val="7C8890"/>
        <w:sz w:val="17"/>
      </w:rPr>
      <w:fldChar w:fldCharType="begin"/>
    </w:r>
    <w:r>
      <w:rPr>
        <w:color w:val="7C8890"/>
        <w:sz w:val="17"/>
      </w:rPr>
      <w:instrText xml:space="preserve"> NUMPAGES </w:instrText>
    </w:r>
    <w:r>
      <w:rPr>
        <w:color w:val="7C8890"/>
        <w:sz w:val="17"/>
      </w:rPr>
      <w:fldChar w:fldCharType="separate"/>
    </w:r>
    <w:r>
      <w:rPr>
        <w:color w:val="7C8890"/>
        <w:sz w:val="17"/>
      </w:rPr>
      <w:t>1</w:t>
    </w:r>
    <w:r>
      <w:rPr>
        <w:color w:val="7C889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D68F5" w14:textId="77777777" w:rsidR="005F51AD" w:rsidRDefault="005F51AD">
      <w:pPr>
        <w:spacing w:after="0" w:line="240" w:lineRule="auto"/>
      </w:pPr>
      <w:r>
        <w:separator/>
      </w:r>
    </w:p>
  </w:footnote>
  <w:footnote w:type="continuationSeparator" w:id="0">
    <w:p w14:paraId="1A8422DB" w14:textId="77777777" w:rsidR="005F51AD" w:rsidRDefault="005F51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75338" w14:textId="77777777" w:rsidR="005F15B8" w:rsidRDefault="005F15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52B8" w14:textId="77777777" w:rsidR="005F15B8" w:rsidRDefault="005F15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6B19" w14:textId="77777777" w:rsidR="005F15B8" w:rsidRDefault="005F15B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A6A83" w14:textId="77777777" w:rsidR="00EF22B4" w:rsidRDefault="00000000">
    <w:pPr>
      <w:pBdr>
        <w:bottom w:val="single" w:sz="4" w:space="2" w:color="C9D2D8"/>
      </w:pBdr>
      <w:jc w:val="right"/>
    </w:pPr>
    <w:r>
      <w:rPr>
        <w:color w:val="7C8890"/>
        <w:sz w:val="17"/>
      </w:rPr>
      <w:t xml:space="preserve">The Lit Beacon </w:t>
    </w:r>
    <w:proofErr w:type="gramStart"/>
    <w:r>
      <w:rPr>
        <w:color w:val="7C8890"/>
        <w:sz w:val="17"/>
      </w:rPr>
      <w:t>Accord  |</w:t>
    </w:r>
    <w:proofErr w:type="gramEnd"/>
    <w:r>
      <w:rPr>
        <w:color w:val="7C8890"/>
        <w:sz w:val="17"/>
      </w:rPr>
      <w:t xml:space="preserve">  Working Treaty </w:t>
    </w:r>
    <w:proofErr w:type="gramStart"/>
    <w:r>
      <w:rPr>
        <w:color w:val="7C8890"/>
        <w:sz w:val="17"/>
      </w:rPr>
      <w:t>Draft  |</w:t>
    </w:r>
    <w:proofErr w:type="gramEnd"/>
    <w:r>
      <w:rPr>
        <w:color w:val="7C8890"/>
        <w:sz w:val="17"/>
      </w:rPr>
      <w:t xml:space="preserve">  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41387"/>
    <w:multiLevelType w:val="multilevel"/>
    <w:tmpl w:val="B9241912"/>
    <w:lvl w:ilvl="0">
      <w:start w:val="1"/>
      <w:numFmt w:val="decimal"/>
      <w:lvlText w:val="%1."/>
      <w:lvlJc w:val="left"/>
      <w:pPr>
        <w:ind w:left="5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ADE38F7"/>
    <w:multiLevelType w:val="multilevel"/>
    <w:tmpl w:val="2AB0F1B6"/>
    <w:lvl w:ilvl="0">
      <w:start w:val="1"/>
      <w:numFmt w:val="decimal"/>
      <w:lvlText w:val="%1."/>
      <w:lvlJc w:val="left"/>
      <w:pPr>
        <w:ind w:left="5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8B94D63"/>
    <w:multiLevelType w:val="multilevel"/>
    <w:tmpl w:val="02E0A932"/>
    <w:lvl w:ilvl="0">
      <w:start w:val="1"/>
      <w:numFmt w:val="decimal"/>
      <w:lvlText w:val="%1."/>
      <w:lvlJc w:val="left"/>
      <w:pPr>
        <w:ind w:left="5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B2B1AD8"/>
    <w:multiLevelType w:val="multilevel"/>
    <w:tmpl w:val="126E7276"/>
    <w:lvl w:ilvl="0">
      <w:start w:val="1"/>
      <w:numFmt w:val="decimal"/>
      <w:lvlText w:val="%1."/>
      <w:lvlJc w:val="left"/>
      <w:pPr>
        <w:ind w:left="5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19114FF"/>
    <w:multiLevelType w:val="multilevel"/>
    <w:tmpl w:val="42508872"/>
    <w:lvl w:ilvl="0">
      <w:start w:val="1"/>
      <w:numFmt w:val="decimal"/>
      <w:lvlText w:val="%1."/>
      <w:lvlJc w:val="left"/>
      <w:pPr>
        <w:ind w:left="5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2B77E2"/>
    <w:multiLevelType w:val="multilevel"/>
    <w:tmpl w:val="D102E812"/>
    <w:lvl w:ilvl="0">
      <w:start w:val="1"/>
      <w:numFmt w:val="decimal"/>
      <w:lvlText w:val="%1."/>
      <w:lvlJc w:val="left"/>
      <w:pPr>
        <w:ind w:left="5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4F91F74"/>
    <w:multiLevelType w:val="multilevel"/>
    <w:tmpl w:val="95E4BC6C"/>
    <w:lvl w:ilvl="0">
      <w:start w:val="1"/>
      <w:numFmt w:val="decimal"/>
      <w:lvlText w:val="%1."/>
      <w:lvlJc w:val="left"/>
      <w:pPr>
        <w:ind w:left="5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C3F2FFB"/>
    <w:multiLevelType w:val="multilevel"/>
    <w:tmpl w:val="ED3E0768"/>
    <w:lvl w:ilvl="0">
      <w:start w:val="1"/>
      <w:numFmt w:val="decimal"/>
      <w:lvlText w:val="%1."/>
      <w:lvlJc w:val="left"/>
      <w:pPr>
        <w:ind w:left="5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F2F5263"/>
    <w:multiLevelType w:val="multilevel"/>
    <w:tmpl w:val="B18E476E"/>
    <w:lvl w:ilvl="0">
      <w:numFmt w:val="bullet"/>
      <w:lvlText w:val="•"/>
      <w:lvlJc w:val="left"/>
      <w:pPr>
        <w:ind w:left="540" w:hanging="300"/>
      </w:pPr>
      <w:rPr>
        <w:rFonts w:ascii="Calibri" w:hAnsi="Calibri"/>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E99163F"/>
    <w:multiLevelType w:val="multilevel"/>
    <w:tmpl w:val="5C64F948"/>
    <w:lvl w:ilvl="0">
      <w:start w:val="1"/>
      <w:numFmt w:val="decimal"/>
      <w:lvlText w:val="%1."/>
      <w:lvlJc w:val="left"/>
      <w:pPr>
        <w:ind w:left="5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11282618">
    <w:abstractNumId w:val="8"/>
  </w:num>
  <w:num w:numId="2" w16cid:durableId="16783658">
    <w:abstractNumId w:val="1"/>
  </w:num>
  <w:num w:numId="3" w16cid:durableId="271938794">
    <w:abstractNumId w:val="4"/>
  </w:num>
  <w:num w:numId="4" w16cid:durableId="1034038870">
    <w:abstractNumId w:val="9"/>
  </w:num>
  <w:num w:numId="5" w16cid:durableId="2058310653">
    <w:abstractNumId w:val="7"/>
  </w:num>
  <w:num w:numId="6" w16cid:durableId="1790976938">
    <w:abstractNumId w:val="3"/>
  </w:num>
  <w:num w:numId="7" w16cid:durableId="1154563143">
    <w:abstractNumId w:val="2"/>
  </w:num>
  <w:num w:numId="8" w16cid:durableId="613051941">
    <w:abstractNumId w:val="0"/>
  </w:num>
  <w:num w:numId="9" w16cid:durableId="376441373">
    <w:abstractNumId w:val="6"/>
  </w:num>
  <w:num w:numId="10" w16cid:durableId="904724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F22B4"/>
    <w:rsid w:val="005F15B8"/>
    <w:rsid w:val="005F51AD"/>
    <w:rsid w:val="00AC49F2"/>
    <w:rsid w:val="00EF22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2D92"/>
  <w15:docId w15:val="{A45AB6F2-4515-4BAD-AD0A-C66C8E1C7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00" w:lineRule="auto"/>
      <w:jc w:val="both"/>
    </w:pPr>
    <w:rPr>
      <w:rFonts w:ascii="Calibri" w:eastAsia="Microsoft YaHei" w:hAnsi="Calibri"/>
      <w:color w:val="26323A"/>
      <w:sz w:val="21"/>
    </w:rPr>
  </w:style>
  <w:style w:type="paragraph" w:styleId="Heading1">
    <w:name w:val="heading 1"/>
    <w:basedOn w:val="Normal"/>
    <w:uiPriority w:val="9"/>
    <w:qFormat/>
    <w:pPr>
      <w:keepNext/>
      <w:keepLines/>
      <w:spacing w:before="560" w:after="220"/>
      <w:jc w:val="left"/>
      <w:outlineLvl w:val="0"/>
    </w:pPr>
    <w:rPr>
      <w:b/>
      <w:color w:val="1F3A4D"/>
      <w:sz w:val="32"/>
    </w:rPr>
  </w:style>
  <w:style w:type="paragraph" w:styleId="Heading2">
    <w:name w:val="heading 2"/>
    <w:basedOn w:val="Normal"/>
    <w:uiPriority w:val="9"/>
    <w:unhideWhenUsed/>
    <w:qFormat/>
    <w:pPr>
      <w:keepNext/>
      <w:keepLines/>
      <w:spacing w:before="380" w:after="140"/>
      <w:jc w:val="left"/>
      <w:outlineLvl w:val="1"/>
    </w:pPr>
    <w:rPr>
      <w:b/>
      <w:color w:val="2E5266"/>
      <w:sz w:val="26"/>
    </w:rPr>
  </w:style>
  <w:style w:type="paragraph" w:styleId="Heading3">
    <w:name w:val="heading 3"/>
    <w:basedOn w:val="Normal"/>
    <w:uiPriority w:val="9"/>
    <w:unhideWhenUsed/>
    <w:qFormat/>
    <w:pPr>
      <w:keepNext/>
      <w:keepLines/>
      <w:spacing w:before="280" w:after="100"/>
      <w:jc w:val="left"/>
      <w:outlineLvl w:val="2"/>
    </w:pPr>
    <w:rPr>
      <w:b/>
      <w:color w:val="4A6572"/>
      <w:sz w:val="23"/>
    </w:rPr>
  </w:style>
  <w:style w:type="paragraph" w:styleId="Heading4">
    <w:name w:val="heading 4"/>
    <w:basedOn w:val="Normal"/>
    <w:next w:val="Normal"/>
    <w:link w:val="Heading4Char"/>
    <w:uiPriority w:val="9"/>
    <w:semiHidden/>
    <w:unhideWhenUsed/>
    <w:qFormat/>
    <w:rsid w:val="005F15B8"/>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F15B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F15B8"/>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5F15B8"/>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5F15B8"/>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5F15B8"/>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80"/>
      <w:jc w:val="center"/>
    </w:pPr>
    <w:rPr>
      <w:color w:val="7C8890"/>
      <w:sz w:val="19"/>
    </w:rPr>
  </w:style>
  <w:style w:type="paragraph" w:styleId="TOC1">
    <w:name w:val="toc 1"/>
    <w:basedOn w:val="Normal"/>
    <w:uiPriority w:val="39"/>
    <w:pPr>
      <w:tabs>
        <w:tab w:val="right" w:leader="dot" w:pos="9350"/>
      </w:tabs>
      <w:spacing w:before="180" w:after="50"/>
      <w:jc w:val="left"/>
    </w:pPr>
    <w:rPr>
      <w:b/>
    </w:rPr>
  </w:style>
  <w:style w:type="paragraph" w:styleId="TOC2">
    <w:name w:val="toc 2"/>
    <w:basedOn w:val="Normal"/>
    <w:uiPriority w:val="39"/>
    <w:pPr>
      <w:tabs>
        <w:tab w:val="right" w:leader="dot" w:pos="9350"/>
      </w:tabs>
      <w:spacing w:before="40" w:after="50"/>
      <w:ind w:left="360"/>
      <w:jc w:val="left"/>
    </w:pPr>
    <w:rPr>
      <w:color w:val="45545E"/>
    </w:rPr>
  </w:style>
  <w:style w:type="paragraph" w:styleId="Header">
    <w:name w:val="header"/>
    <w:basedOn w:val="Normal"/>
    <w:link w:val="HeaderChar"/>
    <w:uiPriority w:val="99"/>
    <w:unhideWhenUsed/>
    <w:rsid w:val="005F15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5B8"/>
    <w:rPr>
      <w:rFonts w:ascii="Calibri" w:eastAsia="Microsoft YaHei" w:hAnsi="Calibri"/>
      <w:color w:val="26323A"/>
      <w:sz w:val="21"/>
    </w:rPr>
  </w:style>
  <w:style w:type="paragraph" w:styleId="Footer">
    <w:name w:val="footer"/>
    <w:basedOn w:val="Normal"/>
    <w:link w:val="FooterChar"/>
    <w:uiPriority w:val="99"/>
    <w:unhideWhenUsed/>
    <w:rsid w:val="005F15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5B8"/>
    <w:rPr>
      <w:rFonts w:ascii="Calibri" w:eastAsia="Microsoft YaHei" w:hAnsi="Calibri"/>
      <w:color w:val="26323A"/>
      <w:sz w:val="21"/>
    </w:rPr>
  </w:style>
  <w:style w:type="character" w:styleId="BookTitle">
    <w:name w:val="Book Title"/>
    <w:basedOn w:val="DefaultParagraphFont"/>
    <w:uiPriority w:val="33"/>
    <w:qFormat/>
    <w:rsid w:val="005F15B8"/>
    <w:rPr>
      <w:b/>
      <w:bCs/>
      <w:i/>
      <w:iCs/>
      <w:spacing w:val="5"/>
    </w:rPr>
  </w:style>
  <w:style w:type="character" w:styleId="Emphasis">
    <w:name w:val="Emphasis"/>
    <w:basedOn w:val="DefaultParagraphFont"/>
    <w:uiPriority w:val="20"/>
    <w:qFormat/>
    <w:rsid w:val="005F15B8"/>
    <w:rPr>
      <w:i/>
      <w:iCs/>
    </w:rPr>
  </w:style>
  <w:style w:type="character" w:customStyle="1" w:styleId="Heading4Char">
    <w:name w:val="Heading 4 Char"/>
    <w:basedOn w:val="DefaultParagraphFont"/>
    <w:link w:val="Heading4"/>
    <w:uiPriority w:val="9"/>
    <w:semiHidden/>
    <w:rsid w:val="005F15B8"/>
    <w:rPr>
      <w:rFonts w:asciiTheme="majorHAnsi" w:eastAsiaTheme="majorEastAsia" w:hAnsiTheme="majorHAnsi" w:cstheme="majorBidi"/>
      <w:i/>
      <w:iCs/>
      <w:color w:val="0F4761" w:themeColor="accent1" w:themeShade="BF"/>
      <w:sz w:val="21"/>
    </w:rPr>
  </w:style>
  <w:style w:type="character" w:customStyle="1" w:styleId="Heading5Char">
    <w:name w:val="Heading 5 Char"/>
    <w:basedOn w:val="DefaultParagraphFont"/>
    <w:link w:val="Heading5"/>
    <w:uiPriority w:val="9"/>
    <w:semiHidden/>
    <w:rsid w:val="005F15B8"/>
    <w:rPr>
      <w:rFonts w:asciiTheme="majorHAnsi" w:eastAsiaTheme="majorEastAsia" w:hAnsiTheme="majorHAnsi" w:cstheme="majorBidi"/>
      <w:color w:val="0F4761" w:themeColor="accent1" w:themeShade="BF"/>
      <w:sz w:val="21"/>
    </w:rPr>
  </w:style>
  <w:style w:type="character" w:customStyle="1" w:styleId="Heading6Char">
    <w:name w:val="Heading 6 Char"/>
    <w:basedOn w:val="DefaultParagraphFont"/>
    <w:link w:val="Heading6"/>
    <w:uiPriority w:val="9"/>
    <w:semiHidden/>
    <w:rsid w:val="005F15B8"/>
    <w:rPr>
      <w:rFonts w:asciiTheme="majorHAnsi" w:eastAsiaTheme="majorEastAsia" w:hAnsiTheme="majorHAnsi" w:cstheme="majorBidi"/>
      <w:color w:val="0A2F40" w:themeColor="accent1" w:themeShade="7F"/>
      <w:sz w:val="21"/>
    </w:rPr>
  </w:style>
  <w:style w:type="character" w:customStyle="1" w:styleId="Heading7Char">
    <w:name w:val="Heading 7 Char"/>
    <w:basedOn w:val="DefaultParagraphFont"/>
    <w:link w:val="Heading7"/>
    <w:uiPriority w:val="9"/>
    <w:semiHidden/>
    <w:rsid w:val="005F15B8"/>
    <w:rPr>
      <w:rFonts w:asciiTheme="majorHAnsi" w:eastAsiaTheme="majorEastAsia" w:hAnsiTheme="majorHAnsi" w:cstheme="majorBidi"/>
      <w:i/>
      <w:iCs/>
      <w:color w:val="0A2F40" w:themeColor="accent1" w:themeShade="7F"/>
      <w:sz w:val="21"/>
    </w:rPr>
  </w:style>
  <w:style w:type="character" w:customStyle="1" w:styleId="Heading8Char">
    <w:name w:val="Heading 8 Char"/>
    <w:basedOn w:val="DefaultParagraphFont"/>
    <w:link w:val="Heading8"/>
    <w:uiPriority w:val="9"/>
    <w:semiHidden/>
    <w:rsid w:val="005F15B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F15B8"/>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5F15B8"/>
    <w:rPr>
      <w:i/>
      <w:iCs/>
      <w:color w:val="156082" w:themeColor="accent1"/>
    </w:rPr>
  </w:style>
  <w:style w:type="paragraph" w:styleId="IntenseQuote">
    <w:name w:val="Intense Quote"/>
    <w:basedOn w:val="Normal"/>
    <w:next w:val="Normal"/>
    <w:link w:val="IntenseQuoteChar"/>
    <w:uiPriority w:val="30"/>
    <w:qFormat/>
    <w:rsid w:val="005F15B8"/>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5F15B8"/>
    <w:rPr>
      <w:rFonts w:ascii="Calibri" w:eastAsia="Microsoft YaHei" w:hAnsi="Calibri"/>
      <w:i/>
      <w:iCs/>
      <w:color w:val="156082" w:themeColor="accent1"/>
      <w:sz w:val="21"/>
    </w:rPr>
  </w:style>
  <w:style w:type="character" w:styleId="IntenseReference">
    <w:name w:val="Intense Reference"/>
    <w:basedOn w:val="DefaultParagraphFont"/>
    <w:uiPriority w:val="32"/>
    <w:qFormat/>
    <w:rsid w:val="005F15B8"/>
    <w:rPr>
      <w:b/>
      <w:bCs/>
      <w:smallCaps/>
      <w:color w:val="156082" w:themeColor="accent1"/>
      <w:spacing w:val="5"/>
    </w:rPr>
  </w:style>
  <w:style w:type="paragraph" w:styleId="ListParagraph">
    <w:name w:val="List Paragraph"/>
    <w:basedOn w:val="Normal"/>
    <w:uiPriority w:val="34"/>
    <w:qFormat/>
    <w:rsid w:val="005F15B8"/>
    <w:pPr>
      <w:ind w:left="720"/>
      <w:contextualSpacing/>
    </w:pPr>
  </w:style>
  <w:style w:type="paragraph" w:styleId="NoSpacing">
    <w:name w:val="No Spacing"/>
    <w:uiPriority w:val="1"/>
    <w:qFormat/>
    <w:rsid w:val="005F15B8"/>
    <w:pPr>
      <w:spacing w:after="0" w:line="240" w:lineRule="auto"/>
      <w:jc w:val="both"/>
    </w:pPr>
    <w:rPr>
      <w:rFonts w:ascii="Calibri" w:eastAsia="Microsoft YaHei" w:hAnsi="Calibri"/>
      <w:color w:val="26323A"/>
      <w:sz w:val="21"/>
    </w:rPr>
  </w:style>
  <w:style w:type="paragraph" w:styleId="Quote">
    <w:name w:val="Quote"/>
    <w:basedOn w:val="Normal"/>
    <w:next w:val="Normal"/>
    <w:link w:val="QuoteChar"/>
    <w:uiPriority w:val="29"/>
    <w:qFormat/>
    <w:rsid w:val="005F15B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F15B8"/>
    <w:rPr>
      <w:rFonts w:ascii="Calibri" w:eastAsia="Microsoft YaHei" w:hAnsi="Calibri"/>
      <w:i/>
      <w:iCs/>
      <w:color w:val="404040" w:themeColor="text1" w:themeTint="BF"/>
      <w:sz w:val="21"/>
    </w:rPr>
  </w:style>
  <w:style w:type="character" w:styleId="Strong">
    <w:name w:val="Strong"/>
    <w:basedOn w:val="DefaultParagraphFont"/>
    <w:uiPriority w:val="22"/>
    <w:qFormat/>
    <w:rsid w:val="005F15B8"/>
    <w:rPr>
      <w:b/>
      <w:bCs/>
    </w:rPr>
  </w:style>
  <w:style w:type="paragraph" w:styleId="Subtitle">
    <w:name w:val="Subtitle"/>
    <w:basedOn w:val="Normal"/>
    <w:next w:val="Normal"/>
    <w:link w:val="SubtitleChar"/>
    <w:uiPriority w:val="11"/>
    <w:qFormat/>
    <w:rsid w:val="005F15B8"/>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5F15B8"/>
    <w:rPr>
      <w:color w:val="5A5A5A" w:themeColor="text1" w:themeTint="A5"/>
      <w:spacing w:val="15"/>
      <w:sz w:val="22"/>
      <w:szCs w:val="22"/>
    </w:rPr>
  </w:style>
  <w:style w:type="character" w:styleId="SubtleEmphasis">
    <w:name w:val="Subtle Emphasis"/>
    <w:basedOn w:val="DefaultParagraphFont"/>
    <w:uiPriority w:val="19"/>
    <w:qFormat/>
    <w:rsid w:val="005F15B8"/>
    <w:rPr>
      <w:i/>
      <w:iCs/>
      <w:color w:val="404040" w:themeColor="text1" w:themeTint="BF"/>
    </w:rPr>
  </w:style>
  <w:style w:type="character" w:styleId="SubtleReference">
    <w:name w:val="Subtle Reference"/>
    <w:basedOn w:val="DefaultParagraphFont"/>
    <w:uiPriority w:val="31"/>
    <w:qFormat/>
    <w:rsid w:val="005F15B8"/>
    <w:rPr>
      <w:smallCaps/>
      <w:color w:val="5A5A5A" w:themeColor="text1" w:themeTint="A5"/>
    </w:rPr>
  </w:style>
  <w:style w:type="paragraph" w:styleId="Title">
    <w:name w:val="Title"/>
    <w:basedOn w:val="Normal"/>
    <w:next w:val="Normal"/>
    <w:link w:val="TitleChar"/>
    <w:uiPriority w:val="10"/>
    <w:qFormat/>
    <w:rsid w:val="005F15B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F15B8"/>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5F15B8"/>
    <w:pPr>
      <w:spacing w:before="240" w:after="0"/>
      <w:jc w:val="both"/>
      <w:outlineLvl w:val="9"/>
    </w:pPr>
    <w:rPr>
      <w:rFonts w:asciiTheme="majorHAnsi" w:eastAsiaTheme="majorEastAsia" w:hAnsiTheme="majorHAnsi" w:cstheme="majorBidi"/>
      <w:b w:val="0"/>
      <w:color w:val="0F4761" w:themeColor="accent1" w:themeShade="BF"/>
      <w:szCs w:val="32"/>
    </w:rPr>
  </w:style>
  <w:style w:type="character" w:styleId="Hyperlink">
    <w:name w:val="Hyperlink"/>
    <w:basedOn w:val="DefaultParagraphFont"/>
    <w:uiPriority w:val="99"/>
    <w:unhideWhenUsed/>
    <w:rsid w:val="005F15B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13355</Words>
  <Characters>78663</Characters>
  <Application>Microsoft Office Word</Application>
  <DocSecurity>0</DocSecurity>
  <Lines>1333</Lines>
  <Paragraphs>702</Paragraphs>
  <ScaleCrop>false</ScaleCrop>
  <Company/>
  <LinksUpToDate>false</LinksUpToDate>
  <CharactersWithSpaces>91316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2026-07-27T08:19:00Z</dcterms:created>
  <dcterms:modified xsi:type="dcterms:W3CDTF">2026-07-27T08:19:00Z</dcterms:modified>
</cp:coreProperties>
</file>