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923512fa723e48fa" /></Relationships>
</file>

<file path=word/document.xml><?xml version="1.0" encoding="utf-8"?>
<w:document xmlns:r="http://schemas.openxmlformats.org/officeDocument/2006/relationships" xmlns:w="http://schemas.openxmlformats.org/wordprocessingml/2006/main">
  <w:body>
    <w:p>
      <w:pPr>
        <w:spacing w:before="3400" w:after="0"/>
        <w:jc w:val="center"/>
      </w:pPr>
      <w:r>
        <w:rPr>
          <w:rFonts w:ascii="Calibri" w:hAnsi="Calibri"/>
          <w:color w:val="212121"/>
          <w:sz w:val="24"/>
        </w:rPr>
        <w:t xml:space="preserve"/>
      </w:r>
    </w:p>
    <w:p>
      <w:pPr>
        <w:spacing w:before="0" w:after="300"/>
        <w:jc w:val="center"/>
      </w:pPr>
      <w:r>
        <w:rPr>
          <w:rFonts w:ascii="Calibri" w:hAnsi="Calibri"/>
          <w:b/>
          <w:color w:val="37474F"/>
          <w:spacing w:val="60"/>
          <w:sz w:val="60"/>
        </w:rPr>
        <w:t xml:space="preserve">THE STILLWATER ACCORD</w:t>
      </w:r>
    </w:p>
    <w:p>
      <w:pPr>
        <w:spacing w:before="0" w:after="520"/>
        <w:jc w:val="center"/>
      </w:pPr>
      <w:r>
        <w:rPr>
          <w:rFonts w:ascii="Calibri" w:hAnsi="Calibri"/>
          <w:i/>
          <w:color w:val="546E7A"/>
          <w:sz w:val="27"/>
        </w:rPr>
        <w:t xml:space="preserve">A Multilateral Framework for the Governance, Safety, and Transit of the Strait of Hormuz</w:t>
      </w:r>
    </w:p>
    <w:p>
      <w:pPr>
        <w:pBdr>
          <w:bottom w:val="single" w:color="546E7A" w:sz="6" w:space="1"/>
        </w:pBdr>
        <w:spacing w:after="520"/>
        <w:ind w:left="2400" w:right="2400"/>
      </w:pPr>
    </w:p>
    <w:p>
      <w:pPr>
        <w:spacing w:before="0" w:after="160"/>
        <w:jc w:val="center"/>
      </w:pPr>
      <w:r>
        <w:rPr>
          <w:rFonts w:ascii="Calibri" w:hAnsi="Calibri"/>
          <w:color w:val="212121"/>
          <w:sz w:val="24"/>
        </w:rPr>
        <w:t xml:space="preserve">Version 1.2  ·  July 2026</w:t>
      </w:r>
    </w:p>
    <w:p>
      <w:pPr>
        <w:spacing w:before="0" w:after="160"/>
        <w:jc w:val="center"/>
      </w:pPr>
      <w:r>
        <w:rPr>
          <w:rFonts w:ascii="Calibri" w:hAnsi="Calibri"/>
          <w:color w:val="546E7A"/>
          <w:sz w:val="22"/>
        </w:rPr>
        <w:t xml:space="preserve">Negotiating Draft for Authorized Participants</w:t>
      </w:r>
    </w:p>
    <w:p>
      <w:pPr>
        <w:spacing w:before="0" w:after="2600"/>
        <w:jc w:val="center"/>
      </w:pPr>
      <w:r>
        <w:rPr>
          <w:rFonts w:ascii="Calibri" w:hAnsi="Calibri"/>
          <w:i/>
          <w:color w:val="78909C"/>
          <w:sz w:val="20"/>
        </w:rPr>
        <w:t xml:space="preserve">Drafted in strict adherence to the Immutable Present-Tense Matrix, with the Nofade Rule as first among equals</w:t>
      </w:r>
    </w:p>
    <w:p>
      <w:pPr>
        <w:spacing w:before="0" w:after="160"/>
        <w:jc w:val="center"/>
      </w:pPr>
      <w:r>
        <w:rPr>
          <w:rFonts w:ascii="Calibri" w:hAnsi="Calibri"/>
          <w:b/>
          <w:color w:val="37474F"/>
          <w:sz w:val="22"/>
        </w:rPr>
        <w:t xml:space="preserve">The Islamic Republic of Iran  ·  The Sultanate of Oman  ·  The United Arab Emirates</w:t>
      </w:r>
    </w:p>
    <w:p>
      <w:pPr>
        <w:spacing w:before="0" w:after="160"/>
        <w:jc w:val="center"/>
      </w:pPr>
      <w:r>
        <w:rPr>
          <w:rFonts w:ascii="Calibri" w:hAnsi="Calibri"/>
          <w:color w:val="546E7A"/>
          <w:sz w:val="20"/>
        </w:rPr>
        <w:t xml:space="preserve">with a defined accession path for Saudi Arabia, Qatar, Bahrain, Kuwait, and Iraq</w:t>
      </w:r>
    </w:p>
    <w:p>
      <w:pPr>
        <w:spacing w:before="0" w:after="160"/>
        <w:jc w:val="center"/>
      </w:pPr>
      <w:r>
        <w:rPr>
          <w:rFonts w:ascii="Calibri" w:hAnsi="Calibri"/>
          <w:color w:val="546E7A"/>
          <w:sz w:val="20"/>
        </w:rPr>
        <w:t xml:space="preserve">Mediator of Record: The Sultanate of Oman   ·   Neutral Administrator: The Swiss Confederation</w:t>
      </w:r>
    </w:p>
    <w:p>
      <w:pPr>
        <w:spacing w:before="0" w:after="400"/>
        <w:jc w:val="center"/>
      </w:pPr>
      <w:r>
        <w:rPr>
          <w:rFonts w:ascii="Calibri" w:hAnsi="Calibri"/>
          <w:color w:val="546E7A"/>
          <w:sz w:val="20"/>
        </w:rPr>
        <w:t xml:space="preserve">Facilitators: The State of Qatar and the Islamic Republic of Pakistan</w:t>
      </w:r>
    </w:p>
    <w:p>
      <w:pPr>
        <w:spacing w:before="0" w:after="0"/>
        <w:jc w:val="center"/>
      </w:pPr>
      <w:r>
        <w:rPr>
          <w:rFonts w:ascii="Calibri" w:hAnsi="Calibri"/>
          <w:i/>
          <w:color w:val="78909C"/>
          <w:sz w:val="18"/>
        </w:rPr>
        <w:t xml:space="preserve">Seated at the Meridian Operations Center, Muscat, with the Mirror Facility of Equal Rank at Bandar Abbas</w:t>
      </w:r>
    </w:p>
    <w:p>
      <w:pPr>
        <w:sectPr>
          <w:type w:val="nextPage"/>
          <w:pgSz w:w="11906" w:h="16838"/>
          <w:pgMar w:top="1134" w:right="1134" w:bottom="1134" w:left="1134" w:header="720" w:footer="720"/>
          <w:pgBorders>
            <w:top w:val="double" w:color="37474F" w:sz="6" w:space="28"/>
            <w:left w:val="double" w:color="37474F" w:sz="6" w:space="28"/>
            <w:bottom w:val="double" w:color="37474F" w:sz="6" w:space="28"/>
            <w:right w:val="double" w:color="37474F" w:sz="6" w:space="28"/>
          </w:pgBorders>
        </w:sectPr>
      </w:pPr>
    </w:p>
    <w:p>
      <w:pPr>
        <w:keepNext/>
        <w:spacing w:before="0" w:after="360"/>
      </w:pPr>
      <w:r>
        <w:rPr>
          <w:rFonts w:ascii="Calibri" w:hAnsi="Calibri"/>
          <w:b/>
          <w:caps/>
          <w:color w:val="37474F"/>
          <w:sz w:val="32"/>
        </w:rPr>
        <w:t>Table of Contents</w:t>
      </w:r>
    </w:p>
    <w:p>
      <w:r>
        <w:fldChar w:fldCharType="begin"/>
      </w:r>
      <w:r>
        <w:instrText xml:space="preserve"> TOC \o "1-2" \h \z \u </w:instrText>
      </w:r>
      <w:r>
        <w:fldChar w:fldCharType="separate"/>
      </w:r>
    </w:p>
    <w:p>
      <w:pPr>
        <w:pStyle w:val="TOC1"/>
      </w:pPr>
      <w:r>
        <w:t>Document Control</w:t>
      </w:r>
      <w:r>
        <w:tab/>
      </w:r>
      <w:r>
        <w:t>0</w:t>
      </w:r>
    </w:p>
    <w:p>
      <w:pPr>
        <w:pStyle w:val="TOC1"/>
      </w:pPr>
      <w:r>
        <w:t>The Stillwater Declaration of Principles</w:t>
      </w:r>
      <w:r>
        <w:tab/>
      </w:r>
      <w:r>
        <w:t>0</w:t>
      </w:r>
    </w:p>
    <w:p>
      <w:pPr>
        <w:pStyle w:val="TOC1"/>
      </w:pPr>
      <w:r>
        <w:t>Preamble: The Moment of July 2026</w:t>
      </w:r>
      <w:r>
        <w:tab/>
      </w:r>
      <w:r>
        <w:t>0</w:t>
      </w:r>
    </w:p>
    <w:p>
      <w:pPr>
        <w:pStyle w:val="TOC1"/>
      </w:pPr>
      <w:r>
        <w:t>Part I: Foundations</w:t>
      </w:r>
      <w:r>
        <w:tab/>
      </w:r>
      <w:r>
        <w:t>0</w:t>
      </w:r>
    </w:p>
    <w:p>
      <w:pPr>
        <w:pStyle w:val="TOC2"/>
      </w:pPr>
      <w:r>
        <w:t>Article 1: Establishment, Purpose, and Scope</w:t>
      </w:r>
      <w:r>
        <w:tab/>
      </w:r>
      <w:r>
        <w:t>0</w:t>
      </w:r>
    </w:p>
    <w:p>
      <w:pPr>
        <w:pStyle w:val="TOC2"/>
      </w:pPr>
      <w:r>
        <w:t>Article 2: Legal Foundations</w:t>
      </w:r>
      <w:r>
        <w:tab/>
      </w:r>
      <w:r>
        <w:t>0</w:t>
      </w:r>
    </w:p>
    <w:p>
      <w:pPr>
        <w:pStyle w:val="TOC2"/>
      </w:pPr>
      <w:r>
        <w:t>Article 3: Core Operating Principles</w:t>
      </w:r>
      <w:r>
        <w:tab/>
      </w:r>
      <w:r>
        <w:t>0</w:t>
      </w:r>
    </w:p>
    <w:p>
      <w:pPr>
        <w:pStyle w:val="TOC2"/>
      </w:pPr>
      <w:r>
        <w:t>Article 4: The Nofade Guarantee</w:t>
      </w:r>
      <w:r>
        <w:tab/>
      </w:r>
      <w:r>
        <w:t>0</w:t>
      </w:r>
    </w:p>
    <w:p>
      <w:pPr>
        <w:pStyle w:val="TOC2"/>
      </w:pPr>
      <w:r>
        <w:t>Article 5: Definitions and Interpretation</w:t>
      </w:r>
      <w:r>
        <w:tab/>
      </w:r>
      <w:r>
        <w:t>0</w:t>
      </w:r>
    </w:p>
    <w:p>
      <w:pPr>
        <w:pStyle w:val="TOC2"/>
      </w:pPr>
      <w:r>
        <w:t>Article 6: The Red Lines Register and the Perimeter Test</w:t>
      </w:r>
      <w:r>
        <w:tab/>
      </w:r>
      <w:r>
        <w:t>0</w:t>
      </w:r>
    </w:p>
    <w:p>
      <w:pPr>
        <w:pStyle w:val="TOC1"/>
      </w:pPr>
      <w:r>
        <w:t>Part II: The Dual-Corridor Navigation System</w:t>
      </w:r>
      <w:r>
        <w:tab/>
      </w:r>
      <w:r>
        <w:t>0</w:t>
      </w:r>
    </w:p>
    <w:p>
      <w:pPr>
        <w:pStyle w:val="TOC2"/>
      </w:pPr>
      <w:r>
        <w:t>Article 7: The Governance Area and Boundary Coordinates</w:t>
      </w:r>
      <w:r>
        <w:tab/>
      </w:r>
      <w:r>
        <w:t>0</w:t>
      </w:r>
    </w:p>
    <w:p>
      <w:pPr>
        <w:pStyle w:val="TOC2"/>
      </w:pPr>
      <w:r>
        <w:t>Article 8: The Two Corridors</w:t>
      </w:r>
      <w:r>
        <w:tab/>
      </w:r>
      <w:r>
        <w:t>0</w:t>
      </w:r>
    </w:p>
    <w:p>
      <w:pPr>
        <w:pStyle w:val="TOC2"/>
      </w:pPr>
      <w:r>
        <w:t>Article 9: Vessel Classification and Differentiated Treatment</w:t>
      </w:r>
      <w:r>
        <w:tab/>
      </w:r>
      <w:r>
        <w:t>0</w:t>
      </w:r>
    </w:p>
    <w:p>
      <w:pPr>
        <w:pStyle w:val="TOC2"/>
      </w:pPr>
      <w:r>
        <w:t>Article 10: Safe Passage and the Non-Interdiction Protocol</w:t>
      </w:r>
      <w:r>
        <w:tab/>
      </w:r>
      <w:r>
        <w:t>0</w:t>
      </w:r>
    </w:p>
    <w:p>
      <w:pPr>
        <w:pStyle w:val="TOC2"/>
      </w:pPr>
      <w:r>
        <w:t>Article 11: Traffic Management, Flow States, and the Open Water Bulletin</w:t>
      </w:r>
      <w:r>
        <w:tab/>
      </w:r>
      <w:r>
        <w:t>0</w:t>
      </w:r>
    </w:p>
    <w:p>
      <w:pPr>
        <w:pStyle w:val="TOC2"/>
      </w:pPr>
      <w:r>
        <w:t>Article 12: Hazard Survey, Mines, and the Reopening Sequence</w:t>
      </w:r>
      <w:r>
        <w:tab/>
      </w:r>
      <w:r>
        <w:t>0</w:t>
      </w:r>
    </w:p>
    <w:p>
      <w:pPr>
        <w:pStyle w:val="TOC1"/>
      </w:pPr>
      <w:r>
        <w:t>Part III: Institutional Architecture</w:t>
      </w:r>
      <w:r>
        <w:tab/>
      </w:r>
      <w:r>
        <w:t>0</w:t>
      </w:r>
    </w:p>
    <w:p>
      <w:pPr>
        <w:pStyle w:val="TOC2"/>
      </w:pPr>
      <w:r>
        <w:t>Article 13: The Stillwater Council</w:t>
      </w:r>
      <w:r>
        <w:tab/>
      </w:r>
      <w:r>
        <w:t>0</w:t>
      </w:r>
    </w:p>
    <w:p>
      <w:pPr>
        <w:pStyle w:val="TOC2"/>
      </w:pPr>
      <w:r>
        <w:t>Article 14: The Meridian Operations Center</w:t>
      </w:r>
      <w:r>
        <w:tab/>
      </w:r>
      <w:r>
        <w:t>0</w:t>
      </w:r>
    </w:p>
    <w:p>
      <w:pPr>
        <w:pStyle w:val="TOC2"/>
      </w:pPr>
      <w:r>
        <w:t>Article 14A: Human Factors and Watch Standards</w:t>
      </w:r>
      <w:r>
        <w:tab/>
      </w:r>
      <w:r>
        <w:t>0</w:t>
      </w:r>
    </w:p>
    <w:p>
      <w:pPr>
        <w:pStyle w:val="TOC2"/>
      </w:pPr>
      <w:r>
        <w:t>Article 15: The Neutral Keel Office</w:t>
      </w:r>
      <w:r>
        <w:tab/>
      </w:r>
      <w:r>
        <w:t>0</w:t>
      </w:r>
    </w:p>
    <w:p>
      <w:pPr>
        <w:pStyle w:val="TOC2"/>
      </w:pPr>
      <w:r>
        <w:t>Article 16: The Technical and Standards Committee</w:t>
      </w:r>
      <w:r>
        <w:tab/>
      </w:r>
      <w:r>
        <w:t>0</w:t>
      </w:r>
    </w:p>
    <w:p>
      <w:pPr>
        <w:pStyle w:val="TOC2"/>
      </w:pPr>
      <w:r>
        <w:t>Article 17: The Guarantor and Facilitation Panel</w:t>
      </w:r>
      <w:r>
        <w:tab/>
      </w:r>
      <w:r>
        <w:t>0</w:t>
      </w:r>
    </w:p>
    <w:p>
      <w:pPr>
        <w:pStyle w:val="TOC2"/>
      </w:pPr>
      <w:r>
        <w:t>Article 18: The Independent Assurance Council</w:t>
      </w:r>
      <w:r>
        <w:tab/>
      </w:r>
      <w:r>
        <w:t>0</w:t>
      </w:r>
    </w:p>
    <w:p>
      <w:pPr>
        <w:pStyle w:val="TOC2"/>
      </w:pPr>
      <w:r>
        <w:t>Article 19: Observer States and Stakeholder Participation</w:t>
      </w:r>
      <w:r>
        <w:tab/>
      </w:r>
      <w:r>
        <w:t>0</w:t>
      </w:r>
    </w:p>
    <w:p>
      <w:pPr>
        <w:pStyle w:val="TOC2"/>
      </w:pPr>
      <w:r>
        <w:t>Article 20: Decision Rules</w:t>
      </w:r>
      <w:r>
        <w:tab/>
      </w:r>
      <w:r>
        <w:t>0</w:t>
      </w:r>
    </w:p>
    <w:p>
      <w:pPr>
        <w:pStyle w:val="TOC1"/>
      </w:pPr>
      <w:r>
        <w:t>Part IV: The Financial Architecture: The Settlement of the Toll Question</w:t>
      </w:r>
      <w:r>
        <w:tab/>
      </w:r>
      <w:r>
        <w:t>0</w:t>
      </w:r>
    </w:p>
    <w:p>
      <w:pPr>
        <w:pStyle w:val="TOC2"/>
      </w:pPr>
      <w:r>
        <w:t>Article 21: The Zero-Toll Rule</w:t>
      </w:r>
      <w:r>
        <w:tab/>
      </w:r>
      <w:r>
        <w:t>0</w:t>
      </w:r>
    </w:p>
    <w:p>
      <w:pPr>
        <w:pStyle w:val="TOC2"/>
      </w:pPr>
      <w:r>
        <w:t>Article 22: The Transit Services Fund</w:t>
      </w:r>
      <w:r>
        <w:tab/>
      </w:r>
      <w:r>
        <w:t>0</w:t>
      </w:r>
    </w:p>
    <w:p>
      <w:pPr>
        <w:pStyle w:val="TOC2"/>
      </w:pPr>
      <w:r>
        <w:t>Article 23: The Verified Services Catalog and Reimbursement</w:t>
      </w:r>
      <w:r>
        <w:tab/>
      </w:r>
      <w:r>
        <w:t>0</w:t>
      </w:r>
    </w:p>
    <w:p>
      <w:pPr>
        <w:pStyle w:val="TOC2"/>
      </w:pPr>
      <w:r>
        <w:t>Article 24: The Assurance Registry and the Route Assurance Data Service</w:t>
      </w:r>
      <w:r>
        <w:tab/>
      </w:r>
      <w:r>
        <w:t>0</w:t>
      </w:r>
    </w:p>
    <w:p>
      <w:pPr>
        <w:pStyle w:val="TOC2"/>
      </w:pPr>
      <w:r>
        <w:t>Article 25: Budget, Audit, and the Sanctions-Compliance Firewall</w:t>
      </w:r>
      <w:r>
        <w:tab/>
      </w:r>
      <w:r>
        <w:t>0</w:t>
      </w:r>
    </w:p>
    <w:p>
      <w:pPr>
        <w:pStyle w:val="TOC1"/>
      </w:pPr>
      <w:r>
        <w:t>Part V: Safety, Security, and Environmental Protection</w:t>
      </w:r>
      <w:r>
        <w:tab/>
      </w:r>
      <w:r>
        <w:t>0</w:t>
      </w:r>
    </w:p>
    <w:p>
      <w:pPr>
        <w:pStyle w:val="TOC2"/>
      </w:pPr>
      <w:r>
        <w:t>Article 26: Verification Philosophy: The Human Anchor Method</w:t>
      </w:r>
      <w:r>
        <w:tab/>
      </w:r>
      <w:r>
        <w:t>0</w:t>
      </w:r>
    </w:p>
    <w:p>
      <w:pPr>
        <w:pStyle w:val="TOC2"/>
      </w:pPr>
      <w:r>
        <w:t>Article 26A: Cybersecurity, Authentication, and Data Integrity</w:t>
      </w:r>
      <w:r>
        <w:tab/>
      </w:r>
      <w:r>
        <w:t>0</w:t>
      </w:r>
    </w:p>
    <w:p>
      <w:pPr>
        <w:pStyle w:val="TOC2"/>
      </w:pPr>
      <w:r>
        <w:t>Article 27: Naval De-confliction and the Standoff Geometry</w:t>
      </w:r>
      <w:r>
        <w:tab/>
      </w:r>
      <w:r>
        <w:t>0</w:t>
      </w:r>
    </w:p>
    <w:p>
      <w:pPr>
        <w:pStyle w:val="TOC2"/>
      </w:pPr>
      <w:r>
        <w:t>Article 28: Mishap and Incident Management</w:t>
      </w:r>
      <w:r>
        <w:tab/>
      </w:r>
      <w:r>
        <w:t>0</w:t>
      </w:r>
    </w:p>
    <w:p>
      <w:pPr>
        <w:pStyle w:val="TOC2"/>
      </w:pPr>
      <w:r>
        <w:t>Article 29: Search and Rescue</w:t>
      </w:r>
      <w:r>
        <w:tab/>
      </w:r>
      <w:r>
        <w:t>0</w:t>
      </w:r>
    </w:p>
    <w:p>
      <w:pPr>
        <w:pStyle w:val="TOC2"/>
      </w:pPr>
      <w:r>
        <w:t>Article 30: Environmental Protection</w:t>
      </w:r>
      <w:r>
        <w:tab/>
      </w:r>
      <w:r>
        <w:t>0</w:t>
      </w:r>
    </w:p>
    <w:p>
      <w:pPr>
        <w:pStyle w:val="TOC1"/>
      </w:pPr>
      <w:r>
        <w:t>Part VI: Compliance, Accountability, and Dispute Resolution</w:t>
      </w:r>
      <w:r>
        <w:tab/>
      </w:r>
      <w:r>
        <w:t>0</w:t>
      </w:r>
    </w:p>
    <w:p>
      <w:pPr>
        <w:pStyle w:val="TOC2"/>
      </w:pPr>
      <w:r>
        <w:t>Article 31: The Compliance Engine</w:t>
      </w:r>
      <w:r>
        <w:tab/>
      </w:r>
      <w:r>
        <w:t>0</w:t>
      </w:r>
    </w:p>
    <w:p>
      <w:pPr>
        <w:pStyle w:val="TOC2"/>
      </w:pPr>
      <w:r>
        <w:t>Article 32: The Stillwater Pause</w:t>
      </w:r>
      <w:r>
        <w:tab/>
      </w:r>
      <w:r>
        <w:t>0</w:t>
      </w:r>
    </w:p>
    <w:p>
      <w:pPr>
        <w:pStyle w:val="TOC2"/>
      </w:pPr>
      <w:r>
        <w:t>Article 33: The Reciprocity Ledger and Standing Levels</w:t>
      </w:r>
      <w:r>
        <w:tab/>
      </w:r>
      <w:r>
        <w:t>0</w:t>
      </w:r>
    </w:p>
    <w:p>
      <w:pPr>
        <w:pStyle w:val="TOC2"/>
      </w:pPr>
      <w:r>
        <w:t>Article 34: Substantiated Claims and the Performance Bond</w:t>
      </w:r>
      <w:r>
        <w:tab/>
      </w:r>
      <w:r>
        <w:t>0</w:t>
      </w:r>
    </w:p>
    <w:p>
      <w:pPr>
        <w:pStyle w:val="TOC2"/>
      </w:pPr>
      <w:r>
        <w:t>Article 35: Dispute Resolution</w:t>
      </w:r>
      <w:r>
        <w:tab/>
      </w:r>
      <w:r>
        <w:t>0</w:t>
      </w:r>
    </w:p>
    <w:p>
      <w:pPr>
        <w:pStyle w:val="TOC2"/>
      </w:pPr>
      <w:r>
        <w:t>Article 36: The Protection Covenant</w:t>
      </w:r>
      <w:r>
        <w:tab/>
      </w:r>
      <w:r>
        <w:t>0</w:t>
      </w:r>
    </w:p>
    <w:p>
      <w:pPr>
        <w:pStyle w:val="TOC1"/>
      </w:pPr>
      <w:r>
        <w:t>Part VII: Continuity, Resilience, Accession, and Final Provisions</w:t>
      </w:r>
      <w:r>
        <w:tab/>
      </w:r>
      <w:r>
        <w:t>0</w:t>
      </w:r>
    </w:p>
    <w:p>
      <w:pPr>
        <w:pStyle w:val="TOC2"/>
      </w:pPr>
      <w:r>
        <w:t>Article 37: Phased Activation and Implementation</w:t>
      </w:r>
      <w:r>
        <w:tab/>
      </w:r>
      <w:r>
        <w:t>0</w:t>
      </w:r>
    </w:p>
    <w:p>
      <w:pPr>
        <w:pStyle w:val="TOC2"/>
      </w:pPr>
      <w:r>
        <w:t>Article 38: Accession, Liaison, and the Multilateral Expansion Path</w:t>
      </w:r>
      <w:r>
        <w:tab/>
      </w:r>
      <w:r>
        <w:t>0</w:t>
      </w:r>
    </w:p>
    <w:p>
      <w:pPr>
        <w:pStyle w:val="TOC2"/>
      </w:pPr>
      <w:r>
        <w:t>Article 39: Amendment and Review</w:t>
      </w:r>
      <w:r>
        <w:tab/>
      </w:r>
      <w:r>
        <w:t>0</w:t>
      </w:r>
    </w:p>
    <w:p>
      <w:pPr>
        <w:pStyle w:val="TOC2"/>
      </w:pPr>
      <w:r>
        <w:t>Article 40: Transition, Succession, Withdrawal, and Reconstitution</w:t>
      </w:r>
      <w:r>
        <w:tab/>
      </w:r>
      <w:r>
        <w:t>0</w:t>
      </w:r>
    </w:p>
    <w:p>
      <w:pPr>
        <w:pStyle w:val="TOC2"/>
      </w:pPr>
      <w:r>
        <w:t>Article 41: Final Provisions</w:t>
      </w:r>
      <w:r>
        <w:tab/>
      </w:r>
      <w:r>
        <w:t>0</w:t>
      </w:r>
    </w:p>
    <w:p>
      <w:pPr>
        <w:pStyle w:val="TOC2"/>
      </w:pPr>
      <w:r>
        <w:t>Article 42: Continuity During Institutional Failure</w:t>
      </w:r>
      <w:r>
        <w:tab/>
      </w:r>
      <w:r>
        <w:t>0</w:t>
      </w:r>
    </w:p>
    <w:p>
      <w:pPr>
        <w:pStyle w:val="TOC2"/>
      </w:pPr>
      <w:r>
        <w:t>Article 43: Future Technologies and Technological Neutrality</w:t>
      </w:r>
      <w:r>
        <w:tab/>
      </w:r>
      <w:r>
        <w:t>0</w:t>
      </w:r>
    </w:p>
    <w:p>
      <w:pPr>
        <w:pStyle w:val="TOC2"/>
      </w:pPr>
      <w:r>
        <w:t>Article 44: Institutional Succession and Organizational Continuity</w:t>
      </w:r>
      <w:r>
        <w:tab/>
      </w:r>
      <w:r>
        <w:t>0</w:t>
      </w:r>
    </w:p>
    <w:p>
      <w:pPr>
        <w:pStyle w:val="TOC1"/>
      </w:pPr>
      <w:r>
        <w:t>Annex A: Corridor Coordinates and Geometry Registry</w:t>
      </w:r>
      <w:r>
        <w:tab/>
      </w:r>
      <w:r>
        <w:t>0</w:t>
      </w:r>
    </w:p>
    <w:p>
      <w:pPr>
        <w:pStyle w:val="TOC1"/>
      </w:pPr>
      <w:r>
        <w:t>Annex B: Vessel Classification and Treatment Matrix</w:t>
      </w:r>
      <w:r>
        <w:tab/>
      </w:r>
      <w:r>
        <w:t>0</w:t>
      </w:r>
    </w:p>
    <w:p>
      <w:pPr>
        <w:pStyle w:val="TOC1"/>
      </w:pPr>
      <w:r>
        <w:t>Annex C: Transit Services Fund Charter</w:t>
      </w:r>
      <w:r>
        <w:tab/>
      </w:r>
      <w:r>
        <w:t>0</w:t>
      </w:r>
    </w:p>
    <w:p>
      <w:pPr>
        <w:pStyle w:val="TOC1"/>
      </w:pPr>
      <w:r>
        <w:t>Annex D: Point Schedule for Verified Deviations</w:t>
      </w:r>
      <w:r>
        <w:tab/>
      </w:r>
      <w:r>
        <w:t>0</w:t>
      </w:r>
    </w:p>
    <w:p>
      <w:pPr>
        <w:pStyle w:val="TOC1"/>
      </w:pPr>
      <w:r>
        <w:t>Annex E: Graduated Response and Restoration Operating Rules</w:t>
      </w:r>
      <w:r>
        <w:tab/>
      </w:r>
      <w:r>
        <w:t>0</w:t>
      </w:r>
    </w:p>
    <w:p>
      <w:pPr>
        <w:pStyle w:val="TOC1"/>
      </w:pPr>
      <w:r>
        <w:t>Annex F: Communications, VHF Plan, Hotline, and De-confliction Protocols</w:t>
      </w:r>
      <w:r>
        <w:tab/>
      </w:r>
      <w:r>
        <w:t>0</w:t>
      </w:r>
    </w:p>
    <w:p>
      <w:pPr>
        <w:pStyle w:val="TOC1"/>
      </w:pPr>
      <w:r>
        <w:t>Annex G: Verification Methods Manual</w:t>
      </w:r>
      <w:r>
        <w:tab/>
      </w:r>
      <w:r>
        <w:t>0</w:t>
      </w:r>
    </w:p>
    <w:p>
      <w:pPr>
        <w:pStyle w:val="TOC1"/>
      </w:pPr>
      <w:r>
        <w:t>Annex H: Notification Formats and Model Forms</w:t>
      </w:r>
      <w:r>
        <w:tab/>
      </w:r>
      <w:r>
        <w:t>0</w:t>
      </w:r>
    </w:p>
    <w:p>
      <w:pPr>
        <w:pStyle w:val="TOC1"/>
      </w:pPr>
      <w:r>
        <w:t>Annex I: The Red Lines Register (Full Operative Text)</w:t>
      </w:r>
      <w:r>
        <w:tab/>
      </w:r>
      <w:r>
        <w:t>0</w:t>
      </w:r>
    </w:p>
    <w:p>
      <w:pPr>
        <w:pStyle w:val="TOC1"/>
      </w:pPr>
      <w:r>
        <w:t>Annex J: Environmental Standards and Pollution Response Plan</w:t>
      </w:r>
      <w:r>
        <w:tab/>
      </w:r>
      <w:r>
        <w:t>0</w:t>
      </w:r>
    </w:p>
    <w:p>
      <w:pPr>
        <w:pStyle w:val="TOC1"/>
      </w:pPr>
      <w:r>
        <w:t>Annex K: Search and Rescue Operations Plan</w:t>
      </w:r>
      <w:r>
        <w:tab/>
      </w:r>
      <w:r>
        <w:t>0</w:t>
      </w:r>
    </w:p>
    <w:p>
      <w:pPr>
        <w:pStyle w:val="TOC1"/>
      </w:pPr>
      <w:r>
        <w:t>Annex L: Implementation Timeline and Activation Checklists</w:t>
      </w:r>
      <w:r>
        <w:tab/>
      </w:r>
      <w:r>
        <w:t>0</w:t>
      </w:r>
    </w:p>
    <w:p>
      <w:pPr>
        <w:pStyle w:val="TOC1"/>
      </w:pPr>
      <w:r>
        <w:t>Annex M: Accession, Adherence, and Participation Instruments</w:t>
      </w:r>
      <w:r>
        <w:tab/>
      </w:r>
      <w:r>
        <w:t>0</w:t>
      </w:r>
    </w:p>
    <w:p>
      <w:pPr>
        <w:pStyle w:val="TOC1"/>
      </w:pPr>
      <w:r>
        <w:t>Annex N: Glossary and Neutral Terminology Register</w:t>
      </w:r>
      <w:r>
        <w:tab/>
      </w:r>
      <w:r>
        <w:t>0</w:t>
      </w:r>
    </w:p>
    <w:p>
      <w:pPr>
        <w:pStyle w:val="TOC1"/>
      </w:pPr>
      <w:r>
        <w:t>Annex O: Source Frameworks and Provenance Map</w:t>
      </w:r>
      <w:r>
        <w:tab/>
      </w:r>
      <w:r>
        <w:t>0</w:t>
      </w:r>
    </w:p>
    <w:p>
      <w:pPr>
        <w:pStyle w:val="TOC1"/>
      </w:pPr>
      <w:r>
        <w:t>Annex P: Risk Register</w:t>
      </w:r>
      <w:r>
        <w:tab/>
      </w:r>
      <w:r>
        <w:t>0</w:t>
      </w:r>
    </w:p>
    <w:p>
      <w:pPr>
        <w:pStyle w:val="TOC1"/>
      </w:pPr>
      <w:r>
        <w:t>Annex Q: Assumptions Register and Stress-Test Scenarios</w:t>
      </w:r>
      <w:r>
        <w:tab/>
      </w:r>
      <w:r>
        <w:t>0</w:t>
      </w:r>
    </w:p>
    <w:p>
      <w:pPr>
        <w:pStyle w:val="TOC1"/>
      </w:pPr>
      <w:r>
        <w:t>Annex R: Performance Metrics and Publication Schedules</w:t>
      </w:r>
      <w:r>
        <w:tab/>
      </w:r>
      <w:r>
        <w:t>0</w:t>
      </w:r>
    </w:p>
    <w:p>
      <w:pPr>
        <w:pStyle w:val="TOC1"/>
      </w:pPr>
      <w:r>
        <w:t>Annex S: Implementation Maturity Levels and Worked Examples</w:t>
      </w:r>
      <w:r>
        <w:tab/>
      </w:r>
      <w:r>
        <w:t>0</w:t>
      </w:r>
    </w:p>
    <w:p>
      <w:pPr>
        <w:pStyle w:val="TOC1"/>
      </w:pPr>
      <w:r>
        <w:t>Annex T: Architectural Principles: The Engineering Manual</w:t>
      </w:r>
      <w:r>
        <w:tab/>
      </w:r>
      <w:r>
        <w:t>0</w:t>
      </w:r>
    </w:p>
    <w:p>
      <w:r>
        <w:fldChar w:fldCharType="end"/>
      </w:r>
    </w:p>
    <w:p>
      <w:pPr>
        <w:sectPr>
          <w:headerReference w:type="default" r:id="Rf5a73ce0630d4448"/>
          <w:footerReference w:type="default" r:id="R41be1f0df9144e54"/>
          <w:type w:val="nextPage"/>
          <w:pgSz w:w="11906" w:h="16838"/>
          <w:pgMar w:top="1440" w:right="1440" w:bottom="1440" w:left="1440" w:header="720" w:footer="720"/>
          <w:pgNumType w:start="1"/>
        </w:sectPr>
      </w:pPr>
    </w:p>
    <w:p>
      <w:pPr>
        <w:pStyle w:val="Heading1"/>
      </w:pPr>
      <w:r>
        <w:t xml:space="preserve">Document Control</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3000"/>
        <w:gridCol w:w="6010"/>
      </w:tblGrid>
      <w:tr>
        <w:trPr>
          <w:tblHeader/>
        </w:trPr>
        <w:tc>
          <w:tcPr>
            <w:tcW w:w="3000" w:type="dxa"/>
            <w:tcBorders>
              <w:bottom w:val="single" w:color="546E7A" w:sz="6"/>
            </w:tcBorders>
            <w:shd w:val="clear" w:fill="E4E9EC"/>
          </w:tcPr>
          <w:p>
            <w:pPr>
              <w:spacing w:after="0" w:line="260" w:lineRule="auto"/>
              <w:jc w:val="left"/>
            </w:pPr>
            <w:r>
              <w:rPr>
                <w:rFonts w:ascii="Calibri" w:hAnsi="Calibri"/>
                <w:b/>
                <w:color w:val="37474F"/>
                <w:sz w:val="19"/>
              </w:rPr>
              <w:t xml:space="preserve">Field</w:t>
            </w:r>
          </w:p>
        </w:tc>
        <w:tc>
          <w:tcPr>
            <w:tcW w:w="6010" w:type="dxa"/>
            <w:tcBorders>
              <w:bottom w:val="single" w:color="546E7A" w:sz="6"/>
            </w:tcBorders>
            <w:shd w:val="clear" w:fill="E4E9EC"/>
          </w:tcPr>
          <w:p>
            <w:pPr>
              <w:spacing w:after="0" w:line="260" w:lineRule="auto"/>
              <w:jc w:val="left"/>
            </w:pPr>
            <w:r>
              <w:rPr>
                <w:rFonts w:ascii="Calibri" w:hAnsi="Calibri"/>
                <w:b/>
                <w:color w:val="37474F"/>
                <w:sz w:val="19"/>
              </w:rPr>
              <w:t xml:space="preserve">Entry</w:t>
            </w:r>
          </w:p>
        </w:tc>
      </w:tr>
      <w:tr>
        <w:tc>
          <w:tcPr>
            <w:tcW w:w="3000" w:type="dxa"/>
          </w:tcPr>
          <w:p>
            <w:pPr>
              <w:spacing w:after="0" w:line="260" w:lineRule="auto"/>
              <w:jc w:val="left"/>
            </w:pPr>
            <w:r>
              <w:rPr>
                <w:rFonts w:ascii="Calibri" w:hAnsi="Calibri"/>
                <w:color w:val="212121"/>
                <w:sz w:val="19"/>
              </w:rPr>
              <w:t xml:space="preserve">Instrument</w:t>
            </w:r>
          </w:p>
        </w:tc>
        <w:tc>
          <w:tcPr>
            <w:tcW w:w="6010" w:type="dxa"/>
          </w:tcPr>
          <w:p>
            <w:pPr>
              <w:spacing w:after="0" w:line="260" w:lineRule="auto"/>
              <w:jc w:val="left"/>
            </w:pPr>
            <w:r>
              <w:rPr>
                <w:rFonts w:ascii="Calibri" w:hAnsi="Calibri"/>
                <w:color w:val="212121"/>
                <w:sz w:val="19"/>
              </w:rPr>
              <w:t xml:space="preserve">The Stillwater Accord: A Multilateral Framework for the Governance, Safety, and Transit of the Strait of Hormuz, Version 1.2</w:t>
            </w:r>
          </w:p>
        </w:tc>
      </w:tr>
      <w:tr>
        <w:tc>
          <w:tcPr>
            <w:tcW w:w="3000" w:type="dxa"/>
          </w:tcPr>
          <w:p>
            <w:pPr>
              <w:spacing w:after="0" w:line="260" w:lineRule="auto"/>
              <w:jc w:val="left"/>
            </w:pPr>
            <w:r>
              <w:rPr>
                <w:rFonts w:ascii="Calibri" w:hAnsi="Calibri"/>
                <w:color w:val="212121"/>
                <w:sz w:val="19"/>
              </w:rPr>
              <w:t xml:space="preserve">Short title</w:t>
            </w:r>
          </w:p>
        </w:tc>
        <w:tc>
          <w:tcPr>
            <w:tcW w:w="6010" w:type="dxa"/>
          </w:tcPr>
          <w:p>
            <w:pPr>
              <w:spacing w:after="0" w:line="260" w:lineRule="auto"/>
              <w:jc w:val="left"/>
            </w:pPr>
            <w:r>
              <w:rPr>
                <w:rFonts w:ascii="Calibri" w:hAnsi="Calibri"/>
                <w:color w:val="212121"/>
                <w:sz w:val="19"/>
              </w:rPr>
              <w:t xml:space="preserve">The Stillwater Accord (the Accord)</w:t>
            </w:r>
          </w:p>
        </w:tc>
      </w:tr>
      <w:tr>
        <w:tc>
          <w:tcPr>
            <w:tcW w:w="3000" w:type="dxa"/>
          </w:tcPr>
          <w:p>
            <w:pPr>
              <w:spacing w:after="0" w:line="260" w:lineRule="auto"/>
              <w:jc w:val="left"/>
            </w:pPr>
            <w:r>
              <w:rPr>
                <w:rFonts w:ascii="Calibri" w:hAnsi="Calibri"/>
                <w:color w:val="212121"/>
                <w:sz w:val="19"/>
              </w:rPr>
              <w:t xml:space="preserve">Status</w:t>
            </w:r>
          </w:p>
        </w:tc>
        <w:tc>
          <w:tcPr>
            <w:tcW w:w="6010" w:type="dxa"/>
          </w:tcPr>
          <w:p>
            <w:pPr>
              <w:spacing w:after="0" w:line="260" w:lineRule="auto"/>
              <w:jc w:val="left"/>
            </w:pPr>
            <w:r>
              <w:rPr>
                <w:rFonts w:ascii="Calibri" w:hAnsi="Calibri"/>
                <w:color w:val="212121"/>
                <w:sz w:val="19"/>
              </w:rPr>
              <w:t xml:space="preserve">Negotiating draft for authorized participants; text adheres to the Immutable Present-Tense Matrix</w:t>
            </w:r>
          </w:p>
        </w:tc>
      </w:tr>
      <w:tr>
        <w:tc>
          <w:tcPr>
            <w:tcW w:w="3000" w:type="dxa"/>
          </w:tcPr>
          <w:p>
            <w:pPr>
              <w:spacing w:after="0" w:line="260" w:lineRule="auto"/>
              <w:jc w:val="left"/>
            </w:pPr>
            <w:r>
              <w:rPr>
                <w:rFonts w:ascii="Calibri" w:hAnsi="Calibri"/>
                <w:color w:val="212121"/>
                <w:sz w:val="19"/>
              </w:rPr>
              <w:t xml:space="preserve">Date</w:t>
            </w:r>
          </w:p>
        </w:tc>
        <w:tc>
          <w:tcPr>
            <w:tcW w:w="6010" w:type="dxa"/>
          </w:tcPr>
          <w:p>
            <w:pPr>
              <w:spacing w:after="0" w:line="260" w:lineRule="auto"/>
              <w:jc w:val="left"/>
            </w:pPr>
            <w:r>
              <w:rPr>
                <w:rFonts w:ascii="Calibri" w:hAnsi="Calibri"/>
                <w:color w:val="212121"/>
                <w:sz w:val="19"/>
              </w:rPr>
              <w:t xml:space="preserve">July 2026</w:t>
            </w:r>
          </w:p>
        </w:tc>
      </w:tr>
      <w:tr>
        <w:tc>
          <w:tcPr>
            <w:tcW w:w="3000" w:type="dxa"/>
          </w:tcPr>
          <w:p>
            <w:pPr>
              <w:spacing w:after="0" w:line="260" w:lineRule="auto"/>
              <w:jc w:val="left"/>
            </w:pPr>
            <w:r>
              <w:rPr>
                <w:rFonts w:ascii="Calibri" w:hAnsi="Calibri"/>
                <w:color w:val="212121"/>
                <w:sz w:val="19"/>
              </w:rPr>
              <w:t xml:space="preserve">Anchor instrument</w:t>
            </w:r>
          </w:p>
        </w:tc>
        <w:tc>
          <w:tcPr>
            <w:tcW w:w="6010" w:type="dxa"/>
          </w:tcPr>
          <w:p>
            <w:pPr>
              <w:spacing w:after="0" w:line="260" w:lineRule="auto"/>
              <w:jc w:val="left"/>
            </w:pPr>
            <w:r>
              <w:rPr>
                <w:rFonts w:ascii="Calibri" w:hAnsi="Calibri"/>
                <w:color w:val="212121"/>
                <w:sz w:val="19"/>
              </w:rPr>
              <w:t xml:space="preserve">The Islamabad Memorandum of Understanding between the United States of America and the Islamic Republic of Iran, 17 June 2026 (the MOU)</w:t>
            </w:r>
          </w:p>
        </w:tc>
      </w:tr>
      <w:tr>
        <w:tc>
          <w:tcPr>
            <w:tcW w:w="3000" w:type="dxa"/>
          </w:tcPr>
          <w:p>
            <w:pPr>
              <w:spacing w:after="0" w:line="260" w:lineRule="auto"/>
              <w:jc w:val="left"/>
            </w:pPr>
            <w:r>
              <w:rPr>
                <w:rFonts w:ascii="Calibri" w:hAnsi="Calibri"/>
                <w:color w:val="212121"/>
                <w:sz w:val="19"/>
              </w:rPr>
              <w:t xml:space="preserve">Founding Members (the Tripod)</w:t>
            </w:r>
          </w:p>
        </w:tc>
        <w:tc>
          <w:tcPr>
            <w:tcW w:w="6010" w:type="dxa"/>
          </w:tcPr>
          <w:p>
            <w:pPr>
              <w:spacing w:after="0" w:line="260" w:lineRule="auto"/>
              <w:jc w:val="left"/>
            </w:pPr>
            <w:r>
              <w:rPr>
                <w:rFonts w:ascii="Calibri" w:hAnsi="Calibri"/>
                <w:color w:val="212121"/>
                <w:sz w:val="19"/>
              </w:rPr>
              <w:t xml:space="preserve">The Islamic Republic of Iran, the Sultanate of Oman, and the United Arab Emirates; entry into force upon ratification by all three (Article 41.1)</w:t>
            </w:r>
          </w:p>
        </w:tc>
      </w:tr>
      <w:tr>
        <w:tc>
          <w:tcPr>
            <w:tcW w:w="3000" w:type="dxa"/>
          </w:tcPr>
          <w:p>
            <w:pPr>
              <w:spacing w:after="0" w:line="260" w:lineRule="auto"/>
              <w:jc w:val="left"/>
            </w:pPr>
            <w:r>
              <w:rPr>
                <w:rFonts w:ascii="Calibri" w:hAnsi="Calibri"/>
                <w:color w:val="212121"/>
                <w:sz w:val="19"/>
              </w:rPr>
              <w:t xml:space="preserve">Mediator of Record</w:t>
            </w:r>
          </w:p>
        </w:tc>
        <w:tc>
          <w:tcPr>
            <w:tcW w:w="6010" w:type="dxa"/>
          </w:tcPr>
          <w:p>
            <w:pPr>
              <w:spacing w:after="0" w:line="260" w:lineRule="auto"/>
              <w:jc w:val="left"/>
            </w:pPr>
            <w:r>
              <w:rPr>
                <w:rFonts w:ascii="Calibri" w:hAnsi="Calibri"/>
                <w:color w:val="212121"/>
                <w:sz w:val="19"/>
              </w:rPr>
              <w:t xml:space="preserve">The Sultanate of Oman</w:t>
            </w:r>
          </w:p>
        </w:tc>
      </w:tr>
      <w:tr>
        <w:tc>
          <w:tcPr>
            <w:tcW w:w="3000" w:type="dxa"/>
          </w:tcPr>
          <w:p>
            <w:pPr>
              <w:spacing w:after="0" w:line="260" w:lineRule="auto"/>
              <w:jc w:val="left"/>
            </w:pPr>
            <w:r>
              <w:rPr>
                <w:rFonts w:ascii="Calibri" w:hAnsi="Calibri"/>
                <w:color w:val="212121"/>
                <w:sz w:val="19"/>
              </w:rPr>
              <w:t xml:space="preserve">Neutral Administrator</w:t>
            </w:r>
          </w:p>
        </w:tc>
        <w:tc>
          <w:tcPr>
            <w:tcW w:w="6010" w:type="dxa"/>
          </w:tcPr>
          <w:p>
            <w:pPr>
              <w:spacing w:after="0" w:line="260" w:lineRule="auto"/>
              <w:jc w:val="left"/>
            </w:pPr>
            <w:r>
              <w:rPr>
                <w:rFonts w:ascii="Calibri" w:hAnsi="Calibri"/>
                <w:color w:val="212121"/>
                <w:sz w:val="19"/>
              </w:rPr>
              <w:t xml:space="preserve">The Swiss Confederation</w:t>
            </w:r>
          </w:p>
        </w:tc>
      </w:tr>
      <w:tr>
        <w:tc>
          <w:tcPr>
            <w:tcW w:w="3000" w:type="dxa"/>
          </w:tcPr>
          <w:p>
            <w:pPr>
              <w:spacing w:after="0" w:line="260" w:lineRule="auto"/>
              <w:jc w:val="left"/>
            </w:pPr>
            <w:r>
              <w:rPr>
                <w:rFonts w:ascii="Calibri" w:hAnsi="Calibri"/>
                <w:color w:val="212121"/>
                <w:sz w:val="19"/>
              </w:rPr>
              <w:t xml:space="preserve">Supporting facilitators</w:t>
            </w:r>
          </w:p>
        </w:tc>
        <w:tc>
          <w:tcPr>
            <w:tcW w:w="6010" w:type="dxa"/>
          </w:tcPr>
          <w:p>
            <w:pPr>
              <w:spacing w:after="0" w:line="260" w:lineRule="auto"/>
              <w:jc w:val="left"/>
            </w:pPr>
            <w:r>
              <w:rPr>
                <w:rFonts w:ascii="Calibri" w:hAnsi="Calibri"/>
                <w:color w:val="212121"/>
                <w:sz w:val="19"/>
              </w:rPr>
              <w:t xml:space="preserve">The State of Qatar and the Islamic Republic of Pakistan</w:t>
            </w:r>
          </w:p>
        </w:tc>
      </w:tr>
      <w:tr>
        <w:tc>
          <w:tcPr>
            <w:tcW w:w="3000" w:type="dxa"/>
          </w:tcPr>
          <w:p>
            <w:pPr>
              <w:spacing w:after="0" w:line="260" w:lineRule="auto"/>
              <w:jc w:val="left"/>
            </w:pPr>
            <w:r>
              <w:rPr>
                <w:rFonts w:ascii="Calibri" w:hAnsi="Calibri"/>
                <w:color w:val="212121"/>
                <w:sz w:val="19"/>
              </w:rPr>
              <w:t xml:space="preserve">Technical interface</w:t>
            </w:r>
          </w:p>
        </w:tc>
        <w:tc>
          <w:tcPr>
            <w:tcW w:w="6010" w:type="dxa"/>
          </w:tcPr>
          <w:p>
            <w:pPr>
              <w:spacing w:after="0" w:line="260" w:lineRule="auto"/>
              <w:jc w:val="left"/>
            </w:pPr>
            <w:r>
              <w:rPr>
                <w:rFonts w:ascii="Calibri" w:hAnsi="Calibri"/>
                <w:color w:val="212121"/>
                <w:sz w:val="19"/>
              </w:rPr>
              <w:t xml:space="preserve">The International Maritime Organization (IMO); the International Hydrographic Organization (IHO); the International Atomic Energy Agency (IAEA) for the safeguards interface of Article 41</w:t>
            </w:r>
          </w:p>
        </w:tc>
      </w:tr>
      <w:tr>
        <w:tc>
          <w:tcPr>
            <w:tcW w:w="3000" w:type="dxa"/>
          </w:tcPr>
          <w:p>
            <w:pPr>
              <w:spacing w:after="0" w:line="260" w:lineRule="auto"/>
              <w:jc w:val="left"/>
            </w:pPr>
            <w:r>
              <w:rPr>
                <w:rFonts w:ascii="Calibri" w:hAnsi="Calibri"/>
                <w:color w:val="212121"/>
                <w:sz w:val="19"/>
              </w:rPr>
              <w:t xml:space="preserve">Seat</w:t>
            </w:r>
          </w:p>
        </w:tc>
        <w:tc>
          <w:tcPr>
            <w:tcW w:w="6010" w:type="dxa"/>
          </w:tcPr>
          <w:p>
            <w:pPr>
              <w:spacing w:after="0" w:line="260" w:lineRule="auto"/>
              <w:jc w:val="left"/>
            </w:pPr>
            <w:r>
              <w:rPr>
                <w:rFonts w:ascii="Calibri" w:hAnsi="Calibri"/>
                <w:color w:val="212121"/>
                <w:sz w:val="19"/>
              </w:rPr>
              <w:t xml:space="preserve">The Meridian Operations Center, Muscat, with a mirror facility of equal rank in Bandar Abbas</w:t>
            </w:r>
          </w:p>
        </w:tc>
      </w:tr>
      <w:tr>
        <w:tc>
          <w:tcPr>
            <w:tcW w:w="3000" w:type="dxa"/>
          </w:tcPr>
          <w:p>
            <w:pPr>
              <w:spacing w:after="0" w:line="260" w:lineRule="auto"/>
              <w:jc w:val="left"/>
            </w:pPr>
            <w:r>
              <w:rPr>
                <w:rFonts w:ascii="Calibri" w:hAnsi="Calibri"/>
                <w:color w:val="212121"/>
                <w:sz w:val="19"/>
              </w:rPr>
              <w:t xml:space="preserve">Depositary</w:t>
            </w:r>
          </w:p>
        </w:tc>
        <w:tc>
          <w:tcPr>
            <w:tcW w:w="6010" w:type="dxa"/>
          </w:tcPr>
          <w:p>
            <w:pPr>
              <w:spacing w:after="0" w:line="260" w:lineRule="auto"/>
              <w:jc w:val="left"/>
            </w:pPr>
            <w:r>
              <w:rPr>
                <w:rFonts w:ascii="Calibri" w:hAnsi="Calibri"/>
                <w:color w:val="212121"/>
                <w:sz w:val="19"/>
              </w:rPr>
              <w:t xml:space="preserve">The Sultanate of Oman, Ministry of Foreign Affairs, Muscat</w:t>
            </w:r>
          </w:p>
        </w:tc>
      </w:tr>
      <w:tr>
        <w:tc>
          <w:tcPr>
            <w:tcW w:w="3000" w:type="dxa"/>
          </w:tcPr>
          <w:p>
            <w:pPr>
              <w:spacing w:after="0" w:line="260" w:lineRule="auto"/>
              <w:jc w:val="left"/>
            </w:pPr>
            <w:r>
              <w:rPr>
                <w:rFonts w:ascii="Calibri" w:hAnsi="Calibri"/>
                <w:color w:val="212121"/>
                <w:sz w:val="19"/>
              </w:rPr>
              <w:t xml:space="preserve">Languages</w:t>
            </w:r>
          </w:p>
        </w:tc>
        <w:tc>
          <w:tcPr>
            <w:tcW w:w="6010" w:type="dxa"/>
          </w:tcPr>
          <w:p>
            <w:pPr>
              <w:spacing w:after="0" w:line="260" w:lineRule="auto"/>
              <w:jc w:val="left"/>
            </w:pPr>
            <w:r>
              <w:rPr>
                <w:rFonts w:ascii="Calibri" w:hAnsi="Calibri"/>
                <w:color w:val="212121"/>
                <w:sz w:val="19"/>
              </w:rPr>
              <w:t xml:space="preserve">Persian, Arabic, and English; the three texts carry equal authority</w:t>
            </w:r>
          </w:p>
        </w:tc>
      </w:tr>
      <w:tr>
        <w:tc>
          <w:tcPr>
            <w:tcW w:w="3000" w:type="dxa"/>
          </w:tcPr>
          <w:p>
            <w:pPr>
              <w:spacing w:after="0" w:line="260" w:lineRule="auto"/>
              <w:jc w:val="left"/>
            </w:pPr>
            <w:r>
              <w:rPr>
                <w:rFonts w:ascii="Calibri" w:hAnsi="Calibri"/>
                <w:color w:val="212121"/>
                <w:sz w:val="19"/>
              </w:rPr>
              <w:t xml:space="preserve">Continuity rule</w:t>
            </w:r>
          </w:p>
        </w:tc>
        <w:tc>
          <w:tcPr>
            <w:tcW w:w="6010" w:type="dxa"/>
          </w:tcPr>
          <w:p>
            <w:pPr>
              <w:spacing w:after="0" w:line="260" w:lineRule="auto"/>
              <w:jc w:val="left"/>
            </w:pPr>
            <w:r>
              <w:rPr>
                <w:rFonts w:ascii="Calibri" w:hAnsi="Calibri"/>
                <w:color w:val="212121"/>
                <w:sz w:val="19"/>
              </w:rPr>
              <w:t xml:space="preserve">The Nofade Guarantee (Article 4): no provision expires, lapses, or dissolves by the passage of time alone</w:t>
            </w:r>
          </w:p>
        </w:tc>
      </w:tr>
    </w:tbl>
    <w:p>
      <w:pPr>
        <w:spacing w:after="60"/>
      </w:pPr>
    </w:p>
    <w:tbl>
      <w:tblPr>
        <w:tblW w:w="5000" w:type="pct"/>
        <w:tblBorders>
          <w:top w:val="single" w:color="B0BEC5" w:sz="2"/>
          <w:left w:val="single" w:color="37474F" w:sz="18"/>
          <w:bottom w:val="single" w:color="B0BEC5" w:sz="2"/>
          <w:right w:val="single" w:color="B0BEC5" w:sz="2"/>
        </w:tblBorders>
        <w:tblCellMar>
          <w:top w:w="140" w:type="dxa"/>
          <w:left w:w="200" w:type="dxa"/>
          <w:bottom w:w="140" w:type="dxa"/>
          <w:right w:w="160" w:type="dxa"/>
        </w:tblCellMar>
      </w:tblPr>
      <w:tblGrid>
        <w:gridCol w:w="9010"/>
      </w:tblGrid>
      <w:tr>
        <w:tc>
          <w:tcPr>
            <w:tcW w:w="9010" w:type="dxa"/>
            <w:shd w:val="clear" w:fill="ECEFF1"/>
          </w:tcPr>
          <w:p>
            <w:pPr>
              <w:spacing w:after="0" w:line="300" w:lineRule="auto"/>
            </w:pPr>
            <w:r>
              <w:rPr>
                <w:i/>
              </w:rPr>
              <w:t xml:space="preserve">Drafting discipline note. Every provision of this Accord adheres to the Immutable Present-Tense Matrix: sovereign active present-tense drafting; mutual-architecture framing in which every constraint attaches to the shared design and never to one Party's restraint for another's benefit; automatic logic triggers stated as immediate operational realities; no command vocabulary, no discretionary softeners, no passive placeholders, and no floating background imagery. The Nofade Guarantee of Article 4 stands first among equals: nothing in this instrument fades, lapses, or dissolves by the passage of time alone. Verified performance banks permanently. Renewal occurs by silence; change occurs by joint written instrument; exit is a deliberate, notified, time-buffered sovereign act, never a drift.</w:t>
            </w:r>
          </w:p>
        </w:tc>
      </w:tr>
    </w:tbl>
    <w:p>
      <w:pPr/>
      <w:r>
        <w:t xml:space="preserve">This instrument contains a main body of forty-one Articles organized in seven Parts, followed by twenty operative Annexes (Annex A through Annex T). The Annexes form an integral part of this instrument and bind the Parties to the same extent as the Articles. A reference to an Article includes the Annexes that the Article designates as operative for that Article.</w:t>
      </w:r>
    </w:p>
    <w:p>
      <w:pPr>
        <w:pStyle w:val="Heading1"/>
      </w:pPr>
      <w:r>
        <w:t xml:space="preserve">The Stillwater Declaration of Principles</w:t>
      </w:r>
    </w:p>
    <w:p>
      <w:pPr/>
      <w:r>
        <w:t xml:space="preserve">Before the articles, the Parties state what this Accord protects, in one place and in plain terms. The fourteen lines below constitute the Red Lines Register of Annex I in summary form. Every organ, every officer, and every reader of this Accord holds this page as the measure of the system: a measure that touches one of these lines proceeds only in the exact form the corresponding safeguard permits, and a measure that crosses one of these lines fails.</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3000"/>
        <w:gridCol w:w="6010"/>
      </w:tblGrid>
      <w:tr>
        <w:trPr>
          <w:tblHeader/>
        </w:trPr>
        <w:tc>
          <w:tcPr>
            <w:tcW w:w="3000" w:type="dxa"/>
            <w:tcBorders>
              <w:bottom w:val="single" w:color="546E7A" w:sz="6"/>
            </w:tcBorders>
            <w:shd w:val="clear" w:fill="E4E9EC"/>
          </w:tcPr>
          <w:p>
            <w:pPr>
              <w:spacing w:after="0" w:line="260" w:lineRule="auto"/>
              <w:jc w:val="left"/>
            </w:pPr>
            <w:r>
              <w:rPr>
                <w:rFonts w:ascii="Calibri" w:hAnsi="Calibri"/>
                <w:b/>
                <w:color w:val="37474F"/>
                <w:sz w:val="19"/>
              </w:rPr>
              <w:t xml:space="preserve">Ref</w:t>
            </w:r>
          </w:p>
        </w:tc>
        <w:tc>
          <w:tcPr>
            <w:tcW w:w="6010" w:type="dxa"/>
            <w:tcBorders>
              <w:bottom w:val="single" w:color="546E7A" w:sz="6"/>
            </w:tcBorders>
            <w:shd w:val="clear" w:fill="E4E9EC"/>
          </w:tcPr>
          <w:p>
            <w:pPr>
              <w:spacing w:after="0" w:line="260" w:lineRule="auto"/>
              <w:jc w:val="left"/>
            </w:pPr>
            <w:r>
              <w:rPr>
                <w:rFonts w:ascii="Calibri" w:hAnsi="Calibri"/>
                <w:b/>
                <w:color w:val="37474F"/>
                <w:sz w:val="19"/>
              </w:rPr>
              <w:t xml:space="preserve">Principle</w:t>
            </w:r>
          </w:p>
        </w:tc>
      </w:tr>
      <w:tr>
        <w:tc>
          <w:tcPr>
            <w:tcW w:w="3000" w:type="dxa"/>
          </w:tcPr>
          <w:p>
            <w:pPr>
              <w:spacing w:after="0" w:line="260" w:lineRule="auto"/>
              <w:jc w:val="left"/>
            </w:pPr>
            <w:r>
              <w:rPr>
                <w:rFonts w:ascii="Calibri" w:hAnsi="Calibri"/>
                <w:color w:val="212121"/>
                <w:sz w:val="19"/>
              </w:rPr>
              <w:t xml:space="preserve">RL-1</w:t>
            </w:r>
          </w:p>
        </w:tc>
        <w:tc>
          <w:tcPr>
            <w:tcW w:w="6010" w:type="dxa"/>
          </w:tcPr>
          <w:p>
            <w:pPr>
              <w:spacing w:after="0" w:line="260" w:lineRule="auto"/>
              <w:jc w:val="left"/>
            </w:pPr>
            <w:r>
              <w:rPr>
                <w:rFonts w:ascii="Calibri" w:hAnsi="Calibri"/>
                <w:color w:val="212121"/>
                <w:sz w:val="19"/>
              </w:rPr>
              <w:t xml:space="preserve">Transit carries no charge, in either corridor, for any vessel, ever.</w:t>
            </w:r>
          </w:p>
        </w:tc>
      </w:tr>
      <w:tr>
        <w:tc>
          <w:tcPr>
            <w:tcW w:w="3000" w:type="dxa"/>
          </w:tcPr>
          <w:p>
            <w:pPr>
              <w:spacing w:after="0" w:line="260" w:lineRule="auto"/>
              <w:jc w:val="left"/>
            </w:pPr>
            <w:r>
              <w:rPr>
                <w:rFonts w:ascii="Calibri" w:hAnsi="Calibri"/>
                <w:color w:val="212121"/>
                <w:sz w:val="19"/>
              </w:rPr>
              <w:t xml:space="preserve">RL-2</w:t>
            </w:r>
          </w:p>
        </w:tc>
        <w:tc>
          <w:tcPr>
            <w:tcW w:w="6010" w:type="dxa"/>
          </w:tcPr>
          <w:p>
            <w:pPr>
              <w:spacing w:after="0" w:line="260" w:lineRule="auto"/>
              <w:jc w:val="left"/>
            </w:pPr>
            <w:r>
              <w:rPr>
                <w:rFonts w:ascii="Calibri" w:hAnsi="Calibri"/>
                <w:color w:val="212121"/>
                <w:sz w:val="19"/>
              </w:rPr>
              <w:t xml:space="preserve">The Southern Assurance Corridor transits unconditionally, without any notification layer.</w:t>
            </w:r>
          </w:p>
        </w:tc>
      </w:tr>
      <w:tr>
        <w:tc>
          <w:tcPr>
            <w:tcW w:w="3000" w:type="dxa"/>
          </w:tcPr>
          <w:p>
            <w:pPr>
              <w:spacing w:after="0" w:line="260" w:lineRule="auto"/>
              <w:jc w:val="left"/>
            </w:pPr>
            <w:r>
              <w:rPr>
                <w:rFonts w:ascii="Calibri" w:hAnsi="Calibri"/>
                <w:color w:val="212121"/>
                <w:sz w:val="19"/>
              </w:rPr>
              <w:t xml:space="preserve">RL-3</w:t>
            </w:r>
          </w:p>
        </w:tc>
        <w:tc>
          <w:tcPr>
            <w:tcW w:w="6010" w:type="dxa"/>
          </w:tcPr>
          <w:p>
            <w:pPr>
              <w:spacing w:after="0" w:line="260" w:lineRule="auto"/>
              <w:jc w:val="left"/>
            </w:pPr>
            <w:r>
              <w:rPr>
                <w:rFonts w:ascii="Calibri" w:hAnsi="Calibri"/>
                <w:color w:val="212121"/>
                <w:sz w:val="19"/>
              </w:rPr>
              <w:t xml:space="preserve">The northern littoral holds a recognized, formal, continuous management role.</w:t>
            </w:r>
          </w:p>
        </w:tc>
      </w:tr>
      <w:tr>
        <w:tc>
          <w:tcPr>
            <w:tcW w:w="3000" w:type="dxa"/>
          </w:tcPr>
          <w:p>
            <w:pPr>
              <w:spacing w:after="0" w:line="260" w:lineRule="auto"/>
              <w:jc w:val="left"/>
            </w:pPr>
            <w:r>
              <w:rPr>
                <w:rFonts w:ascii="Calibri" w:hAnsi="Calibri"/>
                <w:color w:val="212121"/>
                <w:sz w:val="19"/>
              </w:rPr>
              <w:t xml:space="preserve">RL-4</w:t>
            </w:r>
          </w:p>
        </w:tc>
        <w:tc>
          <w:tcPr>
            <w:tcW w:w="6010" w:type="dxa"/>
          </w:tcPr>
          <w:p>
            <w:pPr>
              <w:spacing w:after="0" w:line="260" w:lineRule="auto"/>
              <w:jc w:val="left"/>
            </w:pPr>
            <w:r>
              <w:rPr>
                <w:rFonts w:ascii="Calibri" w:hAnsi="Calibri"/>
                <w:color w:val="212121"/>
                <w:sz w:val="19"/>
              </w:rPr>
              <w:t xml:space="preserve">No permission regime operates anywhere in this Accord.</w:t>
            </w:r>
          </w:p>
        </w:tc>
      </w:tr>
      <w:tr>
        <w:tc>
          <w:tcPr>
            <w:tcW w:w="3000" w:type="dxa"/>
          </w:tcPr>
          <w:p>
            <w:pPr>
              <w:spacing w:after="0" w:line="260" w:lineRule="auto"/>
              <w:jc w:val="left"/>
            </w:pPr>
            <w:r>
              <w:rPr>
                <w:rFonts w:ascii="Calibri" w:hAnsi="Calibri"/>
                <w:color w:val="212121"/>
                <w:sz w:val="19"/>
              </w:rPr>
              <w:t xml:space="preserve">RL-5</w:t>
            </w:r>
          </w:p>
        </w:tc>
        <w:tc>
          <w:tcPr>
            <w:tcW w:w="6010" w:type="dxa"/>
          </w:tcPr>
          <w:p>
            <w:pPr>
              <w:spacing w:after="0" w:line="260" w:lineRule="auto"/>
              <w:jc w:val="left"/>
            </w:pPr>
            <w:r>
              <w:rPr>
                <w:rFonts w:ascii="Calibri" w:hAnsi="Calibri"/>
                <w:color w:val="212121"/>
                <w:sz w:val="19"/>
              </w:rPr>
              <w:t xml:space="preserve">No boarding, diversion, seizure, or inspection occurs inside a corridor.</w:t>
            </w:r>
          </w:p>
        </w:tc>
      </w:tr>
      <w:tr>
        <w:tc>
          <w:tcPr>
            <w:tcW w:w="3000" w:type="dxa"/>
          </w:tcPr>
          <w:p>
            <w:pPr>
              <w:spacing w:after="0" w:line="260" w:lineRule="auto"/>
              <w:jc w:val="left"/>
            </w:pPr>
            <w:r>
              <w:rPr>
                <w:rFonts w:ascii="Calibri" w:hAnsi="Calibri"/>
                <w:color w:val="212121"/>
                <w:sz w:val="19"/>
              </w:rPr>
              <w:t xml:space="preserve">RL-6</w:t>
            </w:r>
          </w:p>
        </w:tc>
        <w:tc>
          <w:tcPr>
            <w:tcW w:w="6010" w:type="dxa"/>
          </w:tcPr>
          <w:p>
            <w:pPr>
              <w:spacing w:after="0" w:line="260" w:lineRule="auto"/>
              <w:jc w:val="left"/>
            </w:pPr>
            <w:r>
              <w:rPr>
                <w:rFonts w:ascii="Calibri" w:hAnsi="Calibri"/>
                <w:color w:val="212121"/>
                <w:sz w:val="19"/>
              </w:rPr>
              <w:t xml:space="preserve">The Accord's operational bodies remain civilian, always.</w:t>
            </w:r>
          </w:p>
        </w:tc>
      </w:tr>
      <w:tr>
        <w:tc>
          <w:tcPr>
            <w:tcW w:w="3000" w:type="dxa"/>
          </w:tcPr>
          <w:p>
            <w:pPr>
              <w:spacing w:after="0" w:line="260" w:lineRule="auto"/>
              <w:jc w:val="left"/>
            </w:pPr>
            <w:r>
              <w:rPr>
                <w:rFonts w:ascii="Calibri" w:hAnsi="Calibri"/>
                <w:color w:val="212121"/>
                <w:sz w:val="19"/>
              </w:rPr>
              <w:t xml:space="preserve">RL-7</w:t>
            </w:r>
          </w:p>
        </w:tc>
        <w:tc>
          <w:tcPr>
            <w:tcW w:w="6010" w:type="dxa"/>
          </w:tcPr>
          <w:p>
            <w:pPr>
              <w:spacing w:after="0" w:line="260" w:lineRule="auto"/>
              <w:jc w:val="left"/>
            </w:pPr>
            <w:r>
              <w:rPr>
                <w:rFonts w:ascii="Calibri" w:hAnsi="Calibri"/>
                <w:color w:val="212121"/>
                <w:sz w:val="19"/>
              </w:rPr>
              <w:t xml:space="preserve">No shipper or operator pays any Party directly for anything.</w:t>
            </w:r>
          </w:p>
        </w:tc>
      </w:tr>
      <w:tr>
        <w:tc>
          <w:tcPr>
            <w:tcW w:w="3000" w:type="dxa"/>
          </w:tcPr>
          <w:p>
            <w:pPr>
              <w:spacing w:after="0" w:line="260" w:lineRule="auto"/>
              <w:jc w:val="left"/>
            </w:pPr>
            <w:r>
              <w:rPr>
                <w:rFonts w:ascii="Calibri" w:hAnsi="Calibri"/>
                <w:color w:val="212121"/>
                <w:sz w:val="19"/>
              </w:rPr>
              <w:t xml:space="preserve">RL-8</w:t>
            </w:r>
          </w:p>
        </w:tc>
        <w:tc>
          <w:tcPr>
            <w:tcW w:w="6010" w:type="dxa"/>
          </w:tcPr>
          <w:p>
            <w:pPr>
              <w:spacing w:after="0" w:line="260" w:lineRule="auto"/>
              <w:jc w:val="left"/>
            </w:pPr>
            <w:r>
              <w:rPr>
                <w:rFonts w:ascii="Calibri" w:hAnsi="Calibri"/>
                <w:color w:val="212121"/>
                <w:sz w:val="19"/>
              </w:rPr>
              <w:t xml:space="preserve">Each Party's sovereignty over its own waters stands intact.</w:t>
            </w:r>
          </w:p>
        </w:tc>
      </w:tr>
      <w:tr>
        <w:tc>
          <w:tcPr>
            <w:tcW w:w="3000" w:type="dxa"/>
          </w:tcPr>
          <w:p>
            <w:pPr>
              <w:spacing w:after="0" w:line="260" w:lineRule="auto"/>
              <w:jc w:val="left"/>
            </w:pPr>
            <w:r>
              <w:rPr>
                <w:rFonts w:ascii="Calibri" w:hAnsi="Calibri"/>
                <w:color w:val="212121"/>
                <w:sz w:val="19"/>
              </w:rPr>
              <w:t xml:space="preserve">RL-9</w:t>
            </w:r>
          </w:p>
        </w:tc>
        <w:tc>
          <w:tcPr>
            <w:tcW w:w="6010" w:type="dxa"/>
          </w:tcPr>
          <w:p>
            <w:pPr>
              <w:spacing w:after="0" w:line="260" w:lineRule="auto"/>
              <w:jc w:val="left"/>
            </w:pPr>
            <w:r>
              <w:rPr>
                <w:rFonts w:ascii="Calibri" w:hAnsi="Calibri"/>
                <w:color w:val="212121"/>
                <w:sz w:val="19"/>
              </w:rPr>
              <w:t xml:space="preserve">No commitment expires, lapses, or dilutes by time, silence, or routine.</w:t>
            </w:r>
          </w:p>
        </w:tc>
      </w:tr>
      <w:tr>
        <w:tc>
          <w:tcPr>
            <w:tcW w:w="3000" w:type="dxa"/>
          </w:tcPr>
          <w:p>
            <w:pPr>
              <w:spacing w:after="0" w:line="260" w:lineRule="auto"/>
              <w:jc w:val="left"/>
            </w:pPr>
            <w:r>
              <w:rPr>
                <w:rFonts w:ascii="Calibri" w:hAnsi="Calibri"/>
                <w:color w:val="212121"/>
                <w:sz w:val="19"/>
              </w:rPr>
              <w:t xml:space="preserve">RL-10</w:t>
            </w:r>
          </w:p>
        </w:tc>
        <w:tc>
          <w:tcPr>
            <w:tcW w:w="6010" w:type="dxa"/>
          </w:tcPr>
          <w:p>
            <w:pPr>
              <w:spacing w:after="0" w:line="260" w:lineRule="auto"/>
              <w:jc w:val="left"/>
            </w:pPr>
            <w:r>
              <w:rPr>
                <w:rFonts w:ascii="Calibri" w:hAnsi="Calibri"/>
                <w:color w:val="212121"/>
                <w:sz w:val="19"/>
              </w:rPr>
              <w:t xml:space="preserve">Humanitarian traffic moves in every flow state, dispute, pause, and transition.</w:t>
            </w:r>
          </w:p>
        </w:tc>
      </w:tr>
      <w:tr>
        <w:tc>
          <w:tcPr>
            <w:tcW w:w="3000" w:type="dxa"/>
          </w:tcPr>
          <w:p>
            <w:pPr>
              <w:spacing w:after="0" w:line="260" w:lineRule="auto"/>
              <w:jc w:val="left"/>
            </w:pPr>
            <w:r>
              <w:rPr>
                <w:rFonts w:ascii="Calibri" w:hAnsi="Calibri"/>
                <w:color w:val="212121"/>
                <w:sz w:val="19"/>
              </w:rPr>
              <w:t xml:space="preserve">RL-11</w:t>
            </w:r>
          </w:p>
        </w:tc>
        <w:tc>
          <w:tcPr>
            <w:tcW w:w="6010" w:type="dxa"/>
          </w:tcPr>
          <w:p>
            <w:pPr>
              <w:spacing w:after="0" w:line="260" w:lineRule="auto"/>
              <w:jc w:val="left"/>
            </w:pPr>
            <w:r>
              <w:rPr>
                <w:rFonts w:ascii="Calibri" w:hAnsi="Calibri"/>
                <w:color w:val="212121"/>
                <w:sz w:val="19"/>
              </w:rPr>
              <w:t xml:space="preserve">No finding of fact rests on a single input.</w:t>
            </w:r>
          </w:p>
        </w:tc>
      </w:tr>
      <w:tr>
        <w:tc>
          <w:tcPr>
            <w:tcW w:w="3000" w:type="dxa"/>
          </w:tcPr>
          <w:p>
            <w:pPr>
              <w:spacing w:after="0" w:line="260" w:lineRule="auto"/>
              <w:jc w:val="left"/>
            </w:pPr>
            <w:r>
              <w:rPr>
                <w:rFonts w:ascii="Calibri" w:hAnsi="Calibri"/>
                <w:color w:val="212121"/>
                <w:sz w:val="19"/>
              </w:rPr>
              <w:t xml:space="preserve">RL-12</w:t>
            </w:r>
          </w:p>
        </w:tc>
        <w:tc>
          <w:tcPr>
            <w:tcW w:w="6010" w:type="dxa"/>
          </w:tcPr>
          <w:p>
            <w:pPr>
              <w:spacing w:after="0" w:line="260" w:lineRule="auto"/>
              <w:jc w:val="left"/>
            </w:pPr>
            <w:r>
              <w:rPr>
                <w:rFonts w:ascii="Calibri" w:hAnsi="Calibri"/>
                <w:color w:val="212121"/>
                <w:sz w:val="19"/>
              </w:rPr>
              <w:t xml:space="preserve">Accord assets, data, and channels never support kinetic action by any actor.</w:t>
            </w:r>
          </w:p>
        </w:tc>
      </w:tr>
      <w:tr>
        <w:tc>
          <w:tcPr>
            <w:tcW w:w="3000" w:type="dxa"/>
          </w:tcPr>
          <w:p>
            <w:pPr>
              <w:spacing w:after="0" w:line="260" w:lineRule="auto"/>
              <w:jc w:val="left"/>
            </w:pPr>
            <w:r>
              <w:rPr>
                <w:rFonts w:ascii="Calibri" w:hAnsi="Calibri"/>
                <w:color w:val="212121"/>
                <w:sz w:val="19"/>
              </w:rPr>
              <w:t xml:space="preserve">RL-13</w:t>
            </w:r>
          </w:p>
        </w:tc>
        <w:tc>
          <w:tcPr>
            <w:tcW w:w="6010" w:type="dxa"/>
          </w:tcPr>
          <w:p>
            <w:pPr>
              <w:spacing w:after="0" w:line="260" w:lineRule="auto"/>
              <w:jc w:val="left"/>
            </w:pPr>
            <w:r>
              <w:rPr>
                <w:rFonts w:ascii="Calibri" w:hAnsi="Calibri"/>
                <w:color w:val="212121"/>
                <w:sz w:val="19"/>
              </w:rPr>
              <w:t xml:space="preserve">No single coastal state governs the Strait alone.</w:t>
            </w:r>
          </w:p>
        </w:tc>
      </w:tr>
      <w:tr>
        <w:tc>
          <w:tcPr>
            <w:tcW w:w="3000" w:type="dxa"/>
          </w:tcPr>
          <w:p>
            <w:pPr>
              <w:spacing w:after="0" w:line="260" w:lineRule="auto"/>
              <w:jc w:val="left"/>
            </w:pPr>
            <w:r>
              <w:rPr>
                <w:rFonts w:ascii="Calibri" w:hAnsi="Calibri"/>
                <w:color w:val="212121"/>
                <w:sz w:val="19"/>
              </w:rPr>
              <w:t xml:space="preserve">RL-14</w:t>
            </w:r>
          </w:p>
        </w:tc>
        <w:tc>
          <w:tcPr>
            <w:tcW w:w="6010" w:type="dxa"/>
          </w:tcPr>
          <w:p>
            <w:pPr>
              <w:spacing w:after="0" w:line="260" w:lineRule="auto"/>
              <w:jc w:val="left"/>
            </w:pPr>
            <w:r>
              <w:rPr>
                <w:rFonts w:ascii="Calibri" w:hAnsi="Calibri"/>
                <w:color w:val="212121"/>
                <w:sz w:val="19"/>
              </w:rPr>
              <w:t xml:space="preserve">No external state or body commands any element of this Accord.</w:t>
            </w:r>
          </w:p>
        </w:tc>
      </w:tr>
    </w:tbl>
    <w:p>
      <w:pPr>
        <w:spacing w:after="60"/>
      </w:pPr>
    </w:p>
    <w:p>
      <w:pPr>
        <w:pStyle w:val="Caption"/>
      </w:pPr>
      <w:r>
        <w:t xml:space="preserve">The Stillwater Declaration of Principles; Annex I carries the full operative text</w:t>
      </w:r>
    </w:p>
    <w:p>
      <w:pPr/>
      <w:r>
        <w:t xml:space="preserve">The architecture holds every line simultaneously, at all times, without exception, and the Nofade Guarantee holds this Declaration as permanently as it holds every other word of this Accord.</w:t>
      </w:r>
    </w:p>
    <w:p>
      <w:pPr>
        <w:pStyle w:val="Heading1"/>
      </w:pPr>
      <w:r>
        <w:t xml:space="preserve">Preamble: The Moment of July 2026</w:t>
      </w:r>
    </w:p>
    <w:p>
      <w:pPr/>
      <w:r>
        <w:t xml:space="preserve">The Islamic Republic of Iran, the Sultanate of Oman, and the United Arab Emirates, together the Founding Members, joined in this instrument by every Gulf littoral state that accedes under Article 38, and supported by the Mediator of Record, the Neutral Administrator, and the facilitating states,</w:t>
      </w:r>
    </w:p>
    <w:p>
      <w:pPr/>
      <w:r>
        <w:t xml:space="preserve">Recalling the crisis of 2026, in which the Strait of Hormuz became a theater of military confrontation, commercial transits fell from a pre-crisis norm of roughly ninety vessels per day to a fraction of that figure, war-risk insurance multiples rose several-fold, and hundreds of vessels lay at anchor awaiting a settlement;</w:t>
      </w:r>
    </w:p>
    <w:p>
      <w:pPr/>
      <w:r>
        <w:t xml:space="preserve">Recalling the Islamabad Memorandum of Understanding of 17 June 2026, which declared the termination of military operations, opened a sixty-day window toward comprehensive settlement extendable by mutual consent, and contemplated safe navigation arrangements for the Strait developed through consultation among the coastal states;</w:t>
      </w:r>
    </w:p>
    <w:p>
      <w:pPr/>
      <w:r>
        <w:t xml:space="preserve">Recalling further the general license issued by the United States Department of the Treasury on 23 June 2026, the Joint Hormuz Committee convened in Muscat on 29 June 2026, and the first formal Iran-Oman co-governance meeting of the same month, in which the two strait states began negotiating routing rules, maritime services, and fee mechanisms;</w:t>
      </w:r>
    </w:p>
    <w:p>
      <w:pPr/>
      <w:r>
        <w:t xml:space="preserve">Noting that the wider implementation architecture of the MOU assigns sanctions, nuclear, reconstruction, and monitoring questions to dedicated working groups, yet assigns the permanent governance of the Strait to no standing multilateral body, and that this Accord answers that structural gap by giving Hormuz governance a durable institutional home;</w:t>
      </w:r>
    </w:p>
    <w:p>
      <w:pPr/>
      <w:r>
        <w:t xml:space="preserve">Recognizing that the Strait of Hormuz carries approximately one fifth of the world's seaborne oil supply and a substantial share of global liquefied natural gas, and that its uninterrupted, toll-free, multilaterally governed operation constitutes a shared interest of the coastal states, the user states, and the international community as a whole;</w:t>
      </w:r>
    </w:p>
    <w:p>
      <w:pPr/>
      <w:r>
        <w:t xml:space="preserve">Affirming that durable maritime order in the Strait does not rest on the restraint of one state for the benefit of another, but on a mutual architecture in which the framework itself carries the obligations, the corridors themselves carry the rules, and the verification systems themselves carry the evidence;</w:t>
      </w:r>
    </w:p>
    <w:p>
      <w:pPr/>
      <w:r>
        <w:t xml:space="preserve">Determined that this Accord settle the toll question definitively by separating the right of passage, which the architecture holds absolute and free, from the cost of services, which the architecture funds collectively through a dedicated multilateral mechanism;</w:t>
      </w:r>
    </w:p>
    <w:p>
      <w:pPr/>
      <w:r>
        <w:t xml:space="preserve">Determined further that every commitment in this Accord operate in the present tense as a living state of the architecture, that no provision fade or expire by the mere passage of time, that every consequence arrive graduated, proportionate, and reversible, and that no deviation of any kind produce permanent exclusion from the framework;</w:t>
      </w:r>
    </w:p>
    <w:p>
      <w:pPr/>
      <w:r>
        <w:t xml:space="preserve">Conscious that snapback mechanics kill agreements, that binary collapse dynamics produce binary collapse outcomes, and that this Accord therefore replaces collapse with still water: discretionary benefits pause first, core constraints survive longest, humanitarian protections remain absolute, and restoration stays always available;</w:t>
      </w:r>
    </w:p>
    <w:p>
      <w:pPr/>
      <w:r>
        <w:t xml:space="preserve">Resolved that the governance of the Strait stand multilateral in structure as well as in spirit, so that no single coastal state carries the burden alone, no single user state holds a veto over order, and every littoral state of the Gulf holds a defined path into the architecture;</w:t>
      </w:r>
    </w:p>
    <w:p>
      <w:pPr/>
      <w:r>
        <w:t xml:space="preserve">Have agreed as follows.</w:t>
      </w:r>
    </w:p>
    <w:p>
      <w:pPr>
        <w:pStyle w:val="Heading1"/>
      </w:pPr>
      <w:r>
        <w:t xml:space="preserve">Part I: Foundations</w:t>
      </w:r>
    </w:p>
    <w:p>
      <w:pPr>
        <w:pStyle w:val="Heading2"/>
      </w:pPr>
      <w:r>
        <w:t xml:space="preserve">Article 1: Establishment, Purpose, and Scope</w:t>
      </w:r>
    </w:p>
    <w:p>
      <w:pPr>
        <w:pStyle w:val="Heading3"/>
      </w:pPr>
      <w:r>
        <w:t xml:space="preserve">1.1 Establishment</w:t>
      </w:r>
    </w:p>
    <w:p>
      <w:pPr/>
      <w:r>
        <w:t xml:space="preserve">The Parties establish the Stillwater Accord as the standing multilateral governance system for the Strait of Hormuz. The Accord comprises the institutions of Part III, the corridor system of Part II, the financial architecture of Part IV, the safety and verification system of Part V, the compliance and dispute machinery of Part VI, and the continuity machinery of Part VII. The Accord takes its name from its central restorative mechanism: the Stillwater Pause of Article 32, which converts every crisis into a structured consultation and returns every participant to calm water.</w:t>
      </w:r>
    </w:p>
    <w:p>
      <w:pPr>
        <w:pStyle w:val="Heading3"/>
      </w:pPr>
      <w:r>
        <w:t xml:space="preserve">1.2 Purpose</w:t>
      </w:r>
    </w:p>
    <w:p>
      <w:pPr/>
      <w:r>
        <w:t xml:space="preserve">The Accord pursues six purposes, ranked equally:</w:t>
      </w:r>
    </w:p>
    <w:p>
      <w:pPr>
        <w:ind w:left="430"/>
      </w:pPr>
      <w:r>
        <w:t xml:space="preserve">•  Maritime order. The Accord governs transit through the Strait of Hormuz through two defined corridors, a vessel classification system, a zero-toll rule, a non-interdiction protocol, and a naval de-confliction geometry, so that every vessel transits safely, predictably, and free of charge.</w:t>
      </w:r>
    </w:p>
    <w:p>
      <w:pPr>
        <w:ind w:left="430"/>
      </w:pPr>
      <w:r>
        <w:t xml:space="preserve">•  Multilateral stewardship. The Accord seats the Gulf littoral states as co-governors of the waterway, with Iran, Oman, and the United Arab Emirates as Founding Members and a defined accession path for Saudi Arabia, Qatar, Bahrain, Kuwait, and Iraq, so that governance of the Strait reflects the whole of its coastline rather than any single shore.</w:t>
      </w:r>
    </w:p>
    <w:p>
      <w:pPr>
        <w:ind w:left="430"/>
      </w:pPr>
      <w:r>
        <w:t xml:space="preserve">•  User-state anchoring. The Accord binds the principal user states, flag states, insurers, and shipping interests to the architecture through observer seats, contribution channels, and published performance data, so that the community that benefits from the Strait underwrites its stability.</w:t>
      </w:r>
    </w:p>
    <w:p>
      <w:pPr>
        <w:ind w:left="430"/>
      </w:pPr>
      <w:r>
        <w:t xml:space="preserve">•  Verification over trust. The Accord substitutes convergent evidence, human-anchored observation, and a shared operational picture for assertion and suspicion, publishing the same record to every participant at the same time.</w:t>
      </w:r>
    </w:p>
    <w:p>
      <w:pPr>
        <w:ind w:left="430"/>
      </w:pPr>
      <w:r>
        <w:t xml:space="preserve">•  Economic normalization. The Accord restores insurance confidence, rebuilds the buyer base, and returns war-risk premiums toward pre-crisis levels through verified performance rather than through declarations.</w:t>
      </w:r>
    </w:p>
    <w:p>
      <w:pPr>
        <w:ind w:left="430"/>
      </w:pPr>
      <w:r>
        <w:t xml:space="preserve">•  Durability. The Accord persists through the Nofade Guarantee of Article 4. No clause sunsets. No obligation fades. Every mechanism remains in force until the Parties amend it through the procedure of Article 39.</w:t>
      </w:r>
    </w:p>
    <w:p>
      <w:pPr>
        <w:pStyle w:val="Heading3"/>
      </w:pPr>
      <w:r>
        <w:t xml:space="preserve">1.3 Geographic scope</w:t>
      </w:r>
    </w:p>
    <w:p>
      <w:pPr/>
      <w:r>
        <w:t xml:space="preserve">The Accord operates in the Strait of Hormuz Governance Area, defined in Article 7 and Annex A as the waters and superjacent airspace bounded by the meridian 055 degrees 30.0 minutes East at the western approach and the meridian 057 degrees 00.0 minutes East at the eastern approach, together with the designated holding anchorages, precautionary zones, and inshore traffic bands described in Annex A. The Governance Area is an operational construct. It defines where the rules of the Accord operate. It defines no boundary between states, delimits no maritime zone, and prejudices no entitlement.</w:t>
      </w:r>
    </w:p>
    <w:p>
      <w:pPr>
        <w:pStyle w:val="Heading3"/>
      </w:pPr>
      <w:r>
        <w:t xml:space="preserve">1.4 Functional scope</w:t>
      </w:r>
    </w:p>
    <w:p>
      <w:pPr/>
      <w:r>
        <w:t xml:space="preserve">The Accord governs: civilian maritime navigation; corridor geometry and traffic management; vessel classification and transit notification; safety of navigation and incident response; search and rescue coordination; environmental protection and pollution response; the financing of maritime services; naval de-confliction touching civilian transit; verification, compliance, and dispute resolution among the Parties; and the continuity, amendment, and succession of the Accord itself.</w:t>
      </w:r>
    </w:p>
    <w:p>
      <w:pPr/>
      <w:r>
        <w:t xml:space="preserve">The Accord architecture excludes from its scope: the internal affairs and domestic political arrangements of any Party; the delimitation of maritime boundaries between any states; the cargo policies, trade policies, alliance policies, and sanctions regimes of any state, except as Article 25.4 interfaces with them for the protection of the financial architecture; military alliances and force structure; and any authorization of the use of force, which the architecture excludes absolutely under Article 27.9.</w:t>
      </w:r>
    </w:p>
    <w:p>
      <w:pPr>
        <w:pStyle w:val="Heading3"/>
      </w:pPr>
      <w:r>
        <w:t xml:space="preserve">1.5 What this Accord does and does not do</w:t>
      </w:r>
    </w:p>
    <w:tbl>
      <w:tblPr>
        <w:tblW w:w="5000" w:type="pct"/>
        <w:tblBorders>
          <w:top w:val="single" w:color="B0BEC5" w:sz="2"/>
          <w:left w:val="single" w:color="37474F" w:sz="18"/>
          <w:bottom w:val="single" w:color="B0BEC5" w:sz="2"/>
          <w:right w:val="single" w:color="B0BEC5" w:sz="2"/>
        </w:tblBorders>
        <w:tblCellMar>
          <w:top w:w="140" w:type="dxa"/>
          <w:left w:w="200" w:type="dxa"/>
          <w:bottom w:w="140" w:type="dxa"/>
          <w:right w:w="160" w:type="dxa"/>
        </w:tblCellMar>
      </w:tblPr>
      <w:tblGrid>
        <w:gridCol w:w="9010"/>
      </w:tblGrid>
      <w:tr>
        <w:tc>
          <w:tcPr>
            <w:tcW w:w="9010" w:type="dxa"/>
            <w:shd w:val="clear" w:fill="ECEFF1"/>
          </w:tcPr>
          <w:p>
            <w:pPr>
              <w:spacing w:after="0" w:line="300" w:lineRule="auto"/>
            </w:pPr>
            <w:r>
              <w:rPr>
                <w:i/>
              </w:rPr>
              <w:t xml:space="preserve">This Accord establishes a permanent multilateral operating system for the Strait of Hormuz. It keeps passage free, pays for verified services, verifies performance with human-anchored methods, seats every Gulf littoral state in the governance structure, and continues without expiry. This Accord does not create a toll regime, does not grant any Party command over another, does not transfer or dilute sovereignty, does not prejudice boundary positions, does not adjudicate the nuclear file or the sanctions file, and does not authorize the use of force by any actor.</w:t>
            </w:r>
          </w:p>
        </w:tc>
      </w:tr>
    </w:tbl>
    <w:p>
      <w:pPr>
        <w:pStyle w:val="Heading2"/>
      </w:pPr>
      <w:r>
        <w:t xml:space="preserve">Article 2: Legal Foundations</w:t>
      </w:r>
    </w:p>
    <w:p>
      <w:pPr>
        <w:pStyle w:val="Heading3"/>
      </w:pPr>
      <w:r>
        <w:t xml:space="preserve">2.1 Sovereign basis</w:t>
      </w:r>
    </w:p>
    <w:p>
      <w:pPr/>
      <w:r>
        <w:t xml:space="preserve">The Accord rests on the sovereignty and sovereign rights of the coastal states over their respective territorial seas in the Strait of Hormuz, and on the customary international law of the sea as reflected in the 1982 United Nations Convention on the Law of the Sea. Oman and the United Arab Emirates apply the Convention as states party. Iran applies the customary rules the Convention reflects, including the regime of transit passage, as a matter of its stated policy and of this Accord. Nothing in this instrument adjudicates, prejudices, or alters the position of any Party on any question of maritime delimitation, and the Accord operates without prejudice to the differing treaty positions of the Parties.</w:t>
      </w:r>
    </w:p>
    <w:p>
      <w:pPr>
        <w:pStyle w:val="Heading3"/>
      </w:pPr>
      <w:r>
        <w:t xml:space="preserve">2.2 Transit passage preserved</w:t>
      </w:r>
    </w:p>
    <w:p>
      <w:pPr/>
      <w:r>
        <w:t xml:space="preserve">The corridor system of Part II implements the regime of transit passage as an organized service architecture. The right of transit passage through the Strait of Hormuz operates continuously and without suspension for the ships and aircraft of all states, in both corridors, under the rules of this Accord. The architecture excludes any suspension of transit passage for any reason, including any dispute among the Parties, any incident under investigation, any arrears in the financial system, or any external conflict. A Suspended Flow under Article 11.6 pauses new entries into a defined area only, for a stated period not exceeding seventy-two hours without a Council decision recorded with reasons, and never converts into a closure of the Strait.</w:t>
      </w:r>
    </w:p>
    <w:p>
      <w:pPr>
        <w:pStyle w:val="Heading3"/>
      </w:pPr>
      <w:r>
        <w:t xml:space="preserve">2.3 The service-fee distinction</w:t>
      </w:r>
    </w:p>
    <w:p>
      <w:pPr/>
      <w:r>
        <w:t xml:space="preserve">International law draws a bright line between a charge on passage, which no coastal state levies in a strait used for international navigation, and a charge for specific services rendered, which a coastal state levies on a non-discriminatory basis. The financial architecture of Part IV sits entirely on the service side of that line. Transit itself carries no charge in either corridor, for any vessel, under any circumstances. Services carry documented, audited, pre-published costs, and payment for services flows through an independent multilateral fund, never from a ship to a state as a condition of passage. This distinction answers the fee question that the June 2026 co-governance talks left open: Iran's interest in compensated service delivery and Oman's opposition to transit charges reconcile inside one architecture, because the Fund compensates services while passage stays free.</w:t>
      </w:r>
    </w:p>
    <w:p>
      <w:pPr>
        <w:pStyle w:val="Heading3"/>
      </w:pPr>
      <w:r>
        <w:t xml:space="preserve">2.4 Relationship to the Islamabad MOU</w:t>
      </w:r>
    </w:p>
    <w:p>
      <w:pPr/>
      <w:r>
        <w:t xml:space="preserve">The Accord discharges the safe-navigation commitment of the MOU and operates as its maritime implementing instrument for the coastal-state dimension. The Accord binds its Parties independently of the fate of any other instrument: a lapse, breach, or termination of any external agreement touches nothing in this Accord. The Parties design the Accord for attachment to the wider MOU architecture as a complementary governance module, by annex, protocol, or incorporation, at the election of the MOU parties, and Annex M carries the model attachment instruments. Attachment adds political linkage; it adds no obligation beyond the text of this Accord. Upon entry into force, this Accord supersedes and absorbs the maritime provisions of the MOU in full: the corresponding provisions of this Accord replace the MOU's maritime obligations, and the Parties perform those obligations through this Accord alone.</w:t>
      </w:r>
    </w:p>
    <w:p>
      <w:pPr>
        <w:pStyle w:val="Heading3"/>
      </w:pPr>
      <w:r>
        <w:t xml:space="preserve">2.5 Relationship to the International Maritime Organization</w:t>
      </w:r>
    </w:p>
    <w:p>
      <w:pPr/>
      <w:r>
        <w:t xml:space="preserve">The Parties build the corridor system upon the traffic separation scheme adopted through the International Maritime Organization for the Strait of Hormuz, notify the corridor geometry of Annex A to the Organization jointly, register the vessel traffic service areas and reporting requirements, and invite the technical participation of the Organization under Article 19. The Accord creates no obligation for the Organization; it extends standing invitations, and each invitation remains open until accepted or declined in writing.</w:t>
      </w:r>
    </w:p>
    <w:p>
      <w:pPr>
        <w:pStyle w:val="Heading3"/>
      </w:pPr>
      <w:r>
        <w:t xml:space="preserve">2.6 Non-prejudice and no precedent</w:t>
      </w:r>
    </w:p>
    <w:p>
      <w:pPr/>
      <w:r>
        <w:t xml:space="preserve">This instrument establishes no legal or political precedent for any other strait, waterway, dispute, or relationship. No act performed under it constitutes recognition of, acquiescence in, or prejudice to: any Party's position on sovereignty over any island, rock, or feature; any Party's position on the legal character of the Strait; the maritime entitlements of any coastal state; or any claim or defense in any other forum. Participation in data collection, corridor coordination, or joint bodies carries no political imputation. Data serves technical verification exclusively.</w:t>
      </w:r>
    </w:p>
    <w:p>
      <w:pPr>
        <w:pStyle w:val="Heading2"/>
      </w:pPr>
      <w:r>
        <w:t xml:space="preserve">Article 3: Core Operating Principles</w:t>
      </w:r>
    </w:p>
    <w:p>
      <w:pPr/>
      <w:r>
        <w:t xml:space="preserve">Twelve principles govern the interpretation and operation of every provision of this Accord. Where a provision admits two readings, the reading that serves these principles prevails.</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3000"/>
        <w:gridCol w:w="6010"/>
      </w:tblGrid>
      <w:tr>
        <w:trPr>
          <w:tblHeader/>
        </w:trPr>
        <w:tc>
          <w:tcPr>
            <w:tcW w:w="3000" w:type="dxa"/>
            <w:tcBorders>
              <w:bottom w:val="single" w:color="546E7A" w:sz="6"/>
            </w:tcBorders>
            <w:shd w:val="clear" w:fill="E4E9EC"/>
          </w:tcPr>
          <w:p>
            <w:pPr>
              <w:spacing w:after="0" w:line="260" w:lineRule="auto"/>
              <w:jc w:val="left"/>
            </w:pPr>
            <w:r>
              <w:rPr>
                <w:rFonts w:ascii="Calibri" w:hAnsi="Calibri"/>
                <w:b/>
                <w:color w:val="37474F"/>
                <w:sz w:val="19"/>
              </w:rPr>
              <w:t xml:space="preserve">Principle</w:t>
            </w:r>
          </w:p>
        </w:tc>
        <w:tc>
          <w:tcPr>
            <w:tcW w:w="6010" w:type="dxa"/>
            <w:tcBorders>
              <w:bottom w:val="single" w:color="546E7A" w:sz="6"/>
            </w:tcBorders>
            <w:shd w:val="clear" w:fill="E4E9EC"/>
          </w:tcPr>
          <w:p>
            <w:pPr>
              <w:spacing w:after="0" w:line="260" w:lineRule="auto"/>
              <w:jc w:val="left"/>
            </w:pPr>
            <w:r>
              <w:rPr>
                <w:rFonts w:ascii="Calibri" w:hAnsi="Calibri"/>
                <w:b/>
                <w:color w:val="37474F"/>
                <w:sz w:val="19"/>
              </w:rPr>
              <w:t xml:space="preserve">Operative meaning</w:t>
            </w:r>
          </w:p>
        </w:tc>
      </w:tr>
      <w:tr>
        <w:tc>
          <w:tcPr>
            <w:tcW w:w="3000" w:type="dxa"/>
          </w:tcPr>
          <w:p>
            <w:pPr>
              <w:spacing w:after="0" w:line="260" w:lineRule="auto"/>
              <w:jc w:val="left"/>
            </w:pPr>
            <w:r>
              <w:rPr>
                <w:rFonts w:ascii="Calibri" w:hAnsi="Calibri"/>
                <w:color w:val="212121"/>
                <w:sz w:val="19"/>
              </w:rPr>
              <w:t xml:space="preserve">1. The Nofade Guarantee</w:t>
            </w:r>
          </w:p>
        </w:tc>
        <w:tc>
          <w:tcPr>
            <w:tcW w:w="6010" w:type="dxa"/>
          </w:tcPr>
          <w:p>
            <w:pPr>
              <w:spacing w:after="0" w:line="260" w:lineRule="auto"/>
              <w:jc w:val="left"/>
            </w:pPr>
            <w:r>
              <w:rPr>
                <w:rFonts w:ascii="Calibri" w:hAnsi="Calibri"/>
                <w:color w:val="212121"/>
                <w:sz w:val="19"/>
              </w:rPr>
              <w:t xml:space="preserve">No commitment fades at any date boundary. Continuation forms the default at every review point. Verified performance banks permanently. This principle stands first among equals and governs the interpretation of every other provision.</w:t>
            </w:r>
          </w:p>
        </w:tc>
      </w:tr>
      <w:tr>
        <w:tc>
          <w:tcPr>
            <w:tcW w:w="3000" w:type="dxa"/>
          </w:tcPr>
          <w:p>
            <w:pPr>
              <w:spacing w:after="0" w:line="260" w:lineRule="auto"/>
              <w:jc w:val="left"/>
            </w:pPr>
            <w:r>
              <w:rPr>
                <w:rFonts w:ascii="Calibri" w:hAnsi="Calibri"/>
                <w:color w:val="212121"/>
                <w:sz w:val="19"/>
              </w:rPr>
              <w:t xml:space="preserve">2. Mutual architecture</w:t>
            </w:r>
          </w:p>
        </w:tc>
        <w:tc>
          <w:tcPr>
            <w:tcW w:w="6010" w:type="dxa"/>
          </w:tcPr>
          <w:p>
            <w:pPr>
              <w:spacing w:after="0" w:line="260" w:lineRule="auto"/>
              <w:jc w:val="left"/>
            </w:pPr>
            <w:r>
              <w:rPr>
                <w:rFonts w:ascii="Calibri" w:hAnsi="Calibri"/>
                <w:color w:val="212121"/>
                <w:sz w:val="19"/>
              </w:rPr>
              <w:t xml:space="preserve">Every obligation attaches to the design of the Accord, not to one Party's restraint for another's benefit. All Parties stand bound equally by the same structure.</w:t>
            </w:r>
          </w:p>
        </w:tc>
      </w:tr>
      <w:tr>
        <w:tc>
          <w:tcPr>
            <w:tcW w:w="3000" w:type="dxa"/>
          </w:tcPr>
          <w:p>
            <w:pPr>
              <w:spacing w:after="0" w:line="260" w:lineRule="auto"/>
              <w:jc w:val="left"/>
            </w:pPr>
            <w:r>
              <w:rPr>
                <w:rFonts w:ascii="Calibri" w:hAnsi="Calibri"/>
                <w:color w:val="212121"/>
                <w:sz w:val="19"/>
              </w:rPr>
              <w:t xml:space="preserve">3. Multilateral balance</w:t>
            </w:r>
          </w:p>
        </w:tc>
        <w:tc>
          <w:tcPr>
            <w:tcW w:w="6010" w:type="dxa"/>
          </w:tcPr>
          <w:p>
            <w:pPr>
              <w:spacing w:after="0" w:line="260" w:lineRule="auto"/>
              <w:jc w:val="left"/>
            </w:pPr>
            <w:r>
              <w:rPr>
                <w:rFonts w:ascii="Calibri" w:hAnsi="Calibri"/>
                <w:color w:val="212121"/>
                <w:sz w:val="19"/>
              </w:rPr>
              <w:t xml:space="preserve">Every institution seats the littoral Parties in defined balance, every voting rule protects the small against the large and the large against the many, and no decision binds a Party whose vote the rules exclude.</w:t>
            </w:r>
          </w:p>
        </w:tc>
      </w:tr>
      <w:tr>
        <w:tc>
          <w:tcPr>
            <w:tcW w:w="3000" w:type="dxa"/>
          </w:tcPr>
          <w:p>
            <w:pPr>
              <w:spacing w:after="0" w:line="260" w:lineRule="auto"/>
              <w:jc w:val="left"/>
            </w:pPr>
            <w:r>
              <w:rPr>
                <w:rFonts w:ascii="Calibri" w:hAnsi="Calibri"/>
                <w:color w:val="212121"/>
                <w:sz w:val="19"/>
              </w:rPr>
              <w:t xml:space="preserve">4. Proportionality</w:t>
            </w:r>
          </w:p>
        </w:tc>
        <w:tc>
          <w:tcPr>
            <w:tcW w:w="6010" w:type="dxa"/>
          </w:tcPr>
          <w:p>
            <w:pPr>
              <w:spacing w:after="0" w:line="260" w:lineRule="auto"/>
              <w:jc w:val="left"/>
            </w:pPr>
            <w:r>
              <w:rPr>
                <w:rFonts w:ascii="Calibri" w:hAnsi="Calibri"/>
                <w:color w:val="212121"/>
                <w:sz w:val="19"/>
              </w:rPr>
              <w:t xml:space="preserve">Every consequence matches the severity and duration of the deviation that triggers it. Minor deviations produce minor consequences.</w:t>
            </w:r>
          </w:p>
        </w:tc>
      </w:tr>
      <w:tr>
        <w:tc>
          <w:tcPr>
            <w:tcW w:w="3000" w:type="dxa"/>
          </w:tcPr>
          <w:p>
            <w:pPr>
              <w:spacing w:after="0" w:line="260" w:lineRule="auto"/>
              <w:jc w:val="left"/>
            </w:pPr>
            <w:r>
              <w:rPr>
                <w:rFonts w:ascii="Calibri" w:hAnsi="Calibri"/>
                <w:color w:val="212121"/>
                <w:sz w:val="19"/>
              </w:rPr>
              <w:t xml:space="preserve">5. Restoration</w:t>
            </w:r>
          </w:p>
        </w:tc>
        <w:tc>
          <w:tcPr>
            <w:tcW w:w="6010" w:type="dxa"/>
          </w:tcPr>
          <w:p>
            <w:pPr>
              <w:spacing w:after="0" w:line="260" w:lineRule="auto"/>
              <w:jc w:val="left"/>
            </w:pPr>
            <w:r>
              <w:rPr>
                <w:rFonts w:ascii="Calibri" w:hAnsi="Calibri"/>
                <w:color w:val="212121"/>
                <w:sz w:val="19"/>
              </w:rPr>
              <w:t xml:space="preserve">Every consequence carries an automatic, defined restoration pathway. No deviation creates permanent exclusion. Full compliance returns a Party to full standing.</w:t>
            </w:r>
          </w:p>
        </w:tc>
      </w:tr>
      <w:tr>
        <w:tc>
          <w:tcPr>
            <w:tcW w:w="3000" w:type="dxa"/>
          </w:tcPr>
          <w:p>
            <w:pPr>
              <w:spacing w:after="0" w:line="260" w:lineRule="auto"/>
              <w:jc w:val="left"/>
            </w:pPr>
            <w:r>
              <w:rPr>
                <w:rFonts w:ascii="Calibri" w:hAnsi="Calibri"/>
                <w:color w:val="212121"/>
                <w:sz w:val="19"/>
              </w:rPr>
              <w:t xml:space="preserve">6. Humanitarian absolute</w:t>
            </w:r>
          </w:p>
        </w:tc>
        <w:tc>
          <w:tcPr>
            <w:tcW w:w="6010" w:type="dxa"/>
          </w:tcPr>
          <w:p>
            <w:pPr>
              <w:spacing w:after="0" w:line="260" w:lineRule="auto"/>
              <w:jc w:val="left"/>
            </w:pPr>
            <w:r>
              <w:rPr>
                <w:rFonts w:ascii="Calibri" w:hAnsi="Calibri"/>
                <w:color w:val="212121"/>
                <w:sz w:val="19"/>
              </w:rPr>
              <w:t xml:space="preserve">No mechanism in this Accord reduces, delays, or conditions flows of food, medicine, medical equipment, relief personnel, or aviation safety payments, under any circumstances.</w:t>
            </w:r>
          </w:p>
        </w:tc>
      </w:tr>
      <w:tr>
        <w:tc>
          <w:tcPr>
            <w:tcW w:w="3000" w:type="dxa"/>
          </w:tcPr>
          <w:p>
            <w:pPr>
              <w:spacing w:after="0" w:line="260" w:lineRule="auto"/>
              <w:jc w:val="left"/>
            </w:pPr>
            <w:r>
              <w:rPr>
                <w:rFonts w:ascii="Calibri" w:hAnsi="Calibri"/>
                <w:color w:val="212121"/>
                <w:sz w:val="19"/>
              </w:rPr>
              <w:t xml:space="preserve">7. Modularity</w:t>
            </w:r>
          </w:p>
        </w:tc>
        <w:tc>
          <w:tcPr>
            <w:tcW w:w="6010" w:type="dxa"/>
          </w:tcPr>
          <w:p>
            <w:pPr>
              <w:spacing w:after="0" w:line="260" w:lineRule="auto"/>
              <w:jc w:val="left"/>
            </w:pPr>
            <w:r>
              <w:rPr>
                <w:rFonts w:ascii="Calibri" w:hAnsi="Calibri"/>
                <w:color w:val="212121"/>
                <w:sz w:val="19"/>
              </w:rPr>
              <w:t xml:space="preserve">Each domain of the Accord operates as an independent module. Failure in one module does not cascade into another absent certified spillover under Article 31.8.</w:t>
            </w:r>
          </w:p>
        </w:tc>
      </w:tr>
      <w:tr>
        <w:tc>
          <w:tcPr>
            <w:tcW w:w="3000" w:type="dxa"/>
          </w:tcPr>
          <w:p>
            <w:pPr>
              <w:spacing w:after="0" w:line="260" w:lineRule="auto"/>
              <w:jc w:val="left"/>
            </w:pPr>
            <w:r>
              <w:rPr>
                <w:rFonts w:ascii="Calibri" w:hAnsi="Calibri"/>
                <w:color w:val="212121"/>
                <w:sz w:val="19"/>
              </w:rPr>
              <w:t xml:space="preserve">8. Human judgment above automation</w:t>
            </w:r>
          </w:p>
        </w:tc>
        <w:tc>
          <w:tcPr>
            <w:tcW w:w="6010" w:type="dxa"/>
          </w:tcPr>
          <w:p>
            <w:pPr>
              <w:spacing w:after="0" w:line="260" w:lineRule="auto"/>
              <w:jc w:val="left"/>
            </w:pPr>
            <w:r>
              <w:rPr>
                <w:rFonts w:ascii="Calibri" w:hAnsi="Calibri"/>
                <w:color w:val="212121"/>
                <w:sz w:val="19"/>
              </w:rPr>
              <w:t xml:space="preserve">Automated systems flag and present evidence. Human officers review, consult, and decide. No automated process classifies an incident, suspends a service, or triggers a consequence.</w:t>
            </w:r>
          </w:p>
        </w:tc>
      </w:tr>
      <w:tr>
        <w:tc>
          <w:tcPr>
            <w:tcW w:w="3000" w:type="dxa"/>
          </w:tcPr>
          <w:p>
            <w:pPr>
              <w:spacing w:after="0" w:line="260" w:lineRule="auto"/>
              <w:jc w:val="left"/>
            </w:pPr>
            <w:r>
              <w:rPr>
                <w:rFonts w:ascii="Calibri" w:hAnsi="Calibri"/>
                <w:color w:val="212121"/>
                <w:sz w:val="19"/>
              </w:rPr>
              <w:t xml:space="preserve">9. Structural decoupling of force</w:t>
            </w:r>
          </w:p>
        </w:tc>
        <w:tc>
          <w:tcPr>
            <w:tcW w:w="6010" w:type="dxa"/>
          </w:tcPr>
          <w:p>
            <w:pPr>
              <w:spacing w:after="0" w:line="260" w:lineRule="auto"/>
              <w:jc w:val="left"/>
            </w:pPr>
            <w:r>
              <w:rPr>
                <w:rFonts w:ascii="Calibri" w:hAnsi="Calibri"/>
                <w:color w:val="212121"/>
                <w:sz w:val="19"/>
              </w:rPr>
              <w:t xml:space="preserve">No compliance event, of any category, in any domain, authorizes, triggers, or justifies the use of military force. Military decisions rest exclusively with the respective head of government under constitutional procedures.</w:t>
            </w:r>
          </w:p>
        </w:tc>
      </w:tr>
      <w:tr>
        <w:tc>
          <w:tcPr>
            <w:tcW w:w="3000" w:type="dxa"/>
          </w:tcPr>
          <w:p>
            <w:pPr>
              <w:spacing w:after="0" w:line="260" w:lineRule="auto"/>
              <w:jc w:val="left"/>
            </w:pPr>
            <w:r>
              <w:rPr>
                <w:rFonts w:ascii="Calibri" w:hAnsi="Calibri"/>
                <w:color w:val="212121"/>
                <w:sz w:val="19"/>
              </w:rPr>
              <w:t xml:space="preserve">10. Civilian character</w:t>
            </w:r>
          </w:p>
        </w:tc>
        <w:tc>
          <w:tcPr>
            <w:tcW w:w="6010" w:type="dxa"/>
          </w:tcPr>
          <w:p>
            <w:pPr>
              <w:spacing w:after="0" w:line="260" w:lineRule="auto"/>
              <w:jc w:val="left"/>
            </w:pPr>
            <w:r>
              <w:rPr>
                <w:rFonts w:ascii="Calibri" w:hAnsi="Calibri"/>
                <w:color w:val="212121"/>
                <w:sz w:val="19"/>
              </w:rPr>
              <w:t xml:space="preserve">The operational bodies of the Accord employ civilian maritime professionals. Military liaison occurs through designated channels at the policy level and never on the watch floor.</w:t>
            </w:r>
          </w:p>
        </w:tc>
      </w:tr>
      <w:tr>
        <w:tc>
          <w:tcPr>
            <w:tcW w:w="3000" w:type="dxa"/>
          </w:tcPr>
          <w:p>
            <w:pPr>
              <w:spacing w:after="0" w:line="260" w:lineRule="auto"/>
              <w:jc w:val="left"/>
            </w:pPr>
            <w:r>
              <w:rPr>
                <w:rFonts w:ascii="Calibri" w:hAnsi="Calibri"/>
                <w:color w:val="212121"/>
                <w:sz w:val="19"/>
              </w:rPr>
              <w:t xml:space="preserve">11. Transparency over trust</w:t>
            </w:r>
          </w:p>
        </w:tc>
        <w:tc>
          <w:tcPr>
            <w:tcW w:w="6010" w:type="dxa"/>
          </w:tcPr>
          <w:p>
            <w:pPr>
              <w:spacing w:after="0" w:line="260" w:lineRule="auto"/>
              <w:jc w:val="left"/>
            </w:pPr>
            <w:r>
              <w:rPr>
                <w:rFonts w:ascii="Calibri" w:hAnsi="Calibri"/>
                <w:color w:val="212121"/>
                <w:sz w:val="19"/>
              </w:rPr>
              <w:t xml:space="preserve">The Accord substitutes publication for assurances. Every participant reads the same record at the same time.</w:t>
            </w:r>
          </w:p>
        </w:tc>
      </w:tr>
      <w:tr>
        <w:tc>
          <w:tcPr>
            <w:tcW w:w="3000" w:type="dxa"/>
          </w:tcPr>
          <w:p>
            <w:pPr>
              <w:spacing w:after="0" w:line="260" w:lineRule="auto"/>
              <w:jc w:val="left"/>
            </w:pPr>
            <w:r>
              <w:rPr>
                <w:rFonts w:ascii="Calibri" w:hAnsi="Calibri"/>
                <w:color w:val="212121"/>
                <w:sz w:val="19"/>
              </w:rPr>
              <w:t xml:space="preserve">12. Cost discipline</w:t>
            </w:r>
          </w:p>
        </w:tc>
        <w:tc>
          <w:tcPr>
            <w:tcW w:w="6010" w:type="dxa"/>
          </w:tcPr>
          <w:p>
            <w:pPr>
              <w:spacing w:after="0" w:line="260" w:lineRule="auto"/>
              <w:jc w:val="left"/>
            </w:pPr>
            <w:r>
              <w:rPr>
                <w:rFonts w:ascii="Calibri" w:hAnsi="Calibri"/>
                <w:color w:val="212121"/>
                <w:sz w:val="19"/>
              </w:rPr>
              <w:t xml:space="preserve">The Accord reuses existing infrastructure, schemes, and institutions wherever they serve the mission, and builds new structures only where no existing structure carries the load.</w:t>
            </w:r>
          </w:p>
        </w:tc>
      </w:tr>
    </w:tbl>
    <w:p>
      <w:pPr>
        <w:spacing w:after="60"/>
      </w:pPr>
    </w:p>
    <w:p>
      <w:pPr>
        <w:pStyle w:val="Caption"/>
      </w:pPr>
      <w:r>
        <w:t xml:space="preserve">Table 3.1: Core operating principles of the Accord</w:t>
      </w:r>
    </w:p>
    <w:p>
      <w:pPr>
        <w:pStyle w:val="Heading3"/>
      </w:pPr>
      <w:r>
        <w:t xml:space="preserve">3.1 The political acceptability rule</w:t>
      </w:r>
    </w:p>
    <w:p>
      <w:pPr/>
      <w:r>
        <w:t xml:space="preserve">Every mechanism in this instrument passes a symmetry test before adoption: the mechanism binds every Party through the same architecture, produces visible benefit for every public, avoids vocabulary of concession or capitulation, and permits each Party to present the Accord domestically as a structure it co-governs rather than an order it obeys. The Stillwater Council reviews every proposed amendment against this rule under Article 39.3.</w:t>
      </w:r>
    </w:p>
    <w:p>
      <w:pPr>
        <w:pStyle w:val="Heading2"/>
      </w:pPr>
      <w:r>
        <w:t xml:space="preserve">Article 4: The Nofade Guarantee</w:t>
      </w:r>
    </w:p>
    <w:p>
      <w:pPr>
        <w:pStyle w:val="Heading3"/>
      </w:pPr>
      <w:r>
        <w:t xml:space="preserve">4.1 No sunset</w:t>
      </w:r>
    </w:p>
    <w:p>
      <w:pPr/>
      <w:r>
        <w:t xml:space="preserve">The Accord contains no sunset clauses, no silent expirations, and no decaying obligations. It operates on a continuous horizon, by design, because a commitment that expires is a commitment that plans to fail. Every phase boundary, review point, reporting deadline, and certification cycle inside this instrument operates as an administrative rhythm: at every boundary, the operational state carries forward by default, and obligations persist exactly as written until the Parties amend them in writing.</w:t>
      </w:r>
    </w:p>
    <w:p>
      <w:pPr>
        <w:pStyle w:val="Heading3"/>
      </w:pPr>
      <w:r>
        <w:t xml:space="preserve">4.2 No fade of commitments</w:t>
      </w:r>
    </w:p>
    <w:p>
      <w:pPr/>
      <w:r>
        <w:t xml:space="preserve">Every commitment persists at full strength from activation until the Parties jointly amend it in writing under Article 39. Time never dilutes an obligation; routine never weakens a verification right; political weather never erodes a standing rule. A change of government in any Party changes nothing in this Accord: the obligations attach to the state, and the succession rule of Article 40.2 binds every incoming administration from its first day.</w:t>
      </w:r>
    </w:p>
    <w:p>
      <w:pPr>
        <w:pStyle w:val="Heading3"/>
      </w:pPr>
      <w:r>
        <w:t xml:space="preserve">4.3 No fade of earned benefits</w:t>
      </w:r>
    </w:p>
    <w:p>
      <w:pPr/>
      <w:r>
        <w:t xml:space="preserve">Benefits earned through verified compliance persist. No earned benefit lapses through the passage of time, a change of government, or a change of mood. Banked performance survives every review cycle, every suspension, and every transition, and carries forward into every successor instrument. Only the defined step-back of the compliance engine adjusts a benefit, and earn-back always restores it under Article 31.5.</w:t>
      </w:r>
    </w:p>
    <w:p>
      <w:pPr>
        <w:pStyle w:val="Heading3"/>
      </w:pPr>
      <w:r>
        <w:t xml:space="preserve">4.4 No fade of verification</w:t>
      </w:r>
    </w:p>
    <w:p>
      <w:pPr/>
      <w:r>
        <w:t xml:space="preserve">Verification intensity never declines by default. The observer presence, the reporting rhythms, the ground-truth patrols, the audit rights, and the data feeds of this Accord continue at full strength for the life of the instrument. Any reduction of verification intensity constitutes an amendment and takes effect only through the joint written instrument of Article 39.2.</w:t>
      </w:r>
    </w:p>
    <w:p>
      <w:pPr>
        <w:pStyle w:val="Heading3"/>
      </w:pPr>
      <w:r>
        <w:t xml:space="preserve">4.5 No fade of the Zero-Toll Rule</w:t>
      </w:r>
    </w:p>
    <w:p>
      <w:pPr/>
      <w:r>
        <w:t xml:space="preserve">The Zero-Toll Rule of Article 21 stands permanently. No passage charge arises by inaction, by silence, by custom, by national legislation, or by reinterpretation. Where a Party's domestic law advances a fee measure touching the Strait, the Accord's own rule governs the conduct of that Party within the Governance Area, and Article 21.6 routes the reconciliation.</w:t>
      </w:r>
    </w:p>
    <w:p>
      <w:pPr>
        <w:pStyle w:val="Heading3"/>
      </w:pPr>
      <w:r>
        <w:t xml:space="preserve">4.6 No fade of institutional memory</w:t>
      </w:r>
    </w:p>
    <w:p>
      <w:pPr/>
      <w:r>
        <w:t xml:space="preserve">The shared registry and the incident archive never purge. The Accord forgets nothing and forgives through the Good Faith Reset of Article 31.7, which clears operational ledgers without touching the archive. Every certification, every deviation, every restoration, and every lesson remains on the record for the life of the instrument.</w:t>
      </w:r>
    </w:p>
    <w:p>
      <w:pPr>
        <w:pStyle w:val="Heading3"/>
      </w:pPr>
      <w:r>
        <w:t xml:space="preserve">4.7 Renewal by silence and default continuity</w:t>
      </w:r>
    </w:p>
    <w:p>
      <w:pPr/>
      <w:r>
        <w:t xml:space="preserve">Renewal occurs by silence: at every review point, continuation proceeds automatically unless a Party tables a written amendment proposal within the review window. Where a decision stalls, the standing procedures of this Accord and its Annexes govern by default. A stalled budget question runs on the previous budget at the same level; a stalled rate question runs on the previous rate; a stalled procedure question runs on the existing annex text. No deadlock suspends, degrades, or re-prices any operation of the corridor system.</w:t>
      </w:r>
    </w:p>
    <w:p>
      <w:pPr>
        <w:pStyle w:val="Heading3"/>
      </w:pPr>
      <w:r>
        <w:t xml:space="preserve">4.8 Exit is an act, not a fade</w:t>
      </w:r>
    </w:p>
    <w:p>
      <w:pPr/>
      <w:r>
        <w:t xml:space="preserve">Withdrawal under Article 40.4 constitutes a deliberate, notified, time-buffered sovereign act executed through the notice ladder, with the corridors operating at full standard throughout. Nothing in this Accord drifts away; everything either persists at full force or changes by joint written instrument.</w:t>
      </w:r>
    </w:p>
    <w:p>
      <w:pPr>
        <w:pStyle w:val="Heading2"/>
      </w:pPr>
      <w:r>
        <w:t xml:space="preserve">Article 5: Definitions and Interpretation</w:t>
      </w:r>
    </w:p>
    <w:p>
      <w:pPr>
        <w:pStyle w:val="Heading3"/>
      </w:pPr>
      <w:r>
        <w:t xml:space="preserve">5.1 Definitions</w:t>
      </w:r>
    </w:p>
    <w:p>
      <w:pPr/>
      <w:r>
        <w:t xml:space="preserve">For the purposes of this Accord, the following terms carry the meanings set forth below. Annex N restates these definitions together with the neutral terminology register of the Accord.</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3000"/>
        <w:gridCol w:w="6010"/>
      </w:tblGrid>
      <w:tr>
        <w:trPr>
          <w:tblHeader/>
        </w:trPr>
        <w:tc>
          <w:tcPr>
            <w:tcW w:w="3000" w:type="dxa"/>
            <w:tcBorders>
              <w:bottom w:val="single" w:color="546E7A" w:sz="6"/>
            </w:tcBorders>
            <w:shd w:val="clear" w:fill="E4E9EC"/>
          </w:tcPr>
          <w:p>
            <w:pPr>
              <w:spacing w:after="0" w:line="260" w:lineRule="auto"/>
              <w:jc w:val="left"/>
            </w:pPr>
            <w:r>
              <w:rPr>
                <w:rFonts w:ascii="Calibri" w:hAnsi="Calibri"/>
                <w:b/>
                <w:color w:val="37474F"/>
                <w:sz w:val="19"/>
              </w:rPr>
              <w:t xml:space="preserve">Term</w:t>
            </w:r>
          </w:p>
        </w:tc>
        <w:tc>
          <w:tcPr>
            <w:tcW w:w="6010" w:type="dxa"/>
            <w:tcBorders>
              <w:bottom w:val="single" w:color="546E7A" w:sz="6"/>
            </w:tcBorders>
            <w:shd w:val="clear" w:fill="E4E9EC"/>
          </w:tcPr>
          <w:p>
            <w:pPr>
              <w:spacing w:after="0" w:line="260" w:lineRule="auto"/>
              <w:jc w:val="left"/>
            </w:pPr>
            <w:r>
              <w:rPr>
                <w:rFonts w:ascii="Calibri" w:hAnsi="Calibri"/>
                <w:b/>
                <w:color w:val="37474F"/>
                <w:sz w:val="19"/>
              </w:rPr>
              <w:t xml:space="preserve">Definition</w:t>
            </w:r>
          </w:p>
        </w:tc>
      </w:tr>
      <w:tr>
        <w:tc>
          <w:tcPr>
            <w:tcW w:w="3000" w:type="dxa"/>
          </w:tcPr>
          <w:p>
            <w:pPr>
              <w:spacing w:after="0" w:line="260" w:lineRule="auto"/>
              <w:jc w:val="left"/>
            </w:pPr>
            <w:r>
              <w:rPr>
                <w:rFonts w:ascii="Calibri" w:hAnsi="Calibri"/>
                <w:color w:val="212121"/>
                <w:sz w:val="19"/>
              </w:rPr>
              <w:t xml:space="preserve">Accord</w:t>
            </w:r>
          </w:p>
        </w:tc>
        <w:tc>
          <w:tcPr>
            <w:tcW w:w="6010" w:type="dxa"/>
          </w:tcPr>
          <w:p>
            <w:pPr>
              <w:spacing w:after="0" w:line="260" w:lineRule="auto"/>
              <w:jc w:val="left"/>
            </w:pPr>
            <w:r>
              <w:rPr>
                <w:rFonts w:ascii="Calibri" w:hAnsi="Calibri"/>
                <w:color w:val="212121"/>
                <w:sz w:val="19"/>
              </w:rPr>
              <w:t xml:space="preserve">The Stillwater Accord, comprising the main body and Annexes A through T</w:t>
            </w:r>
          </w:p>
        </w:tc>
      </w:tr>
      <w:tr>
        <w:tc>
          <w:tcPr>
            <w:tcW w:w="3000" w:type="dxa"/>
          </w:tcPr>
          <w:p>
            <w:pPr>
              <w:spacing w:after="0" w:line="260" w:lineRule="auto"/>
              <w:jc w:val="left"/>
            </w:pPr>
            <w:r>
              <w:rPr>
                <w:rFonts w:ascii="Calibri" w:hAnsi="Calibri"/>
                <w:color w:val="212121"/>
                <w:sz w:val="19"/>
              </w:rPr>
              <w:t xml:space="preserve">Acceding Member</w:t>
            </w:r>
          </w:p>
        </w:tc>
        <w:tc>
          <w:tcPr>
            <w:tcW w:w="6010" w:type="dxa"/>
          </w:tcPr>
          <w:p>
            <w:pPr>
              <w:spacing w:after="0" w:line="260" w:lineRule="auto"/>
              <w:jc w:val="left"/>
            </w:pPr>
            <w:r>
              <w:rPr>
                <w:rFonts w:ascii="Calibri" w:hAnsi="Calibri"/>
                <w:color w:val="212121"/>
                <w:sz w:val="19"/>
              </w:rPr>
              <w:t xml:space="preserve">A Gulf littoral state that joins the Accord under Article 38: Saudi Arabia, Qatar, Bahrain, Kuwait, or Iraq</w:t>
            </w:r>
          </w:p>
        </w:tc>
      </w:tr>
      <w:tr>
        <w:tc>
          <w:tcPr>
            <w:tcW w:w="3000" w:type="dxa"/>
          </w:tcPr>
          <w:p>
            <w:pPr>
              <w:spacing w:after="0" w:line="260" w:lineRule="auto"/>
              <w:jc w:val="left"/>
            </w:pPr>
            <w:r>
              <w:rPr>
                <w:rFonts w:ascii="Calibri" w:hAnsi="Calibri"/>
                <w:color w:val="212121"/>
                <w:sz w:val="19"/>
              </w:rPr>
              <w:t xml:space="preserve">Exceptional circumstance</w:t>
            </w:r>
          </w:p>
        </w:tc>
        <w:tc>
          <w:tcPr>
            <w:tcW w:w="6010" w:type="dxa"/>
          </w:tcPr>
          <w:p>
            <w:pPr>
              <w:spacing w:after="0" w:line="260" w:lineRule="auto"/>
              <w:jc w:val="left"/>
            </w:pPr>
            <w:r>
              <w:rPr>
                <w:rFonts w:ascii="Calibri" w:hAnsi="Calibri"/>
                <w:color w:val="212121"/>
                <w:sz w:val="19"/>
              </w:rPr>
              <w:t xml:space="preserve">A condition outside the ordinary operating envelope that the text expressly names: a distress event, a Suspended Flow, a Protected Hold precursor hazard, a certified corridor closure, a degraded-mode activation under Article 26.6, or an institutional failure under Article 42; no other condition qualifies, and the term admits no discretionary extension</w:t>
            </w:r>
          </w:p>
        </w:tc>
      </w:tr>
      <w:tr>
        <w:tc>
          <w:tcPr>
            <w:tcW w:w="3000" w:type="dxa"/>
          </w:tcPr>
          <w:p>
            <w:pPr>
              <w:spacing w:after="0" w:line="260" w:lineRule="auto"/>
              <w:jc w:val="left"/>
            </w:pPr>
            <w:r>
              <w:rPr>
                <w:rFonts w:ascii="Calibri" w:hAnsi="Calibri"/>
                <w:color w:val="212121"/>
                <w:sz w:val="19"/>
              </w:rPr>
              <w:t xml:space="preserve">Anchor-and-Verify Protocol</w:t>
            </w:r>
          </w:p>
        </w:tc>
        <w:tc>
          <w:tcPr>
            <w:tcW w:w="6010" w:type="dxa"/>
          </w:tcPr>
          <w:p>
            <w:pPr>
              <w:spacing w:after="0" w:line="260" w:lineRule="auto"/>
              <w:jc w:val="left"/>
            </w:pPr>
            <w:r>
              <w:rPr>
                <w:rFonts w:ascii="Calibri" w:hAnsi="Calibri"/>
                <w:color w:val="212121"/>
                <w:sz w:val="19"/>
              </w:rPr>
              <w:t xml:space="preserve">The resolution-at-anchorage procedure of Article 9.5 for vessels with a documented, evidence-backed cargo or documentation question</w:t>
            </w:r>
          </w:p>
        </w:tc>
      </w:tr>
      <w:tr>
        <w:tc>
          <w:tcPr>
            <w:tcW w:w="3000" w:type="dxa"/>
          </w:tcPr>
          <w:p>
            <w:pPr>
              <w:spacing w:after="0" w:line="260" w:lineRule="auto"/>
              <w:jc w:val="left"/>
            </w:pPr>
            <w:r>
              <w:rPr>
                <w:rFonts w:ascii="Calibri" w:hAnsi="Calibri"/>
                <w:color w:val="212121"/>
                <w:sz w:val="19"/>
              </w:rPr>
              <w:t xml:space="preserve">Assurance Registry</w:t>
            </w:r>
          </w:p>
        </w:tc>
        <w:tc>
          <w:tcPr>
            <w:tcW w:w="6010" w:type="dxa"/>
          </w:tcPr>
          <w:p>
            <w:pPr>
              <w:spacing w:after="0" w:line="260" w:lineRule="auto"/>
              <w:jc w:val="left"/>
            </w:pPr>
            <w:r>
              <w:rPr>
                <w:rFonts w:ascii="Calibri" w:hAnsi="Calibri"/>
                <w:color w:val="212121"/>
                <w:sz w:val="19"/>
              </w:rPr>
              <w:t xml:space="preserve">The voluntary public listing of participating vessels, operators, insurers, and flag states described in Article 24.2</w:t>
            </w:r>
          </w:p>
        </w:tc>
      </w:tr>
      <w:tr>
        <w:tc>
          <w:tcPr>
            <w:tcW w:w="3000" w:type="dxa"/>
          </w:tcPr>
          <w:p>
            <w:pPr>
              <w:spacing w:after="0" w:line="260" w:lineRule="auto"/>
              <w:jc w:val="left"/>
            </w:pPr>
            <w:r>
              <w:rPr>
                <w:rFonts w:ascii="Calibri" w:hAnsi="Calibri"/>
                <w:color w:val="212121"/>
                <w:sz w:val="19"/>
              </w:rPr>
              <w:t xml:space="preserve">Convergence Standard</w:t>
            </w:r>
          </w:p>
        </w:tc>
        <w:tc>
          <w:tcPr>
            <w:tcW w:w="6010" w:type="dxa"/>
          </w:tcPr>
          <w:p>
            <w:pPr>
              <w:spacing w:after="0" w:line="260" w:lineRule="auto"/>
              <w:jc w:val="left"/>
            </w:pPr>
            <w:r>
              <w:rPr>
                <w:rFonts w:ascii="Calibri" w:hAnsi="Calibri"/>
                <w:color w:val="212121"/>
                <w:sz w:val="19"/>
              </w:rPr>
              <w:t xml:space="preserve">The rule, stated in Article 26.2, under which no verification finding rests on a single input</w:t>
            </w:r>
          </w:p>
        </w:tc>
      </w:tr>
      <w:tr>
        <w:tc>
          <w:tcPr>
            <w:tcW w:w="3000" w:type="dxa"/>
          </w:tcPr>
          <w:p>
            <w:pPr>
              <w:spacing w:after="0" w:line="260" w:lineRule="auto"/>
              <w:jc w:val="left"/>
            </w:pPr>
            <w:r>
              <w:rPr>
                <w:rFonts w:ascii="Calibri" w:hAnsi="Calibri"/>
                <w:color w:val="212121"/>
                <w:sz w:val="19"/>
              </w:rPr>
              <w:t xml:space="preserve">Corridor One</w:t>
            </w:r>
          </w:p>
        </w:tc>
        <w:tc>
          <w:tcPr>
            <w:tcW w:w="6010" w:type="dxa"/>
          </w:tcPr>
          <w:p>
            <w:pPr>
              <w:spacing w:after="0" w:line="260" w:lineRule="auto"/>
              <w:jc w:val="left"/>
            </w:pPr>
            <w:r>
              <w:rPr>
                <w:rFonts w:ascii="Calibri" w:hAnsi="Calibri"/>
                <w:color w:val="212121"/>
                <w:sz w:val="19"/>
              </w:rPr>
              <w:t xml:space="preserve">The Southern Assurance Corridor described in Article 8.2 and Annex A, routed through the territorial sea of Oman</w:t>
            </w:r>
          </w:p>
        </w:tc>
      </w:tr>
      <w:tr>
        <w:tc>
          <w:tcPr>
            <w:tcW w:w="3000" w:type="dxa"/>
          </w:tcPr>
          <w:p>
            <w:pPr>
              <w:spacing w:after="0" w:line="260" w:lineRule="auto"/>
              <w:jc w:val="left"/>
            </w:pPr>
            <w:r>
              <w:rPr>
                <w:rFonts w:ascii="Calibri" w:hAnsi="Calibri"/>
                <w:color w:val="212121"/>
                <w:sz w:val="19"/>
              </w:rPr>
              <w:t xml:space="preserve">Corridor Two</w:t>
            </w:r>
          </w:p>
        </w:tc>
        <w:tc>
          <w:tcPr>
            <w:tcW w:w="6010" w:type="dxa"/>
          </w:tcPr>
          <w:p>
            <w:pPr>
              <w:spacing w:after="0" w:line="260" w:lineRule="auto"/>
              <w:jc w:val="left"/>
            </w:pPr>
            <w:r>
              <w:rPr>
                <w:rFonts w:ascii="Calibri" w:hAnsi="Calibri"/>
                <w:color w:val="212121"/>
                <w:sz w:val="19"/>
              </w:rPr>
              <w:t xml:space="preserve">The Northern Coordination Corridor described in Article 8.3 and Annex A, routed through the territorial sea of Iran</w:t>
            </w:r>
          </w:p>
        </w:tc>
      </w:tr>
      <w:tr>
        <w:tc>
          <w:tcPr>
            <w:tcW w:w="3000" w:type="dxa"/>
          </w:tcPr>
          <w:p>
            <w:pPr>
              <w:spacing w:after="0" w:line="260" w:lineRule="auto"/>
              <w:jc w:val="left"/>
            </w:pPr>
            <w:r>
              <w:rPr>
                <w:rFonts w:ascii="Calibri" w:hAnsi="Calibri"/>
                <w:color w:val="212121"/>
                <w:sz w:val="19"/>
              </w:rPr>
              <w:t xml:space="preserve">Council or Stillwater Council</w:t>
            </w:r>
          </w:p>
        </w:tc>
        <w:tc>
          <w:tcPr>
            <w:tcW w:w="6010" w:type="dxa"/>
          </w:tcPr>
          <w:p>
            <w:pPr>
              <w:spacing w:after="0" w:line="260" w:lineRule="auto"/>
              <w:jc w:val="left"/>
            </w:pPr>
            <w:r>
              <w:rPr>
                <w:rFonts w:ascii="Calibri" w:hAnsi="Calibri"/>
                <w:color w:val="212121"/>
                <w:sz w:val="19"/>
              </w:rPr>
              <w:t xml:space="preserve">The governing council of the Accord described in Article 13</w:t>
            </w:r>
          </w:p>
        </w:tc>
      </w:tr>
      <w:tr>
        <w:tc>
          <w:tcPr>
            <w:tcW w:w="3000" w:type="dxa"/>
          </w:tcPr>
          <w:p>
            <w:pPr>
              <w:spacing w:after="0" w:line="260" w:lineRule="auto"/>
              <w:jc w:val="left"/>
            </w:pPr>
            <w:r>
              <w:rPr>
                <w:rFonts w:ascii="Calibri" w:hAnsi="Calibri"/>
                <w:color w:val="212121"/>
                <w:sz w:val="19"/>
              </w:rPr>
              <w:t xml:space="preserve">Flow State</w:t>
            </w:r>
          </w:p>
        </w:tc>
        <w:tc>
          <w:tcPr>
            <w:tcW w:w="6010" w:type="dxa"/>
          </w:tcPr>
          <w:p>
            <w:pPr>
              <w:spacing w:after="0" w:line="260" w:lineRule="auto"/>
              <w:jc w:val="left"/>
            </w:pPr>
            <w:r>
              <w:rPr>
                <w:rFonts w:ascii="Calibri" w:hAnsi="Calibri"/>
                <w:color w:val="212121"/>
                <w:sz w:val="19"/>
              </w:rPr>
              <w:t xml:space="preserve">The operating condition of a corridor: Free Flow, Managed Flow, or Suspended Flow, per Article 11.6</w:t>
            </w:r>
          </w:p>
        </w:tc>
      </w:tr>
      <w:tr>
        <w:tc>
          <w:tcPr>
            <w:tcW w:w="3000" w:type="dxa"/>
          </w:tcPr>
          <w:p>
            <w:pPr>
              <w:spacing w:after="0" w:line="260" w:lineRule="auto"/>
              <w:jc w:val="left"/>
            </w:pPr>
            <w:r>
              <w:rPr>
                <w:rFonts w:ascii="Calibri" w:hAnsi="Calibri"/>
                <w:color w:val="212121"/>
                <w:sz w:val="19"/>
              </w:rPr>
              <w:t xml:space="preserve">Founding Member</w:t>
            </w:r>
          </w:p>
        </w:tc>
        <w:tc>
          <w:tcPr>
            <w:tcW w:w="6010" w:type="dxa"/>
          </w:tcPr>
          <w:p>
            <w:pPr>
              <w:spacing w:after="0" w:line="260" w:lineRule="auto"/>
              <w:jc w:val="left"/>
            </w:pPr>
            <w:r>
              <w:rPr>
                <w:rFonts w:ascii="Calibri" w:hAnsi="Calibri"/>
                <w:color w:val="212121"/>
                <w:sz w:val="19"/>
              </w:rPr>
              <w:t xml:space="preserve">The Islamic Republic of Iran, the Sultanate of Oman, and the United Arab Emirates, together the Tripod</w:t>
            </w:r>
          </w:p>
        </w:tc>
      </w:tr>
      <w:tr>
        <w:tc>
          <w:tcPr>
            <w:tcW w:w="3000" w:type="dxa"/>
          </w:tcPr>
          <w:p>
            <w:pPr>
              <w:spacing w:after="0" w:line="260" w:lineRule="auto"/>
              <w:jc w:val="left"/>
            </w:pPr>
            <w:r>
              <w:rPr>
                <w:rFonts w:ascii="Calibri" w:hAnsi="Calibri"/>
                <w:color w:val="212121"/>
                <w:sz w:val="19"/>
              </w:rPr>
              <w:t xml:space="preserve">Humanitarian cargo</w:t>
            </w:r>
          </w:p>
        </w:tc>
        <w:tc>
          <w:tcPr>
            <w:tcW w:w="6010" w:type="dxa"/>
          </w:tcPr>
          <w:p>
            <w:pPr>
              <w:spacing w:after="0" w:line="260" w:lineRule="auto"/>
              <w:jc w:val="left"/>
            </w:pPr>
            <w:r>
              <w:rPr>
                <w:rFonts w:ascii="Calibri" w:hAnsi="Calibri"/>
                <w:color w:val="212121"/>
                <w:sz w:val="19"/>
              </w:rPr>
              <w:t xml:space="preserve">Food, medicine, medical equipment, and relief supplies consigned to civilian relief, together with the personnel and equipment of established humanitarian agencies, evidenced by a consignment note from such an agency or by the humanitarian marker in field 12 of the transit notice; the Neutral Keel Office verifies the marker on a sample basis, and misuse of the marker classifies as a Material Disruption</w:t>
            </w:r>
          </w:p>
        </w:tc>
      </w:tr>
      <w:tr>
        <w:tc>
          <w:tcPr>
            <w:tcW w:w="3000" w:type="dxa"/>
          </w:tcPr>
          <w:p>
            <w:pPr>
              <w:spacing w:after="0" w:line="260" w:lineRule="auto"/>
              <w:jc w:val="left"/>
            </w:pPr>
            <w:r>
              <w:rPr>
                <w:rFonts w:ascii="Calibri" w:hAnsi="Calibri"/>
                <w:color w:val="212121"/>
                <w:sz w:val="19"/>
              </w:rPr>
              <w:t xml:space="preserve">Governance Area</w:t>
            </w:r>
          </w:p>
        </w:tc>
        <w:tc>
          <w:tcPr>
            <w:tcW w:w="6010" w:type="dxa"/>
          </w:tcPr>
          <w:p>
            <w:pPr>
              <w:spacing w:after="0" w:line="260" w:lineRule="auto"/>
              <w:jc w:val="left"/>
            </w:pPr>
            <w:r>
              <w:rPr>
                <w:rFonts w:ascii="Calibri" w:hAnsi="Calibri"/>
                <w:color w:val="212121"/>
                <w:sz w:val="19"/>
              </w:rPr>
              <w:t xml:space="preserve">The maritime and air area bounded by the coordinates in Article 7.2 and Annex A</w:t>
            </w:r>
          </w:p>
        </w:tc>
      </w:tr>
      <w:tr>
        <w:tc>
          <w:tcPr>
            <w:tcW w:w="3000" w:type="dxa"/>
          </w:tcPr>
          <w:p>
            <w:pPr>
              <w:spacing w:after="0" w:line="260" w:lineRule="auto"/>
              <w:jc w:val="left"/>
            </w:pPr>
            <w:r>
              <w:rPr>
                <w:rFonts w:ascii="Calibri" w:hAnsi="Calibri"/>
                <w:color w:val="212121"/>
                <w:sz w:val="19"/>
              </w:rPr>
              <w:t xml:space="preserve">Guarantor and Facilitation Panel</w:t>
            </w:r>
          </w:p>
        </w:tc>
        <w:tc>
          <w:tcPr>
            <w:tcW w:w="6010" w:type="dxa"/>
          </w:tcPr>
          <w:p>
            <w:pPr>
              <w:spacing w:after="0" w:line="260" w:lineRule="auto"/>
              <w:jc w:val="left"/>
            </w:pPr>
            <w:r>
              <w:rPr>
                <w:rFonts w:ascii="Calibri" w:hAnsi="Calibri"/>
                <w:color w:val="212121"/>
                <w:sz w:val="19"/>
              </w:rPr>
              <w:t xml:space="preserve">The political assurance body described in Article 17</w:t>
            </w:r>
          </w:p>
        </w:tc>
      </w:tr>
      <w:tr>
        <w:tc>
          <w:tcPr>
            <w:tcW w:w="3000" w:type="dxa"/>
          </w:tcPr>
          <w:p>
            <w:pPr>
              <w:spacing w:after="0" w:line="260" w:lineRule="auto"/>
              <w:jc w:val="left"/>
            </w:pPr>
            <w:r>
              <w:rPr>
                <w:rFonts w:ascii="Calibri" w:hAnsi="Calibri"/>
                <w:color w:val="212121"/>
                <w:sz w:val="19"/>
              </w:rPr>
              <w:t xml:space="preserve">Human Anchor Method</w:t>
            </w:r>
          </w:p>
        </w:tc>
        <w:tc>
          <w:tcPr>
            <w:tcW w:w="6010" w:type="dxa"/>
          </w:tcPr>
          <w:p>
            <w:pPr>
              <w:spacing w:after="0" w:line="260" w:lineRule="auto"/>
              <w:jc w:val="left"/>
            </w:pPr>
            <w:r>
              <w:rPr>
                <w:rFonts w:ascii="Calibri" w:hAnsi="Calibri"/>
                <w:color w:val="212121"/>
                <w:sz w:val="19"/>
              </w:rPr>
              <w:t xml:space="preserve">The verification philosophy of Article 26</w:t>
            </w:r>
          </w:p>
        </w:tc>
      </w:tr>
      <w:tr>
        <w:tc>
          <w:tcPr>
            <w:tcW w:w="3000" w:type="dxa"/>
          </w:tcPr>
          <w:p>
            <w:pPr>
              <w:spacing w:after="0" w:line="260" w:lineRule="auto"/>
              <w:jc w:val="left"/>
            </w:pPr>
            <w:r>
              <w:rPr>
                <w:rFonts w:ascii="Calibri" w:hAnsi="Calibri"/>
                <w:color w:val="212121"/>
                <w:sz w:val="19"/>
              </w:rPr>
              <w:t xml:space="preserve">Independent Assurance Council</w:t>
            </w:r>
          </w:p>
        </w:tc>
        <w:tc>
          <w:tcPr>
            <w:tcW w:w="6010" w:type="dxa"/>
          </w:tcPr>
          <w:p>
            <w:pPr>
              <w:spacing w:after="0" w:line="260" w:lineRule="auto"/>
              <w:jc w:val="left"/>
            </w:pPr>
            <w:r>
              <w:rPr>
                <w:rFonts w:ascii="Calibri" w:hAnsi="Calibri"/>
                <w:color w:val="212121"/>
                <w:sz w:val="19"/>
              </w:rPr>
              <w:t xml:space="preserve">The body of five independent experts without government affiliation described in Article 18</w:t>
            </w:r>
          </w:p>
        </w:tc>
      </w:tr>
      <w:tr>
        <w:tc>
          <w:tcPr>
            <w:tcW w:w="3000" w:type="dxa"/>
          </w:tcPr>
          <w:p>
            <w:pPr>
              <w:spacing w:after="0" w:line="260" w:lineRule="auto"/>
              <w:jc w:val="left"/>
            </w:pPr>
            <w:r>
              <w:rPr>
                <w:rFonts w:ascii="Calibri" w:hAnsi="Calibri"/>
                <w:color w:val="212121"/>
                <w:sz w:val="19"/>
              </w:rPr>
              <w:t xml:space="preserve">Littoral Party</w:t>
            </w:r>
          </w:p>
        </w:tc>
        <w:tc>
          <w:tcPr>
            <w:tcW w:w="6010" w:type="dxa"/>
          </w:tcPr>
          <w:p>
            <w:pPr>
              <w:spacing w:after="0" w:line="260" w:lineRule="auto"/>
              <w:jc w:val="left"/>
            </w:pPr>
            <w:r>
              <w:rPr>
                <w:rFonts w:ascii="Calibri" w:hAnsi="Calibri"/>
                <w:color w:val="212121"/>
                <w:sz w:val="19"/>
              </w:rPr>
              <w:t xml:space="preserve">A Gulf state with coastline or sovereign waters in or adjacent to the Strait that holds membership under Article 13, whether as a Founding Member or an Acceding Member</w:t>
            </w:r>
          </w:p>
        </w:tc>
      </w:tr>
      <w:tr>
        <w:tc>
          <w:tcPr>
            <w:tcW w:w="3000" w:type="dxa"/>
          </w:tcPr>
          <w:p>
            <w:pPr>
              <w:spacing w:after="0" w:line="260" w:lineRule="auto"/>
              <w:jc w:val="left"/>
            </w:pPr>
            <w:r>
              <w:rPr>
                <w:rFonts w:ascii="Calibri" w:hAnsi="Calibri"/>
                <w:color w:val="212121"/>
                <w:sz w:val="19"/>
              </w:rPr>
              <w:t xml:space="preserve">Mediator of Record</w:t>
            </w:r>
          </w:p>
        </w:tc>
        <w:tc>
          <w:tcPr>
            <w:tcW w:w="6010" w:type="dxa"/>
          </w:tcPr>
          <w:p>
            <w:pPr>
              <w:spacing w:after="0" w:line="260" w:lineRule="auto"/>
              <w:jc w:val="left"/>
            </w:pPr>
            <w:r>
              <w:rPr>
                <w:rFonts w:ascii="Calibri" w:hAnsi="Calibri"/>
                <w:color w:val="212121"/>
                <w:sz w:val="19"/>
              </w:rPr>
              <w:t xml:space="preserve">The Sultanate of Oman</w:t>
            </w:r>
          </w:p>
        </w:tc>
      </w:tr>
      <w:tr>
        <w:tc>
          <w:tcPr>
            <w:tcW w:w="3000" w:type="dxa"/>
          </w:tcPr>
          <w:p>
            <w:pPr>
              <w:spacing w:after="0" w:line="260" w:lineRule="auto"/>
              <w:jc w:val="left"/>
            </w:pPr>
            <w:r>
              <w:rPr>
                <w:rFonts w:ascii="Calibri" w:hAnsi="Calibri"/>
                <w:color w:val="212121"/>
                <w:sz w:val="19"/>
              </w:rPr>
              <w:t xml:space="preserve">Meridian Operations Center (MOC)</w:t>
            </w:r>
          </w:p>
        </w:tc>
        <w:tc>
          <w:tcPr>
            <w:tcW w:w="6010" w:type="dxa"/>
          </w:tcPr>
          <w:p>
            <w:pPr>
              <w:spacing w:after="0" w:line="260" w:lineRule="auto"/>
              <w:jc w:val="left"/>
            </w:pPr>
            <w:r>
              <w:rPr>
                <w:rFonts w:ascii="Calibri" w:hAnsi="Calibri"/>
                <w:color w:val="212121"/>
                <w:sz w:val="19"/>
              </w:rPr>
              <w:t xml:space="preserve">The joint operations center described in Article 14, seated in Muscat with a mirror facility in Bandar Abbas</w:t>
            </w:r>
          </w:p>
        </w:tc>
      </w:tr>
      <w:tr>
        <w:tc>
          <w:tcPr>
            <w:tcW w:w="3000" w:type="dxa"/>
          </w:tcPr>
          <w:p>
            <w:pPr>
              <w:spacing w:after="0" w:line="260" w:lineRule="auto"/>
              <w:jc w:val="left"/>
            </w:pPr>
            <w:r>
              <w:rPr>
                <w:rFonts w:ascii="Calibri" w:hAnsi="Calibri"/>
                <w:color w:val="212121"/>
                <w:sz w:val="19"/>
              </w:rPr>
              <w:t xml:space="preserve">MOU</w:t>
            </w:r>
          </w:p>
        </w:tc>
        <w:tc>
          <w:tcPr>
            <w:tcW w:w="6010" w:type="dxa"/>
          </w:tcPr>
          <w:p>
            <w:pPr>
              <w:spacing w:after="0" w:line="260" w:lineRule="auto"/>
              <w:jc w:val="left"/>
            </w:pPr>
            <w:r>
              <w:rPr>
                <w:rFonts w:ascii="Calibri" w:hAnsi="Calibri"/>
                <w:color w:val="212121"/>
                <w:sz w:val="19"/>
              </w:rPr>
              <w:t xml:space="preserve">The Islamabad Memorandum of Understanding of 17 June 2026</w:t>
            </w:r>
          </w:p>
        </w:tc>
      </w:tr>
      <w:tr>
        <w:tc>
          <w:tcPr>
            <w:tcW w:w="3000" w:type="dxa"/>
          </w:tcPr>
          <w:p>
            <w:pPr>
              <w:spacing w:after="0" w:line="260" w:lineRule="auto"/>
              <w:jc w:val="left"/>
            </w:pPr>
            <w:r>
              <w:rPr>
                <w:rFonts w:ascii="Calibri" w:hAnsi="Calibri"/>
                <w:color w:val="212121"/>
                <w:sz w:val="19"/>
              </w:rPr>
              <w:t xml:space="preserve">Neutral Administrator</w:t>
            </w:r>
          </w:p>
        </w:tc>
        <w:tc>
          <w:tcPr>
            <w:tcW w:w="6010" w:type="dxa"/>
          </w:tcPr>
          <w:p>
            <w:pPr>
              <w:spacing w:after="0" w:line="260" w:lineRule="auto"/>
              <w:jc w:val="left"/>
            </w:pPr>
            <w:r>
              <w:rPr>
                <w:rFonts w:ascii="Calibri" w:hAnsi="Calibri"/>
                <w:color w:val="212121"/>
                <w:sz w:val="19"/>
              </w:rPr>
              <w:t xml:space="preserve">The Swiss Confederation, acting through the office described in Article 22.4</w:t>
            </w:r>
          </w:p>
        </w:tc>
      </w:tr>
      <w:tr>
        <w:tc>
          <w:tcPr>
            <w:tcW w:w="3000" w:type="dxa"/>
          </w:tcPr>
          <w:p>
            <w:pPr>
              <w:spacing w:after="0" w:line="260" w:lineRule="auto"/>
              <w:jc w:val="left"/>
            </w:pPr>
            <w:r>
              <w:rPr>
                <w:rFonts w:ascii="Calibri" w:hAnsi="Calibri"/>
                <w:color w:val="212121"/>
                <w:sz w:val="19"/>
              </w:rPr>
              <w:t xml:space="preserve">Neutral Keel Office</w:t>
            </w:r>
          </w:p>
        </w:tc>
        <w:tc>
          <w:tcPr>
            <w:tcW w:w="6010" w:type="dxa"/>
          </w:tcPr>
          <w:p>
            <w:pPr>
              <w:spacing w:after="0" w:line="260" w:lineRule="auto"/>
              <w:jc w:val="left"/>
            </w:pPr>
            <w:r>
              <w:rPr>
                <w:rFonts w:ascii="Calibri" w:hAnsi="Calibri"/>
                <w:color w:val="212121"/>
                <w:sz w:val="19"/>
              </w:rPr>
              <w:t xml:space="preserve">The standing verification and observer office described in Article 15</w:t>
            </w:r>
          </w:p>
        </w:tc>
      </w:tr>
      <w:tr>
        <w:tc>
          <w:tcPr>
            <w:tcW w:w="3000" w:type="dxa"/>
          </w:tcPr>
          <w:p>
            <w:pPr>
              <w:spacing w:after="0" w:line="260" w:lineRule="auto"/>
              <w:jc w:val="left"/>
            </w:pPr>
            <w:r>
              <w:rPr>
                <w:rFonts w:ascii="Calibri" w:hAnsi="Calibri"/>
                <w:color w:val="212121"/>
                <w:sz w:val="19"/>
              </w:rPr>
              <w:t xml:space="preserve">Nofade Guarantee</w:t>
            </w:r>
          </w:p>
        </w:tc>
        <w:tc>
          <w:tcPr>
            <w:tcW w:w="6010" w:type="dxa"/>
          </w:tcPr>
          <w:p>
            <w:pPr>
              <w:spacing w:after="0" w:line="260" w:lineRule="auto"/>
              <w:jc w:val="left"/>
            </w:pPr>
            <w:r>
              <w:rPr>
                <w:rFonts w:ascii="Calibri" w:hAnsi="Calibri"/>
                <w:color w:val="212121"/>
                <w:sz w:val="19"/>
              </w:rPr>
              <w:t xml:space="preserve">The continuity rule of Article 4</w:t>
            </w:r>
          </w:p>
        </w:tc>
      </w:tr>
      <w:tr>
        <w:tc>
          <w:tcPr>
            <w:tcW w:w="3000" w:type="dxa"/>
          </w:tcPr>
          <w:p>
            <w:pPr>
              <w:spacing w:after="0" w:line="260" w:lineRule="auto"/>
              <w:jc w:val="left"/>
            </w:pPr>
            <w:r>
              <w:rPr>
                <w:rFonts w:ascii="Calibri" w:hAnsi="Calibri"/>
                <w:color w:val="212121"/>
                <w:sz w:val="19"/>
              </w:rPr>
              <w:t xml:space="preserve">Operational disruption</w:t>
            </w:r>
          </w:p>
        </w:tc>
        <w:tc>
          <w:tcPr>
            <w:tcW w:w="6010" w:type="dxa"/>
          </w:tcPr>
          <w:p>
            <w:pPr>
              <w:spacing w:after="0" w:line="260" w:lineRule="auto"/>
              <w:jc w:val="left"/>
            </w:pPr>
            <w:r>
              <w:rPr>
                <w:rFonts w:ascii="Calibri" w:hAnsi="Calibri"/>
                <w:color w:val="212121"/>
                <w:sz w:val="19"/>
              </w:rPr>
              <w:t xml:space="preserve">An event that measurably degrades corridor operation: a lane closure exceeding 4 hours, a fall below 60 percent of the scheduled daily transit count, an acknowledgment latency exceeding 2 hours system-wide, or a Bulletin publication failure exceeding one cycle; the Center logs every operational disruption with its measured values, and the definition admits no discretionary extension</w:t>
            </w:r>
          </w:p>
        </w:tc>
      </w:tr>
      <w:tr>
        <w:tc>
          <w:tcPr>
            <w:tcW w:w="3000" w:type="dxa"/>
          </w:tcPr>
          <w:p>
            <w:pPr>
              <w:spacing w:after="0" w:line="260" w:lineRule="auto"/>
              <w:jc w:val="left"/>
            </w:pPr>
            <w:r>
              <w:rPr>
                <w:rFonts w:ascii="Calibri" w:hAnsi="Calibri"/>
                <w:color w:val="212121"/>
                <w:sz w:val="19"/>
              </w:rPr>
              <w:t xml:space="preserve">Observer State</w:t>
            </w:r>
          </w:p>
        </w:tc>
        <w:tc>
          <w:tcPr>
            <w:tcW w:w="6010" w:type="dxa"/>
          </w:tcPr>
          <w:p>
            <w:pPr>
              <w:spacing w:after="0" w:line="260" w:lineRule="auto"/>
              <w:jc w:val="left"/>
            </w:pPr>
            <w:r>
              <w:rPr>
                <w:rFonts w:ascii="Calibri" w:hAnsi="Calibri"/>
                <w:color w:val="212121"/>
                <w:sz w:val="19"/>
              </w:rPr>
              <w:t xml:space="preserve">A non-littoral state participating in the Accord under Article 19 without vote</w:t>
            </w:r>
          </w:p>
        </w:tc>
      </w:tr>
      <w:tr>
        <w:tc>
          <w:tcPr>
            <w:tcW w:w="3000" w:type="dxa"/>
          </w:tcPr>
          <w:p>
            <w:pPr>
              <w:spacing w:after="0" w:line="260" w:lineRule="auto"/>
              <w:jc w:val="left"/>
            </w:pPr>
            <w:r>
              <w:rPr>
                <w:rFonts w:ascii="Calibri" w:hAnsi="Calibri"/>
                <w:color w:val="212121"/>
                <w:sz w:val="19"/>
              </w:rPr>
              <w:t xml:space="preserve">Open Water Bulletin</w:t>
            </w:r>
          </w:p>
        </w:tc>
        <w:tc>
          <w:tcPr>
            <w:tcW w:w="6010" w:type="dxa"/>
          </w:tcPr>
          <w:p>
            <w:pPr>
              <w:spacing w:after="0" w:line="260" w:lineRule="auto"/>
              <w:jc w:val="left"/>
            </w:pPr>
            <w:r>
              <w:rPr>
                <w:rFonts w:ascii="Calibri" w:hAnsi="Calibri"/>
                <w:color w:val="212121"/>
                <w:sz w:val="19"/>
              </w:rPr>
              <w:t xml:space="preserve">The public status publication of the Accord described in Article 11.7</w:t>
            </w:r>
          </w:p>
        </w:tc>
      </w:tr>
      <w:tr>
        <w:tc>
          <w:tcPr>
            <w:tcW w:w="3000" w:type="dxa"/>
          </w:tcPr>
          <w:p>
            <w:pPr>
              <w:spacing w:after="0" w:line="260" w:lineRule="auto"/>
              <w:jc w:val="left"/>
            </w:pPr>
            <w:r>
              <w:rPr>
                <w:rFonts w:ascii="Calibri" w:hAnsi="Calibri"/>
                <w:color w:val="212121"/>
                <w:sz w:val="19"/>
              </w:rPr>
              <w:t xml:space="preserve">Performance Reserve</w:t>
            </w:r>
          </w:p>
        </w:tc>
        <w:tc>
          <w:tcPr>
            <w:tcW w:w="6010" w:type="dxa"/>
          </w:tcPr>
          <w:p>
            <w:pPr>
              <w:spacing w:after="0" w:line="260" w:lineRule="auto"/>
              <w:jc w:val="left"/>
            </w:pPr>
            <w:r>
              <w:rPr>
                <w:rFonts w:ascii="Calibri" w:hAnsi="Calibri"/>
                <w:color w:val="212121"/>
                <w:sz w:val="19"/>
              </w:rPr>
              <w:t xml:space="preserve">The banked record of over-compliance described in Article 31.6</w:t>
            </w:r>
          </w:p>
        </w:tc>
      </w:tr>
      <w:tr>
        <w:tc>
          <w:tcPr>
            <w:tcW w:w="3000" w:type="dxa"/>
          </w:tcPr>
          <w:p>
            <w:pPr>
              <w:spacing w:after="0" w:line="260" w:lineRule="auto"/>
              <w:jc w:val="left"/>
            </w:pPr>
            <w:r>
              <w:rPr>
                <w:rFonts w:ascii="Calibri" w:hAnsi="Calibri"/>
                <w:color w:val="212121"/>
                <w:sz w:val="19"/>
              </w:rPr>
              <w:t xml:space="preserve">Suspended Flow</w:t>
            </w:r>
          </w:p>
        </w:tc>
        <w:tc>
          <w:tcPr>
            <w:tcW w:w="6010" w:type="dxa"/>
          </w:tcPr>
          <w:p>
            <w:pPr>
              <w:spacing w:after="0" w:line="260" w:lineRule="auto"/>
              <w:jc w:val="left"/>
            </w:pPr>
            <w:r>
              <w:rPr>
                <w:rFonts w:ascii="Calibri" w:hAnsi="Calibri"/>
                <w:color w:val="212121"/>
                <w:sz w:val="19"/>
              </w:rPr>
              <w:t xml:space="preserve">The temporary, area-defined, time-limited safety state described in Article 11.6, formerly styled a hold</w:t>
            </w:r>
          </w:p>
        </w:tc>
      </w:tr>
      <w:tr>
        <w:tc>
          <w:tcPr>
            <w:tcW w:w="3000" w:type="dxa"/>
          </w:tcPr>
          <w:p>
            <w:pPr>
              <w:spacing w:after="0" w:line="260" w:lineRule="auto"/>
              <w:jc w:val="left"/>
            </w:pPr>
            <w:r>
              <w:rPr>
                <w:rFonts w:ascii="Calibri" w:hAnsi="Calibri"/>
                <w:color w:val="212121"/>
                <w:sz w:val="19"/>
              </w:rPr>
              <w:t xml:space="preserve">Red Line</w:t>
            </w:r>
          </w:p>
        </w:tc>
        <w:tc>
          <w:tcPr>
            <w:tcW w:w="6010" w:type="dxa"/>
          </w:tcPr>
          <w:p>
            <w:pPr>
              <w:spacing w:after="0" w:line="260" w:lineRule="auto"/>
              <w:jc w:val="left"/>
            </w:pPr>
            <w:r>
              <w:rPr>
                <w:rFonts w:ascii="Calibri" w:hAnsi="Calibri"/>
                <w:color w:val="212121"/>
                <w:sz w:val="19"/>
              </w:rPr>
              <w:t xml:space="preserve">A boundary condition registered in Annex I whose crossing the architecture structurally prevents</w:t>
            </w:r>
          </w:p>
        </w:tc>
      </w:tr>
      <w:tr>
        <w:tc>
          <w:tcPr>
            <w:tcW w:w="3000" w:type="dxa"/>
          </w:tcPr>
          <w:p>
            <w:pPr>
              <w:spacing w:after="0" w:line="260" w:lineRule="auto"/>
              <w:jc w:val="left"/>
            </w:pPr>
            <w:r>
              <w:rPr>
                <w:rFonts w:ascii="Calibri" w:hAnsi="Calibri"/>
                <w:color w:val="212121"/>
                <w:sz w:val="19"/>
              </w:rPr>
              <w:t xml:space="preserve">Stillwater Pause</w:t>
            </w:r>
          </w:p>
        </w:tc>
        <w:tc>
          <w:tcPr>
            <w:tcW w:w="6010" w:type="dxa"/>
          </w:tcPr>
          <w:p>
            <w:pPr>
              <w:spacing w:after="0" w:line="260" w:lineRule="auto"/>
              <w:jc w:val="left"/>
            </w:pPr>
            <w:r>
              <w:rPr>
                <w:rFonts w:ascii="Calibri" w:hAnsi="Calibri"/>
                <w:color w:val="212121"/>
                <w:sz w:val="19"/>
              </w:rPr>
              <w:t xml:space="preserve">The automatic pause-and-consult mechanism of Article 32</w:t>
            </w:r>
          </w:p>
        </w:tc>
      </w:tr>
      <w:tr>
        <w:tc>
          <w:tcPr>
            <w:tcW w:w="3000" w:type="dxa"/>
          </w:tcPr>
          <w:p>
            <w:pPr>
              <w:spacing w:after="0" w:line="260" w:lineRule="auto"/>
              <w:jc w:val="left"/>
            </w:pPr>
            <w:r>
              <w:rPr>
                <w:rFonts w:ascii="Calibri" w:hAnsi="Calibri"/>
                <w:color w:val="212121"/>
                <w:sz w:val="19"/>
              </w:rPr>
              <w:t xml:space="preserve">Transit Services Fund (TSF)</w:t>
            </w:r>
          </w:p>
        </w:tc>
        <w:tc>
          <w:tcPr>
            <w:tcW w:w="6010" w:type="dxa"/>
          </w:tcPr>
          <w:p>
            <w:pPr>
              <w:spacing w:after="0" w:line="260" w:lineRule="auto"/>
              <w:jc w:val="left"/>
            </w:pPr>
            <w:r>
              <w:rPr>
                <w:rFonts w:ascii="Calibri" w:hAnsi="Calibri"/>
                <w:color w:val="212121"/>
                <w:sz w:val="19"/>
              </w:rPr>
              <w:t xml:space="preserve">The multilateral fund described in Article 22 and Annex C</w:t>
            </w:r>
          </w:p>
        </w:tc>
      </w:tr>
      <w:tr>
        <w:tc>
          <w:tcPr>
            <w:tcW w:w="3000" w:type="dxa"/>
          </w:tcPr>
          <w:p>
            <w:pPr>
              <w:spacing w:after="0" w:line="260" w:lineRule="auto"/>
              <w:jc w:val="left"/>
            </w:pPr>
            <w:r>
              <w:rPr>
                <w:rFonts w:ascii="Calibri" w:hAnsi="Calibri"/>
                <w:color w:val="212121"/>
                <w:sz w:val="19"/>
              </w:rPr>
              <w:t xml:space="preserve">Twin Key Rule</w:t>
            </w:r>
          </w:p>
        </w:tc>
        <w:tc>
          <w:tcPr>
            <w:tcW w:w="6010" w:type="dxa"/>
          </w:tcPr>
          <w:p>
            <w:pPr>
              <w:spacing w:after="0" w:line="260" w:lineRule="auto"/>
              <w:jc w:val="left"/>
            </w:pPr>
            <w:r>
              <w:rPr>
                <w:rFonts w:ascii="Calibri" w:hAnsi="Calibri"/>
                <w:color w:val="212121"/>
                <w:sz w:val="19"/>
              </w:rPr>
              <w:t xml:space="preserve">The decision rule of Article 20.2 under which specified decisions carry the affirmative vote of Iran and of Oman</w:t>
            </w:r>
          </w:p>
        </w:tc>
      </w:tr>
      <w:tr>
        <w:tc>
          <w:tcPr>
            <w:tcW w:w="3000" w:type="dxa"/>
          </w:tcPr>
          <w:p>
            <w:pPr>
              <w:spacing w:after="0" w:line="260" w:lineRule="auto"/>
              <w:jc w:val="left"/>
            </w:pPr>
            <w:r>
              <w:rPr>
                <w:rFonts w:ascii="Calibri" w:hAnsi="Calibri"/>
                <w:color w:val="212121"/>
                <w:sz w:val="19"/>
              </w:rPr>
              <w:t xml:space="preserve">Verified service</w:t>
            </w:r>
          </w:p>
        </w:tc>
        <w:tc>
          <w:tcPr>
            <w:tcW w:w="6010" w:type="dxa"/>
          </w:tcPr>
          <w:p>
            <w:pPr>
              <w:spacing w:after="0" w:line="260" w:lineRule="auto"/>
              <w:jc w:val="left"/>
            </w:pPr>
            <w:r>
              <w:rPr>
                <w:rFonts w:ascii="Calibri" w:hAnsi="Calibri"/>
                <w:color w:val="212121"/>
                <w:sz w:val="19"/>
              </w:rPr>
              <w:t xml:space="preserve">A service listed in the Verified Services Catalog and evidenced by a complete service record under Article 23.2: the watch log entry, escorted window record, survey track, or aid-maintenance certificate, countersigned by the delivering state's officer and passing the Neutral Keel Office's quarterly cross-check; a service without a complete record is not a verified service and earns no reimbursement</w:t>
            </w:r>
          </w:p>
        </w:tc>
      </w:tr>
      <w:tr>
        <w:tc>
          <w:tcPr>
            <w:tcW w:w="3000" w:type="dxa"/>
          </w:tcPr>
          <w:p>
            <w:pPr>
              <w:spacing w:after="0" w:line="260" w:lineRule="auto"/>
              <w:jc w:val="left"/>
            </w:pPr>
            <w:r>
              <w:rPr>
                <w:rFonts w:ascii="Calibri" w:hAnsi="Calibri"/>
                <w:color w:val="212121"/>
                <w:sz w:val="19"/>
              </w:rPr>
              <w:t xml:space="preserve">Zero-Toll Rule</w:t>
            </w:r>
          </w:p>
        </w:tc>
        <w:tc>
          <w:tcPr>
            <w:tcW w:w="6010" w:type="dxa"/>
          </w:tcPr>
          <w:p>
            <w:pPr>
              <w:spacing w:after="0" w:line="260" w:lineRule="auto"/>
              <w:jc w:val="left"/>
            </w:pPr>
            <w:r>
              <w:rPr>
                <w:rFonts w:ascii="Calibri" w:hAnsi="Calibri"/>
                <w:color w:val="212121"/>
                <w:sz w:val="19"/>
              </w:rPr>
              <w:t xml:space="preserve">The rule of Article 21.1 under which no charge of any kind attaches to the act of transit</w:t>
            </w:r>
          </w:p>
        </w:tc>
      </w:tr>
    </w:tbl>
    <w:p>
      <w:pPr>
        <w:spacing w:after="60"/>
      </w:pPr>
    </w:p>
    <w:p>
      <w:pPr>
        <w:pStyle w:val="Caption"/>
      </w:pPr>
      <w:r>
        <w:t xml:space="preserve">Table 5.1: Defined terms</w:t>
      </w:r>
    </w:p>
    <w:p>
      <w:pPr>
        <w:pStyle w:val="Heading3"/>
      </w:pPr>
      <w:r>
        <w:t xml:space="preserve">5.2 Interpretation rules</w:t>
      </w:r>
    </w:p>
    <w:p>
      <w:pPr>
        <w:ind w:left="360"/>
      </w:pPr>
      <w:r>
        <w:t xml:space="preserve">1. Headings serve convenience only and do not affect interpretation.</w:t>
      </w:r>
    </w:p>
    <w:p>
      <w:pPr>
        <w:ind w:left="360"/>
      </w:pPr>
      <w:r>
        <w:t xml:space="preserve">2. The singular includes the plural and vice versa where context permits.</w:t>
      </w:r>
    </w:p>
    <w:p>
      <w:pPr>
        <w:ind w:left="360"/>
      </w:pPr>
      <w:r>
        <w:t xml:space="preserve">3. A reference to days means calendar days unless the text states working days.</w:t>
      </w:r>
    </w:p>
    <w:p>
      <w:pPr>
        <w:ind w:left="360"/>
      </w:pPr>
      <w:r>
        <w:t xml:space="preserve">4. All times are Coordinated Universal Time (UTC) unless the text states otherwise. The Meridian Operations Center publishes local-time conversions for operational users.</w:t>
      </w:r>
    </w:p>
    <w:p>
      <w:pPr>
        <w:ind w:left="360"/>
      </w:pPr>
      <w:r>
        <w:t xml:space="preserve">5. Coordinates use the World Geodetic System 1984 (WGS-84) datum. Positions in degrees and decimal minutes carry a precision of plus or minus 0.05 nautical miles.</w:t>
      </w:r>
    </w:p>
    <w:p>
      <w:pPr>
        <w:ind w:left="360"/>
      </w:pPr>
      <w:r>
        <w:t xml:space="preserve">6. Where this Accord states that an event activates, triggers, pauses, suspends, or restores a mechanism, the mechanism operates automatically at the moment the stated condition exists, without further decision, unless the text expressly assigns a human review step.</w:t>
      </w:r>
    </w:p>
    <w:p>
      <w:pPr>
        <w:ind w:left="360"/>
      </w:pPr>
      <w:r>
        <w:t xml:space="preserve">7. In case of conflict between the main body and an Annex, the main body prevails. In case of divergence among the Persian, Arabic, and English texts, the Stillwater Council adopts the shared meaning the negotiators intended and records that meaning in the Council minutes.</w:t>
      </w:r>
    </w:p>
    <w:p>
      <w:pPr>
        <w:ind w:left="360"/>
      </w:pPr>
      <w:r>
        <w:t xml:space="preserve">8. The Nofade Guarantee resolves every doubt about duration in favor of continuity. The mutual-architecture principle resolves every doubt about the incidence of a prohibition in favor of equal application to all Parties.</w:t>
      </w:r>
    </w:p>
    <w:p>
      <w:pPr>
        <w:ind w:left="360"/>
      </w:pPr>
      <w:r>
        <w:t xml:space="preserve">9. The interpretation never defeats the purpose. A reading that hollows out the Zero-Toll Rule, the Non-Interdiction Protocol, the humanitarian absolute, the Nofade Guarantee, or the multilateral balance principle is an incorrect reading.</w:t>
      </w:r>
    </w:p>
    <w:p>
      <w:pPr>
        <w:pStyle w:val="Heading2"/>
      </w:pPr>
      <w:r>
        <w:t xml:space="preserve">Article 6: The Red Lines Register and the Perimeter Test</w:t>
      </w:r>
    </w:p>
    <w:p>
      <w:pPr>
        <w:pStyle w:val="Heading3"/>
      </w:pPr>
      <w:r>
        <w:t xml:space="preserve">6.1 Purpose and method</w:t>
      </w:r>
    </w:p>
    <w:p>
      <w:pPr/>
      <w:r>
        <w:t xml:space="preserve">The Parties negotiate in the open about everything except the lines each treats as untouchable. The Red Lines Register of Annex I names those lines once, precisely, and the architecture then guards them automatically. Each entry states the line in neutral terms, names the interest it protects, and identifies the architectural safeguard that holds the line without daily political effort. The Register binds the framework, not the negotiators' rhetoric: a public statement outside the Register carries no operative weight inside the Accord.</w:t>
      </w:r>
    </w:p>
    <w:p>
      <w:pPr>
        <w:pStyle w:val="Heading3"/>
      </w:pPr>
      <w:r>
        <w:t xml:space="preserve">6.2 The Register in summary</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3003"/>
        <w:gridCol w:w="3003"/>
        <w:gridCol w:w="3004"/>
      </w:tblGrid>
      <w:tr>
        <w:trPr>
          <w:tblHeader/>
        </w:trPr>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Ref</w:t>
            </w:r>
          </w:p>
        </w:tc>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Line (summary)</w:t>
            </w:r>
          </w:p>
        </w:tc>
        <w:tc>
          <w:tcPr>
            <w:tcW w:w="3004" w:type="dxa"/>
            <w:tcBorders>
              <w:bottom w:val="single" w:color="546E7A" w:sz="6"/>
            </w:tcBorders>
            <w:shd w:val="clear" w:fill="E4E9EC"/>
          </w:tcPr>
          <w:p>
            <w:pPr>
              <w:spacing w:after="0" w:line="260" w:lineRule="auto"/>
              <w:jc w:val="left"/>
            </w:pPr>
            <w:r>
              <w:rPr>
                <w:rFonts w:ascii="Calibri" w:hAnsi="Calibri"/>
                <w:b/>
                <w:color w:val="37474F"/>
                <w:sz w:val="19"/>
              </w:rPr>
              <w:t xml:space="preserve">Architectural safeguard</w:t>
            </w:r>
          </w:p>
        </w:tc>
      </w:tr>
      <w:tr>
        <w:tc>
          <w:tcPr>
            <w:tcW w:w="3003" w:type="dxa"/>
          </w:tcPr>
          <w:p>
            <w:pPr>
              <w:spacing w:after="0" w:line="260" w:lineRule="auto"/>
              <w:jc w:val="left"/>
            </w:pPr>
            <w:r>
              <w:rPr>
                <w:rFonts w:ascii="Calibri" w:hAnsi="Calibri"/>
                <w:color w:val="212121"/>
                <w:sz w:val="19"/>
              </w:rPr>
              <w:t xml:space="preserve">RL-1</w:t>
            </w:r>
          </w:p>
        </w:tc>
        <w:tc>
          <w:tcPr>
            <w:tcW w:w="3003" w:type="dxa"/>
          </w:tcPr>
          <w:p>
            <w:pPr>
              <w:spacing w:after="0" w:line="260" w:lineRule="auto"/>
              <w:jc w:val="left"/>
            </w:pPr>
            <w:r>
              <w:rPr>
                <w:rFonts w:ascii="Calibri" w:hAnsi="Calibri"/>
                <w:color w:val="212121"/>
                <w:sz w:val="19"/>
              </w:rPr>
              <w:t xml:space="preserve">No charge of any kind attaches to the act of transit</w:t>
            </w:r>
          </w:p>
        </w:tc>
        <w:tc>
          <w:tcPr>
            <w:tcW w:w="3004" w:type="dxa"/>
          </w:tcPr>
          <w:p>
            <w:pPr>
              <w:spacing w:after="0" w:line="260" w:lineRule="auto"/>
              <w:jc w:val="left"/>
            </w:pPr>
            <w:r>
              <w:rPr>
                <w:rFonts w:ascii="Calibri" w:hAnsi="Calibri"/>
                <w:color w:val="212121"/>
                <w:sz w:val="19"/>
              </w:rPr>
              <w:t xml:space="preserve">Zero-Toll Rule, Article 21</w:t>
            </w:r>
          </w:p>
        </w:tc>
      </w:tr>
      <w:tr>
        <w:tc>
          <w:tcPr>
            <w:tcW w:w="3003" w:type="dxa"/>
          </w:tcPr>
          <w:p>
            <w:pPr>
              <w:spacing w:after="0" w:line="260" w:lineRule="auto"/>
              <w:jc w:val="left"/>
            </w:pPr>
            <w:r>
              <w:rPr>
                <w:rFonts w:ascii="Calibri" w:hAnsi="Calibri"/>
                <w:color w:val="212121"/>
                <w:sz w:val="19"/>
              </w:rPr>
              <w:t xml:space="preserve">RL-2</w:t>
            </w:r>
          </w:p>
        </w:tc>
        <w:tc>
          <w:tcPr>
            <w:tcW w:w="3003" w:type="dxa"/>
          </w:tcPr>
          <w:p>
            <w:pPr>
              <w:spacing w:after="0" w:line="260" w:lineRule="auto"/>
              <w:jc w:val="left"/>
            </w:pPr>
            <w:r>
              <w:rPr>
                <w:rFonts w:ascii="Calibri" w:hAnsi="Calibri"/>
                <w:color w:val="212121"/>
                <w:sz w:val="19"/>
              </w:rPr>
              <w:t xml:space="preserve">The Southern Assurance Corridor transits unconditionally</w:t>
            </w:r>
          </w:p>
        </w:tc>
        <w:tc>
          <w:tcPr>
            <w:tcW w:w="3004" w:type="dxa"/>
          </w:tcPr>
          <w:p>
            <w:pPr>
              <w:spacing w:after="0" w:line="260" w:lineRule="auto"/>
              <w:jc w:val="left"/>
            </w:pPr>
            <w:r>
              <w:rPr>
                <w:rFonts w:ascii="Calibri" w:hAnsi="Calibri"/>
                <w:color w:val="212121"/>
                <w:sz w:val="19"/>
              </w:rPr>
              <w:t xml:space="preserve">Article 8.2; no notification layer</w:t>
            </w:r>
          </w:p>
        </w:tc>
      </w:tr>
      <w:tr>
        <w:tc>
          <w:tcPr>
            <w:tcW w:w="3003" w:type="dxa"/>
          </w:tcPr>
          <w:p>
            <w:pPr>
              <w:spacing w:after="0" w:line="260" w:lineRule="auto"/>
              <w:jc w:val="left"/>
            </w:pPr>
            <w:r>
              <w:rPr>
                <w:rFonts w:ascii="Calibri" w:hAnsi="Calibri"/>
                <w:color w:val="212121"/>
                <w:sz w:val="19"/>
              </w:rPr>
              <w:t xml:space="preserve">RL-3</w:t>
            </w:r>
          </w:p>
        </w:tc>
        <w:tc>
          <w:tcPr>
            <w:tcW w:w="3003" w:type="dxa"/>
          </w:tcPr>
          <w:p>
            <w:pPr>
              <w:spacing w:after="0" w:line="260" w:lineRule="auto"/>
              <w:jc w:val="left"/>
            </w:pPr>
            <w:r>
              <w:rPr>
                <w:rFonts w:ascii="Calibri" w:hAnsi="Calibri"/>
                <w:color w:val="212121"/>
                <w:sz w:val="19"/>
              </w:rPr>
              <w:t xml:space="preserve">The northern littoral holds a recognized, formal management role</w:t>
            </w:r>
          </w:p>
        </w:tc>
        <w:tc>
          <w:tcPr>
            <w:tcW w:w="3004" w:type="dxa"/>
          </w:tcPr>
          <w:p>
            <w:pPr>
              <w:spacing w:after="0" w:line="260" w:lineRule="auto"/>
              <w:jc w:val="left"/>
            </w:pPr>
            <w:r>
              <w:rPr>
                <w:rFonts w:ascii="Calibri" w:hAnsi="Calibri"/>
                <w:color w:val="212121"/>
                <w:sz w:val="19"/>
              </w:rPr>
              <w:t xml:space="preserve">Article 8.4; co-equal seats everywhere</w:t>
            </w:r>
          </w:p>
        </w:tc>
      </w:tr>
      <w:tr>
        <w:tc>
          <w:tcPr>
            <w:tcW w:w="3003" w:type="dxa"/>
          </w:tcPr>
          <w:p>
            <w:pPr>
              <w:spacing w:after="0" w:line="260" w:lineRule="auto"/>
              <w:jc w:val="left"/>
            </w:pPr>
            <w:r>
              <w:rPr>
                <w:rFonts w:ascii="Calibri" w:hAnsi="Calibri"/>
                <w:color w:val="212121"/>
                <w:sz w:val="19"/>
              </w:rPr>
              <w:t xml:space="preserve">RL-4</w:t>
            </w:r>
          </w:p>
        </w:tc>
        <w:tc>
          <w:tcPr>
            <w:tcW w:w="3003" w:type="dxa"/>
          </w:tcPr>
          <w:p>
            <w:pPr>
              <w:spacing w:after="0" w:line="260" w:lineRule="auto"/>
              <w:jc w:val="left"/>
            </w:pPr>
            <w:r>
              <w:rPr>
                <w:rFonts w:ascii="Calibri" w:hAnsi="Calibri"/>
                <w:color w:val="212121"/>
                <w:sz w:val="19"/>
              </w:rPr>
              <w:t xml:space="preserve">No permission regime operates anywhere in the Accord</w:t>
            </w:r>
          </w:p>
        </w:tc>
        <w:tc>
          <w:tcPr>
            <w:tcW w:w="3004" w:type="dxa"/>
          </w:tcPr>
          <w:p>
            <w:pPr>
              <w:spacing w:after="0" w:line="260" w:lineRule="auto"/>
              <w:jc w:val="left"/>
            </w:pPr>
            <w:r>
              <w:rPr>
                <w:rFonts w:ascii="Calibri" w:hAnsi="Calibri"/>
                <w:color w:val="212121"/>
                <w:sz w:val="19"/>
              </w:rPr>
              <w:t xml:space="preserve">Notification-only rule, Article 8.3</w:t>
            </w:r>
          </w:p>
        </w:tc>
      </w:tr>
      <w:tr>
        <w:tc>
          <w:tcPr>
            <w:tcW w:w="3003" w:type="dxa"/>
          </w:tcPr>
          <w:p>
            <w:pPr>
              <w:spacing w:after="0" w:line="260" w:lineRule="auto"/>
              <w:jc w:val="left"/>
            </w:pPr>
            <w:r>
              <w:rPr>
                <w:rFonts w:ascii="Calibri" w:hAnsi="Calibri"/>
                <w:color w:val="212121"/>
                <w:sz w:val="19"/>
              </w:rPr>
              <w:t xml:space="preserve">RL-5</w:t>
            </w:r>
          </w:p>
        </w:tc>
        <w:tc>
          <w:tcPr>
            <w:tcW w:w="3003" w:type="dxa"/>
          </w:tcPr>
          <w:p>
            <w:pPr>
              <w:spacing w:after="0" w:line="260" w:lineRule="auto"/>
              <w:jc w:val="left"/>
            </w:pPr>
            <w:r>
              <w:rPr>
                <w:rFonts w:ascii="Calibri" w:hAnsi="Calibri"/>
                <w:color w:val="212121"/>
                <w:sz w:val="19"/>
              </w:rPr>
              <w:t xml:space="preserve">No boarding, diversion, seizure, or inspection occurs inside a corridor</w:t>
            </w:r>
          </w:p>
        </w:tc>
        <w:tc>
          <w:tcPr>
            <w:tcW w:w="3004" w:type="dxa"/>
          </w:tcPr>
          <w:p>
            <w:pPr>
              <w:spacing w:after="0" w:line="260" w:lineRule="auto"/>
              <w:jc w:val="left"/>
            </w:pPr>
            <w:r>
              <w:rPr>
                <w:rFonts w:ascii="Calibri" w:hAnsi="Calibri"/>
                <w:color w:val="212121"/>
                <w:sz w:val="19"/>
              </w:rPr>
              <w:t xml:space="preserve">Non-Interdiction Protocol, Article 10.2</w:t>
            </w:r>
          </w:p>
        </w:tc>
      </w:tr>
      <w:tr>
        <w:tc>
          <w:tcPr>
            <w:tcW w:w="3003" w:type="dxa"/>
          </w:tcPr>
          <w:p>
            <w:pPr>
              <w:spacing w:after="0" w:line="260" w:lineRule="auto"/>
              <w:jc w:val="left"/>
            </w:pPr>
            <w:r>
              <w:rPr>
                <w:rFonts w:ascii="Calibri" w:hAnsi="Calibri"/>
                <w:color w:val="212121"/>
                <w:sz w:val="19"/>
              </w:rPr>
              <w:t xml:space="preserve">RL-6</w:t>
            </w:r>
          </w:p>
        </w:tc>
        <w:tc>
          <w:tcPr>
            <w:tcW w:w="3003" w:type="dxa"/>
          </w:tcPr>
          <w:p>
            <w:pPr>
              <w:spacing w:after="0" w:line="260" w:lineRule="auto"/>
              <w:jc w:val="left"/>
            </w:pPr>
            <w:r>
              <w:rPr>
                <w:rFonts w:ascii="Calibri" w:hAnsi="Calibri"/>
                <w:color w:val="212121"/>
                <w:sz w:val="19"/>
              </w:rPr>
              <w:t xml:space="preserve">Operational bodies of the Accord remain civilian</w:t>
            </w:r>
          </w:p>
        </w:tc>
        <w:tc>
          <w:tcPr>
            <w:tcW w:w="3004" w:type="dxa"/>
          </w:tcPr>
          <w:p>
            <w:pPr>
              <w:spacing w:after="0" w:line="260" w:lineRule="auto"/>
              <w:jc w:val="left"/>
            </w:pPr>
            <w:r>
              <w:rPr>
                <w:rFonts w:ascii="Calibri" w:hAnsi="Calibri"/>
                <w:color w:val="212121"/>
                <w:sz w:val="19"/>
              </w:rPr>
              <w:t xml:space="preserve">Civilian Character Clause, Article 14.6</w:t>
            </w:r>
          </w:p>
        </w:tc>
      </w:tr>
      <w:tr>
        <w:tc>
          <w:tcPr>
            <w:tcW w:w="3003" w:type="dxa"/>
          </w:tcPr>
          <w:p>
            <w:pPr>
              <w:spacing w:after="0" w:line="260" w:lineRule="auto"/>
              <w:jc w:val="left"/>
            </w:pPr>
            <w:r>
              <w:rPr>
                <w:rFonts w:ascii="Calibri" w:hAnsi="Calibri"/>
                <w:color w:val="212121"/>
                <w:sz w:val="19"/>
              </w:rPr>
              <w:t xml:space="preserve">RL-7</w:t>
            </w:r>
          </w:p>
        </w:tc>
        <w:tc>
          <w:tcPr>
            <w:tcW w:w="3003" w:type="dxa"/>
          </w:tcPr>
          <w:p>
            <w:pPr>
              <w:spacing w:after="0" w:line="260" w:lineRule="auto"/>
              <w:jc w:val="left"/>
            </w:pPr>
            <w:r>
              <w:rPr>
                <w:rFonts w:ascii="Calibri" w:hAnsi="Calibri"/>
                <w:color w:val="212121"/>
                <w:sz w:val="19"/>
              </w:rPr>
              <w:t xml:space="preserve">No shipper pays any Party directly for anything</w:t>
            </w:r>
          </w:p>
        </w:tc>
        <w:tc>
          <w:tcPr>
            <w:tcW w:w="3004" w:type="dxa"/>
          </w:tcPr>
          <w:p>
            <w:pPr>
              <w:spacing w:after="0" w:line="260" w:lineRule="auto"/>
              <w:jc w:val="left"/>
            </w:pPr>
            <w:r>
              <w:rPr>
                <w:rFonts w:ascii="Calibri" w:hAnsi="Calibri"/>
                <w:color w:val="212121"/>
                <w:sz w:val="19"/>
              </w:rPr>
              <w:t xml:space="preserve">Sanctions-Compliance Firewall, Article 25.4</w:t>
            </w:r>
          </w:p>
        </w:tc>
      </w:tr>
      <w:tr>
        <w:tc>
          <w:tcPr>
            <w:tcW w:w="3003" w:type="dxa"/>
          </w:tcPr>
          <w:p>
            <w:pPr>
              <w:spacing w:after="0" w:line="260" w:lineRule="auto"/>
              <w:jc w:val="left"/>
            </w:pPr>
            <w:r>
              <w:rPr>
                <w:rFonts w:ascii="Calibri" w:hAnsi="Calibri"/>
                <w:color w:val="212121"/>
                <w:sz w:val="19"/>
              </w:rPr>
              <w:t xml:space="preserve">RL-8</w:t>
            </w:r>
          </w:p>
        </w:tc>
        <w:tc>
          <w:tcPr>
            <w:tcW w:w="3003" w:type="dxa"/>
          </w:tcPr>
          <w:p>
            <w:pPr>
              <w:spacing w:after="0" w:line="260" w:lineRule="auto"/>
              <w:jc w:val="left"/>
            </w:pPr>
            <w:r>
              <w:rPr>
                <w:rFonts w:ascii="Calibri" w:hAnsi="Calibri"/>
                <w:color w:val="212121"/>
                <w:sz w:val="19"/>
              </w:rPr>
              <w:t xml:space="preserve">Each Party's sovereignty over its own waters stands intact</w:t>
            </w:r>
          </w:p>
        </w:tc>
        <w:tc>
          <w:tcPr>
            <w:tcW w:w="3004" w:type="dxa"/>
          </w:tcPr>
          <w:p>
            <w:pPr>
              <w:spacing w:after="0" w:line="260" w:lineRule="auto"/>
              <w:jc w:val="left"/>
            </w:pPr>
            <w:r>
              <w:rPr>
                <w:rFonts w:ascii="Calibri" w:hAnsi="Calibri"/>
                <w:color w:val="212121"/>
                <w:sz w:val="19"/>
              </w:rPr>
              <w:t xml:space="preserve">Articles 1.3, 2.6; the no-prejudice rule</w:t>
            </w:r>
          </w:p>
        </w:tc>
      </w:tr>
      <w:tr>
        <w:tc>
          <w:tcPr>
            <w:tcW w:w="3003" w:type="dxa"/>
          </w:tcPr>
          <w:p>
            <w:pPr>
              <w:spacing w:after="0" w:line="260" w:lineRule="auto"/>
              <w:jc w:val="left"/>
            </w:pPr>
            <w:r>
              <w:rPr>
                <w:rFonts w:ascii="Calibri" w:hAnsi="Calibri"/>
                <w:color w:val="212121"/>
                <w:sz w:val="19"/>
              </w:rPr>
              <w:t xml:space="preserve">RL-9</w:t>
            </w:r>
          </w:p>
        </w:tc>
        <w:tc>
          <w:tcPr>
            <w:tcW w:w="3003" w:type="dxa"/>
          </w:tcPr>
          <w:p>
            <w:pPr>
              <w:spacing w:after="0" w:line="260" w:lineRule="auto"/>
              <w:jc w:val="left"/>
            </w:pPr>
            <w:r>
              <w:rPr>
                <w:rFonts w:ascii="Calibri" w:hAnsi="Calibri"/>
                <w:color w:val="212121"/>
                <w:sz w:val="19"/>
              </w:rPr>
              <w:t xml:space="preserve">No commitment expires silently</w:t>
            </w:r>
          </w:p>
        </w:tc>
        <w:tc>
          <w:tcPr>
            <w:tcW w:w="3004" w:type="dxa"/>
          </w:tcPr>
          <w:p>
            <w:pPr>
              <w:spacing w:after="0" w:line="260" w:lineRule="auto"/>
              <w:jc w:val="left"/>
            </w:pPr>
            <w:r>
              <w:rPr>
                <w:rFonts w:ascii="Calibri" w:hAnsi="Calibri"/>
                <w:color w:val="212121"/>
                <w:sz w:val="19"/>
              </w:rPr>
              <w:t xml:space="preserve">Nofade Guarantee, Article 4</w:t>
            </w:r>
          </w:p>
        </w:tc>
      </w:tr>
      <w:tr>
        <w:tc>
          <w:tcPr>
            <w:tcW w:w="3003" w:type="dxa"/>
          </w:tcPr>
          <w:p>
            <w:pPr>
              <w:spacing w:after="0" w:line="260" w:lineRule="auto"/>
              <w:jc w:val="left"/>
            </w:pPr>
            <w:r>
              <w:rPr>
                <w:rFonts w:ascii="Calibri" w:hAnsi="Calibri"/>
                <w:color w:val="212121"/>
                <w:sz w:val="19"/>
              </w:rPr>
              <w:t xml:space="preserve">RL-10</w:t>
            </w:r>
          </w:p>
        </w:tc>
        <w:tc>
          <w:tcPr>
            <w:tcW w:w="3003" w:type="dxa"/>
          </w:tcPr>
          <w:p>
            <w:pPr>
              <w:spacing w:after="0" w:line="260" w:lineRule="auto"/>
              <w:jc w:val="left"/>
            </w:pPr>
            <w:r>
              <w:rPr>
                <w:rFonts w:ascii="Calibri" w:hAnsi="Calibri"/>
                <w:color w:val="212121"/>
                <w:sz w:val="19"/>
              </w:rPr>
              <w:t xml:space="preserve">Humanitarian traffic moves in every flow state</w:t>
            </w:r>
          </w:p>
        </w:tc>
        <w:tc>
          <w:tcPr>
            <w:tcW w:w="3004" w:type="dxa"/>
          </w:tcPr>
          <w:p>
            <w:pPr>
              <w:spacing w:after="0" w:line="260" w:lineRule="auto"/>
              <w:jc w:val="left"/>
            </w:pPr>
            <w:r>
              <w:rPr>
                <w:rFonts w:ascii="Calibri" w:hAnsi="Calibri"/>
                <w:color w:val="212121"/>
                <w:sz w:val="19"/>
              </w:rPr>
              <w:t xml:space="preserve">Humanitarian absolute, Articles 3 and 31.4</w:t>
            </w:r>
          </w:p>
        </w:tc>
      </w:tr>
      <w:tr>
        <w:tc>
          <w:tcPr>
            <w:tcW w:w="3003" w:type="dxa"/>
          </w:tcPr>
          <w:p>
            <w:pPr>
              <w:spacing w:after="0" w:line="260" w:lineRule="auto"/>
              <w:jc w:val="left"/>
            </w:pPr>
            <w:r>
              <w:rPr>
                <w:rFonts w:ascii="Calibri" w:hAnsi="Calibri"/>
                <w:color w:val="212121"/>
                <w:sz w:val="19"/>
              </w:rPr>
              <w:t xml:space="preserve">RL-11</w:t>
            </w:r>
          </w:p>
        </w:tc>
        <w:tc>
          <w:tcPr>
            <w:tcW w:w="3003" w:type="dxa"/>
          </w:tcPr>
          <w:p>
            <w:pPr>
              <w:spacing w:after="0" w:line="260" w:lineRule="auto"/>
              <w:jc w:val="left"/>
            </w:pPr>
            <w:r>
              <w:rPr>
                <w:rFonts w:ascii="Calibri" w:hAnsi="Calibri"/>
                <w:color w:val="212121"/>
                <w:sz w:val="19"/>
              </w:rPr>
              <w:t xml:space="preserve">Verification never humiliates: findings rest on two independent inputs</w:t>
            </w:r>
          </w:p>
        </w:tc>
        <w:tc>
          <w:tcPr>
            <w:tcW w:w="3004" w:type="dxa"/>
          </w:tcPr>
          <w:p>
            <w:pPr>
              <w:spacing w:after="0" w:line="260" w:lineRule="auto"/>
              <w:jc w:val="left"/>
            </w:pPr>
            <w:r>
              <w:rPr>
                <w:rFonts w:ascii="Calibri" w:hAnsi="Calibri"/>
                <w:color w:val="212121"/>
                <w:sz w:val="19"/>
              </w:rPr>
              <w:t xml:space="preserve">Convergence Standard, Article 26.2</w:t>
            </w:r>
          </w:p>
        </w:tc>
      </w:tr>
      <w:tr>
        <w:tc>
          <w:tcPr>
            <w:tcW w:w="3003" w:type="dxa"/>
          </w:tcPr>
          <w:p>
            <w:pPr>
              <w:spacing w:after="0" w:line="260" w:lineRule="auto"/>
              <w:jc w:val="left"/>
            </w:pPr>
            <w:r>
              <w:rPr>
                <w:rFonts w:ascii="Calibri" w:hAnsi="Calibri"/>
                <w:color w:val="212121"/>
                <w:sz w:val="19"/>
              </w:rPr>
              <w:t xml:space="preserve">RL-12</w:t>
            </w:r>
          </w:p>
        </w:tc>
        <w:tc>
          <w:tcPr>
            <w:tcW w:w="3003" w:type="dxa"/>
          </w:tcPr>
          <w:p>
            <w:pPr>
              <w:spacing w:after="0" w:line="260" w:lineRule="auto"/>
              <w:jc w:val="left"/>
            </w:pPr>
            <w:r>
              <w:rPr>
                <w:rFonts w:ascii="Calibri" w:hAnsi="Calibri"/>
                <w:color w:val="212121"/>
                <w:sz w:val="19"/>
              </w:rPr>
              <w:t xml:space="preserve">Accord assets never support kinetic action by any actor</w:t>
            </w:r>
          </w:p>
        </w:tc>
        <w:tc>
          <w:tcPr>
            <w:tcW w:w="3004" w:type="dxa"/>
          </w:tcPr>
          <w:p>
            <w:pPr>
              <w:spacing w:after="0" w:line="260" w:lineRule="auto"/>
              <w:jc w:val="left"/>
            </w:pPr>
            <w:r>
              <w:rPr>
                <w:rFonts w:ascii="Calibri" w:hAnsi="Calibri"/>
                <w:color w:val="212121"/>
                <w:sz w:val="19"/>
              </w:rPr>
              <w:t xml:space="preserve">Article 27.9; the asset-use rule</w:t>
            </w:r>
          </w:p>
        </w:tc>
      </w:tr>
      <w:tr>
        <w:tc>
          <w:tcPr>
            <w:tcW w:w="3003" w:type="dxa"/>
          </w:tcPr>
          <w:p>
            <w:pPr>
              <w:spacing w:after="0" w:line="260" w:lineRule="auto"/>
              <w:jc w:val="left"/>
            </w:pPr>
            <w:r>
              <w:rPr>
                <w:rFonts w:ascii="Calibri" w:hAnsi="Calibri"/>
                <w:color w:val="212121"/>
                <w:sz w:val="19"/>
              </w:rPr>
              <w:t xml:space="preserve">RL-13</w:t>
            </w:r>
          </w:p>
        </w:tc>
        <w:tc>
          <w:tcPr>
            <w:tcW w:w="3003" w:type="dxa"/>
          </w:tcPr>
          <w:p>
            <w:pPr>
              <w:spacing w:after="0" w:line="260" w:lineRule="auto"/>
              <w:jc w:val="left"/>
            </w:pPr>
            <w:r>
              <w:rPr>
                <w:rFonts w:ascii="Calibri" w:hAnsi="Calibri"/>
                <w:color w:val="212121"/>
                <w:sz w:val="19"/>
              </w:rPr>
              <w:t xml:space="preserve">Governance stands multilateral: no single coastal state governs alone</w:t>
            </w:r>
          </w:p>
        </w:tc>
        <w:tc>
          <w:tcPr>
            <w:tcW w:w="3004" w:type="dxa"/>
          </w:tcPr>
          <w:p>
            <w:pPr>
              <w:spacing w:after="0" w:line="260" w:lineRule="auto"/>
              <w:jc w:val="left"/>
            </w:pPr>
            <w:r>
              <w:rPr>
                <w:rFonts w:ascii="Calibri" w:hAnsi="Calibri"/>
                <w:color w:val="212121"/>
                <w:sz w:val="19"/>
              </w:rPr>
              <w:t xml:space="preserve">Council composition and voting, Articles 13 and 20</w:t>
            </w:r>
          </w:p>
        </w:tc>
      </w:tr>
      <w:tr>
        <w:tc>
          <w:tcPr>
            <w:tcW w:w="3003" w:type="dxa"/>
          </w:tcPr>
          <w:p>
            <w:pPr>
              <w:spacing w:after="0" w:line="260" w:lineRule="auto"/>
              <w:jc w:val="left"/>
            </w:pPr>
            <w:r>
              <w:rPr>
                <w:rFonts w:ascii="Calibri" w:hAnsi="Calibri"/>
                <w:color w:val="212121"/>
                <w:sz w:val="19"/>
              </w:rPr>
              <w:t xml:space="preserve">RL-14</w:t>
            </w:r>
          </w:p>
        </w:tc>
        <w:tc>
          <w:tcPr>
            <w:tcW w:w="3003" w:type="dxa"/>
          </w:tcPr>
          <w:p>
            <w:pPr>
              <w:spacing w:after="0" w:line="260" w:lineRule="auto"/>
              <w:jc w:val="left"/>
            </w:pPr>
            <w:r>
              <w:rPr>
                <w:rFonts w:ascii="Calibri" w:hAnsi="Calibri"/>
                <w:color w:val="212121"/>
                <w:sz w:val="19"/>
              </w:rPr>
              <w:t xml:space="preserve">No external state commands any element of the Accord</w:t>
            </w:r>
          </w:p>
        </w:tc>
        <w:tc>
          <w:tcPr>
            <w:tcW w:w="3004" w:type="dxa"/>
          </w:tcPr>
          <w:p>
            <w:pPr>
              <w:spacing w:after="0" w:line="260" w:lineRule="auto"/>
              <w:jc w:val="left"/>
            </w:pPr>
            <w:r>
              <w:rPr>
                <w:rFonts w:ascii="Calibri" w:hAnsi="Calibri"/>
                <w:color w:val="212121"/>
                <w:sz w:val="19"/>
              </w:rPr>
              <w:t xml:space="preserve">Article 19.6</w:t>
            </w:r>
          </w:p>
        </w:tc>
      </w:tr>
    </w:tbl>
    <w:p>
      <w:pPr>
        <w:spacing w:after="60"/>
      </w:pPr>
    </w:p>
    <w:p>
      <w:pPr>
        <w:pStyle w:val="Caption"/>
      </w:pPr>
      <w:r>
        <w:t xml:space="preserve">Table 6.1: The Red Lines Register in summary; Annex I carries the full operative text</w:t>
      </w:r>
    </w:p>
    <w:p>
      <w:pPr>
        <w:pStyle w:val="Heading3"/>
      </w:pPr>
      <w:r>
        <w:t xml:space="preserve">6.3 The Perimeter Test</w:t>
      </w:r>
    </w:p>
    <w:p>
      <w:pPr/>
      <w:r>
        <w:t xml:space="preserve">Before the Stillwater Council adopts any measure, the legal desk of the Meridian Operations Center screens the measure against every entry of the Register. The screening takes the form of a short written Perimeter Test, appended to the measure in the Council record. A measure that touches a Register line proceeds only in the exact form the corresponding safeguard permits. A measure that crosses a Register line fails, and the failure appears in the record with reasons. The Neutral Keel Office receives every Perimeter Test and reports annually on the integrity of the Register.</w:t>
      </w:r>
    </w:p>
    <w:p>
      <w:pPr>
        <w:pStyle w:val="Heading3"/>
      </w:pPr>
      <w:r>
        <w:t xml:space="preserve">6.4 No trading of Red Lines</w:t>
      </w:r>
    </w:p>
    <w:p>
      <w:pPr/>
      <w:r>
        <w:t xml:space="preserve">The Parties do not trade Register entries against one another. The architecture holds every line simultaneously, and a breach response under Article 31 never suspends a Register entry. Amendment of the Register itself follows the elevated rule of Article 39.2: consensus of all Littoral Parties plus ratification by each of them.</w:t>
      </w:r>
    </w:p>
    <w:p>
      <w:pPr>
        <w:pStyle w:val="Heading3"/>
      </w:pPr>
      <w:r>
        <w:t xml:space="preserve">6.5 Red Line Consultation</w:t>
      </w:r>
    </w:p>
    <w:p>
      <w:pPr/>
      <w:r>
        <w:t xml:space="preserve">A Party that perceives a Red Line under pressure activates a Red Line Consultation before any other response. The consultation convenes within 24 hours. The architecture freezes the relevant mechanism for 72 hours while the consultation proceeds, under the Stillwater Pause of Article 32, except for the humanitarian absolute and the distress-priority obligations, which never freeze.</w:t>
      </w:r>
    </w:p>
    <w:tbl>
      <w:tblPr>
        <w:tblW w:w="5000" w:type="pct"/>
        <w:tblBorders>
          <w:top w:val="single" w:color="B0BEC5" w:sz="2"/>
          <w:left w:val="single" w:color="37474F" w:sz="18"/>
          <w:bottom w:val="single" w:color="B0BEC5" w:sz="2"/>
          <w:right w:val="single" w:color="B0BEC5" w:sz="2"/>
        </w:tblBorders>
        <w:tblCellMar>
          <w:top w:w="140" w:type="dxa"/>
          <w:left w:w="200" w:type="dxa"/>
          <w:bottom w:w="140" w:type="dxa"/>
          <w:right w:w="160" w:type="dxa"/>
        </w:tblCellMar>
      </w:tblPr>
      <w:tblGrid>
        <w:gridCol w:w="9010"/>
      </w:tblGrid>
      <w:tr>
        <w:tc>
          <w:tcPr>
            <w:tcW w:w="9010" w:type="dxa"/>
            <w:shd w:val="clear" w:fill="ECEFF1"/>
          </w:tcPr>
          <w:p>
            <w:pPr>
              <w:spacing w:after="0" w:line="300" w:lineRule="auto"/>
            </w:pPr>
            <w:r>
              <w:rPr>
                <w:i/>
              </w:rPr>
              <w:t xml:space="preserve">Design rationale for the Red Lines architecture. The Parties adopt this structure because previous bilateral arrangements proved vulnerable to asymmetric political pressure: every earlier framework hid its breaking points inside diplomatic language, and every hidden breaking point became the target of the next crisis. Naming the lines once, in the open, and assigning each line an automatic safeguard converts political vulnerability into architectural property. The Register ends the daily negotiation of fundamentals, and the Perimeter Test keeps every later measure honest against the founding bargain.</w:t>
            </w:r>
          </w:p>
        </w:tc>
      </w:tr>
    </w:tbl>
    <w:p>
      <w:pPr>
        <w:pStyle w:val="Heading1"/>
      </w:pPr>
      <w:r>
        <w:t xml:space="preserve">Part II: The Dual-Corridor Navigation System</w:t>
      </w:r>
    </w:p>
    <w:p>
      <w:pPr>
        <w:pStyle w:val="Heading2"/>
      </w:pPr>
      <w:r>
        <w:t xml:space="preserve">Article 7: The Governance Area and Boundary Coordinates</w:t>
      </w:r>
    </w:p>
    <w:p>
      <w:pPr>
        <w:pStyle w:val="Heading3"/>
      </w:pPr>
      <w:r>
        <w:t xml:space="preserve">7.1 Establishment</w:t>
      </w:r>
    </w:p>
    <w:p>
      <w:pPr/>
      <w:r>
        <w:t xml:space="preserve">The Parties establish the Governance Area as the geographic frame within which the corridor rules, the de-confliction geometry, and the operations of the Meridian Operations Center apply. The Governance Area is an operational construct. It defines where the rules of the Accord operate. It defines no boundary between states, delimits no maritime zone, and prejudices no entitlement, consistent with Article 2.6.</w:t>
      </w:r>
    </w:p>
    <w:p>
      <w:pPr>
        <w:pStyle w:val="Heading3"/>
      </w:pPr>
      <w:r>
        <w:t xml:space="preserve">7.2 Outer boundary</w:t>
      </w:r>
    </w:p>
    <w:p>
      <w:pPr/>
      <w:r>
        <w:t xml:space="preserve">The Governance Area comprises the waters and superjacent airspace bounded by the following lines, all positions on the WGS-84 datum:</w:t>
      </w:r>
    </w:p>
    <w:p>
      <w:pPr>
        <w:ind w:left="430"/>
      </w:pPr>
      <w:r>
        <w:t xml:space="preserve">•  Eastern boundary: the meridian 057 degrees 00.0 minutes East, from the coast of the Musandam Peninsula to the coast of Iran.</w:t>
      </w:r>
    </w:p>
    <w:p>
      <w:pPr>
        <w:ind w:left="430"/>
      </w:pPr>
      <w:r>
        <w:t xml:space="preserve">•  Western boundary: the meridian 055 degrees 30.0 minutes East, from the coast of the Musandam Peninsula to the coast of Iran.</w:t>
      </w:r>
    </w:p>
    <w:p>
      <w:pPr>
        <w:ind w:left="430"/>
      </w:pPr>
      <w:r>
        <w:t xml:space="preserve">•  Northern boundary: the coastline of the Islamic Republic of Iran, including the islands of Qeshm, Hormuz, Larak, and Hengam, and the territorial sea generated therefrom.</w:t>
      </w:r>
    </w:p>
    <w:p>
      <w:pPr>
        <w:ind w:left="430"/>
      </w:pPr>
      <w:r>
        <w:t xml:space="preserve">•  Southern boundary: the coastline of the Musandam Peninsula of the Sultanate of Oman and the United Arab Emirates, and the territorial sea generated therefrom.</w:t>
      </w:r>
    </w:p>
    <w:p>
      <w:pPr/>
      <w:r>
        <w:t xml:space="preserve">Annex A, Table A.1 states the precise polygon of the Governance Area as twelve boundary vertices. The Meridian Operations Center publishes the chartlet derived from those vertices as the official reference chart of the Accord, in harmony with the traffic separation scheme adopted through the International Maritime Organization.</w:t>
      </w:r>
    </w:p>
    <w:p>
      <w:pPr>
        <w:pStyle w:val="Heading3"/>
      </w:pPr>
      <w:r>
        <w:t xml:space="preserve">7.3 Internal reference lines</w:t>
      </w:r>
    </w:p>
    <w:p>
      <w:pPr/>
      <w:r>
        <w:t xml:space="preserve">Within the Governance Area, the Accord designates: (a) the two corridor centerlines and corridor limit lines of Article 8; (b) the Central Separation Belt between the corridors; (c) two precautionary zones at the eastern and western approaches; (d) the holding anchorages listed in Annex A, Table A.6; (e) the inshore local craft bands reserved for Class F vessels; and (f) the standoff reference lines of Article 27. Each line appears in Annex A as a coordinate series. A line's function is operational and regulatory. No line asserts, derogates, or modifies sovereignty or sovereign rights.</w:t>
      </w:r>
    </w:p>
    <w:p>
      <w:pPr>
        <w:pStyle w:val="Heading3"/>
      </w:pPr>
      <w:r>
        <w:t xml:space="preserve">7.4 Chart custody and amendment</w:t>
      </w:r>
    </w:p>
    <w:p>
      <w:pPr/>
      <w:r>
        <w:t xml:space="preserve">The Neutral Administrator holds the master coordinate register. The Meridian Operations Center maintains the working charts. A coordinate change takes effect only through: (a) a written proposal by the Technical and Standards Committee confirming navigational safety; (b) consultation with the International Maritime Organization and the International Hydrographic Organization where the change touches an adopted routing measure; (c) a decision of the Stillwater Council under the Twin Key Rule; and (d) publication with 30 days of notice to the maritime community, except where an immediate safety risk justifies 72 hours of notice. Under the Nofade Guarantee, an adjustment accumulates into the registry without resetting any certification, and the registry carries a full audit trail of every change.</w:t>
      </w:r>
    </w:p>
    <w:p>
      <w:pPr>
        <w:pStyle w:val="Heading2"/>
      </w:pPr>
      <w:r>
        <w:t xml:space="preserve">Article 8: The Two Corridors</w:t>
      </w:r>
    </w:p>
    <w:p>
      <w:pPr>
        <w:pStyle w:val="Heading3"/>
      </w:pPr>
      <w:r>
        <w:t xml:space="preserve">8.1 The dual-corridor system</w:t>
      </w:r>
    </w:p>
    <w:p>
      <w:pPr/>
      <w:r>
        <w:t xml:space="preserve">Transit through the Strait operates through two corridors. The dual structure honors two truths in one geography: transit through an international waterway stands free of charge and free of condition, and the coastal states hold sovereign rights and security interests in their own waters. Corridor One operates on free navigation. Corridor Two operates on prior notification without tolls. Both corridors operate under the Zero-Toll Rule and the Non-Interdiction Protocol without exception. A vessel's flag, ownership, cargo origin, destination, or insurer does not determine its corridor eligibility. Purpose and class determine treatment, per Article 9.</w:t>
      </w:r>
    </w:p>
    <w:p>
      <w:pPr>
        <w:pBdr>
          <w:left w:val="single" w:color="B0BEC5" w:sz="8" w:space="6"/>
        </w:pBdr>
        <w:spacing w:before="40" w:after="120"/>
        <w:ind w:left="360"/>
      </w:pPr>
      <w:r>
        <w:rPr>
          <w:rFonts w:ascii="Calibri" w:hAnsi="Calibri"/>
          <w:i/>
          <w:color w:val="78909C"/>
          <w:sz w:val="18"/>
        </w:rPr>
        <w:t xml:space="preserve">See also Articles 9, 11, and 21, and Annexes A and B.</w:t>
      </w:r>
    </w:p>
    <w:p>
      <w:pPr>
        <w:pStyle w:val="Heading3"/>
      </w:pPr>
      <w:r>
        <w:t xml:space="preserve">8.2 Corridor One: the Southern Assurance Corridor</w:t>
      </w:r>
    </w:p>
    <w:p>
      <w:pPr/>
      <w:r>
        <w:t xml:space="preserve">Corridor One follows the established traffic separation scheme through the territorial sea of Oman off the Musandam Peninsula. Its centerline runs from waypoint S-1 (26 degrees 38.0 minutes North, 056 degrees 52.0 minutes East) in the Gulf of Oman to waypoint S-6 (26 degrees 24.0 minutes North, 055 degrees 38.0 minutes East) in the Gulf, with inbound and outbound lanes of 2.0 nautical miles width separated by a 1.0 nautical mile separation zone. Annex A, Table A.2 states the full waypoint schedule.</w:t>
      </w:r>
    </w:p>
    <w:tbl>
      <w:tblPr>
        <w:tblW w:w="5000" w:type="pct"/>
        <w:tblBorders>
          <w:top w:val="single" w:color="B0BEC5" w:sz="4"/>
          <w:left w:val="single" w:color="B0BEC5" w:sz="4"/>
          <w:bottom w:val="single" w:color="B0BEC5" w:sz="4"/>
          <w:right w:val="single" w:color="B0BEC5" w:sz="4"/>
        </w:tblBorders>
        <w:tblCellMar>
          <w:top w:w="120" w:type="dxa"/>
          <w:left w:w="200" w:type="dxa"/>
          <w:bottom w:w="120" w:type="dxa"/>
          <w:right w:w="200" w:type="dxa"/>
        </w:tblCellMar>
      </w:tblPr>
      <w:tblGrid>
        <w:gridCol w:w="9010"/>
      </w:tblGrid>
      <w:tr>
        <w:tc>
          <w:tcPr>
            <w:tcW w:w="9010" w:type="dxa"/>
            <w:shd w:val="clear" w:fill="F4F6F7"/>
          </w:tcPr>
          <w:p>
            <w:pPr>
              <w:spacing w:after="120"/>
              <w:jc w:val="center"/>
            </w:pPr>
            <w:r>
              <w:rPr>
                <w:rFonts w:ascii="Calibri" w:hAnsi="Calibri"/>
                <w:b/>
                <w:color w:val="37474F"/>
                <w:sz w:val="19"/>
              </w:rPr>
              <w:t xml:space="preserve">Notification and transit flow: the twelve-field notice, the thirty-minute acknowledgment, and the corridor system</w:t>
            </w:r>
          </w:p>
          <w:p>
            <w:pPr>
              <w:spacing w:after="60" w:line="260" w:lineRule="auto"/>
              <w:jc w:val="center"/>
            </w:pPr>
            <w:r>
              <w:rPr>
                <w:rFonts w:ascii="Consolas" w:hAnsi="Consolas"/>
                <w:color w:val="212121"/>
                <w:sz w:val="18"/>
              </w:rPr>
              <w:t xml:space="preserve">Operator files 12-field notice  --&gt;  Meridian notification desk</w:t>
            </w:r>
          </w:p>
          <w:p>
            <w:pPr>
              <w:spacing w:after="60" w:line="260" w:lineRule="auto"/>
              <w:jc w:val="center"/>
            </w:pPr>
            <w:r>
              <w:rPr>
                <w:rFonts w:ascii="Consolas" w:hAnsi="Consolas"/>
                <w:color w:val="212121"/>
                <w:sz w:val="18"/>
              </w:rPr>
              <w:t xml:space="preserve">                         |</w:t>
            </w:r>
          </w:p>
          <w:p>
            <w:pPr>
              <w:spacing w:after="60" w:line="260" w:lineRule="auto"/>
              <w:jc w:val="center"/>
            </w:pPr>
            <w:r>
              <w:rPr>
                <w:rFonts w:ascii="Consolas" w:hAnsi="Consolas"/>
                <w:color w:val="212121"/>
                <w:sz w:val="18"/>
              </w:rPr>
              <w:t xml:space="preserve">         +-----------------+-----------------+</w:t>
            </w:r>
          </w:p>
          <w:p>
            <w:pPr>
              <w:spacing w:after="60" w:line="260" w:lineRule="auto"/>
              <w:jc w:val="center"/>
            </w:pPr>
            <w:r>
              <w:rPr>
                <w:rFonts w:ascii="Consolas" w:hAnsi="Consolas"/>
                <w:color w:val="212121"/>
                <w:sz w:val="18"/>
              </w:rPr>
              <w:t xml:space="preserve">         v                                   v</w:t>
            </w:r>
          </w:p>
          <w:p>
            <w:pPr>
              <w:spacing w:after="60" w:line="260" w:lineRule="auto"/>
              <w:jc w:val="center"/>
            </w:pPr>
            <w:r>
              <w:rPr>
                <w:rFonts w:ascii="Consolas" w:hAnsi="Consolas"/>
                <w:color w:val="212121"/>
                <w:sz w:val="18"/>
              </w:rPr>
              <w:t xml:space="preserve">Desk acknowledges in 30 min       Silence past 30 min</w:t>
            </w:r>
          </w:p>
          <w:p>
            <w:pPr>
              <w:spacing w:after="60" w:line="260" w:lineRule="auto"/>
              <w:jc w:val="center"/>
            </w:pPr>
            <w:r>
              <w:rPr>
                <w:rFonts w:ascii="Consolas" w:hAnsi="Consolas"/>
                <w:color w:val="212121"/>
                <w:sz w:val="18"/>
              </w:rPr>
              <w:t xml:space="preserve">(administrative, never            = acknowledgment by default</w:t>
            </w:r>
          </w:p>
          <w:p>
            <w:pPr>
              <w:spacing w:after="60" w:line="260" w:lineRule="auto"/>
              <w:jc w:val="center"/>
            </w:pPr>
            <w:r>
              <w:rPr>
                <w:rFonts w:ascii="Consolas" w:hAnsi="Consolas"/>
                <w:color w:val="212121"/>
                <w:sz w:val="18"/>
              </w:rPr>
              <w:t xml:space="preserve"> permissive)                      (Article 8.3)</w:t>
            </w:r>
          </w:p>
          <w:p>
            <w:pPr>
              <w:spacing w:after="60" w:line="260" w:lineRule="auto"/>
              <w:jc w:val="center"/>
            </w:pPr>
            <w:r>
              <w:rPr>
                <w:rFonts w:ascii="Consolas" w:hAnsi="Consolas"/>
                <w:color w:val="212121"/>
                <w:sz w:val="18"/>
              </w:rPr>
              <w:t xml:space="preserve">         |                                   |</w:t>
            </w:r>
          </w:p>
          <w:p>
            <w:pPr>
              <w:spacing w:after="60" w:line="260" w:lineRule="auto"/>
              <w:jc w:val="center"/>
            </w:pPr>
            <w:r>
              <w:rPr>
                <w:rFonts w:ascii="Consolas" w:hAnsi="Consolas"/>
                <w:color w:val="212121"/>
                <w:sz w:val="18"/>
              </w:rPr>
              <w:t xml:space="preserve">         +-----------------+-----------------+</w:t>
            </w:r>
          </w:p>
          <w:p>
            <w:pPr>
              <w:spacing w:after="60" w:line="260" w:lineRule="auto"/>
              <w:jc w:val="center"/>
            </w:pPr>
            <w:r>
              <w:rPr>
                <w:rFonts w:ascii="Consolas" w:hAnsi="Consolas"/>
                <w:color w:val="212121"/>
                <w:sz w:val="18"/>
              </w:rPr>
              <w:t xml:space="preserve">                           v</w:t>
            </w:r>
          </w:p>
          <w:p>
            <w:pPr>
              <w:spacing w:after="60" w:line="260" w:lineRule="auto"/>
              <w:jc w:val="center"/>
            </w:pPr>
            <w:r>
              <w:rPr>
                <w:rFonts w:ascii="Consolas" w:hAnsi="Consolas"/>
                <w:color w:val="212121"/>
                <w:sz w:val="18"/>
              </w:rPr>
              <w:t xml:space="preserve">              Vessel transits corridor</w:t>
            </w:r>
          </w:p>
          <w:p>
            <w:pPr>
              <w:spacing w:after="60" w:line="260" w:lineRule="auto"/>
              <w:jc w:val="center"/>
            </w:pPr>
            <w:r>
              <w:rPr>
                <w:rFonts w:ascii="Consolas" w:hAnsi="Consolas"/>
                <w:color w:val="212121"/>
                <w:sz w:val="18"/>
              </w:rPr>
              <w:t xml:space="preserve">         +-----------------+-----------------+</w:t>
            </w:r>
          </w:p>
          <w:p>
            <w:pPr>
              <w:spacing w:after="60" w:line="260" w:lineRule="auto"/>
              <w:jc w:val="center"/>
            </w:pPr>
            <w:r>
              <w:rPr>
                <w:rFonts w:ascii="Consolas" w:hAnsi="Consolas"/>
                <w:color w:val="212121"/>
                <w:sz w:val="18"/>
              </w:rPr>
              <w:t xml:space="preserve">         v                                   v</w:t>
            </w:r>
          </w:p>
          <w:p>
            <w:pPr>
              <w:spacing w:after="60" w:line="260" w:lineRule="auto"/>
              <w:jc w:val="center"/>
            </w:pPr>
            <w:r>
              <w:rPr>
                <w:rFonts w:ascii="Consolas" w:hAnsi="Consolas"/>
                <w:color w:val="212121"/>
                <w:sz w:val="18"/>
              </w:rPr>
              <w:t xml:space="preserve">   Corridor One: free                 Corridor Two: notification</w:t>
            </w:r>
          </w:p>
          <w:p>
            <w:pPr>
              <w:spacing w:after="60" w:line="260" w:lineRule="auto"/>
              <w:jc w:val="center"/>
            </w:pPr>
            <w:r>
              <w:rPr>
                <w:rFonts w:ascii="Consolas" w:hAnsi="Consolas"/>
                <w:color w:val="212121"/>
                <w:sz w:val="18"/>
              </w:rPr>
              <w:t xml:space="preserve">   navigation, no notice              regime, coastal management</w:t>
            </w:r>
          </w:p>
          <w:p>
            <w:pPr>
              <w:spacing w:after="60" w:line="260" w:lineRule="auto"/>
              <w:jc w:val="center"/>
            </w:pPr>
            <w:r>
              <w:rPr>
                <w:rFonts w:ascii="Consolas" w:hAnsi="Consolas"/>
                <w:color w:val="212121"/>
                <w:sz w:val="18"/>
              </w:rPr>
              <w:t xml:space="preserve">   layer (RL-2)                       role honored (RL-3)</w:t>
            </w:r>
          </w:p>
        </w:tc>
      </w:tr>
    </w:tbl>
    <w:p>
      <w:pPr/>
      <w:r>
        <w:t xml:space="preserve">Corridor One operates under the free-navigation rule: any vessel of Classes A through H transits at any hour, in any direction, without prior approval, without prior notification beyond standard automatic identification system carriage, without inspection at sea, and without charge of any kind. Oman's vessel traffic service provides traffic information on a voluntary basis, integrated with the Meridian Operations Center under the co-staffing rules of Article 14. The architecture excludes any approval step by any actor for Corridor One, and equally excludes any coalition or third-state approval step. Corridor One restores the pre-conflict pattern of navigation in full.</w:t>
      </w:r>
    </w:p>
    <w:p>
      <w:pPr>
        <w:pStyle w:val="Heading3"/>
      </w:pPr>
      <w:r>
        <w:t xml:space="preserve">8.3 Corridor Two: the Northern Coordination Corridor</w:t>
      </w:r>
    </w:p>
    <w:p>
      <w:pPr/>
      <w:r>
        <w:t xml:space="preserve">Corridor Two follows the northern deep-water route through the territorial sea of Iran, north of Larak and Hormuz Islands. Its centerline runs from waypoint N-1 (26 degrees 50.0 minutes North, 056 degrees 44.0 minutes East) to waypoint N-6 (26 degrees 40.0 minutes North, 055 degrees 32.0 minutes East), with lanes and separation as stated in Annex A, Table A.3.</w:t>
      </w:r>
    </w:p>
    <w:p>
      <w:pPr/>
      <w:r>
        <w:t xml:space="preserve">Corridor Two operates under the notification regime: a transiting vessel of Classes A, B, C, or E files a twelve-field transit notice with the Meridian Operations Center between 72 and 6 hours before entering the corridor, in the format of Annex H, stating identity, class, cargo category in general terms, and intended lane. The notice produces an automatic acknowledgment within 30 minutes of filing. The acknowledgment is administrative, not permissive: transit never awaits approval, and silence beyond 30 minutes constitutes acknowledgment by default. The architecture prohibits the conversion of notification into permission. The Iranian vessel traffic service provides traffic information, routing advice, and optional pilotage. The architecture excludes: any toll or charge; any condition on passage beyond the notice; any boarding or inspection at sea of a vessel whose notice is in order; and any delay of a humanitarian vessel under any circumstance.</w:t>
      </w:r>
    </w:p>
    <w:p>
      <w:pPr/>
      <w:r>
        <w:t xml:space="preserve">The notification regime gives Iran a documented, real-time picture of traffic in its territorial sea, which constitutes the recognized, formal management role that Red Line RL-3 registers. The regime simultaneously gives every vessel an absolute right of passage, which satisfies Red Line RL-2 and the user-state interest in open, toll-free transit. The architecture thereby converts a sovereignty dispute into an administrative routine.</w:t>
      </w:r>
    </w:p>
    <w:p>
      <w:pPr>
        <w:pStyle w:val="Heading3"/>
      </w:pPr>
      <w:r>
        <w:t xml:space="preserve">8.4 Management arrangement</w:t>
      </w:r>
    </w:p>
    <w:p>
      <w:pPr/>
      <w:r>
        <w:t xml:space="preserve">Oman leads the day-to-day management of Corridor One through its existing vessel traffic service, and Iran leads the day-to-day management of Corridor Two through its national maritime administration, in each case integrated with the Meridian Operations Center under the co-staffing rules of Article 14. The corridor functions of prior national control structures fold into the Center's notification desk and watch floor under the succession rule of Article 40.3: the Center receives notifications, acknowledges them, and operates the traffic system. Each Party's liaison officers at the Center and at the mirror facility hold full real-time visibility of both corridors, and the daily log records every management act for all Parties to inspect.</w:t>
      </w:r>
    </w:p>
    <w:p>
      <w:pPr>
        <w:pStyle w:val="Heading3"/>
      </w:pPr>
      <w:r>
        <w:t xml:space="preserve">8.5 Corridor selection and assignment</w:t>
      </w:r>
    </w:p>
    <w:p>
      <w:pPr/>
      <w:r>
        <w:t xml:space="preserve">The vessel's operator selects the corridor, with the following default assignments that promote order and de-confliction:</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3003"/>
        <w:gridCol w:w="3003"/>
        <w:gridCol w:w="3004"/>
      </w:tblGrid>
      <w:tr>
        <w:trPr>
          <w:tblHeader/>
        </w:trPr>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Traffic profile</w:t>
            </w:r>
          </w:p>
        </w:tc>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Default corridor</w:t>
            </w:r>
          </w:p>
        </w:tc>
        <w:tc>
          <w:tcPr>
            <w:tcW w:w="3004" w:type="dxa"/>
            <w:tcBorders>
              <w:bottom w:val="single" w:color="546E7A" w:sz="6"/>
            </w:tcBorders>
            <w:shd w:val="clear" w:fill="E4E9EC"/>
          </w:tcPr>
          <w:p>
            <w:pPr>
              <w:spacing w:after="0" w:line="260" w:lineRule="auto"/>
              <w:jc w:val="left"/>
            </w:pPr>
            <w:r>
              <w:rPr>
                <w:rFonts w:ascii="Calibri" w:hAnsi="Calibri"/>
                <w:b/>
                <w:color w:val="37474F"/>
                <w:sz w:val="19"/>
              </w:rPr>
              <w:t xml:space="preserve">Rationale</w:t>
            </w:r>
          </w:p>
        </w:tc>
      </w:tr>
      <w:tr>
        <w:tc>
          <w:tcPr>
            <w:tcW w:w="3003" w:type="dxa"/>
          </w:tcPr>
          <w:p>
            <w:pPr>
              <w:spacing w:after="0" w:line="260" w:lineRule="auto"/>
              <w:jc w:val="left"/>
            </w:pPr>
            <w:r>
              <w:rPr>
                <w:rFonts w:ascii="Calibri" w:hAnsi="Calibri"/>
                <w:color w:val="212121"/>
                <w:sz w:val="19"/>
              </w:rPr>
              <w:t xml:space="preserve">Class A and Class C vessels on through voyages</w:t>
            </w:r>
          </w:p>
        </w:tc>
        <w:tc>
          <w:tcPr>
            <w:tcW w:w="3003" w:type="dxa"/>
          </w:tcPr>
          <w:p>
            <w:pPr>
              <w:spacing w:after="0" w:line="260" w:lineRule="auto"/>
              <w:jc w:val="left"/>
            </w:pPr>
            <w:r>
              <w:rPr>
                <w:rFonts w:ascii="Calibri" w:hAnsi="Calibri"/>
                <w:color w:val="212121"/>
                <w:sz w:val="19"/>
              </w:rPr>
              <w:t xml:space="preserve">Corridor One</w:t>
            </w:r>
          </w:p>
        </w:tc>
        <w:tc>
          <w:tcPr>
            <w:tcW w:w="3004" w:type="dxa"/>
          </w:tcPr>
          <w:p>
            <w:pPr>
              <w:spacing w:after="0" w:line="260" w:lineRule="auto"/>
              <w:jc w:val="left"/>
            </w:pPr>
            <w:r>
              <w:rPr>
                <w:rFonts w:ascii="Calibri" w:hAnsi="Calibri"/>
                <w:color w:val="212121"/>
                <w:sz w:val="19"/>
              </w:rPr>
              <w:t xml:space="preserve">Free navigation; minimal administrative load; deepest separation from coastal military infrastructure</w:t>
            </w:r>
          </w:p>
        </w:tc>
      </w:tr>
      <w:tr>
        <w:tc>
          <w:tcPr>
            <w:tcW w:w="3003" w:type="dxa"/>
          </w:tcPr>
          <w:p>
            <w:pPr>
              <w:spacing w:after="0" w:line="260" w:lineRule="auto"/>
              <w:jc w:val="left"/>
            </w:pPr>
            <w:r>
              <w:rPr>
                <w:rFonts w:ascii="Calibri" w:hAnsi="Calibri"/>
                <w:color w:val="212121"/>
                <w:sz w:val="19"/>
              </w:rPr>
              <w:t xml:space="preserve">Class B energy carriers loading or discharging at Iranian terminals</w:t>
            </w:r>
          </w:p>
        </w:tc>
        <w:tc>
          <w:tcPr>
            <w:tcW w:w="3003" w:type="dxa"/>
          </w:tcPr>
          <w:p>
            <w:pPr>
              <w:spacing w:after="0" w:line="260" w:lineRule="auto"/>
              <w:jc w:val="left"/>
            </w:pPr>
            <w:r>
              <w:rPr>
                <w:rFonts w:ascii="Calibri" w:hAnsi="Calibri"/>
                <w:color w:val="212121"/>
                <w:sz w:val="19"/>
              </w:rPr>
              <w:t xml:space="preserve">Corridor Two</w:t>
            </w:r>
          </w:p>
        </w:tc>
        <w:tc>
          <w:tcPr>
            <w:tcW w:w="3004" w:type="dxa"/>
          </w:tcPr>
          <w:p>
            <w:pPr>
              <w:spacing w:after="0" w:line="260" w:lineRule="auto"/>
              <w:jc w:val="left"/>
            </w:pPr>
            <w:r>
              <w:rPr>
                <w:rFonts w:ascii="Calibri" w:hAnsi="Calibri"/>
                <w:color w:val="212121"/>
                <w:sz w:val="19"/>
              </w:rPr>
              <w:t xml:space="preserve">Direct routing; notification integrates with port scheduling; no diversion around the Musandam headland</w:t>
            </w:r>
          </w:p>
        </w:tc>
      </w:tr>
      <w:tr>
        <w:tc>
          <w:tcPr>
            <w:tcW w:w="3003" w:type="dxa"/>
          </w:tcPr>
          <w:p>
            <w:pPr>
              <w:spacing w:after="0" w:line="260" w:lineRule="auto"/>
              <w:jc w:val="left"/>
            </w:pPr>
            <w:r>
              <w:rPr>
                <w:rFonts w:ascii="Calibri" w:hAnsi="Calibri"/>
                <w:color w:val="212121"/>
                <w:sz w:val="19"/>
              </w:rPr>
              <w:t xml:space="preserve">Class B energy carriers on through voyages</w:t>
            </w:r>
          </w:p>
        </w:tc>
        <w:tc>
          <w:tcPr>
            <w:tcW w:w="3003" w:type="dxa"/>
          </w:tcPr>
          <w:p>
            <w:pPr>
              <w:spacing w:after="0" w:line="260" w:lineRule="auto"/>
              <w:jc w:val="left"/>
            </w:pPr>
            <w:r>
              <w:rPr>
                <w:rFonts w:ascii="Calibri" w:hAnsi="Calibri"/>
                <w:color w:val="212121"/>
                <w:sz w:val="19"/>
              </w:rPr>
              <w:t xml:space="preserve">Operator's choice; Corridor One recommended in the daily schedule</w:t>
            </w:r>
          </w:p>
        </w:tc>
        <w:tc>
          <w:tcPr>
            <w:tcW w:w="3004" w:type="dxa"/>
          </w:tcPr>
          <w:p>
            <w:pPr>
              <w:spacing w:after="0" w:line="260" w:lineRule="auto"/>
              <w:jc w:val="left"/>
            </w:pPr>
            <w:r>
              <w:rPr>
                <w:rFonts w:ascii="Calibri" w:hAnsi="Calibri"/>
                <w:color w:val="212121"/>
                <w:sz w:val="19"/>
              </w:rPr>
              <w:t xml:space="preserve">Load balancing across both corridors</w:t>
            </w:r>
          </w:p>
        </w:tc>
      </w:tr>
      <w:tr>
        <w:tc>
          <w:tcPr>
            <w:tcW w:w="3003" w:type="dxa"/>
          </w:tcPr>
          <w:p>
            <w:pPr>
              <w:spacing w:after="0" w:line="260" w:lineRule="auto"/>
              <w:jc w:val="left"/>
            </w:pPr>
            <w:r>
              <w:rPr>
                <w:rFonts w:ascii="Calibri" w:hAnsi="Calibri"/>
                <w:color w:val="212121"/>
                <w:sz w:val="19"/>
              </w:rPr>
              <w:t xml:space="preserve">Class E humanitarian vessels</w:t>
            </w:r>
          </w:p>
        </w:tc>
        <w:tc>
          <w:tcPr>
            <w:tcW w:w="3003" w:type="dxa"/>
          </w:tcPr>
          <w:p>
            <w:pPr>
              <w:spacing w:after="0" w:line="260" w:lineRule="auto"/>
              <w:jc w:val="left"/>
            </w:pPr>
            <w:r>
              <w:rPr>
                <w:rFonts w:ascii="Calibri" w:hAnsi="Calibri"/>
                <w:color w:val="212121"/>
                <w:sz w:val="19"/>
              </w:rPr>
              <w:t xml:space="preserve">Either corridor; expedited regime in both</w:t>
            </w:r>
          </w:p>
        </w:tc>
        <w:tc>
          <w:tcPr>
            <w:tcW w:w="3004" w:type="dxa"/>
          </w:tcPr>
          <w:p>
            <w:pPr>
              <w:spacing w:after="0" w:line="260" w:lineRule="auto"/>
              <w:jc w:val="left"/>
            </w:pPr>
            <w:r>
              <w:rPr>
                <w:rFonts w:ascii="Calibri" w:hAnsi="Calibri"/>
                <w:color w:val="212121"/>
                <w:sz w:val="19"/>
              </w:rPr>
              <w:t xml:space="preserve">Fastest available route; zero administrative delay</w:t>
            </w:r>
          </w:p>
        </w:tc>
      </w:tr>
      <w:tr>
        <w:tc>
          <w:tcPr>
            <w:tcW w:w="3003" w:type="dxa"/>
          </w:tcPr>
          <w:p>
            <w:pPr>
              <w:spacing w:after="0" w:line="260" w:lineRule="auto"/>
              <w:jc w:val="left"/>
            </w:pPr>
            <w:r>
              <w:rPr>
                <w:rFonts w:ascii="Calibri" w:hAnsi="Calibri"/>
                <w:color w:val="212121"/>
                <w:sz w:val="19"/>
              </w:rPr>
              <w:t xml:space="preserve">Class G naval and state vessels</w:t>
            </w:r>
          </w:p>
        </w:tc>
        <w:tc>
          <w:tcPr>
            <w:tcW w:w="3003" w:type="dxa"/>
          </w:tcPr>
          <w:p>
            <w:pPr>
              <w:spacing w:after="0" w:line="260" w:lineRule="auto"/>
              <w:jc w:val="left"/>
            </w:pPr>
            <w:r>
              <w:rPr>
                <w:rFonts w:ascii="Calibri" w:hAnsi="Calibri"/>
                <w:color w:val="212121"/>
                <w:sz w:val="19"/>
              </w:rPr>
              <w:t xml:space="preserve">Corridor One only, under Article 27.5</w:t>
            </w:r>
          </w:p>
        </w:tc>
        <w:tc>
          <w:tcPr>
            <w:tcW w:w="3004" w:type="dxa"/>
          </w:tcPr>
          <w:p>
            <w:pPr>
              <w:spacing w:after="0" w:line="260" w:lineRule="auto"/>
              <w:jc w:val="left"/>
            </w:pPr>
            <w:r>
              <w:rPr>
                <w:rFonts w:ascii="Calibri" w:hAnsi="Calibri"/>
                <w:color w:val="212121"/>
                <w:sz w:val="19"/>
              </w:rPr>
              <w:t xml:space="preserve">Keeps state vessels inside the standoff geometry and outside the territorial-sea notification regime</w:t>
            </w:r>
          </w:p>
        </w:tc>
      </w:tr>
    </w:tbl>
    <w:p>
      <w:pPr>
        <w:spacing w:after="60"/>
      </w:pPr>
    </w:p>
    <w:p>
      <w:pPr>
        <w:pStyle w:val="Caption"/>
      </w:pPr>
      <w:r>
        <w:t xml:space="preserve">Table 8.1: Corridor default assignments</w:t>
      </w:r>
    </w:p>
    <w:p>
      <w:pPr/>
      <w:r>
        <w:t xml:space="preserve">The Meridian Operations Center publishes a daily corridor schedule that balances traffic between the corridors, prevents bunching, and staggers Class B arrivals at single-point moorings. The schedule is advisory for Classes A through F and binding for Class G.</w:t>
      </w:r>
    </w:p>
    <w:p>
      <w:pPr>
        <w:pStyle w:val="Heading3"/>
      </w:pPr>
      <w:r>
        <w:t xml:space="preserve">8.6 Capacity, speed, and spacing</w:t>
      </w:r>
    </w:p>
    <w:p>
      <w:pPr/>
      <w:r>
        <w:t xml:space="preserve">Each corridor sustains up to 110 transits per day across both lanes under normal conditions, which exceeds the pre-conflict daily average. In-corridor speed operates between 8 and 14 knots for Classes A, B, and C, with a 3 nautical mile separation between successive laden Class B vessels in the same lane. The Meridian Operations Center adjusts spacing in reduced visibility and announces adjustments through the daily schedule and the notice to mariners channel.</w:t>
      </w:r>
    </w:p>
    <w:p>
      <w:pPr>
        <w:pStyle w:val="Heading3"/>
      </w:pPr>
      <w:r>
        <w:t xml:space="preserve">8.7 The Central Separation Belt</w:t>
      </w:r>
    </w:p>
    <w:p>
      <w:pPr/>
      <w:r>
        <w:t xml:space="preserve">The Central Separation Belt, two nautical miles wide, divides the corridors along the centerline in Annex A, Table A.4. Traffic enters the Belt only to cross between corridors at the designated crossing sectors, to respond to a casualty, or to perform Accord service work. The Belt carries no anchoring, no fishing, no exercises, and no loitering armed presence of any Party. Patrol craft cross it on transit, and the architecture treats the Belt as shared calm water.</w:t>
      </w:r>
    </w:p>
    <w:p>
      <w:pPr>
        <w:pStyle w:val="Heading2"/>
      </w:pPr>
      <w:r>
        <w:t xml:space="preserve">Article 9: Vessel Classification and Differentiated Treatment</w:t>
      </w:r>
    </w:p>
    <w:p>
      <w:pPr>
        <w:pStyle w:val="Heading3"/>
      </w:pPr>
      <w:r>
        <w:t xml:space="preserve">9.1 The classification principle</w:t>
      </w:r>
    </w:p>
    <w:p>
      <w:pPr/>
      <w:r>
        <w:t xml:space="preserve">Every vessel in the Governance Area holds one of eight classes. Classification follows the vessel's purpose, size, and risk profile, never its flag, ownership, or political relationship. The classification society data feed and the automatic identification system message establish the class automatically; the Meridian Operations Center resolves any ambiguity within 4 hours, and its resolution binds operations until the vessel completes its transit. Annex B states the complete treatment matrix.</w:t>
      </w:r>
    </w:p>
    <w:p>
      <w:pPr>
        <w:pBdr>
          <w:left w:val="single" w:color="B0BEC5" w:sz="8" w:space="6"/>
        </w:pBdr>
        <w:spacing w:before="40" w:after="120"/>
        <w:ind w:left="360"/>
      </w:pPr>
      <w:r>
        <w:rPr>
          <w:rFonts w:ascii="Calibri" w:hAnsi="Calibri"/>
          <w:i/>
          <w:color w:val="78909C"/>
          <w:sz w:val="18"/>
        </w:rPr>
        <w:t xml:space="preserve">See also Annex B and Articles 10 and 24.</w:t>
      </w:r>
    </w:p>
    <w:p>
      <w:pPr>
        <w:pStyle w:val="Heading3"/>
      </w:pPr>
      <w:r>
        <w:t xml:space="preserve">9.2 The eight classes</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3003"/>
        <w:gridCol w:w="3003"/>
        <w:gridCol w:w="3004"/>
      </w:tblGrid>
      <w:tr>
        <w:trPr>
          <w:tblHeader/>
        </w:trPr>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Class</w:t>
            </w:r>
          </w:p>
        </w:tc>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Description</w:t>
            </w:r>
          </w:p>
        </w:tc>
        <w:tc>
          <w:tcPr>
            <w:tcW w:w="3004" w:type="dxa"/>
            <w:tcBorders>
              <w:bottom w:val="single" w:color="546E7A" w:sz="6"/>
            </w:tcBorders>
            <w:shd w:val="clear" w:fill="E4E9EC"/>
          </w:tcPr>
          <w:p>
            <w:pPr>
              <w:spacing w:after="0" w:line="260" w:lineRule="auto"/>
              <w:jc w:val="left"/>
            </w:pPr>
            <w:r>
              <w:rPr>
                <w:rFonts w:ascii="Calibri" w:hAnsi="Calibri"/>
                <w:b/>
                <w:color w:val="37474F"/>
                <w:sz w:val="19"/>
              </w:rPr>
              <w:t xml:space="preserve">Core treatment</w:t>
            </w:r>
          </w:p>
        </w:tc>
      </w:tr>
      <w:tr>
        <w:tc>
          <w:tcPr>
            <w:tcW w:w="3003" w:type="dxa"/>
          </w:tcPr>
          <w:p>
            <w:pPr>
              <w:spacing w:after="0" w:line="260" w:lineRule="auto"/>
              <w:jc w:val="left"/>
            </w:pPr>
            <w:r>
              <w:rPr>
                <w:rFonts w:ascii="Calibri" w:hAnsi="Calibri"/>
                <w:color w:val="212121"/>
                <w:sz w:val="19"/>
              </w:rPr>
              <w:t xml:space="preserve">Class A: General commercial cargo</w:t>
            </w:r>
          </w:p>
        </w:tc>
        <w:tc>
          <w:tcPr>
            <w:tcW w:w="3003" w:type="dxa"/>
          </w:tcPr>
          <w:p>
            <w:pPr>
              <w:spacing w:after="0" w:line="260" w:lineRule="auto"/>
              <w:jc w:val="left"/>
            </w:pPr>
            <w:r>
              <w:rPr>
                <w:rFonts w:ascii="Calibri" w:hAnsi="Calibri"/>
                <w:color w:val="212121"/>
                <w:sz w:val="19"/>
              </w:rPr>
              <w:t xml:space="preserve">Container ships, bulk carriers, general cargo, ro-ro, vehicle carriers, reefers</w:t>
            </w:r>
          </w:p>
        </w:tc>
        <w:tc>
          <w:tcPr>
            <w:tcW w:w="3004" w:type="dxa"/>
          </w:tcPr>
          <w:p>
            <w:pPr>
              <w:spacing w:after="0" w:line="260" w:lineRule="auto"/>
              <w:jc w:val="left"/>
            </w:pPr>
            <w:r>
              <w:rPr>
                <w:rFonts w:ascii="Calibri" w:hAnsi="Calibri"/>
                <w:color w:val="212121"/>
                <w:sz w:val="19"/>
              </w:rPr>
              <w:t xml:space="preserve">Standard transit; Corridor One default; notice regime only in Corridor Two; no inspection at sea</w:t>
            </w:r>
          </w:p>
        </w:tc>
      </w:tr>
      <w:tr>
        <w:tc>
          <w:tcPr>
            <w:tcW w:w="3003" w:type="dxa"/>
          </w:tcPr>
          <w:p>
            <w:pPr>
              <w:spacing w:after="0" w:line="260" w:lineRule="auto"/>
              <w:jc w:val="left"/>
            </w:pPr>
            <w:r>
              <w:rPr>
                <w:rFonts w:ascii="Calibri" w:hAnsi="Calibri"/>
                <w:color w:val="212121"/>
                <w:sz w:val="19"/>
              </w:rPr>
              <w:t xml:space="preserve">Class B: Energy carriers</w:t>
            </w:r>
          </w:p>
        </w:tc>
        <w:tc>
          <w:tcPr>
            <w:tcW w:w="3003" w:type="dxa"/>
          </w:tcPr>
          <w:p>
            <w:pPr>
              <w:spacing w:after="0" w:line="260" w:lineRule="auto"/>
              <w:jc w:val="left"/>
            </w:pPr>
            <w:r>
              <w:rPr>
                <w:rFonts w:ascii="Calibri" w:hAnsi="Calibri"/>
                <w:color w:val="212121"/>
                <w:sz w:val="19"/>
              </w:rPr>
              <w:t xml:space="preserve">Crude oil tankers, product tankers, LNG and LPG carriers, chemical tankers carrying petroleum derivatives</w:t>
            </w:r>
          </w:p>
        </w:tc>
        <w:tc>
          <w:tcPr>
            <w:tcW w:w="3004" w:type="dxa"/>
          </w:tcPr>
          <w:p>
            <w:pPr>
              <w:spacing w:after="0" w:line="260" w:lineRule="auto"/>
              <w:jc w:val="left"/>
            </w:pPr>
            <w:r>
              <w:rPr>
                <w:rFonts w:ascii="Calibri" w:hAnsi="Calibri"/>
                <w:color w:val="212121"/>
                <w:sz w:val="19"/>
              </w:rPr>
              <w:t xml:space="preserve">Priority scheduling; 3 nautical mile spacing; optional escorted windows; expedited notice; loading-terminal integration in Corridor Two</w:t>
            </w:r>
          </w:p>
        </w:tc>
      </w:tr>
      <w:tr>
        <w:tc>
          <w:tcPr>
            <w:tcW w:w="3003" w:type="dxa"/>
          </w:tcPr>
          <w:p>
            <w:pPr>
              <w:spacing w:after="0" w:line="260" w:lineRule="auto"/>
              <w:jc w:val="left"/>
            </w:pPr>
            <w:r>
              <w:rPr>
                <w:rFonts w:ascii="Calibri" w:hAnsi="Calibri"/>
                <w:color w:val="212121"/>
                <w:sz w:val="19"/>
              </w:rPr>
              <w:t xml:space="preserve">Class C: Passenger vessels</w:t>
            </w:r>
          </w:p>
        </w:tc>
        <w:tc>
          <w:tcPr>
            <w:tcW w:w="3003" w:type="dxa"/>
          </w:tcPr>
          <w:p>
            <w:pPr>
              <w:spacing w:after="0" w:line="260" w:lineRule="auto"/>
              <w:jc w:val="left"/>
            </w:pPr>
            <w:r>
              <w:rPr>
                <w:rFonts w:ascii="Calibri" w:hAnsi="Calibri"/>
                <w:color w:val="212121"/>
                <w:sz w:val="19"/>
              </w:rPr>
              <w:t xml:space="preserve">Passenger ships, ferries, crew boats carrying more than 12 passengers</w:t>
            </w:r>
          </w:p>
        </w:tc>
        <w:tc>
          <w:tcPr>
            <w:tcW w:w="3004" w:type="dxa"/>
          </w:tcPr>
          <w:p>
            <w:pPr>
              <w:spacing w:after="0" w:line="260" w:lineRule="auto"/>
              <w:jc w:val="left"/>
            </w:pPr>
            <w:r>
              <w:rPr>
                <w:rFonts w:ascii="Calibri" w:hAnsi="Calibri"/>
                <w:color w:val="212121"/>
                <w:sz w:val="19"/>
              </w:rPr>
              <w:t xml:space="preserve">Highest protection priority; advance manifest through the notice system; daylight transit recommended; dedicated separation from Class G activity</w:t>
            </w:r>
          </w:p>
        </w:tc>
      </w:tr>
      <w:tr>
        <w:tc>
          <w:tcPr>
            <w:tcW w:w="3003" w:type="dxa"/>
          </w:tcPr>
          <w:p>
            <w:pPr>
              <w:spacing w:after="0" w:line="260" w:lineRule="auto"/>
              <w:jc w:val="left"/>
            </w:pPr>
            <w:r>
              <w:rPr>
                <w:rFonts w:ascii="Calibri" w:hAnsi="Calibri"/>
                <w:color w:val="212121"/>
                <w:sz w:val="19"/>
              </w:rPr>
              <w:t xml:space="preserve">Class D: Fishing and small craft</w:t>
            </w:r>
          </w:p>
        </w:tc>
        <w:tc>
          <w:tcPr>
            <w:tcW w:w="3003" w:type="dxa"/>
          </w:tcPr>
          <w:p>
            <w:pPr>
              <w:spacing w:after="0" w:line="260" w:lineRule="auto"/>
              <w:jc w:val="left"/>
            </w:pPr>
            <w:r>
              <w:rPr>
                <w:rFonts w:ascii="Calibri" w:hAnsi="Calibri"/>
                <w:color w:val="212121"/>
                <w:sz w:val="19"/>
              </w:rPr>
              <w:t xml:space="preserve">Licensed fishing vessels, dhows, and small craft under 24 meters</w:t>
            </w:r>
          </w:p>
        </w:tc>
        <w:tc>
          <w:tcPr>
            <w:tcW w:w="3004" w:type="dxa"/>
          </w:tcPr>
          <w:p>
            <w:pPr>
              <w:spacing w:after="0" w:line="260" w:lineRule="auto"/>
              <w:jc w:val="left"/>
            </w:pPr>
            <w:r>
              <w:rPr>
                <w:rFonts w:ascii="Calibri" w:hAnsi="Calibri"/>
                <w:color w:val="212121"/>
                <w:sz w:val="19"/>
              </w:rPr>
              <w:t xml:space="preserve">Inshore local craft bands; crossing gates of Annex A; registration through coastal authority; non-interference with corridor lanes</w:t>
            </w:r>
          </w:p>
        </w:tc>
      </w:tr>
      <w:tr>
        <w:tc>
          <w:tcPr>
            <w:tcW w:w="3003" w:type="dxa"/>
          </w:tcPr>
          <w:p>
            <w:pPr>
              <w:spacing w:after="0" w:line="260" w:lineRule="auto"/>
              <w:jc w:val="left"/>
            </w:pPr>
            <w:r>
              <w:rPr>
                <w:rFonts w:ascii="Calibri" w:hAnsi="Calibri"/>
                <w:color w:val="212121"/>
                <w:sz w:val="19"/>
              </w:rPr>
              <w:t xml:space="preserve">Class E: Humanitarian vessels</w:t>
            </w:r>
          </w:p>
        </w:tc>
        <w:tc>
          <w:tcPr>
            <w:tcW w:w="3003" w:type="dxa"/>
          </w:tcPr>
          <w:p>
            <w:pPr>
              <w:spacing w:after="0" w:line="260" w:lineRule="auto"/>
              <w:jc w:val="left"/>
            </w:pPr>
            <w:r>
              <w:rPr>
                <w:rFonts w:ascii="Calibri" w:hAnsi="Calibri"/>
                <w:color w:val="212121"/>
                <w:sz w:val="19"/>
              </w:rPr>
              <w:t xml:space="preserve">Vessels carrying food, medicine, medical equipment, or relief personnel under verified humanitarian consignment</w:t>
            </w:r>
          </w:p>
        </w:tc>
        <w:tc>
          <w:tcPr>
            <w:tcW w:w="3004" w:type="dxa"/>
          </w:tcPr>
          <w:p>
            <w:pPr>
              <w:spacing w:after="0" w:line="260" w:lineRule="auto"/>
              <w:jc w:val="left"/>
            </w:pPr>
            <w:r>
              <w:rPr>
                <w:rFonts w:ascii="Calibri" w:hAnsi="Calibri"/>
                <w:color w:val="212121"/>
                <w:sz w:val="19"/>
              </w:rPr>
              <w:t xml:space="preserve">Expedited regime; zero administrative delay; protected status under the humanitarian absolute; immediate acknowledgment of any notice; moves in every flow state including Suspended Flow</w:t>
            </w:r>
          </w:p>
        </w:tc>
      </w:tr>
      <w:tr>
        <w:tc>
          <w:tcPr>
            <w:tcW w:w="3003" w:type="dxa"/>
          </w:tcPr>
          <w:p>
            <w:pPr>
              <w:spacing w:after="0" w:line="260" w:lineRule="auto"/>
              <w:jc w:val="left"/>
            </w:pPr>
            <w:r>
              <w:rPr>
                <w:rFonts w:ascii="Calibri" w:hAnsi="Calibri"/>
                <w:color w:val="212121"/>
                <w:sz w:val="19"/>
              </w:rPr>
              <w:t xml:space="preserve">Class F: Government non-naval</w:t>
            </w:r>
          </w:p>
        </w:tc>
        <w:tc>
          <w:tcPr>
            <w:tcW w:w="3003" w:type="dxa"/>
          </w:tcPr>
          <w:p>
            <w:pPr>
              <w:spacing w:after="0" w:line="260" w:lineRule="auto"/>
              <w:jc w:val="left"/>
            </w:pPr>
            <w:r>
              <w:rPr>
                <w:rFonts w:ascii="Calibri" w:hAnsi="Calibri"/>
                <w:color w:val="212121"/>
                <w:sz w:val="19"/>
              </w:rPr>
              <w:t xml:space="preserve">Research, survey, coast guard, customs, and hydrographic vessels on non-enforcement missions</w:t>
            </w:r>
          </w:p>
        </w:tc>
        <w:tc>
          <w:tcPr>
            <w:tcW w:w="3004" w:type="dxa"/>
          </w:tcPr>
          <w:p>
            <w:pPr>
              <w:spacing w:after="0" w:line="260" w:lineRule="auto"/>
              <w:jc w:val="left"/>
            </w:pPr>
            <w:r>
              <w:rPr>
                <w:rFonts w:ascii="Calibri" w:hAnsi="Calibri"/>
                <w:color w:val="212121"/>
                <w:sz w:val="19"/>
              </w:rPr>
              <w:t xml:space="preserve">Notification regime in both corridors; mission description in the notice; de-confliction liaison through the Center</w:t>
            </w:r>
          </w:p>
        </w:tc>
      </w:tr>
      <w:tr>
        <w:tc>
          <w:tcPr>
            <w:tcW w:w="3003" w:type="dxa"/>
          </w:tcPr>
          <w:p>
            <w:pPr>
              <w:spacing w:after="0" w:line="260" w:lineRule="auto"/>
              <w:jc w:val="left"/>
            </w:pPr>
            <w:r>
              <w:rPr>
                <w:rFonts w:ascii="Calibri" w:hAnsi="Calibri"/>
                <w:color w:val="212121"/>
                <w:sz w:val="19"/>
              </w:rPr>
              <w:t xml:space="preserve">Class G: Naval and state vessels</w:t>
            </w:r>
          </w:p>
        </w:tc>
        <w:tc>
          <w:tcPr>
            <w:tcW w:w="3003" w:type="dxa"/>
          </w:tcPr>
          <w:p>
            <w:pPr>
              <w:spacing w:after="0" w:line="260" w:lineRule="auto"/>
              <w:jc w:val="left"/>
            </w:pPr>
            <w:r>
              <w:rPr>
                <w:rFonts w:ascii="Calibri" w:hAnsi="Calibri"/>
                <w:color w:val="212121"/>
                <w:sz w:val="19"/>
              </w:rPr>
              <w:t xml:space="preserve">Warships and state vessels on government non-commercial service</w:t>
            </w:r>
          </w:p>
        </w:tc>
        <w:tc>
          <w:tcPr>
            <w:tcW w:w="3004" w:type="dxa"/>
          </w:tcPr>
          <w:p>
            <w:pPr>
              <w:spacing w:after="0" w:line="260" w:lineRule="auto"/>
              <w:jc w:val="left"/>
            </w:pPr>
            <w:r>
              <w:rPr>
                <w:rFonts w:ascii="Calibri" w:hAnsi="Calibri"/>
                <w:color w:val="212121"/>
                <w:sz w:val="19"/>
              </w:rPr>
              <w:t xml:space="preserve">Corridor One only; 96-hour advance movement notice through the military channel; standoff geometry of Article 27 applies; no embarkation of inspection teams against merchant vessels inside the Governance Area</w:t>
            </w:r>
          </w:p>
        </w:tc>
      </w:tr>
      <w:tr>
        <w:tc>
          <w:tcPr>
            <w:tcW w:w="3003" w:type="dxa"/>
          </w:tcPr>
          <w:p>
            <w:pPr>
              <w:spacing w:after="0" w:line="260" w:lineRule="auto"/>
              <w:jc w:val="left"/>
            </w:pPr>
            <w:r>
              <w:rPr>
                <w:rFonts w:ascii="Calibri" w:hAnsi="Calibri"/>
                <w:color w:val="212121"/>
                <w:sz w:val="19"/>
              </w:rPr>
              <w:t xml:space="preserve">Class H: Vessels of concern</w:t>
            </w:r>
          </w:p>
        </w:tc>
        <w:tc>
          <w:tcPr>
            <w:tcW w:w="3003" w:type="dxa"/>
          </w:tcPr>
          <w:p>
            <w:pPr>
              <w:spacing w:after="0" w:line="260" w:lineRule="auto"/>
              <w:jc w:val="left"/>
            </w:pPr>
            <w:r>
              <w:rPr>
                <w:rFonts w:ascii="Calibri" w:hAnsi="Calibri"/>
                <w:color w:val="212121"/>
                <w:sz w:val="19"/>
              </w:rPr>
              <w:t xml:space="preserve">Any vessel with a documented, evidence-backed cargo or documentation question pending</w:t>
            </w:r>
          </w:p>
        </w:tc>
        <w:tc>
          <w:tcPr>
            <w:tcW w:w="3004" w:type="dxa"/>
          </w:tcPr>
          <w:p>
            <w:pPr>
              <w:spacing w:after="0" w:line="260" w:lineRule="auto"/>
              <w:jc w:val="left"/>
            </w:pPr>
            <w:r>
              <w:rPr>
                <w:rFonts w:ascii="Calibri" w:hAnsi="Calibri"/>
                <w:color w:val="212121"/>
                <w:sz w:val="19"/>
              </w:rPr>
              <w:t xml:space="preserve">Anchor-and-Verify Protocol of Article 9.5: resolution at anchorage, never interdiction at sea</w:t>
            </w:r>
          </w:p>
        </w:tc>
      </w:tr>
    </w:tbl>
    <w:p>
      <w:pPr>
        <w:spacing w:after="60"/>
      </w:pPr>
    </w:p>
    <w:p>
      <w:pPr>
        <w:pStyle w:val="Caption"/>
      </w:pPr>
      <w:r>
        <w:t xml:space="preserve">Table 9.1: Vessel classes and core treatment</w:t>
      </w:r>
    </w:p>
    <w:p>
      <w:pPr>
        <w:pStyle w:val="Heading3"/>
      </w:pPr>
      <w:r>
        <w:t xml:space="preserve">9.3 Treatment principles</w:t>
      </w:r>
    </w:p>
    <w:p>
      <w:pPr>
        <w:ind w:left="360"/>
      </w:pPr>
      <w:r>
        <w:t xml:space="preserve">1. Purpose governs. Two vessels of identical tonnage receive different treatment if their purposes differ, and identical treatment if their purposes match. Flag never enters the treatment decision.</w:t>
      </w:r>
    </w:p>
    <w:p>
      <w:pPr>
        <w:ind w:left="360"/>
      </w:pPr>
      <w:r>
        <w:t xml:space="preserve">2. Protection scales with vulnerability. Class C and Class E vessels receive the highest protection priority in scheduling, spacing, and incident response.</w:t>
      </w:r>
    </w:p>
    <w:p>
      <w:pPr>
        <w:ind w:left="360"/>
      </w:pPr>
      <w:r>
        <w:t xml:space="preserve">3. Friction scales with risk, at anchor. The Accord concentrates all verification friction in the Anchor-and-Verify Protocol, so that the corridors themselves stay clean, fast, and free.</w:t>
      </w:r>
    </w:p>
    <w:p>
      <w:pPr>
        <w:ind w:left="360"/>
      </w:pPr>
      <w:r>
        <w:t xml:space="preserve">4. No class carries a charge. The Zero-Toll Rule applies to every class equally, including Class G.</w:t>
      </w:r>
    </w:p>
    <w:p>
      <w:pPr>
        <w:pStyle w:val="Heading3"/>
      </w:pPr>
      <w:r>
        <w:t xml:space="preserve">9.4 Non-discrimination</w:t>
      </w:r>
    </w:p>
    <w:p>
      <w:pPr/>
      <w:r>
        <w:t xml:space="preserve">Within each class, treatment stands identical for all vessels. The architecture excludes: differential pricing by flag; differential notification burdens by ownership; differential inspection by destination; and any registry, list, or database that sorts vessels by political criteria. The Assurance Registry of Article 24 sorts vessels by participation in a documentary mechanism, never by politics, and it alters no transit right, no transit priority, and no safety service for any vessel.</w:t>
      </w:r>
    </w:p>
    <w:p>
      <w:pPr>
        <w:pStyle w:val="Heading3"/>
      </w:pPr>
      <w:r>
        <w:t xml:space="preserve">9.5 Class H and the Anchor-and-Verify Protocol</w:t>
      </w:r>
    </w:p>
    <w:p>
      <w:pPr/>
      <w:r>
        <w:t xml:space="preserve">A vessel becomes Class H only through a written, evidence-backed referral to the Meridian Operations Center by a Party, the Neutral Administrator, or a classification society, stating the specific cargo or documentation question. A referral based on nationality, ownership structure, or routing alone fails automatically and counts against the referring Party's claim record under Article 34.</w:t>
      </w:r>
    </w:p>
    <w:p>
      <w:pPr/>
      <w:r>
        <w:t xml:space="preserve">Upon a valid referral, the vessel proceeds to a designated anchorage of its chosen corridor state, or continues its voyage if the question resolves through documents. Verification at anchorage completes within 48 hours through a joint team: one inspector designated by the flag state, one by the corridor coastal state, and one from the Neutral Keel Office roster. The team examines documents and, only where documents leave a material gap, the specific cargo in question. The vessel then resumes transit with a verified-transit marker. The architecture excludes at-sea boarding, diversion to a third state's port, and detention beyond 72 hours; a question unresolved at 72 hours routes to the Technical and Standards Committee, and the vessel resumes transit at hour 96 with the dispute continuing ashore.</w:t>
      </w:r>
    </w:p>
    <w:p>
      <w:pPr>
        <w:pStyle w:val="Heading3"/>
      </w:pPr>
      <w:r>
        <w:t xml:space="preserve">9.6 The ground-truth patrol program</w:t>
      </w:r>
    </w:p>
    <w:p>
      <w:pPr/>
      <w:r>
        <w:t xml:space="preserve">Electronic surveillance deceives: identification signals spoof, satellite passes gap, and radar coverage bends around geography. The Accord therefore maintains a human verification layer on the water. The Meridian Operations Center conducts one ground-truth patrol per week in each corridor, executed by mixed-crew patrol craft provided on rotation by the coastal states and embarked with a Neutral Keel observer. Each patrol physically verifies the position, identity, and declared class of at least 5 percent of the vessels transiting during the patrol window, selected by lot from the live traffic picture immediately before departure. Patrol findings reconcile against the shared operational picture within 24 hours; a discrepancy enters the operational flag register and, where it suggests deliberate signal manipulation, refers to the verification channel of Article 34. A ground-truth patrol never boards, never delays, and never directs a merchant vessel: it observes, photographs, and reconciles. Obstruction of a scheduled patrol classifies under Annex D, category M-2.</w:t>
      </w:r>
    </w:p>
    <w:p>
      <w:pPr>
        <w:pStyle w:val="Heading2"/>
      </w:pPr>
      <w:r>
        <w:t xml:space="preserve">Article 10: Safe Passage and the Non-Interdiction Protocol</w:t>
      </w:r>
    </w:p>
    <w:p>
      <w:pPr>
        <w:pStyle w:val="Heading3"/>
      </w:pPr>
      <w:r>
        <w:t xml:space="preserve">10.1 The guarantee of safe passage</w:t>
      </w:r>
    </w:p>
    <w:p>
      <w:pPr/>
      <w:r>
        <w:t xml:space="preserve">Every vessel transiting the corridor system in compliance with its class rules enjoys a standing guarantee of safe passage. The guarantee operates as a design feature of the shared architecture: the corridor system excludes kinetic attack, boarding, seizure, detention, harassment, diversion, and interdiction of transiting vessels, by the forces of any Party or any external actor, under every circumstance including armed conflict between any states. The guarantee binds equally in both corridors and covers every class.</w:t>
      </w:r>
    </w:p>
    <w:p>
      <w:pPr>
        <w:pStyle w:val="Heading3"/>
      </w:pPr>
      <w:r>
        <w:t xml:space="preserve">10.2 The Non-Interdiction Protocol</w:t>
      </w:r>
    </w:p>
    <w:p>
      <w:pPr/>
      <w:r>
        <w:t xml:space="preserve">Commercial transit operates under an absolute non-interdiction protocol within the Governance Area. The protocol binds every organ of every Party, every force under their command or coordination, and every external force present in the region whose state adheres under Article 38.5: no vessel of Classes A through F faces attack, seizure, boarding for enforcement, harassment, diversion, or detention within the Governance Area, except the Anchor-and-Verify Protocol of Article 9.5 executed exactly as written. The protocol excludes no flag and no cargo category, subject only to the Class H procedure. Law enforcement against a vessel occurs outside the Governance Area, under the law of the state with jurisdiction, and never inside a corridor.</w:t>
      </w:r>
    </w:p>
    <w:p>
      <w:pPr>
        <w:pStyle w:val="Heading3"/>
      </w:pPr>
      <w:r>
        <w:t xml:space="preserve">10.3 Excluded measures</w:t>
      </w:r>
    </w:p>
    <w:p>
      <w:pPr/>
      <w:r>
        <w:t xml:space="preserve">The following measures have no place anywhere in the Governance Area: tolls or charges on transit; permission regimes; boarding of transiting vessels; route assignment by flag or destination; mining; the placing of hazards; harassment by small craft; the jamming or spoofing of navigation signals; and the illumination of transiting commercial vessels with fire-control radar or targeting systems. The Parties treat interference with navigation signals as an interference event under Article 28, and the Center maintains a signal-integrity watch with land-based receivers at both the Muscat seat and the Bandar Abbas mirror.</w:t>
      </w:r>
    </w:p>
    <w:p>
      <w:pPr>
        <w:pStyle w:val="Heading3"/>
      </w:pPr>
      <w:r>
        <w:t xml:space="preserve">10.4 The joint openness declaration</w:t>
      </w:r>
    </w:p>
    <w:p>
      <w:pPr/>
      <w:r>
        <w:t xml:space="preserve">Within 7 days of entry into force, the Parties issue a joint public declaration, drafted by the Mediator of Record, stating that all channels of the Strait of Hormuz operate open, that passage carries no toll, and that the Non-Interdiction Protocol governs all traffic. The declaration attributes the commitment to the shared architecture rather than to any Party's unilateral concession. The Meridian Operations Center thereafter publishes the Open Water Bulletin under Article 11.7, so that the declaration renews itself through verifiable fact rather than repeated diplomacy.</w:t>
      </w:r>
    </w:p>
    <w:p>
      <w:pPr>
        <w:pStyle w:val="Heading3"/>
      </w:pPr>
      <w:r>
        <w:t xml:space="preserve">10.5 Safe passage services</w:t>
      </w:r>
    </w:p>
    <w:p>
      <w:pPr/>
      <w:r>
        <w:t xml:space="preserve">The Meridian Operations Center operates: (a) a 24-hour watch with direct lines to both coastal vessel traffic services; (b) a transit information broadcast every 6 hours covering traffic density, hazards, and Class G movements in general terms; (c) optional escorted transit windows for Class B vessels, organized with the coastal states' coast guards, twice daily in each direction; and (d) a vessel assistance desk for mechanical casualties, with contracted tug and salvage capacity on 2-hour notice at the eastern and western approaches. A vessel requests an escorted window through the daily schedule; the request carries no charge.</w:t>
      </w:r>
    </w:p>
    <w:p>
      <w:pPr>
        <w:pStyle w:val="Heading2"/>
      </w:pPr>
      <w:r>
        <w:t xml:space="preserve">Article 11: Traffic Management, Flow States, and the Open Water Bulletin</w:t>
      </w:r>
    </w:p>
    <w:p>
      <w:pPr>
        <w:pStyle w:val="Heading3"/>
      </w:pPr>
      <w:r>
        <w:t xml:space="preserve">11.1 Speed bands</w:t>
      </w:r>
    </w:p>
    <w:p>
      <w:pPr/>
      <w:r>
        <w:t xml:space="preserve">In Free Flow, a vessel proceeds between 10 and 16 knots in the lanes, subject to the corridor regimes of Article 8.6. In Managed Flow, the Center narrows the band to between 9 and 13 knots. Class D craft in the inshore bands proceed at their customary speeds. The Center publishes any temporary speed adjustment in the Bulletin, with reasons and a stated end time.</w:t>
      </w:r>
    </w:p>
    <w:p>
      <w:pPr>
        <w:pStyle w:val="Heading3"/>
      </w:pPr>
      <w:r>
        <w:t xml:space="preserve">11.2 Spacing and transit windows</w:t>
      </w:r>
    </w:p>
    <w:p>
      <w:pPr/>
      <w:r>
        <w:t xml:space="preserve">Standard spacing in a lane: one nautical mile between vessels in the same direction. Class B spacing: two nautical miles, and three nautical miles between successive laden carriers per Article 8.6. In Managed Flow, the Center groups entries into transit windows: Class B windows first, then Classes A and C, then Class F and others. A window lasts forty-five minutes and repeats on the published cycle. The Accord never operates compulsory convoys. An operator who elects escorted grouping receives it through the Center, and the Fund accounts for escort cost as a Catalog service.</w:t>
      </w:r>
    </w:p>
    <w:p>
      <w:pPr>
        <w:pStyle w:val="Heading3"/>
      </w:pPr>
      <w:r>
        <w:t xml:space="preserve">11.3 Reporting points and the voice discipline</w:t>
      </w:r>
    </w:p>
    <w:p>
      <w:pPr/>
      <w:r>
        <w:t xml:space="preserve">The Accord relies on the master's voice. Each lane carries voice reporting points at entry, mid-passage, and exit, listed in Annex A, Table A.9. A vessel calls the Center on the working channel at each point: name, class, position by bearing and distance from the named reference, speed, and next point. Electronic track data supplements voice reporting; it never replaces it. Where a vessel's track transmitter fails, voice reporting alone sustains the vessel's compliance record, and the Center logs the transmitter failure as an equipment note, not a violation. Voice discipline follows the standard maritime format: identity first, position second, intention third. The Center answers every call with the vessel's identity and a read-back of the substance.</w:t>
      </w:r>
    </w:p>
    <w:p>
      <w:pPr>
        <w:pStyle w:val="Heading3"/>
      </w:pPr>
      <w:r>
        <w:t xml:space="preserve">11.4 Crossing and meeting rules</w:t>
      </w:r>
    </w:p>
    <w:p>
      <w:pPr/>
      <w:r>
        <w:t xml:space="preserve">A vessel crosses between corridors only at the crossing sectors of Annex A, Table A.7, at right angles, at minimum safe speed, after a crossing call on the working channel. Class D craft cross at the crossing gates under Center direction, in groups where practical, during the gate windows the Bulletin publishes. The International Regulations for Preventing Collisions at Sea govern every meeting and overtaking situation, and this Accord adds only the lane, speed, and spacing rules of this Article.</w:t>
      </w:r>
    </w:p>
    <w:p>
      <w:pPr>
        <w:pStyle w:val="Heading3"/>
      </w:pPr>
      <w:r>
        <w:t xml:space="preserve">11.5 Night and low-visibility rules</w:t>
      </w:r>
    </w:p>
    <w:p>
      <w:pPr/>
      <w:r>
        <w:t xml:space="preserve">The corridors operate at night under the same rules as by day, with continuous radar watch and reduced spacing tolerance enforced by the Center's voice check cycle. In visibility below two nautical miles, the Center shifts both corridors to Managed Flow, doubles spacing, and increases the voice reporting frequency to every reporting point for all classes except D.</w:t>
      </w:r>
    </w:p>
    <w:p>
      <w:pPr>
        <w:pBdr>
          <w:left w:val="single" w:color="B0BEC5" w:sz="8" w:space="6"/>
        </w:pBdr>
        <w:spacing w:before="40" w:after="120"/>
        <w:ind w:left="360"/>
      </w:pPr>
      <w:r>
        <w:rPr>
          <w:rFonts w:ascii="Calibri" w:hAnsi="Calibri"/>
          <w:i/>
          <w:color w:val="78909C"/>
          <w:sz w:val="18"/>
        </w:rPr>
        <w:t xml:space="preserve">See also Articles 10, 12, and 15.6, and Annex F.</w:t>
      </w:r>
    </w:p>
    <w:p>
      <w:pPr>
        <w:pStyle w:val="Heading3"/>
      </w:pPr>
      <w:r>
        <w:t xml:space="preserve">11.6 Flow states and the Suspended Flow</w:t>
      </w:r>
    </w:p>
    <w:p>
      <w:pPr/>
      <w:r>
        <w:t xml:space="preserve">Every corridor operates in one of three flow states at any moment, and the Bulletin publishes the state of each corridor hourly. Free Flow marks normal operation: vessels proceed under the traffic rules, the Center monitors, and no sequencing applies. Managed Flow marks elevated density, weather, or a navigational hazard: the Center sequences entries by transit window, holds speed bands tighter, and increases reporting frequency; Managed Flow never conditions passage on approval, it schedules it. Suspended Flow marks a grave and immediate navigational danger in a defined area: mines suspicion, a casualty blocking a lane, or a pollution event. A Suspended Flow pauses new entries into the defined area only, for a stated period, and lifts automatically when the Neutral Keel Office confirms the area clear. A Suspended Flow never exceeds seventy-two hours without a Council decision recorded with reasons, never applies to both corridors simultaneously except on such a decision, and never applies selectively among vessels: a Suspended Flow binds every vessel equally, by area and by period. The flow state of one corridor never depends on the flow state of the other.</w:t>
      </w:r>
    </w:p>
    <w:p>
      <w:pPr>
        <w:pStyle w:val="Heading3"/>
      </w:pPr>
      <w:r>
        <w:t xml:space="preserve">11.7 The Open Water Bulletin</w:t>
      </w:r>
    </w:p>
    <w:p>
      <w:pPr/>
      <w:r>
        <w:t xml:space="preserve">The Center issues the Open Water Bulletin at 0600 and 1800 UTC daily, and hourly updates whenever any corridor leaves Free Flow. The Bulletin states, for each corridor: the flow state; active transit windows; hazard notices; search and rescue readiness; the count of transits in the previous period; one status line for the Accord as a whole (Calm, Irregular, or Investigating); and the names of the duty officer pair. The Bulletin reaches every participant simultaneously through the International Maritime Organization distribution channel, the Registry feed, and public posting. No Party, state, or operator receives the Bulletin earlier than any other. The Center transmits the Bulletin to the commercial shipping insurance market, including the Lloyd's market, so that war-risk premiums normalize on evidence rather than on statements, and it tracks premium movements as a public confidence indicator published weekly.</w:t>
      </w:r>
    </w:p>
    <w:p>
      <w:pPr>
        <w:pStyle w:val="Heading3"/>
      </w:pPr>
      <w:r>
        <w:t xml:space="preserve">11.8 The State of the Strait report</w:t>
      </w:r>
    </w:p>
    <w:p>
      <w:pPr/>
      <w:r>
        <w:t xml:space="preserve">The Center produces a single, consolidated, publicly available State of the Strait report each year, within 60 days of the anniversary of entry into force. The report summarizes the year's transit counts, corridor performance, incidents and their classifications, the premium index trend, the Fund's audited financial statements, the Ledger standings, and every material change to the system. The report stands as the single authoritative public record of the Accord for the market, the Parties, and the public, and the Open Water Review Conference opens with its presentation.</w:t>
      </w:r>
    </w:p>
    <w:p>
      <w:pPr>
        <w:pStyle w:val="Heading2"/>
      </w:pPr>
      <w:r>
        <w:t xml:space="preserve">Article 12: Hazard Survey, Mines, and the Reopening Sequence</w:t>
      </w:r>
    </w:p>
    <w:p>
      <w:pPr>
        <w:pStyle w:val="Heading3"/>
      </w:pPr>
      <w:r>
        <w:t xml:space="preserve">12.1 The mine exclusion</w:t>
      </w:r>
    </w:p>
    <w:p>
      <w:pPr/>
      <w:r>
        <w:t xml:space="preserve">The Accord architecture excludes the laying, deployment, or tolerance of naval mines or equivalent placed hazards anywhere in the Governance Area, by any actor, at any time, under every circumstance. Discovery of a mine or ordnance activates the clearance protocol: the Center declares a 72-hour routing adjustment, the coastal states' clearance units operate jointly under Neutral Keel observation, and commercial traffic reroutes through the unaffected corridor. Mine clearance activity by one coastal state inside the other's notification regime proceeds under the standing pre-authorization of Annex F, so that clearance never waits on politics.</w:t>
      </w:r>
    </w:p>
    <w:p>
      <w:pPr>
        <w:pStyle w:val="Heading3"/>
      </w:pPr>
      <w:r>
        <w:t xml:space="preserve">12.2 The Day One mine-hazard declaration</w:t>
      </w:r>
    </w:p>
    <w:p>
      <w:pPr/>
      <w:r>
        <w:t xml:space="preserve">Within 24 hours of entry into force, the Meridian Operations Center issues a Notice to Mariners declaring all parts of the Governance Area a Mine Hazard Area (Awaiting Survey), restricting transit to the designated routes of Annex A, and activating the Mine Countermeasure Command under Omani coordination with Neutral Keel observation. The declaration demonstrates the Accord's practical authority from its first day: the water carries a status, the routes carry a rule, and the clearance machine starts moving before the politics settles. The Notice remains in force zone by zone until each zone certifies clear under Article 12.3.</w:t>
      </w:r>
    </w:p>
    <w:p>
      <w:pPr>
        <w:pStyle w:val="Heading3"/>
      </w:pPr>
      <w:r>
        <w:t xml:space="preserve">12.3 Hazard declaration and joint survey</w:t>
      </w:r>
    </w:p>
    <w:p>
      <w:pPr/>
      <w:r>
        <w:t xml:space="preserve">Each coastal Party declares known hazard locations within 72 hours of entry into force. A joint technical survey under the United Nations Mine Action Service, or another mutually accepted technical body, maps the corridor system within 21 days. Neutral mine countermeasure assets under Omani coordination clear contacts zone by zone, and the International Maritime Organization issues a Maritime Safety Information broadcast for each certified zone. Insurance markets receive each certification simultaneously. A zone certifies clear only after a second-pass verification confirms zero remaining mine-like contacts.</w:t>
      </w:r>
    </w:p>
    <w:p>
      <w:pPr>
        <w:pBdr>
          <w:left w:val="single" w:color="B0BEC5" w:sz="8" w:space="6"/>
        </w:pBdr>
        <w:spacing w:before="40" w:after="120"/>
        <w:ind w:left="360"/>
      </w:pPr>
      <w:r>
        <w:rPr>
          <w:rFonts w:ascii="Calibri" w:hAnsi="Calibri"/>
          <w:i/>
          <w:color w:val="78909C"/>
          <w:sz w:val="18"/>
        </w:rPr>
        <w:t xml:space="preserve">See also Articles 19.5 and 22.7, and Annexes C and L.</w:t>
      </w:r>
    </w:p>
    <w:p>
      <w:pPr>
        <w:pStyle w:val="Heading3"/>
      </w:pPr>
      <w:r>
        <w:t xml:space="preserve">12.4 The reopening sequence</w:t>
      </w:r>
    </w:p>
    <w:p>
      <w:pPr/>
      <w:r>
        <w:t xml:space="preserve">The Accord restores full commercial transit in phases tied to the survey record, per Annex L: scheduled daylight transits in Corridor One from Day 3; phased zone certification through Day 21; night transit upon certification of all zones; and full dual-corridor operation at or above the pre-crisis baseline of 90 to 140 commercial transits per day by Day 45. The International Maritime Organization conducts the final technical certification of the corridor system's safety, and its certification stands as the prerequisite for full dual-corridor operation under this Article. Each phase certification posts to the shared registry and banks permanently under the Nofade Guarantee. A certification never reverses on the basis of an unverified allegation; reversal travels exclusively through the compliance engine of Article 31.</w:t>
      </w:r>
    </w:p>
    <w:p>
      <w:pPr>
        <w:pStyle w:val="Heading3"/>
      </w:pPr>
      <w:r>
        <w:t xml:space="preserve">12.5 Insurance normalization</w:t>
      </w:r>
    </w:p>
    <w:p>
      <w:pPr/>
      <w:r>
        <w:t xml:space="preserve">On completion of the survey sequence, the Council and the International Maritime Organization issue a joint safety certification to the protection and indemnity clubs, targeting war-risk premiums at or below 1.5 times the pre-crisis level within two quarters of sustained clean operation, and full restoration of pre-crisis premium levels within four quarters, per the schedule of Annex C, Section C.7.</w:t>
      </w:r>
    </w:p>
    <w:tbl>
      <w:tblPr>
        <w:tblW w:w="5000" w:type="pct"/>
        <w:tblBorders>
          <w:top w:val="single" w:color="B0BEC5" w:sz="2"/>
          <w:left w:val="single" w:color="37474F" w:sz="18"/>
          <w:bottom w:val="single" w:color="B0BEC5" w:sz="2"/>
          <w:right w:val="single" w:color="B0BEC5" w:sz="2"/>
        </w:tblBorders>
        <w:tblCellMar>
          <w:top w:w="140" w:type="dxa"/>
          <w:left w:w="200" w:type="dxa"/>
          <w:bottom w:w="140" w:type="dxa"/>
          <w:right w:w="160" w:type="dxa"/>
        </w:tblCellMar>
      </w:tblPr>
      <w:tblGrid>
        <w:gridCol w:w="9010"/>
      </w:tblGrid>
      <w:tr>
        <w:tc>
          <w:tcPr>
            <w:tcW w:w="9010" w:type="dxa"/>
            <w:shd w:val="clear" w:fill="ECEFF1"/>
          </w:tcPr>
          <w:p>
            <w:pPr>
              <w:spacing w:after="0" w:line="300" w:lineRule="auto"/>
            </w:pPr>
            <w:r>
              <w:rPr>
                <w:i/>
              </w:rPr>
              <w:t xml:space="preserve">Design rationale for the dual-corridor system. The Parties adopt two corridors rather than one because the Strait's geography carries two truths that no single regime holds: transit stands free, and coastal sovereignty stands real. A single compromise regime would satisfy neither truth and would collapse under the first serious traffic. The dual design lets each corridor carry one truth at full strength: free navigation in the south, recognized coastal management in the north, while the Zero-Toll Rule and the Non-Interdiction Protocol bind both corridors into one legal fabric. The system trades simplicity for survivability, and it chooses survivability.</w:t>
            </w:r>
          </w:p>
        </w:tc>
      </w:tr>
    </w:tbl>
    <w:p>
      <w:pPr>
        <w:pStyle w:val="Heading1"/>
      </w:pPr>
      <w:r>
        <w:t xml:space="preserve">Part III: Institutional Architecture</w:t>
      </w:r>
    </w:p>
    <w:p>
      <w:pPr>
        <w:pStyle w:val="Heading2"/>
      </w:pPr>
      <w:r>
        <w:t xml:space="preserve">Article 13: The Stillwater Council</w:t>
      </w:r>
    </w:p>
    <w:p>
      <w:pPr>
        <w:pStyle w:val="Heading3"/>
      </w:pPr>
      <w:r>
        <w:t xml:space="preserve">13.1 Composition</w:t>
      </w:r>
    </w:p>
    <w:p>
      <w:pPr/>
      <w:r>
        <w:t xml:space="preserve">The Stillwater Council is the governing body of the Accord. It seats voting members and non-voting participants as follows:</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3003"/>
        <w:gridCol w:w="3003"/>
        <w:gridCol w:w="3004"/>
      </w:tblGrid>
      <w:tr>
        <w:trPr>
          <w:tblHeader/>
        </w:trPr>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Seat</w:t>
            </w:r>
          </w:p>
        </w:tc>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Holder</w:t>
            </w:r>
          </w:p>
        </w:tc>
        <w:tc>
          <w:tcPr>
            <w:tcW w:w="3004" w:type="dxa"/>
            <w:tcBorders>
              <w:bottom w:val="single" w:color="546E7A" w:sz="6"/>
            </w:tcBorders>
            <w:shd w:val="clear" w:fill="E4E9EC"/>
          </w:tcPr>
          <w:p>
            <w:pPr>
              <w:spacing w:after="0" w:line="260" w:lineRule="auto"/>
              <w:jc w:val="left"/>
            </w:pPr>
            <w:r>
              <w:rPr>
                <w:rFonts w:ascii="Calibri" w:hAnsi="Calibri"/>
                <w:b/>
                <w:color w:val="37474F"/>
                <w:sz w:val="19"/>
              </w:rPr>
              <w:t xml:space="preserve">Status</w:t>
            </w:r>
          </w:p>
        </w:tc>
      </w:tr>
      <w:tr>
        <w:tc>
          <w:tcPr>
            <w:tcW w:w="3003" w:type="dxa"/>
          </w:tcPr>
          <w:p>
            <w:pPr>
              <w:spacing w:after="0" w:line="260" w:lineRule="auto"/>
              <w:jc w:val="left"/>
            </w:pPr>
            <w:r>
              <w:rPr>
                <w:rFonts w:ascii="Calibri" w:hAnsi="Calibri"/>
                <w:color w:val="212121"/>
                <w:sz w:val="19"/>
              </w:rPr>
              <w:t xml:space="preserve">Founding Member seats</w:t>
            </w:r>
          </w:p>
        </w:tc>
        <w:tc>
          <w:tcPr>
            <w:tcW w:w="3003" w:type="dxa"/>
          </w:tcPr>
          <w:p>
            <w:pPr>
              <w:spacing w:after="0" w:line="260" w:lineRule="auto"/>
              <w:jc w:val="left"/>
            </w:pPr>
            <w:r>
              <w:rPr>
                <w:rFonts w:ascii="Calibri" w:hAnsi="Calibri"/>
                <w:color w:val="212121"/>
                <w:sz w:val="19"/>
              </w:rPr>
              <w:t xml:space="preserve">Iran, Oman, and the United Arab Emirates, two members each</w:t>
            </w:r>
          </w:p>
        </w:tc>
        <w:tc>
          <w:tcPr>
            <w:tcW w:w="3004" w:type="dxa"/>
          </w:tcPr>
          <w:p>
            <w:pPr>
              <w:spacing w:after="0" w:line="260" w:lineRule="auto"/>
              <w:jc w:val="left"/>
            </w:pPr>
            <w:r>
              <w:rPr>
                <w:rFonts w:ascii="Calibri" w:hAnsi="Calibri"/>
                <w:color w:val="212121"/>
                <w:sz w:val="19"/>
              </w:rPr>
              <w:t xml:space="preserve">Voting; founding members</w:t>
            </w:r>
          </w:p>
        </w:tc>
      </w:tr>
      <w:tr>
        <w:tc>
          <w:tcPr>
            <w:tcW w:w="3003" w:type="dxa"/>
          </w:tcPr>
          <w:p>
            <w:pPr>
              <w:spacing w:after="0" w:line="260" w:lineRule="auto"/>
              <w:jc w:val="left"/>
            </w:pPr>
            <w:r>
              <w:rPr>
                <w:rFonts w:ascii="Calibri" w:hAnsi="Calibri"/>
                <w:color w:val="212121"/>
                <w:sz w:val="19"/>
              </w:rPr>
              <w:t xml:space="preserve">Acceding Member seats</w:t>
            </w:r>
          </w:p>
        </w:tc>
        <w:tc>
          <w:tcPr>
            <w:tcW w:w="3003" w:type="dxa"/>
          </w:tcPr>
          <w:p>
            <w:pPr>
              <w:spacing w:after="0" w:line="260" w:lineRule="auto"/>
              <w:jc w:val="left"/>
            </w:pPr>
            <w:r>
              <w:rPr>
                <w:rFonts w:ascii="Calibri" w:hAnsi="Calibri"/>
                <w:color w:val="212121"/>
                <w:sz w:val="19"/>
              </w:rPr>
              <w:t xml:space="preserve">Saudi Arabia, Qatar, Bahrain, Kuwait, and Iraq, two members each upon accession as Acceding Members under Article 38</w:t>
            </w:r>
          </w:p>
        </w:tc>
        <w:tc>
          <w:tcPr>
            <w:tcW w:w="3004" w:type="dxa"/>
          </w:tcPr>
          <w:p>
            <w:pPr>
              <w:spacing w:after="0" w:line="260" w:lineRule="auto"/>
              <w:jc w:val="left"/>
            </w:pPr>
            <w:r>
              <w:rPr>
                <w:rFonts w:ascii="Calibri" w:hAnsi="Calibri"/>
                <w:color w:val="212121"/>
                <w:sz w:val="19"/>
              </w:rPr>
              <w:t xml:space="preserve">Voting upon accession</w:t>
            </w:r>
          </w:p>
        </w:tc>
      </w:tr>
      <w:tr>
        <w:tc>
          <w:tcPr>
            <w:tcW w:w="3003" w:type="dxa"/>
          </w:tcPr>
          <w:p>
            <w:pPr>
              <w:spacing w:after="0" w:line="260" w:lineRule="auto"/>
              <w:jc w:val="left"/>
            </w:pPr>
            <w:r>
              <w:rPr>
                <w:rFonts w:ascii="Calibri" w:hAnsi="Calibri"/>
                <w:color w:val="212121"/>
                <w:sz w:val="19"/>
              </w:rPr>
              <w:t xml:space="preserve">Facilitator seats</w:t>
            </w:r>
          </w:p>
        </w:tc>
        <w:tc>
          <w:tcPr>
            <w:tcW w:w="3003" w:type="dxa"/>
          </w:tcPr>
          <w:p>
            <w:pPr>
              <w:spacing w:after="0" w:line="260" w:lineRule="auto"/>
              <w:jc w:val="left"/>
            </w:pPr>
            <w:r>
              <w:rPr>
                <w:rFonts w:ascii="Calibri" w:hAnsi="Calibri"/>
                <w:color w:val="212121"/>
                <w:sz w:val="19"/>
              </w:rPr>
              <w:t xml:space="preserve">The Swiss Confederation as Neutral Administrator; the State of Qatar and the Islamic Republic of Pakistan as supporting facilitators</w:t>
            </w:r>
          </w:p>
        </w:tc>
        <w:tc>
          <w:tcPr>
            <w:tcW w:w="3004" w:type="dxa"/>
          </w:tcPr>
          <w:p>
            <w:pPr>
              <w:spacing w:after="0" w:line="260" w:lineRule="auto"/>
              <w:jc w:val="left"/>
            </w:pPr>
            <w:r>
              <w:rPr>
                <w:rFonts w:ascii="Calibri" w:hAnsi="Calibri"/>
                <w:color w:val="212121"/>
                <w:sz w:val="19"/>
              </w:rPr>
              <w:t xml:space="preserve">Deliberative voice, no vote on conduct classifications</w:t>
            </w:r>
          </w:p>
        </w:tc>
      </w:tr>
      <w:tr>
        <w:tc>
          <w:tcPr>
            <w:tcW w:w="3003" w:type="dxa"/>
          </w:tcPr>
          <w:p>
            <w:pPr>
              <w:spacing w:after="0" w:line="260" w:lineRule="auto"/>
              <w:jc w:val="left"/>
            </w:pPr>
            <w:r>
              <w:rPr>
                <w:rFonts w:ascii="Calibri" w:hAnsi="Calibri"/>
                <w:color w:val="212121"/>
                <w:sz w:val="19"/>
              </w:rPr>
              <w:t xml:space="preserve">Technical seats</w:t>
            </w:r>
          </w:p>
        </w:tc>
        <w:tc>
          <w:tcPr>
            <w:tcW w:w="3003" w:type="dxa"/>
          </w:tcPr>
          <w:p>
            <w:pPr>
              <w:spacing w:after="0" w:line="260" w:lineRule="auto"/>
              <w:jc w:val="left"/>
            </w:pPr>
            <w:r>
              <w:rPr>
                <w:rFonts w:ascii="Calibri" w:hAnsi="Calibri"/>
                <w:color w:val="212121"/>
                <w:sz w:val="19"/>
              </w:rPr>
              <w:t xml:space="preserve">The International Maritime Organization and the International Hydrographic Organization</w:t>
            </w:r>
          </w:p>
        </w:tc>
        <w:tc>
          <w:tcPr>
            <w:tcW w:w="3004" w:type="dxa"/>
          </w:tcPr>
          <w:p>
            <w:pPr>
              <w:spacing w:after="0" w:line="260" w:lineRule="auto"/>
              <w:jc w:val="left"/>
            </w:pPr>
            <w:r>
              <w:rPr>
                <w:rFonts w:ascii="Calibri" w:hAnsi="Calibri"/>
                <w:color w:val="212121"/>
                <w:sz w:val="19"/>
              </w:rPr>
              <w:t xml:space="preserve">Non-voting technical seats</w:t>
            </w:r>
          </w:p>
        </w:tc>
      </w:tr>
      <w:tr>
        <w:tc>
          <w:tcPr>
            <w:tcW w:w="3003" w:type="dxa"/>
          </w:tcPr>
          <w:p>
            <w:pPr>
              <w:spacing w:after="0" w:line="260" w:lineRule="auto"/>
              <w:jc w:val="left"/>
            </w:pPr>
            <w:r>
              <w:rPr>
                <w:rFonts w:ascii="Calibri" w:hAnsi="Calibri"/>
                <w:color w:val="212121"/>
                <w:sz w:val="19"/>
              </w:rPr>
              <w:t xml:space="preserve">Endorsing Stakeholder seat</w:t>
            </w:r>
          </w:p>
        </w:tc>
        <w:tc>
          <w:tcPr>
            <w:tcW w:w="3003" w:type="dxa"/>
          </w:tcPr>
          <w:p>
            <w:pPr>
              <w:spacing w:after="0" w:line="260" w:lineRule="auto"/>
              <w:jc w:val="left"/>
            </w:pPr>
            <w:r>
              <w:rPr>
                <w:rFonts w:ascii="Calibri" w:hAnsi="Calibri"/>
                <w:color w:val="212121"/>
                <w:sz w:val="19"/>
              </w:rPr>
              <w:t xml:space="preserve">The United States of America</w:t>
            </w:r>
          </w:p>
        </w:tc>
        <w:tc>
          <w:tcPr>
            <w:tcW w:w="3004" w:type="dxa"/>
          </w:tcPr>
          <w:p>
            <w:pPr>
              <w:spacing w:after="0" w:line="260" w:lineRule="auto"/>
              <w:jc w:val="left"/>
            </w:pPr>
            <w:r>
              <w:rPr>
                <w:rFonts w:ascii="Calibri" w:hAnsi="Calibri"/>
                <w:color w:val="212121"/>
                <w:sz w:val="19"/>
              </w:rPr>
              <w:t xml:space="preserve">Non-voting, per Article 19.2</w:t>
            </w:r>
          </w:p>
        </w:tc>
      </w:tr>
      <w:tr>
        <w:tc>
          <w:tcPr>
            <w:tcW w:w="3003" w:type="dxa"/>
          </w:tcPr>
          <w:p>
            <w:pPr>
              <w:spacing w:after="0" w:line="260" w:lineRule="auto"/>
              <w:jc w:val="left"/>
            </w:pPr>
            <w:r>
              <w:rPr>
                <w:rFonts w:ascii="Calibri" w:hAnsi="Calibri"/>
                <w:color w:val="212121"/>
                <w:sz w:val="19"/>
              </w:rPr>
              <w:t xml:space="preserve">Observer seats</w:t>
            </w:r>
          </w:p>
        </w:tc>
        <w:tc>
          <w:tcPr>
            <w:tcW w:w="3003" w:type="dxa"/>
          </w:tcPr>
          <w:p>
            <w:pPr>
              <w:spacing w:after="0" w:line="260" w:lineRule="auto"/>
              <w:jc w:val="left"/>
            </w:pPr>
            <w:r>
              <w:rPr>
                <w:rFonts w:ascii="Calibri" w:hAnsi="Calibri"/>
                <w:color w:val="212121"/>
                <w:sz w:val="19"/>
              </w:rPr>
              <w:t xml:space="preserve">Observer states and organizations under Article 19.3</w:t>
            </w:r>
          </w:p>
        </w:tc>
        <w:tc>
          <w:tcPr>
            <w:tcW w:w="3004" w:type="dxa"/>
          </w:tcPr>
          <w:p>
            <w:pPr>
              <w:spacing w:after="0" w:line="260" w:lineRule="auto"/>
              <w:jc w:val="left"/>
            </w:pPr>
            <w:r>
              <w:rPr>
                <w:rFonts w:ascii="Calibri" w:hAnsi="Calibri"/>
                <w:color w:val="212121"/>
                <w:sz w:val="19"/>
              </w:rPr>
              <w:t xml:space="preserve">Non-voting</w:t>
            </w:r>
          </w:p>
        </w:tc>
      </w:tr>
    </w:tbl>
    <w:p>
      <w:pPr>
        <w:spacing w:after="60"/>
      </w:pPr>
    </w:p>
    <w:p>
      <w:pPr>
        <w:pStyle w:val="Caption"/>
      </w:pPr>
      <w:r>
        <w:t xml:space="preserve">Table 13.1: Composition of the Stillwater Council</w:t>
      </w:r>
    </w:p>
    <w:p>
      <w:pPr/>
      <w:r>
        <w:t xml:space="preserve">Council members hold the rank of ambassador or equivalent and serve three-year terms, renewable. The chair rotates annually among the Littoral Parties in alphabetical order of their English short names, and the chair manages the agenda and the minutes and holds no casting vote.</w:t>
      </w:r>
    </w:p>
    <w:p>
      <w:pPr>
        <w:pStyle w:val="Heading3"/>
      </w:pPr>
      <w:r>
        <w:t xml:space="preserve">13.2 Functions</w:t>
      </w:r>
    </w:p>
    <w:p>
      <w:pPr/>
      <w:r>
        <w:t xml:space="preserve">The Council: approves the annual budget and the Verified Services Catalog rates; adopts and amends technical annexes under Article 39; conducts the Perimeter Test on every measure; supervises the compliance engine at the policy level; certifies corridor status at each phase gate of Annex L; represents the Accord to the International Maritime Organization and to external states; and resolves any matter a Party elevates. The Council never directs a specific vessel, never interferes with a notification, and never touches the payment mechanics of the Fund. Those lines keep politics away from the water.</w:t>
      </w:r>
    </w:p>
    <w:p>
      <w:pPr>
        <w:pStyle w:val="Heading3"/>
      </w:pPr>
      <w:r>
        <w:t xml:space="preserve">13.3 Meetings and cadence</w:t>
      </w:r>
    </w:p>
    <w:p>
      <w:pPr/>
      <w:r>
        <w:t xml:space="preserve">The Council meets in ordinary session on the first Monday of each quarter, alternating seats between Muscat and Bandar Abbas, and in extraordinary session within 48 hours of an Architectural Breach classification, a Stillwater Pause activation, or any voting member's call. A secure video bridge links the two seats for weekly working-level synchronization. Quorum is a majority of voting members, including at least one member of Iran and one member of Oman.</w:t>
      </w:r>
    </w:p>
    <w:p>
      <w:pPr>
        <w:pStyle w:val="Heading2"/>
      </w:pPr>
      <w:r>
        <w:t xml:space="preserve">Article 14: The Meridian Operations Center</w:t>
      </w:r>
    </w:p>
    <w:p>
      <w:pPr>
        <w:pStyle w:val="Heading3"/>
      </w:pPr>
      <w:r>
        <w:t xml:space="preserve">14.1 Seat and mirror facility</w:t>
      </w:r>
    </w:p>
    <w:p>
      <w:pPr/>
      <w:r>
        <w:t xml:space="preserve">The Meridian Operations Center is the operational heart of the Accord. Its principal seat lies in Muscat, at facilities the Sultanate of Oman provides under a host agreement. The mirror facility lies in Bandar Abbas, at facilities the Islamic Republic of Iran provides under a matching host agreement. The mirror replicates the full watch floor capability of the principal seat. Either site runs the entire system alone for up to thirty days, and the two sites drill the handover monthly, alternating the primary watch for one watch period, so that the mirror never atrophies into ceremony.</w:t>
      </w:r>
    </w:p>
    <w:p>
      <w:pPr>
        <w:pStyle w:val="Heading3"/>
      </w:pPr>
      <w:r>
        <w:t xml:space="preserve">14.2 Co-equal staffing</w:t>
      </w:r>
    </w:p>
    <w:p>
      <w:pPr/>
      <w:r>
        <w:t xml:space="preserve">Every operational post exists in pairs: two Co-Directors, two duty officers per watch, two notification desk officers per shift, two hydrographers, two legal desk officers. Each core pair consists of one Iranian national and one Omani national. Each duty officer pair consists of one officer from each of the two largest contributing Littoral Parties to the Transit Services Fund, rotating annually. At founding, the contribution schedule of Annex C places Iran and Oman in those seats, and the rotation rule governs every later shift in contribution ranking. Operational decisions thereby never rest with a single national viewpoint. Upon the accession of the United Arab Emirates and each further Littoral Party, the staffing table of Annex L adds paired posts so that every Littoral Party holds watch-floor presence, and total staff numbers across the Littoral Parties remain within the parity band of Annex L at every quarterly audit. The Parties recruit additional technical staff from any nationality on merit, and every watch pair retains the paired structure regardless of additional staffing. Professional qualifications follow the standards of the International Maritime Organization model courses for each function, and the Technical and Standards Committee certifies every watchkeeper before first solo watch.</w:t>
      </w:r>
    </w:p>
    <w:p>
      <w:pPr>
        <w:pStyle w:val="Heading3"/>
      </w:pPr>
      <w:r>
        <w:t xml:space="preserve">14.3 The watch floor</w:t>
      </w:r>
    </w:p>
    <w:p>
      <w:pPr/>
      <w:r>
        <w:t xml:space="preserve">The watch floor operates continuously, in three eight-hour rotations, and each rotation closes with a paired handover note signed by both duty officers. The watch floor maintains the working radio channels, the notification desk, the Bulletin desk, the incident log, the escort coordination board, the ground-truth patrol program, and the search and rescue alert link. The daily log records every operational act: notifications, acknowledgments, flow state changes, holds, incidents, hotline traffic, and observer movements. All Parties and the Neutral Keel Office read the full log; the Bulletin publishes the public summary. The Center's data flows simultaneously to every Party with identical latency; the architecture excludes preferential access, earlier notification, or exclusive feeds for any Party.</w:t>
      </w:r>
    </w:p>
    <w:p>
      <w:pPr>
        <w:pStyle w:val="Heading3"/>
      </w:pPr>
      <w:r>
        <w:t xml:space="preserve">14.4 Functions and limits</w:t>
      </w:r>
    </w:p>
    <w:p>
      <w:pPr/>
      <w:r>
        <w:t xml:space="preserve">The Center: receives and acknowledges notifications; issues acknowledgments; operates the traffic system in both corridors; publishes the Bulletin; coordinates escorts for electing vessels; runs the crossing gates for Class D; manages the anchorages; issues Notices to Mariners jointly; and executes the Mishap Protocol of Article 28. The Center commands no forces. Where a situation calls for a state response, the Center passes the situation to the liaison channel of the relevant Party, and the response occurs outside the corridors per Article 10.2. The Center coordinates; it never permits. No vessel requires the Center's approval to transit.</w:t>
      </w:r>
    </w:p>
    <w:p>
      <w:pPr>
        <w:pStyle w:val="Heading3"/>
      </w:pPr>
      <w:r>
        <w:t xml:space="preserve">14.5 Data custody</w:t>
      </w:r>
    </w:p>
    <w:p>
      <w:pPr/>
      <w:r>
        <w:t xml:space="preserve">The Center retains every watch log, every notification, every track record, and every message for a minimum of seven years. Data custody follows the dual-copy rule: every record exists simultaneously in Muscat and Bandar Abbas under cryptographic timestamping, and neither copy admits unilateral alteration. The evidence standards of Article 26 treat a gap in the record as a fact calling for explanation, never as a fact supporting an accusation.</w:t>
      </w:r>
    </w:p>
    <w:p>
      <w:pPr>
        <w:pStyle w:val="Heading3"/>
      </w:pPr>
      <w:r>
        <w:t xml:space="preserve">14.6 The Civilian Character Clause</w:t>
      </w:r>
    </w:p>
    <w:p>
      <w:pPr/>
      <w:r>
        <w:t xml:space="preserve">The Center, the Council secretariat, the Neutral Keel Office, and the Fund employ civilian maritime professionals exclusively. Military personnel hold no operational role in any Accord body. Officers of the armed forces of any Party, including the Islamic Revolutionary Guard Corps and the regular armed forces of all Parties, hold no post in the Center, direct no operation of the watch floor, and issue no instruction to shipping through the Accord's channels. Each Party designates one military liaison officer at the policy level, accredited to the Council, who carries de-confliction traffic between the Center and that Party's forces; the liaison officers work in an annex separate from the watch floor and hold no command over Accord staff. This clause guards Red Line RL-6. The Neutral Keel Office verifies staffing compliance annually and on complaint.</w:t>
      </w:r>
    </w:p>
    <w:p>
      <w:pPr>
        <w:pStyle w:val="Heading3"/>
      </w:pPr>
      <w:r>
        <w:t xml:space="preserve">14.7 Working language</w:t>
      </w:r>
    </w:p>
    <w:p>
      <w:pPr/>
      <w:r>
        <w:t xml:space="preserve">The working language of the Meridian Operations Center, the mirror facility, and all operational communications under this Accord is English, using the Standard Marine Communication Phrases. All official records and publications are maintained in English and in the languages of the Littoral Parties, and the three authentic texts of Article 41.3 govern every question of legal meaning.</w:t>
      </w:r>
    </w:p>
    <w:p>
      <w:pPr>
        <w:pStyle w:val="Heading2"/>
      </w:pPr>
      <w:r>
        <w:t xml:space="preserve">Article 14A: Human Factors and Watch Standards</w:t>
      </w:r>
    </w:p>
    <w:p>
      <w:pPr>
        <w:pStyle w:val="Heading3"/>
      </w:pPr>
      <w:r>
        <w:t xml:space="preserve">14A.1 Fatigue and rotation standards</w:t>
      </w:r>
    </w:p>
    <w:p>
      <w:pPr/>
      <w:r>
        <w:t xml:space="preserve">The Center, the mirror facility, and every patrol and observer deployment operate under published fatigue standards: no watchkeeper stands more than two consecutive watches; every watch rotation includes a documented overlap of at least 30 minutes; weekly rest minimums follow the prevailing international maritime labor standards; and the Co-Directors hold authority to pull any officer from watch for fatigue, on the record, without adverse consequence. The Neutral Keel Office audits compliance quarterly, and the audit publishes.</w:t>
      </w:r>
    </w:p>
    <w:p>
      <w:pPr>
        <w:pStyle w:val="Heading3"/>
      </w:pPr>
      <w:r>
        <w:t xml:space="preserve">14A.2 Decision logging</w:t>
      </w:r>
    </w:p>
    <w:p>
      <w:pPr/>
      <w:r>
        <w:t xml:space="preserve">Every operational decision above the routine level enters the decision log within 15 minutes: the decision, the deciding pair, the information available at the time, and the alternatives considered. The log exists so that review judges decisions against what the officers knew, never against what later emerged. Decision logs feed the annual systems audit and the State of the Strait report's institutional section.</w:t>
      </w:r>
    </w:p>
    <w:p>
      <w:pPr>
        <w:pStyle w:val="Heading3"/>
      </w:pPr>
      <w:r>
        <w:t xml:space="preserve">14A.3 Multilingual communication discipline</w:t>
      </w:r>
    </w:p>
    <w:p>
      <w:pPr/>
      <w:r>
        <w:t xml:space="preserve">Operational voice traffic uses the Standard Marine Communication Phrases per Article 14.7. Written operational products publish in English with Persian and Arabic versions following within 24 hours. Watch floors maintain a standing interpretation channel for the three authentic languages, and no safety-critical message ever waits on translation: the English operational text governs the moment, and the translated record follows, per the terminology governance of Article 41.8.</w:t>
      </w:r>
    </w:p>
    <w:p>
      <w:pPr>
        <w:pStyle w:val="Heading3"/>
      </w:pPr>
      <w:r>
        <w:t xml:space="preserve">14A.4 Training and simulation</w:t>
      </w:r>
    </w:p>
    <w:p>
      <w:pPr/>
      <w:r>
        <w:t xml:space="preserve">Every watchkeeper, observer, and patrol crew completes annual simulation training covering the stress-test scenarios of Annex Q, the Mishap Protocol, and the Stillwater Pause drill. Training records publish in aggregate, and certification lapses return an officer to supervised watch until renewal.</w:t>
      </w:r>
    </w:p>
    <w:p>
      <w:pPr>
        <w:pStyle w:val="Heading2"/>
      </w:pPr>
      <w:r>
        <w:t xml:space="preserve">Article 15: The Neutral Keel Office</w:t>
      </w:r>
    </w:p>
    <w:tbl>
      <w:tblPr>
        <w:tblW w:w="5000" w:type="pct"/>
        <w:tblBorders>
          <w:top w:val="single" w:color="B0BEC5" w:sz="4"/>
          <w:left w:val="single" w:color="B0BEC5" w:sz="4"/>
          <w:bottom w:val="single" w:color="B0BEC5" w:sz="4"/>
          <w:right w:val="single" w:color="B0BEC5" w:sz="4"/>
        </w:tblBorders>
        <w:tblCellMar>
          <w:top w:w="120" w:type="dxa"/>
          <w:left w:w="200" w:type="dxa"/>
          <w:bottom w:w="120" w:type="dxa"/>
          <w:right w:w="200" w:type="dxa"/>
        </w:tblCellMar>
      </w:tblPr>
      <w:tblGrid>
        <w:gridCol w:w="9010"/>
      </w:tblGrid>
      <w:tr>
        <w:tc>
          <w:tcPr>
            <w:tcW w:w="9010" w:type="dxa"/>
            <w:shd w:val="clear" w:fill="F4F6F7"/>
          </w:tcPr>
          <w:p>
            <w:pPr>
              <w:spacing w:after="120"/>
              <w:jc w:val="center"/>
            </w:pPr>
            <w:r>
              <w:rPr>
                <w:rFonts w:ascii="Calibri" w:hAnsi="Calibri"/>
                <w:b/>
                <w:color w:val="37474F"/>
                <w:sz w:val="19"/>
              </w:rPr>
              <w:t xml:space="preserve">Verification flow: from observation to published finding under the Convergence Standard</w:t>
            </w:r>
          </w:p>
          <w:p>
            <w:pPr>
              <w:spacing w:after="60" w:line="260" w:lineRule="auto"/>
              <w:jc w:val="center"/>
            </w:pPr>
            <w:r>
              <w:rPr>
                <w:rFonts w:ascii="Consolas" w:hAnsi="Consolas"/>
                <w:color w:val="212121"/>
                <w:sz w:val="18"/>
              </w:rPr>
              <w:t xml:space="preserve">Input A (observer / patrol /      Input B (track data / records /</w:t>
            </w:r>
          </w:p>
          <w:p>
            <w:pPr>
              <w:spacing w:after="60" w:line="260" w:lineRule="auto"/>
              <w:jc w:val="center"/>
            </w:pPr>
            <w:r>
              <w:rPr>
                <w:rFonts w:ascii="Consolas" w:hAnsi="Consolas"/>
                <w:color w:val="212121"/>
                <w:sz w:val="18"/>
              </w:rPr>
              <w:t xml:space="preserve"> watch log)                        port documentation)</w:t>
            </w:r>
          </w:p>
          <w:p>
            <w:pPr>
              <w:spacing w:after="60" w:line="260" w:lineRule="auto"/>
              <w:jc w:val="center"/>
            </w:pPr>
            <w:r>
              <w:rPr>
                <w:rFonts w:ascii="Consolas" w:hAnsi="Consolas"/>
                <w:color w:val="212121"/>
                <w:sz w:val="18"/>
              </w:rPr>
              <w:t xml:space="preserve">              |                            |</w:t>
            </w:r>
          </w:p>
          <w:p>
            <w:pPr>
              <w:spacing w:after="60" w:line="260" w:lineRule="auto"/>
              <w:jc w:val="center"/>
            </w:pPr>
            <w:r>
              <w:rPr>
                <w:rFonts w:ascii="Consolas" w:hAnsi="Consolas"/>
                <w:color w:val="212121"/>
                <w:sz w:val="18"/>
              </w:rPr>
              <w:t xml:space="preserve">              +-------------+--------------+</w:t>
            </w:r>
          </w:p>
          <w:p>
            <w:pPr>
              <w:spacing w:after="60" w:line="260" w:lineRule="auto"/>
              <w:jc w:val="center"/>
            </w:pPr>
            <w:r>
              <w:rPr>
                <w:rFonts w:ascii="Consolas" w:hAnsi="Consolas"/>
                <w:color w:val="212121"/>
                <w:sz w:val="18"/>
              </w:rPr>
              <w:t xml:space="preserve">                            v</w:t>
            </w:r>
          </w:p>
          <w:p>
            <w:pPr>
              <w:spacing w:after="60" w:line="260" w:lineRule="auto"/>
              <w:jc w:val="center"/>
            </w:pPr>
            <w:r>
              <w:rPr>
                <w:rFonts w:ascii="Consolas" w:hAnsi="Consolas"/>
                <w:color w:val="212121"/>
                <w:sz w:val="18"/>
              </w:rPr>
              <w:t xml:space="preserve">                 Convergence test (Art. 26.2)</w:t>
            </w:r>
          </w:p>
          <w:p>
            <w:pPr>
              <w:spacing w:after="60" w:line="260" w:lineRule="auto"/>
              <w:jc w:val="center"/>
            </w:pPr>
            <w:r>
              <w:rPr>
                <w:rFonts w:ascii="Consolas" w:hAnsi="Consolas"/>
                <w:color w:val="212121"/>
                <w:sz w:val="18"/>
              </w:rPr>
              <w:t xml:space="preserve">                 +-----------+------------+</w:t>
            </w:r>
          </w:p>
          <w:p>
            <w:pPr>
              <w:spacing w:after="60" w:line="260" w:lineRule="auto"/>
              <w:jc w:val="center"/>
            </w:pPr>
            <w:r>
              <w:rPr>
                <w:rFonts w:ascii="Consolas" w:hAnsi="Consolas"/>
                <w:color w:val="212121"/>
                <w:sz w:val="18"/>
              </w:rPr>
              <w:t xml:space="preserve">                 |                        |</w:t>
            </w:r>
          </w:p>
          <w:p>
            <w:pPr>
              <w:spacing w:after="60" w:line="260" w:lineRule="auto"/>
              <w:jc w:val="center"/>
            </w:pPr>
            <w:r>
              <w:rPr>
                <w:rFonts w:ascii="Consolas" w:hAnsi="Consolas"/>
                <w:color w:val="212121"/>
                <w:sz w:val="18"/>
              </w:rPr>
              <w:t xml:space="preserve">            Converges                Diverges</w:t>
            </w:r>
          </w:p>
          <w:p>
            <w:pPr>
              <w:spacing w:after="60" w:line="260" w:lineRule="auto"/>
              <w:jc w:val="center"/>
            </w:pPr>
            <w:r>
              <w:rPr>
                <w:rFonts w:ascii="Consolas" w:hAnsi="Consolas"/>
                <w:color w:val="212121"/>
                <w:sz w:val="18"/>
              </w:rPr>
              <w:t xml:space="preserve">                 |                        |</w:t>
            </w:r>
          </w:p>
          <w:p>
            <w:pPr>
              <w:spacing w:after="60" w:line="260" w:lineRule="auto"/>
              <w:jc w:val="center"/>
            </w:pPr>
            <w:r>
              <w:rPr>
                <w:rFonts w:ascii="Consolas" w:hAnsi="Consolas"/>
                <w:color w:val="212121"/>
                <w:sz w:val="18"/>
              </w:rPr>
              <w:t xml:space="preserve">                 v                        v</w:t>
            </w:r>
          </w:p>
          <w:p>
            <w:pPr>
              <w:spacing w:after="60" w:line="260" w:lineRule="auto"/>
              <w:jc w:val="center"/>
            </w:pPr>
            <w:r>
              <w:rPr>
                <w:rFonts w:ascii="Consolas" w:hAnsi="Consolas"/>
                <w:color w:val="212121"/>
                <w:sz w:val="18"/>
              </w:rPr>
              <w:t xml:space="preserve">     Human officer signs         Open observation;</w:t>
            </w:r>
          </w:p>
          <w:p>
            <w:pPr>
              <w:spacing w:after="60" w:line="260" w:lineRule="auto"/>
              <w:jc w:val="center"/>
            </w:pPr>
            <w:r>
              <w:rPr>
                <w:rFonts w:ascii="Consolas" w:hAnsi="Consolas"/>
                <w:color w:val="212121"/>
                <w:sz w:val="18"/>
              </w:rPr>
              <w:t xml:space="preserve">     finding --&gt; Technical       no classification;</w:t>
            </w:r>
          </w:p>
          <w:p>
            <w:pPr>
              <w:spacing w:after="60" w:line="260" w:lineRule="auto"/>
              <w:jc w:val="center"/>
            </w:pPr>
            <w:r>
              <w:rPr>
                <w:rFonts w:ascii="Consolas" w:hAnsi="Consolas"/>
                <w:color w:val="212121"/>
                <w:sz w:val="18"/>
              </w:rPr>
              <w:t xml:space="preserve">     Committee --&gt; published     system seeks a second</w:t>
            </w:r>
          </w:p>
          <w:p>
            <w:pPr>
              <w:spacing w:after="60" w:line="260" w:lineRule="auto"/>
              <w:jc w:val="center"/>
            </w:pPr>
            <w:r>
              <w:rPr>
                <w:rFonts w:ascii="Consolas" w:hAnsi="Consolas"/>
                <w:color w:val="212121"/>
                <w:sz w:val="18"/>
              </w:rPr>
              <w:t xml:space="preserve">     finding                     input</w:t>
            </w:r>
          </w:p>
        </w:tc>
      </w:tr>
    </w:tbl>
    <w:p>
      <w:pPr>
        <w:pStyle w:val="Heading3"/>
      </w:pPr>
      <w:r>
        <w:t xml:space="preserve">15.1 Mandate</w:t>
      </w:r>
    </w:p>
    <w:p>
      <w:pPr/>
      <w:r>
        <w:t xml:space="preserve">The Neutral Keel Office verifies that the Accord does what the text says. It observes, audits, and reports. It never directs traffic, never boards vessels, and never classifies compliance events; classification belongs to the engine of Article 31 on the Office's inputs.</w:t>
      </w:r>
    </w:p>
    <w:p>
      <w:pPr>
        <w:pStyle w:val="Heading3"/>
      </w:pPr>
      <w:r>
        <w:t xml:space="preserve">15.2 Composition</w:t>
      </w:r>
    </w:p>
    <w:p>
      <w:pPr/>
      <w:r>
        <w:t xml:space="preserve">The Office comprises a Director, a deputy, and a roster of eighteen maritime inspectors nominated through the International Maritime Organization's recognized inspection channels, plus administrative support provided under the Swiss facilitation arrangement. No inspector holds the nationality of any Littoral Party. Inspectors serve two-year rotations, and the Council confirms the roster on International Maritime Organization nomination.</w:t>
      </w:r>
    </w:p>
    <w:p>
      <w:pPr>
        <w:pStyle w:val="Heading3"/>
      </w:pPr>
      <w:r>
        <w:t xml:space="preserve">15.3 Embarked observers</w:t>
      </w:r>
    </w:p>
    <w:p>
      <w:pPr/>
      <w:r>
        <w:t xml:space="preserve">The Office embarks observers on transiting vessels, on Accord service craft, and at both watch floors, on a published rota. Embarkation on a commercial vessel occurs with the master's consent; the Assurance Registry of Article 24 treats consent as a listed-vessel practice. An embarked observer records passage conduct, service delivery, and any interference event, and files the observation to the daily log within 12 hours. Observers serve in observer status only: no command authority, no weapon system contact, no enforcement function. The architecture excludes any interference with, harassment of, or harm to observers, and an incident involving an observer classifies one category higher than the same incident without observer involvement under Article 31.</w:t>
      </w:r>
    </w:p>
    <w:p>
      <w:pPr>
        <w:pStyle w:val="Heading3"/>
      </w:pPr>
      <w:r>
        <w:t xml:space="preserve">15.4 Reporting</w:t>
      </w:r>
    </w:p>
    <w:p>
      <w:pPr/>
      <w:r>
        <w:t xml:space="preserve">The Office publishes: a weekly observation summary; a monthly notification-desk audit testing for any pattern that resembles gatekeeping; a quarterly services cross-check against the Fund's records; and an annual Register integrity report under Article 6.3. Every report follows the Convergence Standard of Article 26.2, names its evidence inputs, and reaches all Parties, the Council, and the International Maritime Organization simultaneously.</w:t>
      </w:r>
    </w:p>
    <w:p>
      <w:pPr>
        <w:pStyle w:val="Heading3"/>
      </w:pPr>
      <w:r>
        <w:t xml:space="preserve">15.5 Independence safeguards</w:t>
      </w:r>
    </w:p>
    <w:p>
      <w:pPr/>
      <w:r>
        <w:t xml:space="preserve">The Fund pays Office costs directly as a first call on revenue, ahead of all service reimbursement. No Party suspends, reduces, or delays Office funding for any reason. The Director reports to the Council as a body, never to one Party, and removal takes a Council decision recorded with reasons plus International Maritime Organization concurrence. An inspector who files a report in good faith enjoys full protection; a demonstrably false report triggers the false-report consequence of Annex E, applied identically to every nationality.</w:t>
      </w:r>
    </w:p>
    <w:p>
      <w:pPr>
        <w:pBdr>
          <w:left w:val="single" w:color="B0BEC5" w:sz="8" w:space="6"/>
        </w:pBdr>
        <w:spacing w:before="40" w:after="120"/>
        <w:ind w:left="360"/>
      </w:pPr>
      <w:r>
        <w:rPr>
          <w:rFonts w:ascii="Calibri" w:hAnsi="Calibri"/>
          <w:i/>
          <w:color w:val="78909C"/>
          <w:sz w:val="18"/>
        </w:rPr>
        <w:t xml:space="preserve">See also Articles 26 and 31, and Annex G.</w:t>
      </w:r>
    </w:p>
    <w:p>
      <w:pPr>
        <w:pStyle w:val="Heading3"/>
      </w:pPr>
      <w:r>
        <w:t xml:space="preserve">15.6 The Stop-Loss power</w:t>
      </w:r>
    </w:p>
    <w:p>
      <w:pPr/>
      <w:r>
        <w:t xml:space="preserve">The Neutral Keel Office holds the Stop-Loss power as the Accord's real-time emergency brake. Where an immediate, demonstrable threat to the safe operation of a corridor exists, the Office issues a Stop-Loss order pausing one specific financial transaction or the transit of one specific vessel, stating the threat and the evidence on the record. A Stop-Loss order takes effect immediately, publishes in the Bulletin, and expires automatically 24 hours after issue unless the Stillwater Council, sitting within that period, confirms, modifies, or lifts it. The Council reviews every order, and a pattern of unjustified orders enters the Office's own record in the Ledger's institutional column. The power never applies to humanitarian transit, distress response, or any class of vessels as a group: it targets a single transaction or a single vessel, never a category.</w:t>
      </w:r>
    </w:p>
    <w:p>
      <w:pPr>
        <w:pStyle w:val="Heading2"/>
      </w:pPr>
      <w:r>
        <w:t xml:space="preserve">Article 16: The Technical and Standards Committee</w:t>
      </w:r>
    </w:p>
    <w:p>
      <w:pPr>
        <w:pStyle w:val="Heading3"/>
      </w:pPr>
      <w:r>
        <w:t xml:space="preserve">16.1 Composition and mandate</w:t>
      </w:r>
    </w:p>
    <w:p>
      <w:pPr/>
      <w:r>
        <w:t xml:space="preserve">The Technical and Standards Committee comprises two technical officers appointed by each Littoral Party: surveyors, engineers, and legal-technical specialists, supported by the Neutral Keel Office and the International Maritime Organization technical seat as non-voting advisers. The Committee certifies corridor geometry, audits the services record, reviews incidents under Article 28, conducts the annual systems audit, issues the technical certificates of Annex H, and prepares the Perimeter Tests of Article 6.3 for the legal desk's adoption.</w:t>
      </w:r>
    </w:p>
    <w:p>
      <w:pPr>
        <w:pStyle w:val="Heading3"/>
      </w:pPr>
      <w:r>
        <w:t xml:space="preserve">16.2 Decision rule</w:t>
      </w:r>
    </w:p>
    <w:p>
      <w:pPr/>
      <w:r>
        <w:t xml:space="preserve">The Committee decides technical questions by simple majority with a quorum of four including at least one appointee of Iran and one of Oman. A tied question carries forward as an open item with both positions recorded, never as a suspension of the underlying operation, and routes to the independent technical referee of Article 35.3, whose determination binds all Parties on the technical facts and leaves policy to the Council.</w:t>
      </w:r>
    </w:p>
    <w:p>
      <w:pPr>
        <w:pStyle w:val="Heading2"/>
      </w:pPr>
      <w:r>
        <w:t xml:space="preserve">Article 17: The Guarantor and Facilitation Panel</w:t>
      </w:r>
    </w:p>
    <w:p>
      <w:pPr>
        <w:pStyle w:val="Heading3"/>
      </w:pPr>
      <w:r>
        <w:t xml:space="preserve">17.1 Composition</w:t>
      </w:r>
    </w:p>
    <w:p>
      <w:pPr/>
      <w:r>
        <w:t xml:space="preserve">The Guarantor and Facilitation Panel provides the final political judgment layer. It comprises the Sultanate of Oman, the Swiss Confederation, the State of Qatar, and the Islamic Republic of Pakistan as standing members, plus two rotating members drawn from a list maintained by the Council, with Japan and Singapore as the initial rotating members for their maritime-technical standing.</w:t>
      </w:r>
    </w:p>
    <w:p>
      <w:pPr>
        <w:pStyle w:val="Heading3"/>
      </w:pPr>
      <w:r>
        <w:t xml:space="preserve">17.2 Convening and clock</w:t>
      </w:r>
    </w:p>
    <w:p>
      <w:pPr/>
      <w:r>
        <w:t xml:space="preserve">The Panel convenes within 48 hours of an Architectural Breach classification, a failed Council referral under Article 20.4, or a Red Line Consultation escalation. The Panel operates on a published rapid-response clock: a preliminary determination issues within 72 hours of convening, and a final determination issues within 120 hours of convening. A missed clock classifies under Annex D, category G-1, and the matter in question resolves by operation of the registry data and the verification certifications until the Panel acts, so that no actor profits from dragging out the review. The Panel's determinations on classification and restoration bind the operation of the mechanisms. The Panel possesses no military, police, or sanctioning power; its authority flows from the automaticity of the mechanisms it certifies.</w:t>
      </w:r>
    </w:p>
    <w:p>
      <w:pPr>
        <w:pStyle w:val="Heading2"/>
      </w:pPr>
      <w:r>
        <w:t xml:space="preserve">Article 18: The Independent Assurance Council</w:t>
      </w:r>
    </w:p>
    <w:p>
      <w:pPr>
        <w:pStyle w:val="Heading3"/>
      </w:pPr>
      <w:r>
        <w:t xml:space="preserve">18.1 Composition</w:t>
      </w:r>
    </w:p>
    <w:p>
      <w:pPr/>
      <w:r>
        <w:t xml:space="preserve">The Independent Assurance Council provides the Accord's public verification layer. It comprises five independent experts drawn from academia, maritime civil society organizations, and retired diplomatic service, none holding any current government affiliation, appointment, or contract with any state. The Council appoints members from a nomination pool prepared by the Mediator of Record. The initial five members serve staggered terms: two members serve two years and three members serve three years, so that institutional memory survives every turnover. Every subsequent appointment runs three years, non-renewable, and a member's removal before term end takes a four-fifths Council vote for stated cause.</w:t>
      </w:r>
    </w:p>
    <w:p>
      <w:pPr>
        <w:pStyle w:val="Heading3"/>
      </w:pPr>
      <w:r>
        <w:t xml:space="preserve">18.2 Rights</w:t>
      </w:r>
    </w:p>
    <w:p>
      <w:pPr/>
      <w:r>
        <w:t xml:space="preserve">The Independent Assurance Council holds three rights:</w:t>
      </w:r>
    </w:p>
    <w:p>
      <w:pPr>
        <w:ind w:left="360"/>
      </w:pPr>
      <w:r>
        <w:t xml:space="preserve">1. Data access. It accesses all non-classified data in the shared registry under the two-key rule of Article 26.5, including standing ratios, claim statistics, openness statements, and the public layers of the incident archive.</w:t>
      </w:r>
    </w:p>
    <w:p>
      <w:pPr>
        <w:ind w:left="360"/>
      </w:pPr>
      <w:r>
        <w:t xml:space="preserve">2. Reporting. It submits reports to each annual Council session, assessing the operation of the Accord, the state of the standing ratios, and any pattern of obstruction its analysis reveals.</w:t>
      </w:r>
    </w:p>
    <w:p>
      <w:pPr>
        <w:ind w:left="360"/>
      </w:pPr>
      <w:r>
        <w:t xml:space="preserve">3. Public comment. It publishes its assessments of standing ratios and Architectural Breach events on the public dashboard, in its own voice, without prior approval by any organ. A publication states facts and analysis, never classification, and carries no legal effect within the mechanisms.</w:t>
      </w:r>
    </w:p>
    <w:p>
      <w:pPr>
        <w:pStyle w:val="Heading3"/>
      </w:pPr>
      <w:r>
        <w:t xml:space="preserve">18.3 Structural independence</w:t>
      </w:r>
    </w:p>
    <w:p>
      <w:pPr/>
      <w:r>
        <w:t xml:space="preserve">The Independent Assurance Council operates on a budget line of the Transit Services Fund sufficient for a secretariat of four officers. Its independence is structural: no Party nominates its members directly, no organ reviews its publications in advance, and its reports enter the Council record unedited. It exposes obstruction to informed public scrutiny, which operates as a deterrent that no procedural rule alone supplies.</w:t>
      </w:r>
    </w:p>
    <w:p>
      <w:pPr>
        <w:pStyle w:val="Heading2"/>
      </w:pPr>
      <w:r>
        <w:t xml:space="preserve">Article 19: Observer States and Stakeholder Participation</w:t>
      </w:r>
    </w:p>
    <w:p>
      <w:pPr>
        <w:pStyle w:val="Heading3"/>
      </w:pPr>
      <w:r>
        <w:t xml:space="preserve">19.1 The participation architecture</w:t>
      </w:r>
    </w:p>
    <w:p>
      <w:pPr/>
      <w:r>
        <w:t xml:space="preserve">The Accord admits observer and stakeholder participation by states and bodies with a substantial interest in the waterway: the other Gulf Cooperation Council states beyond the Littoral Parties, the major flag states, the major importing states, and the shipping and insurance industry. Participation flows through defined channels: observer seats at the Council, contribution membership in the Fund, data subscription to the Route Assurance Data Service, secondment to the observer program, and the Stakeholder Panel of Article 19.4. Participation carries information, voice, and service; it carries no governance vote on the conduct of the Littoral Parties, which the multilateral-balance principle reserves to the voting members.</w:t>
      </w:r>
    </w:p>
    <w:p>
      <w:pPr>
        <w:pStyle w:val="Heading3"/>
      </w:pPr>
      <w:r>
        <w:t xml:space="preserve">19.2 The United States as Endorsing Stakeholder</w:t>
      </w:r>
    </w:p>
    <w:p>
      <w:pPr/>
      <w:r>
        <w:t xml:space="preserve">The United States of America participates as Endorsing Stakeholder. It holds a non-voting seat at the Council; it registers its red lines in Annex I and watches the architecture hold them; it adheres to the Non-Interdiction Protocol and the standoff geometry of Article 27 for its forces in the Governance Area through the adherence instrument of Annex M; and it channels any concerns through the Council seat, the military de-confliction channel, and the Guarantor Panel, never through unilateral action inside the Governance Area. The Endorsing Stakeholder role keeps the Accord a littoral-state governance instrument rather than a geopolitical treaty: it preserves Omani neutrality, keeps Iranian engagement, and avoids converting the Accord into any external state's security instrument. The Accord records no command, no veto, and no enforcement role for any external state.</w:t>
      </w:r>
    </w:p>
    <w:p>
      <w:pPr>
        <w:pStyle w:val="Heading3"/>
      </w:pPr>
      <w:r>
        <w:t xml:space="preserve">19.3 Observer states</w:t>
      </w:r>
    </w:p>
    <w:p>
      <w:pPr/>
      <w:r>
        <w:t xml:space="preserve">The standing observer invitations of Annex M extend to the European Union, India, China, Japan, the Republic of Korea, the United Kingdom, and such other states as the Council adds by the decision rule of Article 20.3. Observer states receive the full non-classified record, attend the Council, address it on invitation, and contribute to the Fund under Article 22. An observer state never receives a vote, a veto, or an operational role.</w:t>
      </w:r>
    </w:p>
    <w:p>
      <w:pPr>
        <w:pStyle w:val="Heading3"/>
      </w:pPr>
      <w:r>
        <w:t xml:space="preserve">19.4 The Stakeholder Panel</w:t>
      </w:r>
    </w:p>
    <w:p>
      <w:pPr/>
      <w:r>
        <w:t xml:space="preserve">The Stakeholder Panel seats twelve advisory members: four flag-state maritime administrations, four shipowner and operator associations, two protection and indemnity club representatives, and two port authority representatives, one Gulf-side and one Oman-side. The Panel meets twice a year with the Council, reviews the Bulletin statistics, the Catalog rates, and the Registry operation, and files advisory opinions. The Council answers every opinion in the record within 60 days.</w:t>
      </w:r>
    </w:p>
    <w:p>
      <w:pPr>
        <w:pStyle w:val="Heading3"/>
      </w:pPr>
      <w:r>
        <w:t xml:space="preserve">19.5 The International Maritime Organization interface</w:t>
      </w:r>
    </w:p>
    <w:p>
      <w:pPr/>
      <w:r>
        <w:t xml:space="preserve">The Parties jointly notify the scheme geometry to the International Maritime Organization, maintain the scheme's international recognition, host an annual technical visit, and route every scheme amendment through the Organization's process. The Organization's accreditation of the Neutral Keel roster and the use of its distribution channel for the Bulletin give the Accord its technical legitimacy without giving any external body a governing vote. The Organization also conducts the final technical certification of the corridor system's safety under Article 12.4, and that certification gates the full reopening of the system.</w:t>
      </w:r>
    </w:p>
    <w:p>
      <w:pPr>
        <w:pStyle w:val="Heading3"/>
      </w:pPr>
      <w:r>
        <w:t xml:space="preserve">19.6 No external command</w:t>
      </w:r>
    </w:p>
    <w:p>
      <w:pPr/>
      <w:r>
        <w:t xml:space="preserve">No external state or body commands any element of the Accord. External participation occurs through the interfaces this Article defines, and the architecture routes every external request through the Council under the decision rules of Article 20. This rule guards Red Line RL-14.</w:t>
      </w:r>
    </w:p>
    <w:p>
      <w:pPr>
        <w:pStyle w:val="Heading3"/>
      </w:pPr>
      <w:r>
        <w:t xml:space="preserve">19.7 Non-participation</w:t>
      </w:r>
    </w:p>
    <w:p>
      <w:pPr/>
      <w:r>
        <w:t xml:space="preserve">A littoral state that does not participate in this Accord retains every right it holds under international law, and this Accord neither diminishes nor conditions those rights. Within the Governance Area, the Accord stands as the sole multilateral governance system for the Strait, and no state establishes or operates a parallel governance mechanism over the same waters. A non-participating state receives the public tier of the Bulletin and the open record like every other reader, and the accession path of Article 38 remains open to it without time limit.</w:t>
      </w:r>
    </w:p>
    <w:p>
      <w:pPr>
        <w:pStyle w:val="Heading2"/>
      </w:pPr>
      <w:r>
        <w:t xml:space="preserve">Article 20: Decision Rules</w:t>
      </w:r>
    </w:p>
    <w:p>
      <w:pPr>
        <w:pStyle w:val="Heading3"/>
      </w:pPr>
      <w:r>
        <w:t xml:space="preserve">20.1 The three tracks</w:t>
      </w:r>
    </w:p>
    <w:p>
      <w:pPr/>
      <w:r>
        <w:t xml:space="preserve">Council decisions follow three tracks. Political questions, including amendments, scope changes, budgets, accession, and spillover certification, follow Article 20.3. Corridor-operative questions touching the core bargain follow the Twin Key Rule of Article 20.2. Technical determinations, including confirmation of a Neutral Keel finding, data fidelity, measurement questions, and claim confirmation levels, follow Article 20.5. A classification question under Article 31 never counts as technical for the purpose of this rule.</w:t>
      </w:r>
    </w:p>
    <w:p>
      <w:pPr>
        <w:pStyle w:val="Heading3"/>
      </w:pPr>
      <w:r>
        <w:t xml:space="preserve">20.2 The Twin Key Rule</w:t>
      </w:r>
    </w:p>
    <w:p>
      <w:pPr/>
      <w:r>
        <w:t xml:space="preserve">Decisions on corridor geometry, flow-state doctrine, the Verified Services Catalog, the budget, and any measure that touches a Red Line carry two keys: the affirmative vote of at least one Iranian member and the affirmative vote of at least one Omani member. No such decision passes on a single key, and no such decision binds only one Party. The Council records every Twin Key decision in a paired-minute format: each minute states the decision, the Perimeter Test, the dissent if any, and the two keys. A matter that fails the Twin Key Rule twice moves to the facilitation tier of Article 35.2 with the votes recorded.</w:t>
      </w:r>
    </w:p>
    <w:p>
      <w:pPr>
        <w:pStyle w:val="Heading3"/>
      </w:pPr>
      <w:r>
        <w:t xml:space="preserve">20.3 Consensus and Consensus Minus One</w:t>
      </w:r>
    </w:p>
    <w:p>
      <w:pPr/>
      <w:r>
        <w:t xml:space="preserve">Political questions pass by consensus of the Littoral Parties. Where a decision concerns the conduct of one Party, that Party's vote stands aside and the remaining voting members decide by consensus; where consensus minus one fails, the matter moves automatically to the Guarantor and Facilitation Panel for final political judgment within 7 days. The rule prevents a Party from blocking a finding about its own conduct through procedural obstruction, while preserving full political consensus for questions of general application.</w:t>
      </w:r>
    </w:p>
    <w:p>
      <w:pPr>
        <w:pStyle w:val="Heading3"/>
      </w:pPr>
      <w:r>
        <w:t xml:space="preserve">20.4 Default continuity</w:t>
      </w:r>
    </w:p>
    <w:p>
      <w:pPr/>
      <w:r>
        <w:t xml:space="preserve">Where a decision stalls, the standing procedures of this Accord and its Annexes govern by default, per the Nofade Guarantee: the previous budget runs, the previous rate runs, the existing annex text runs. No deadlock suspends, degrades, or re-prices any operation of the corridor system.</w:t>
      </w:r>
    </w:p>
    <w:p>
      <w:pPr>
        <w:pStyle w:val="Heading3"/>
      </w:pPr>
      <w:r>
        <w:t xml:space="preserve">20.5 Technical determinations and the silence procedure</w:t>
      </w:r>
    </w:p>
    <w:p>
      <w:pPr/>
      <w:r>
        <w:t xml:space="preserve">Technical determinations rest on evidence under the Convergence Standard, not on votes. Where the Council acts on a routine technical annex adjustment, the Mediator of Record circulates the text and it stands adopted 30 days after circulation absent a written objection from any Littoral Party. The silence procedure keeps routine technical maintenance free of negotiation drama, and the record publishes every adoption.</w:t>
      </w:r>
    </w:p>
    <w:tbl>
      <w:tblPr>
        <w:tblW w:w="5000" w:type="pct"/>
        <w:tblBorders>
          <w:top w:val="single" w:color="B0BEC5" w:sz="2"/>
          <w:left w:val="single" w:color="37474F" w:sz="18"/>
          <w:bottom w:val="single" w:color="B0BEC5" w:sz="2"/>
          <w:right w:val="single" w:color="B0BEC5" w:sz="2"/>
        </w:tblBorders>
        <w:tblCellMar>
          <w:top w:w="140" w:type="dxa"/>
          <w:left w:w="200" w:type="dxa"/>
          <w:bottom w:w="140" w:type="dxa"/>
          <w:right w:w="160" w:type="dxa"/>
        </w:tblCellMar>
      </w:tblPr>
      <w:tblGrid>
        <w:gridCol w:w="9010"/>
      </w:tblGrid>
      <w:tr>
        <w:tc>
          <w:tcPr>
            <w:tcW w:w="9010" w:type="dxa"/>
            <w:shd w:val="clear" w:fill="ECEFF1"/>
          </w:tcPr>
          <w:p>
            <w:pPr>
              <w:spacing w:after="0" w:line="300" w:lineRule="auto"/>
            </w:pPr>
            <w:r>
              <w:rPr>
                <w:i/>
              </w:rPr>
              <w:t xml:space="preserve">Design rationale for the institutional architecture. The Parties distribute functions across the Council, the Center, the Neutral Keel Office, the Technical Committee, the Guarantor Panel, and the Independent Assurance Council because concentrated maritime authority has historically failed in two ways: capture by the strongest participant, and paralysis when that participant walks away. Separation of governance, operations, verification, and assurance denies any single actor both the pen and the sword, and the mirror facility plus the continuity doctrine of Article 42 deny any actor the power to stop the system by leaving the room.</w:t>
            </w:r>
          </w:p>
        </w:tc>
      </w:tr>
    </w:tbl>
    <w:p>
      <w:pPr>
        <w:pStyle w:val="Heading1"/>
      </w:pPr>
      <w:r>
        <w:t xml:space="preserve">Part IV: The Financial Architecture: The Settlement of the Toll Question</w:t>
      </w:r>
    </w:p>
    <w:p>
      <w:pPr>
        <w:pStyle w:val="Heading2"/>
      </w:pPr>
      <w:r>
        <w:t xml:space="preserve">Article 21: The Zero-Toll Rule</w:t>
      </w:r>
    </w:p>
    <w:p>
      <w:pPr>
        <w:pBdr>
          <w:left w:val="single" w:color="B0BEC5" w:sz="8" w:space="6"/>
        </w:pBdr>
        <w:spacing w:before="40" w:after="120"/>
        <w:ind w:left="360"/>
      </w:pPr>
      <w:r>
        <w:rPr>
          <w:rFonts w:ascii="Calibri" w:hAnsi="Calibri"/>
          <w:i/>
          <w:color w:val="78909C"/>
          <w:sz w:val="18"/>
        </w:rPr>
        <w:t xml:space="preserve">See also Articles 22 and 25.5, and Annex C.</w:t>
      </w:r>
    </w:p>
    <w:p>
      <w:pPr>
        <w:pStyle w:val="Heading3"/>
      </w:pPr>
      <w:r>
        <w:t xml:space="preserve">21.1 The rule</w:t>
      </w:r>
    </w:p>
    <w:p>
      <w:pPr/>
      <w:r>
        <w:t xml:space="preserve">No charge of any kind attaches to the act of transit through the Strait of Hormuz, in either corridor, for any vessel, of any class, under any circumstances. Transit is free. The architecture defines the following measures as tolls regardless of their label, and excludes each of them absolutely: passage fees; transit charges; strait dues; per-ton or per-vessel charges on navigation; fee payments as a condition of entry, acknowledgment, scheduling, escort, or bulletin access; charges denominated as insurance, security, or environmental levies computed on transit rather than on a documented service; and mandatory insurance purchase from a designated provider as a condition of transit.</w:t>
      </w:r>
    </w:p>
    <w:p>
      <w:pPr>
        <w:pStyle w:val="Heading3"/>
      </w:pPr>
      <w:r>
        <w:t xml:space="preserve">21.2 Mandatory insurance excluded</w:t>
      </w:r>
    </w:p>
    <w:p>
      <w:pPr/>
      <w:r>
        <w:t xml:space="preserve">The architecture excludes mandatory purchase of insurance from any designated provider as a condition of transit. Each vessel carries the insurance its flag state and its protection and indemnity club require, and the Assurance Registry recognizes every internationally established club and every commercial war-risk underwriter on equal terms.</w:t>
      </w:r>
    </w:p>
    <w:p>
      <w:pPr>
        <w:pStyle w:val="Heading3"/>
      </w:pPr>
      <w:r>
        <w:t xml:space="preserve">21.3 Scope</w:t>
      </w:r>
    </w:p>
    <w:p>
      <w:pPr/>
      <w:r>
        <w:t xml:space="preserve">The Zero-Toll Rule covers every channel of the Governance Area, every lane, every anchorage, and every approach within the boundary coordinates of Article 7.2. The rule admits no exception for vessel class, flag, ownership, cargo origin or destination, crew nationality, insurer, or any other characteristic. The rule stands permanently under the Nofade Guarantee, Article 4.5.</w:t>
      </w:r>
    </w:p>
    <w:p>
      <w:pPr>
        <w:pStyle w:val="Heading3"/>
      </w:pPr>
      <w:r>
        <w:t xml:space="preserve">21.4 The service-fee distinction reaffirmed</w:t>
      </w:r>
    </w:p>
    <w:p>
      <w:pPr/>
      <w:r>
        <w:t xml:space="preserve">Article 2.3's distinction governs all charging inside the Governance Area. A charge touches passage when its amount, timing, or conditionality attaches to the vessel's movement through the Strait; such a charge is a toll and the architecture excludes it. A charge attaches to a service when it follows a documented delivery, at a pre-published rate, auditable against a record; such a charge flows exclusively through the Transit Services Fund under Article 22. No Party, organ, or contractor collects any payment directly from any vessel, operator, or shipper for anything connected with the Governance Area.</w:t>
      </w:r>
    </w:p>
    <w:p>
      <w:pPr>
        <w:pStyle w:val="Heading3"/>
      </w:pPr>
      <w:r>
        <w:t xml:space="preserve">21.5 What the Fund pays for instead</w:t>
      </w:r>
    </w:p>
    <w:p>
      <w:pPr/>
      <w:r>
        <w:t xml:space="preserve">The Parties finance the operating costs of the corridor system, including vessel traffic service operation, aids to navigation, hydrographic survey, search and rescue readiness, escort coordination, environmental standby, and the Accord's institutions, collectively through the Transit Services Fund. The Parties treat these costs as the shared cost of a shared waterway, not as charges on the ships that use it. The Fund's resources originate in endowment contributions, access contributions, and optional data-service subscriptions, per Article 22, and every inflow and outflow stands auditable and published under Article 25.</w:t>
      </w:r>
    </w:p>
    <w:p>
      <w:pPr>
        <w:pStyle w:val="Heading3"/>
      </w:pPr>
      <w:r>
        <w:t xml:space="preserve">21.6 Domestic law reconciliation</w:t>
      </w:r>
    </w:p>
    <w:p>
      <w:pPr/>
      <w:r>
        <w:t xml:space="preserve">Where a Party's domestic law enacts or advances a fee measure touching the Strait, that Party's obligations under this Accord govern its conduct within the Governance Area: no collection occurs, no condition attaches, and the Meridian Operations Center continues to acknowledge notifications and operate traffic without reference to the domestic measure. The Party routes the domestic measure to the facilitation tier of Article 35.2 for reconciliation within 90 days, and the Independent Assurance Council notes the reconciliation status in its public reporting. The architecture thereby absorbs legislative friction without touching the water.</w:t>
      </w:r>
    </w:p>
    <w:p>
      <w:pPr>
        <w:pStyle w:val="Heading2"/>
      </w:pPr>
      <w:r>
        <w:t xml:space="preserve">Article 22: The Transit Services Fund</w:t>
      </w:r>
    </w:p>
    <w:p>
      <w:pPr>
        <w:pStyle w:val="Heading3"/>
      </w:pPr>
      <w:r>
        <w:t xml:space="preserve">22.1 Establishment and legal form</w:t>
      </w:r>
    </w:p>
    <w:p>
      <w:pPr/>
      <w:r>
        <w:t xml:space="preserve">The Parties establish the Transit Services Fund as the single financial vehicle of the Accord. The Fund takes the legal form of a multilateral fiduciary facility administered by the Neutral Administrator under Swiss law, with its principal account in Switzerland and mirror settlement arrangements in Muscat. The Fund exists to pay for verified maritime services and Accord institutions, to reimburse the coastal states for services delivered, and to compensate economic loss where a disruption certified under this Accord closes a corridor. The Fund never pays any Party for passage, and no payment from the Fund ever travels as a condition of any vessel's transit.</w:t>
      </w:r>
    </w:p>
    <w:p>
      <w:pPr>
        <w:pStyle w:val="Heading3"/>
      </w:pPr>
      <w:r>
        <w:t xml:space="preserve">22.2 Purpose and the humanitarian lock</w:t>
      </w:r>
    </w:p>
    <w:p>
      <w:pPr/>
      <w:r>
        <w:t xml:space="preserve">The Fund serves five purposes, in stated order of priority: first, the costs of the Neutral Keel Office, the Meridian Operations Center, and the Independent Assurance Council, as a first call on all revenue; second, reimbursement of verified services under the Catalog of Article 23; third, readiness and standby capacity for escort, salvage, and pollution response; fourth, the compensation window of Article 22.7; fifth, capacity building for the maritime administrations of the Littoral Parties. The Fund operates under the humanitarian lock: it maintains a standing liquidity reserve equal to six months of institutional costs, and no draw, suspension, or dispute ever touches the reserve or delays a humanitarian transaction.</w:t>
      </w:r>
    </w:p>
    <w:p>
      <w:pPr>
        <w:pBdr>
          <w:left w:val="single" w:color="B0BEC5" w:sz="8" w:space="6"/>
        </w:pBdr>
        <w:spacing w:before="40" w:after="120"/>
        <w:ind w:left="360"/>
      </w:pPr>
      <w:r>
        <w:rPr>
          <w:rFonts w:ascii="Calibri" w:hAnsi="Calibri"/>
          <w:i/>
          <w:color w:val="78909C"/>
          <w:sz w:val="18"/>
        </w:rPr>
        <w:t xml:space="preserve">See also Articles 23 and 25, and Annex C.</w:t>
      </w:r>
    </w:p>
    <w:p>
      <w:pPr>
        <w:pStyle w:val="Heading3"/>
      </w:pPr>
      <w:r>
        <w:t xml:space="preserve">22.3 Resources</w:t>
      </w:r>
    </w:p>
    <w:p>
      <w:pPr/>
      <w:r>
        <w:t xml:space="preserve">The Fund's resources originate in three channels:</w:t>
      </w:r>
    </w:p>
    <w:p>
      <w:pPr>
        <w:ind w:left="360"/>
      </w:pPr>
      <w:r>
        <w:t xml:space="preserve">1. Endowment contributions. The Littoral Parties and participating user states contribute to a standing endowment at accession or endorsement, per the schedule of Annex C, Section C.2. Contributions rest on a published formula blending gross tonnage of transits attributable to each participant's flag fleet and trade share, scaled so that no single contributor exceeds one third of the endowment and every Littoral Party's contribution reflects its capacity. All contributions are voluntary in law and expected in the political economy of the Accord: the Fund publishes its contributors, and the market reads the list.</w:t>
      </w:r>
    </w:p>
    <w:p>
      <w:pPr>
        <w:ind w:left="360"/>
      </w:pPr>
      <w:r>
        <w:t xml:space="preserve">2. Access contributions for Fund-reimbursed services. Participants whose vessels consume Catalog services above the shared baseline contribute under the apportionment band of Article 23.4.</w:t>
      </w:r>
    </w:p>
    <w:p>
      <w:pPr>
        <w:ind w:left="360"/>
      </w:pPr>
      <w:r>
        <w:t xml:space="preserve">3. Data-service subscriptions. Subscribers to the premium tier of the Route Assurance Data Service pay the published subscription, per Article 24.3. Subscriptions never purchase any transit right, priority, or safety service.</w:t>
      </w:r>
    </w:p>
    <w:p>
      <w:pPr/>
      <w:r>
        <w:t xml:space="preserve">Annex C states the full resource schedule, the contribution formula, and the annual targets. The Fund commences operation with the initial capitalization of Annex C, Section C.2, and the Nofade Guarantee carries every contribution arrangement forward without expiry.</w:t>
      </w:r>
    </w:p>
    <w:p>
      <w:pPr>
        <w:pStyle w:val="Heading3"/>
      </w:pPr>
      <w:r>
        <w:t xml:space="preserve">22.4 Administration</w:t>
      </w:r>
    </w:p>
    <w:p>
      <w:pPr/>
      <w:r>
        <w:t xml:space="preserve">The Neutral Administrator operates the Fund through a dedicated office of professional fund managers and auditors, under a charter at Annex C. The Administrator: holds accounts; executes payments against verified service records; publishes monthly statements; commissions an annual external audit by an international firm; and maintains the sanctions-compliance firewall of Article 25.4. The Administrator decides no policy question. It applies the Charter, and where the Charter and a payment request diverge, it declines payment and reports the divergence to the Council.</w:t>
      </w:r>
    </w:p>
    <w:p>
      <w:pPr>
        <w:pStyle w:val="Heading3"/>
      </w:pPr>
      <w:r>
        <w:t xml:space="preserve">22.5 Governance</w:t>
      </w:r>
    </w:p>
    <w:p>
      <w:pPr/>
      <w:r>
        <w:t xml:space="preserve">The Fund operates under a board of governors: one governor per Littoral Party, one for the Neutral Administrator as chair without a casting vote, one for the contributing user states collectively, and one for the International Maritime Organization as observer. The board approves the annual budget, appoints the external auditor, and reviews the Administrator's reports. Payment execution follows the Charter automatically against verified records; the board never approves or declines individual payments. This separation keeps the money boring, and boring money keeps the water calm.</w:t>
      </w:r>
    </w:p>
    <w:p>
      <w:pPr>
        <w:pStyle w:val="Heading3"/>
      </w:pPr>
      <w:r>
        <w:t xml:space="preserve">22.6 No double recovery</w:t>
      </w:r>
    </w:p>
    <w:p>
      <w:pPr/>
      <w:r>
        <w:t xml:space="preserve">Where a coastal state receives reimbursement from the Fund for a service, it collects no second payment for the same service from any other source. The audit trail reconciles every service record against every payment, and a double recovery triggers restitution plus a Material Disruption classification under Article 31.</w:t>
      </w:r>
    </w:p>
    <w:p>
      <w:pPr>
        <w:pStyle w:val="Heading3"/>
      </w:pPr>
      <w:r>
        <w:t xml:space="preserve">22.7 The compensation window</w:t>
      </w:r>
    </w:p>
    <w:p>
      <w:pPr/>
      <w:r>
        <w:t xml:space="preserve">Where a disruption certified by the Neutral Keel Office closes a corridor beyond 24 hours, the Fund compensates documented economic loss of vessel operators and of the affected coastal state, per the schedule of Annex C, Section C.6, funded from a standing disruption reserve equal to 15 percent of the endowment. Compensation follows verification, never politics, and payment never implies fault: the window exists so that no actor profits from closure and no victim waits on litigation.</w:t>
      </w:r>
    </w:p>
    <w:p>
      <w:pPr>
        <w:pStyle w:val="Heading2"/>
      </w:pPr>
      <w:r>
        <w:t xml:space="preserve">Article 23: The Verified Services Catalog and Reimbursement</w:t>
      </w:r>
    </w:p>
    <w:p>
      <w:pPr>
        <w:pStyle w:val="Heading3"/>
      </w:pPr>
      <w:r>
        <w:t xml:space="preserve">23.1 The Catalog</w:t>
      </w:r>
    </w:p>
    <w:p>
      <w:pPr/>
      <w:r>
        <w:t xml:space="preserve">The Verified Services Catalog lists every service the Fund reimburses, with a pre-published rate card: vessel traffic service operation per transit-day; pilotage at published port rates; escort coordination per escorted window; hydrographic survey per survey-mile; aids to navigation maintenance per aid-year; search and rescue standby per day; pollution response standby per day; and tug availability per standby-day. Annex C, Section C.4 carries the initial rate card, benchmarked against published regional port tariffs, and the Council adjusts rates annually on the Technical Committee's cost study, under the default-continuity rule for any stalled adjustment.</w:t>
      </w:r>
    </w:p>
    <w:p>
      <w:pPr>
        <w:pStyle w:val="Heading3"/>
      </w:pPr>
      <w:r>
        <w:t xml:space="preserve">23.2 Verification of services</w:t>
      </w:r>
    </w:p>
    <w:p>
      <w:pPr/>
      <w:r>
        <w:t xml:space="preserve">A service earns reimbursement only against a verified record: the watch log entry, the escorted window record, the survey track, or the aid-maintenance certificate, countersigned by the delivering state's officer and visible to the Neutral Keel Office's quarterly cross-check. Self-declaration without a record earns nothing. The record system thereby pays for delivery, not for presence.</w:t>
      </w:r>
    </w:p>
    <w:p>
      <w:pPr>
        <w:pStyle w:val="Heading3"/>
      </w:pPr>
      <w:r>
        <w:t xml:space="preserve">23.3 Delivery states</w:t>
      </w:r>
    </w:p>
    <w:p>
      <w:pPr/>
      <w:r>
        <w:t xml:space="preserve">Iran and Oman deliver services in their respective corridors and waters, and each acceding Littoral Party joins the delivery roster for services in its waters on accession. The roster publishes quarterly. A state delivers services through its national maritime administration or through contractors it certifies to the Technical Committee; contractor delivery carries the same record standard.</w:t>
      </w:r>
    </w:p>
    <w:p>
      <w:pPr>
        <w:pStyle w:val="Heading3"/>
      </w:pPr>
      <w:r>
        <w:t xml:space="preserve">23.4 The apportionment band</w:t>
      </w:r>
    </w:p>
    <w:p>
      <w:pPr/>
      <w:r>
        <w:t xml:space="preserve">The Fund apportions the net cost of services, after institutional costs, between endowment drawdown and access contributions within the band of 40 to 60 percent in any fiscal year, per Annex C, Section C.5. The band prevents either a shift of the whole burden onto user states or a drain of the endowment, and the board sets the year's point inside the band on the Auditor's sustainability opinion.</w:t>
      </w:r>
    </w:p>
    <w:p>
      <w:pPr>
        <w:pStyle w:val="Heading3"/>
      </w:pPr>
      <w:r>
        <w:t xml:space="preserve">23.5 Service quality and the premium incentive</w:t>
      </w:r>
    </w:p>
    <w:p>
      <w:pPr/>
      <w:r>
        <w:t xml:space="preserve">Each delivering state's service record feeds a public quality index: acknowledgment latency, escort punctuality, survey currency, and aid availability. The Fund pays a quality premium of 5 percent on the rate card for a state sustaining index scores at or above the benchmark for two consecutive quarters, and the premium continues without expiry until performance changes. Quality pays, visibly, and the Nofade Guarantee banks every premium earned.</w:t>
      </w:r>
    </w:p>
    <w:p>
      <w:pPr>
        <w:pStyle w:val="Heading2"/>
      </w:pPr>
      <w:r>
        <w:t xml:space="preserve">Article 24: The Assurance Registry and the Route Assurance Data Service</w:t>
      </w:r>
    </w:p>
    <w:p>
      <w:pPr>
        <w:pStyle w:val="Heading3"/>
      </w:pPr>
      <w:r>
        <w:t xml:space="preserve">24.1 Purpose</w:t>
      </w:r>
    </w:p>
    <w:p>
      <w:pPr/>
      <w:r>
        <w:t xml:space="preserve">The Accord converts verified performance into economic value. The Assurance Registry and the Route Assurance Data Service give the insurance market, charterers, and flag states a continuous, evidence-based picture of the Strait, so that premiums fall on facts and well-run operators gain visible standing.</w:t>
      </w:r>
    </w:p>
    <w:p>
      <w:pPr>
        <w:pStyle w:val="Heading3"/>
      </w:pPr>
      <w:r>
        <w:t xml:space="preserve">24.2 The Assurance Registry</w:t>
      </w:r>
    </w:p>
    <w:p>
      <w:pPr/>
      <w:r>
        <w:t xml:space="preserve">The Registry lists, on a voluntary basis, vessels, operators, flag states, and insurers that adopt the Accord's documentary practices: electronic filing of notices, embarked-observer consent, automatic identification system integrity, and crew training on the corridor rules. Listing costs nothing and conditions nothing: an unlisted vessel transits on identical terms. The Registry publishes each listed vessel's clean-transit record, and the market reads it. The Registry sorts by participation, never by politics, per Article 9.4, and a listing never lapses by time; only a documented change in the underlying practices, verified under the Convergence Standard, changes a listing.</w:t>
      </w:r>
    </w:p>
    <w:p>
      <w:pPr>
        <w:pStyle w:val="Heading3"/>
      </w:pPr>
      <w:r>
        <w:t xml:space="preserve">24.3 The Route Assurance Data Service</w:t>
      </w:r>
    </w:p>
    <w:p>
      <w:pPr/>
      <w:r>
        <w:t xml:space="preserve">The Service publishes the operational picture in three tiers. The public tier, free to all: the Open Water Bulletin, flow states, and weekly statistics. The professional tier, on published subscription: anonymized traffic flows, corridor performance metrics, incident statistics, and the service quality index. The institutional tier, free to Parties, observer states, the International Maritime Organization, and the insurance market's recognized bodies: the full non-classified record under the two-key rule. Subscription revenue flows to the Fund, per Article 22.3, and the architecture excludes any sale of vessel-identifiable data.</w:t>
      </w:r>
    </w:p>
    <w:p>
      <w:pPr>
        <w:pStyle w:val="Heading3"/>
      </w:pPr>
      <w:r>
        <w:t xml:space="preserve">24.4 Premium normalization</w:t>
      </w:r>
    </w:p>
    <w:p>
      <w:pPr/>
      <w:r>
        <w:t xml:space="preserve">The Center transmits the Bulletin and the monthly performance digest to the protection and indemnity clubs and the war-risk market, and the Stakeholder Panel's insurance members review the digest quarterly. The target corridor: war-risk premiums at or below 1.5 times the pre-crisis level within two quarters of sustained clean operation, and full restoration of pre-crisis levels within four quarters, per Article 12.5. The Accord treats the premium level as its public confidence index and publishes it weekly.</w:t>
      </w:r>
    </w:p>
    <w:p>
      <w:pPr>
        <w:pStyle w:val="Heading2"/>
      </w:pPr>
      <w:r>
        <w:t xml:space="preserve">Article 25: Budget, Audit, and the Sanctions-Compliance Firewall</w:t>
      </w:r>
    </w:p>
    <w:p>
      <w:pPr>
        <w:pStyle w:val="Heading3"/>
      </w:pPr>
      <w:r>
        <w:t xml:space="preserve">25.1 The annual budget</w:t>
      </w:r>
    </w:p>
    <w:p>
      <w:pPr/>
      <w:r>
        <w:t xml:space="preserve">The Administrator prepares, the Technical Committee reviews, and the Council adopts an annual budget covering institutions, services at the rate card, readiness, reserves, and capacity building. The budget publishes in full. A stalled adoption runs the previous budget at the same level, per Article 20.4.</w:t>
      </w:r>
    </w:p>
    <w:p>
      <w:pPr>
        <w:pStyle w:val="Heading3"/>
      </w:pPr>
      <w:r>
        <w:t xml:space="preserve">25.2 Audit</w:t>
      </w:r>
    </w:p>
    <w:p>
      <w:pPr/>
      <w:r>
        <w:t xml:space="preserve">An international audit firm examines the Fund annually and publishes its report unedited. The Neutral Keel Office cross-checks service records quarterly. The Independent Assurance Council reads every audit and reports on it. The audit trail extends to every transaction: no payment moves without a record, and no record closes to inspection by the Parties and the assurance bodies.</w:t>
      </w:r>
    </w:p>
    <w:p>
      <w:pPr>
        <w:pStyle w:val="Heading3"/>
      </w:pPr>
      <w:r>
        <w:t xml:space="preserve">25.3 Anti-diversion</w:t>
      </w:r>
    </w:p>
    <w:p>
      <w:pPr/>
      <w:r>
        <w:t xml:space="preserve">Fund resources serve the purposes of Article 22.2 exclusively. A diversion, established under the Convergence Standard, triggers restitution, an Architectural Breach classification, and suspension of the responsible official from any Accord function pending the facilitation tier. The architecture treats the Fund's integrity as a Red Line-adjacent asset: money that buys calm water never buys anything else.</w:t>
      </w:r>
    </w:p>
    <w:p>
      <w:pPr>
        <w:pStyle w:val="Heading3"/>
      </w:pPr>
      <w:r>
        <w:t xml:space="preserve">25.4 The Sanctions-Compliance Firewall</w:t>
      </w:r>
    </w:p>
    <w:p>
      <w:pPr/>
      <w:r>
        <w:t xml:space="preserve">The Fund's design keeps every participant inside its own legal obligations. The architecture guarantees: no shipper pays any Party directly for anything; no payment travels as a condition of passage; every flow moves through the Neutral Administrator's accounts under Swiss fiduciary law with full transaction records; and every contributor and recipient passes the Administrator's compliance screening against applicable international obligations. Where a potential transaction touches the sanctions regime of any participating state, the Administrator structures the flow so that it never constitutes a prohibited transaction for any participant, or declines it and reports. The firewall guards Red Line RL-7 and makes participation safe for the shipping and banking community without requiring any state to change its sanctions laws.</w:t>
      </w:r>
    </w:p>
    <w:p>
      <w:pPr>
        <w:pStyle w:val="Heading3"/>
      </w:pPr>
      <w:r>
        <w:t xml:space="preserve">25.5 Anti-circumvention</w:t>
      </w:r>
    </w:p>
    <w:p>
      <w:pPr/>
      <w:r>
        <w:t xml:space="preserve">The re-characterization of a service, a charge, or a transaction to evade the Zero-Toll Rule or the Sanctions-Compliance Firewall constitutes an Architectural Breach event under Article 31. The substance of a transaction governs its character, never its legal form: a payment that operates as a charge on passage counts as a toll whatever its label, and a flow that operates as a prohibited transaction counts as prohibited whatever its wrapper. The Neutral Administrator applies the substance test at payment execution, the external auditor tests it annually, and the Neutral Keel Office reports any re-characterization pattern to the Council with the evidence file attached.</w:t>
      </w:r>
    </w:p>
    <w:tbl>
      <w:tblPr>
        <w:tblW w:w="5000" w:type="pct"/>
        <w:tblBorders>
          <w:top w:val="single" w:color="B0BEC5" w:sz="2"/>
          <w:left w:val="single" w:color="37474F" w:sz="18"/>
          <w:bottom w:val="single" w:color="B0BEC5" w:sz="2"/>
          <w:right w:val="single" w:color="B0BEC5" w:sz="2"/>
        </w:tblBorders>
        <w:tblCellMar>
          <w:top w:w="140" w:type="dxa"/>
          <w:left w:w="200" w:type="dxa"/>
          <w:bottom w:w="140" w:type="dxa"/>
          <w:right w:w="160" w:type="dxa"/>
        </w:tblCellMar>
      </w:tblPr>
      <w:tblGrid>
        <w:gridCol w:w="9010"/>
      </w:tblGrid>
      <w:tr>
        <w:tc>
          <w:tcPr>
            <w:tcW w:w="9010" w:type="dxa"/>
            <w:shd w:val="clear" w:fill="ECEFF1"/>
          </w:tcPr>
          <w:p>
            <w:pPr>
              <w:spacing w:after="0" w:line="300" w:lineRule="auto"/>
            </w:pPr>
            <w:r>
              <w:rPr>
                <w:i/>
              </w:rPr>
              <w:t xml:space="preserve">Design rationale for the financial architecture. The Parties settle the toll question with a fund rather than a prohibition alone because a prohibition without an economics leaves every incentive in place. The service-fee distinction gives the coastal states lawful, audited compensation for real work; the single-channel design removes every opportunity for a payment to become a condition of passage; and the anti-circumvention rule of Article 25.5 closes the door that clever drafting would otherwise open. The architecture assumes that money finds a way, and it builds the only way it wants found.</w:t>
            </w:r>
          </w:p>
        </w:tc>
      </w:tr>
    </w:tbl>
    <w:p>
      <w:pPr>
        <w:pStyle w:val="Heading1"/>
      </w:pPr>
      <w:r>
        <w:t xml:space="preserve">Part V: Safety, Security, and Environmental Protection</w:t>
      </w:r>
    </w:p>
    <w:p>
      <w:pPr>
        <w:pStyle w:val="Heading2"/>
      </w:pPr>
      <w:r>
        <w:t xml:space="preserve">Article 26: Verification Philosophy: The Human Anchor Method</w:t>
      </w:r>
    </w:p>
    <w:p>
      <w:pPr>
        <w:pStyle w:val="Heading3"/>
      </w:pPr>
      <w:r>
        <w:t xml:space="preserve">26.1 People over telemetry</w:t>
      </w:r>
    </w:p>
    <w:p>
      <w:pPr/>
      <w:r>
        <w:t xml:space="preserve">The Accord places human judgment at the center of verification. Instruments measure; people notice what matters. Every verification conclusion in this Accord traces to a human officer who observed, reviewed, and signed, supported by instruments that flag, record, and preserve. Automated systems detect anomalies and present evidence; human officers classify, decide, and answer for the decision. The architecture excludes automated classification of incidents, automated suspension of services, and automated triggering of consequences.</w:t>
      </w:r>
    </w:p>
    <w:p>
      <w:pPr>
        <w:pBdr>
          <w:left w:val="single" w:color="B0BEC5" w:sz="8" w:space="6"/>
        </w:pBdr>
        <w:spacing w:before="40" w:after="120"/>
        <w:ind w:left="360"/>
      </w:pPr>
      <w:r>
        <w:rPr>
          <w:rFonts w:ascii="Calibri" w:hAnsi="Calibri"/>
          <w:i/>
          <w:color w:val="78909C"/>
          <w:sz w:val="18"/>
        </w:rPr>
        <w:t xml:space="preserve">See also Articles 15 and 26A, and Annex G.</w:t>
      </w:r>
    </w:p>
    <w:p>
      <w:pPr>
        <w:pStyle w:val="Heading3"/>
      </w:pPr>
      <w:r>
        <w:t xml:space="preserve">26.2 The Convergence Standard</w:t>
      </w:r>
    </w:p>
    <w:p>
      <w:pPr/>
      <w:r>
        <w:t xml:space="preserve">No verification finding rests on a single input. A finding requires at least two independent inputs in convergence: for example, an embarked observer's record plus the Center's track data; a coastal radar track plus a patrol's visual report; a satellite pass plus a port state's documentation. The standard protects every Party from error and from manipulation, and it gives every finding the weight to survive political challenge. A single-source anomaly enters the record as an open observation, and the system seeks convergence before any classification step.</w:t>
      </w:r>
    </w:p>
    <w:p>
      <w:pPr>
        <w:pStyle w:val="Heading3"/>
      </w:pPr>
      <w:r>
        <w:t xml:space="preserve">26.3 Ground truth on the water</w:t>
      </w:r>
    </w:p>
    <w:p>
      <w:pPr/>
      <w:r>
        <w:t xml:space="preserve">The weekly ground-truth patrols of Article 9.6 anchor the electronic picture in physical reality. The patrol program, the embarked observers, and the port documentation cross-check together form the human layer that telemetry alone never supplies. The Neutral Keel Office reports annually on the health of the human layer: patrol completion rate, observer coverage, and reconciliation latency.</w:t>
      </w:r>
    </w:p>
    <w:p>
      <w:pPr>
        <w:pStyle w:val="Heading3"/>
      </w:pPr>
      <w:r>
        <w:t xml:space="preserve">26.4 Data sovereignty and custody</w:t>
      </w:r>
    </w:p>
    <w:p>
      <w:pPr/>
      <w:r>
        <w:t xml:space="preserve">Verification data originates inside the Governance Area and stays under the Accord's custody. The dual-copy rule of Article 14.5 applies: every record exists in Muscat and Bandar Abbas simultaneously, cryptographically timestamped, and neither copy admits unilateral alteration. Raw track data remains within the Governance Area's custody chain; derived statistics publish. No Party exports raw operational data to any external intelligence use, and the architecture routes every external data request through the Council.</w:t>
      </w:r>
    </w:p>
    <w:p>
      <w:pPr>
        <w:pStyle w:val="Heading3"/>
      </w:pPr>
      <w:r>
        <w:t xml:space="preserve">26.5 The two-key access rule</w:t>
      </w:r>
    </w:p>
    <w:p>
      <w:pPr/>
      <w:r>
        <w:t xml:space="preserve">Access to the non-classified shared registry operates under the two-key rule: a Party's officer and a Neutral Keel officer jointly authenticate access for their respective bodies, and the system logs every access. The Independent Assurance Council holds standing two-key access of its own. The rule keeps the record open to every legitimate reader and closed to quiet browsing by any single actor.</w:t>
      </w:r>
    </w:p>
    <w:p>
      <w:pPr>
        <w:pStyle w:val="Heading3"/>
      </w:pPr>
      <w:r>
        <w:t xml:space="preserve">26.6 Degraded-mode operation</w:t>
      </w:r>
    </w:p>
    <w:p>
      <w:pPr/>
      <w:r>
        <w:t xml:space="preserve">Where communications or power fail at one site, the mirror site assumes the full watch, voice reporting carries compliance, and paper logs govern until restoration, per the non-telemetry mode of Annex G. Degraded mode degrades convenience, never rights: passage continues, acknowledgment defaults apply, and the Bulletin publishes by any working channel.</w:t>
      </w:r>
    </w:p>
    <w:p>
      <w:pPr>
        <w:pStyle w:val="Heading2"/>
      </w:pPr>
      <w:r>
        <w:t xml:space="preserve">Article 26A: Cybersecurity, Authentication, and Data Integrity</w:t>
      </w:r>
    </w:p>
    <w:p>
      <w:pPr>
        <w:pStyle w:val="Heading3"/>
      </w:pPr>
      <w:r>
        <w:t xml:space="preserve">26A.1 The security baseline</w:t>
      </w:r>
    </w:p>
    <w:p>
      <w:pPr/>
      <w:r>
        <w:t xml:space="preserve">The Accord's digital infrastructure operates under a standing security baseline: every notification, acknowledgment, ledger entry, payment instruction, and bulletin carries authenticated origin; every critical system runs with full redundancy at the mirror facility; every system sustains offline operation under the degraded-mode rules of Article 26.6; and every record carries the integrity protections of the dual-copy rule of Article 14.5. The Technical and Standards Committee owns the baseline and reviews it annually against the prevailing international maritime cybersecurity guidance.</w:t>
      </w:r>
    </w:p>
    <w:p>
      <w:pPr>
        <w:pStyle w:val="Heading3"/>
      </w:pPr>
      <w:r>
        <w:t xml:space="preserve">26A.2 Authentication and access control</w:t>
      </w:r>
    </w:p>
    <w:p>
      <w:pPr/>
      <w:r>
        <w:t xml:space="preserve">Access to every Accord system follows named-person authentication with hardware-backed credentials, role-based permissions, and the two-key rule of Article 26.5 for the shared registry. Credentials never transfer between persons, and the system logs every access with time, identity, and action. A lost or compromised credential revokes within one hour of report, and the revocation publishes to every watch floor.</w:t>
      </w:r>
    </w:p>
    <w:p>
      <w:pPr>
        <w:pStyle w:val="Heading3"/>
      </w:pPr>
      <w:r>
        <w:t xml:space="preserve">26A.3 Spoof and intrusion detection</w:t>
      </w:r>
    </w:p>
    <w:p>
      <w:pPr/>
      <w:r>
        <w:t xml:space="preserve">The signal-integrity watch of Annex G.5 extends to the digital layer: the Center monitors notification traffic for forged origins, anomalous volumes, and injection patterns; the Fund's payment gateway validates every instruction against the verified service record before execution; and an anomaly that touches a safety function classifies as an interference event under Article 28.2. Automated detection flags and presents; human officers classify and decide, per Article 26.1.</w:t>
      </w:r>
    </w:p>
    <w:p>
      <w:pPr>
        <w:pStyle w:val="Heading3"/>
      </w:pPr>
      <w:r>
        <w:t xml:space="preserve">26A.4 Audit logs and incident response</w:t>
      </w:r>
    </w:p>
    <w:p>
      <w:pPr/>
      <w:r>
        <w:t xml:space="preserve">Every system maintains tamper-evident audit logs retained for seven years under the dual-copy rule. A confirmed cyber incident activates the Mishap Protocol's technical track: isolation of the affected segment, failover to the mirror, voice-and-paper continuity under Annex G.3, and a public incident note in the Bulletin stating the affected function and the restoration estimate. A cyber incident never suspends passage, acknowledgment, or the humanitarian flows.</w:t>
      </w:r>
    </w:p>
    <w:p>
      <w:pPr>
        <w:pStyle w:val="Heading3"/>
      </w:pPr>
      <w:r>
        <w:t xml:space="preserve">26A.5 Independent security testing</w:t>
      </w:r>
    </w:p>
    <w:p>
      <w:pPr/>
      <w:r>
        <w:t xml:space="preserve">An independent security firm tests the architecture annually, including adversarial exercises against the notification desk and the payment gateway, under rules of engagement the Council approves. The test report publishes in summary, and findings cure on the Technical Committee's tracked schedule.</w:t>
      </w:r>
    </w:p>
    <w:p>
      <w:pPr>
        <w:pStyle w:val="Heading2"/>
      </w:pPr>
      <w:r>
        <w:t xml:space="preserve">Article 27: Naval De-confliction and the Standoff Geometry</w:t>
      </w:r>
    </w:p>
    <w:p>
      <w:pPr>
        <w:pStyle w:val="Heading3"/>
      </w:pPr>
      <w:r>
        <w:t xml:space="preserve">27.1 Purpose</w:t>
      </w:r>
    </w:p>
    <w:p>
      <w:pPr/>
      <w:r>
        <w:t xml:space="preserve">The Accord keeps military activity and commercial traffic apart by geometry, notification, and discipline, so that no merchant crew ever reads a warship's intentions from its maneuvers. The rules of this Article bind the forces of the Parties and of every adhering external state inside the Governance Area.</w:t>
      </w:r>
    </w:p>
    <w:p>
      <w:pPr>
        <w:pStyle w:val="Heading3"/>
      </w:pPr>
      <w:r>
        <w:t xml:space="preserve">27.2 Standoff distances</w:t>
      </w:r>
    </w:p>
    <w:p>
      <w:pPr/>
      <w:r>
        <w:t xml:space="preserve">Inside the Governance Area, naval units of any state maintain: a minimum separation of 5 nautical miles from any commercial vessel in a corridor lane, except escorts operating under a published escorted window; a minimum separation of 12 nautical miles between naval units of different states, except where the de-confliction channel arranges closer approach for safety of navigation; and zero loitering in the Central Separation Belt. The Center displays the standoff geometry on the watch floor picture, and the Neutral Keel Office logs every approach inside the geometry as an observation, with classification under Annex D only where the Convergence Standard establishes intent or pattern.</w:t>
      </w:r>
    </w:p>
    <w:p>
      <w:pPr>
        <w:pStyle w:val="Heading3"/>
      </w:pPr>
      <w:r>
        <w:t xml:space="preserve">27.3 Exercise notification</w:t>
      </w:r>
    </w:p>
    <w:p>
      <w:pPr/>
      <w:r>
        <w:t xml:space="preserve">A Party conducting a live-fire exercise or a concentration of more than four naval units inside or within 20 nautical miles of the Governance Area files an exercise notice through the military de-confliction channel no later than 96 hours in advance, stating area, period, and nature. The Center publishes a navigation warning in the Bulletin. The architecture excludes live-fire activity inside the corridor lanes, the Belt, and the anchorages absolutely.</w:t>
      </w:r>
    </w:p>
    <w:p>
      <w:pPr>
        <w:pStyle w:val="Heading3"/>
      </w:pPr>
      <w:r>
        <w:t xml:space="preserve">27.4 Quiet Water Windows</w:t>
      </w:r>
    </w:p>
    <w:p>
      <w:pPr/>
      <w:r>
        <w:t xml:space="preserve">The daily schedule publishes Quiet Water Windows, periods in which the corridors carry no escorted groups, no exercises, and no concentrated naval movement, giving the market and the fishing community predictable calm. The initial pattern reserves 0200 to 0600 and 1400 to 1800 local time daily, and the Council adjusts the pattern on the Technical Committee's traffic study.</w:t>
      </w:r>
    </w:p>
    <w:p>
      <w:pPr>
        <w:pStyle w:val="Heading3"/>
      </w:pPr>
      <w:r>
        <w:t xml:space="preserve">27.5 Military transit</w:t>
      </w:r>
    </w:p>
    <w:p>
      <w:pPr/>
      <w:r>
        <w:t xml:space="preserve">Class G vessels transit through Corridor One only, under 96-hour movement notice through the military channel, in the published transit windows, with automatic identification system transmission active. Submarines transit surfaced. The architecture excludes embarkation of inspection teams against merchant vessels from any state vessel inside the Governance Area.</w:t>
      </w:r>
    </w:p>
    <w:p>
      <w:pPr>
        <w:pStyle w:val="Heading3"/>
      </w:pPr>
      <w:r>
        <w:t xml:space="preserve">27.6 The military de-confliction channel</w:t>
      </w:r>
    </w:p>
    <w:p>
      <w:pPr/>
      <w:r>
        <w:t xml:space="preserve">Each Party and each adhering external state maintains a 24-hour military liaison desk linked to the Center's de-confliction channel and to its counterparts. The channel carries exercise notices, movement notices, incident flash traffic, and the Thirty-Minute Position Log of Article 28. The channel operates on the speak-first rule: a commander who perceives a developing encounter speaks first, on the record, before maneuvering. The channel's traffic remains confidential to its participants for 72 hours and then enters the classified annex of the incident archive, readable by the Parties and the Guarantor Panel.</w:t>
      </w:r>
    </w:p>
    <w:p>
      <w:pPr>
        <w:pStyle w:val="Heading3"/>
      </w:pPr>
      <w:r>
        <w:t xml:space="preserve">27.7 Rogue actors and false flags</w:t>
      </w:r>
    </w:p>
    <w:p>
      <w:pPr/>
      <w:r>
        <w:t xml:space="preserve">An attack on commercial traffic by an actor outside any Party's command activates the rogue-actor pathway: the affected Party reports through the de-confliction channel within 60 minutes with position and evidence; the Center issues an immediate flash broadcast; the Parties' forces cooperate in protecting traffic in the affected area under Neutral Keel observation; and the substantiation duty of Article 34.4 applies to any attribution claim. The architecture presumes no attribution: it investigates first, attributes on convergence, and never lets an unattributed attack serve as a casus belli inside the Accord's machinery.</w:t>
      </w:r>
    </w:p>
    <w:p>
      <w:pPr>
        <w:pStyle w:val="Heading3"/>
      </w:pPr>
      <w:r>
        <w:t xml:space="preserve">27.8 Substantiation duty for security claims</w:t>
      </w:r>
    </w:p>
    <w:p>
      <w:pPr/>
      <w:r>
        <w:t xml:space="preserve">A Party that asserts another Party's involvement in a security incident files its evidence with the Neutral Keel Office within 72 hours. The Office assesses convergence and reports within 7 days. An assertion unsupported at the second successive assessment enters the claim record of Article 34, and the independent technical referee's fact findings bind the classification question.</w:t>
      </w:r>
    </w:p>
    <w:p>
      <w:pPr>
        <w:pStyle w:val="Heading3"/>
      </w:pPr>
      <w:r>
        <w:t xml:space="preserve">27.9 Exclusion of force</w:t>
      </w:r>
    </w:p>
    <w:p>
      <w:pPr/>
      <w:r>
        <w:t xml:space="preserve">Nothing in this Accord authorizes the use of force by any Party, any external state, or any Accord organ, against any vessel, aircraft, installation, or territory, inside or outside the Governance Area. Accord assets, data, and channels never support kinetic action by any actor, which guards Red Line RL-12. The classification of any incident travels exclusively through Article 31, and force questions rest exclusively with the respective heads of government under their constitutional procedures, outside this instrument entirely.</w:t>
      </w:r>
    </w:p>
    <w:p>
      <w:pPr>
        <w:pStyle w:val="Heading2"/>
      </w:pPr>
      <w:r>
        <w:t xml:space="preserve">Article 28: Mishap and Incident Management</w:t>
      </w:r>
    </w:p>
    <w:p>
      <w:pPr>
        <w:pBdr>
          <w:left w:val="single" w:color="B0BEC5" w:sz="8" w:space="6"/>
        </w:pBdr>
        <w:spacing w:before="40" w:after="120"/>
        <w:ind w:left="360"/>
      </w:pPr>
      <w:r>
        <w:rPr>
          <w:rFonts w:ascii="Calibri" w:hAnsi="Calibri"/>
          <w:i/>
          <w:color w:val="78909C"/>
          <w:sz w:val="18"/>
        </w:rPr>
        <w:t xml:space="preserve">See also Articles 27 and 31, and Annexes F and H.</w:t>
      </w:r>
    </w:p>
    <w:p>
      <w:pPr>
        <w:pStyle w:val="Heading3"/>
      </w:pPr>
      <w:r>
        <w:t xml:space="preserve">28.1 The Mishap Protocol</w:t>
      </w:r>
    </w:p>
    <w:p>
      <w:pPr/>
      <w:r>
        <w:t xml:space="preserve">Where a collision, casualty, interference event, or use-of-force incident occurs inside the Governance Area, the Mishap Protocol runs automatically:</w:t>
      </w:r>
    </w:p>
    <w:p>
      <w:pPr>
        <w:ind w:left="360"/>
      </w:pPr>
      <w:r>
        <w:t xml:space="preserve">1. Immediate stand-down-and-report. Every involved unit holds position and reports. The Center logs the report and broadcasts a safety notice.</w:t>
      </w:r>
    </w:p>
    <w:p>
      <w:pPr>
        <w:ind w:left="360"/>
      </w:pPr>
      <w:r>
        <w:t xml:space="preserve">2. Thirty-Minute Position Log. Every vessel and unit within 10 nautical miles logs and transmits its position, course, and speed every 30 minutes for 6 hours, through any working channel. The log preserves the common factual spine of the event.</w:t>
      </w:r>
    </w:p>
    <w:p>
      <w:pPr>
        <w:ind w:left="360"/>
      </w:pPr>
      <w:r>
        <w:t xml:space="preserve">3. Four-hour classification. Within 4 hours, the paired duty officers, with the embarked observer where present, classify the event provisionally as accident, interference, or unresolved, and the Bulletin carries the classification with the evidence state.</w:t>
      </w:r>
    </w:p>
    <w:p>
      <w:pPr>
        <w:ind w:left="360"/>
      </w:pPr>
      <w:r>
        <w:t xml:space="preserve">4. Joint assessment. The Technical Committee, with the Neutral Keel Office, completes the assessment within 14 days under the Convergence Standard, and the report publishes.</w:t>
      </w:r>
    </w:p>
    <w:p>
      <w:pPr>
        <w:ind w:left="360"/>
      </w:pPr>
      <w:r>
        <w:t xml:space="preserve">5. Restoration step. Where the event disrupted traffic, the Center publishes the restoration step and the expected return to Free Flow, and the Fund's compensation window opens where the closure qualifies under Article 22.7.</w:t>
      </w:r>
    </w:p>
    <w:p>
      <w:pPr>
        <w:pStyle w:val="Heading3"/>
      </w:pPr>
      <w:r>
        <w:t xml:space="preserve">28.2 Interference events</w:t>
      </w:r>
    </w:p>
    <w:p>
      <w:pPr/>
      <w:r>
        <w:t xml:space="preserve">An interference event covers harassment, signal jamming or spoofing, unsafe approach, or illumination by targeting systems. The signal-integrity watch of Article 10.3 records the technical evidence automatically. Repeated interference events against a pattern trigger the graduated response of Article 31 with the pattern evidence attached.</w:t>
      </w:r>
    </w:p>
    <w:p>
      <w:pPr>
        <w:pStyle w:val="Heading3"/>
      </w:pPr>
      <w:r>
        <w:t xml:space="preserve">28.3 No fault finding by silence</w:t>
      </w:r>
    </w:p>
    <w:p>
      <w:pPr/>
      <w:r>
        <w:t xml:space="preserve">The protocol records facts; it assigns no fault by default. Fault findings travel through the Convergence Standard and the dispute tiers of Article 35. A provisional classification states the evidence state, and the final report states conclusions, so that no headline outruns the evidence.</w:t>
      </w:r>
    </w:p>
    <w:p>
      <w:pPr>
        <w:pStyle w:val="Heading2"/>
      </w:pPr>
      <w:r>
        <w:t xml:space="preserve">Article 29: Search and Rescue</w:t>
      </w:r>
    </w:p>
    <w:p>
      <w:pPr>
        <w:pStyle w:val="Heading3"/>
      </w:pPr>
      <w:r>
        <w:t xml:space="preserve">29.1 Shared grid</w:t>
      </w:r>
    </w:p>
    <w:p>
      <w:pPr/>
      <w:r>
        <w:t xml:space="preserve">The Parties operate search and rescue in the Governance Area as one shared grid, coordinated by the Center, executed by the coastal states' rescue assets, and observed by the Neutral Keel Office. The grid divides the Governance Area into the sectors of Annex K, assigns each sector a primary and a supporting rescue coordinator, and holds a rescue vessel on 30-minute notice at each approach at all times.</w:t>
      </w:r>
    </w:p>
    <w:p>
      <w:pPr>
        <w:pStyle w:val="Heading3"/>
      </w:pPr>
      <w:r>
        <w:t xml:space="preserve">29.2 Distress priority</w:t>
      </w:r>
    </w:p>
    <w:p>
      <w:pPr/>
      <w:r>
        <w:t xml:space="preserve">A distress call overrides every other consideration in this Accord. Any asset of any Party proceeds to distress assistance anywhere in the Governance Area without prior clearance, and the Center logs the movement afterward. The architecture treats life-saving as pre-authorized in all waters, by all actors, at all times, and a delay of distress response for any administrative reason classifies as an Architectural Breach.</w:t>
      </w:r>
    </w:p>
    <w:p>
      <w:pPr>
        <w:pStyle w:val="Heading3"/>
      </w:pPr>
      <w:r>
        <w:t xml:space="preserve">29.3 Exercises and readiness</w:t>
      </w:r>
    </w:p>
    <w:p>
      <w:pPr/>
      <w:r>
        <w:t xml:space="preserve">The coastal states conduct a joint search and rescue exercise each quarter, alternating leads, with the Neutral Keel Office observing and the results published. Readiness statistics publish in the Bulletin weekly: assets on notice, response times, and drill currency.</w:t>
      </w:r>
    </w:p>
    <w:p>
      <w:pPr>
        <w:pStyle w:val="Heading2"/>
      </w:pPr>
      <w:r>
        <w:t xml:space="preserve">Article 30: Environmental Protection</w:t>
      </w:r>
    </w:p>
    <w:p>
      <w:pPr>
        <w:pStyle w:val="Heading3"/>
      </w:pPr>
      <w:r>
        <w:t xml:space="preserve">30.1 Pollution prevention</w:t>
      </w:r>
    </w:p>
    <w:p>
      <w:pPr/>
      <w:r>
        <w:t xml:space="preserve">The corridor rules incorporate the international pollution-prevention standards as minimums: discharge rules, ballast management, and bunkering exclusion inside the lanes. The Center's watch includes an environmental watch function that logs every observed discharge and every report of sheen or debris, and the ground-truth patrols carry pollution-observation kits.</w:t>
      </w:r>
    </w:p>
    <w:p>
      <w:pPr>
        <w:pStyle w:val="Heading3"/>
      </w:pPr>
      <w:r>
        <w:t xml:space="preserve">30.2 Sensitive areas</w:t>
      </w:r>
    </w:p>
    <w:p>
      <w:pPr/>
      <w:r>
        <w:t xml:space="preserve">Annex J designates the environmentally sensitive areas of the Governance Area, including the Larak and Hengam inshore waters, the Musandam coral zones, and the spawning aggregation areas the coastal states identify. Sensitive-area rules: no anchoring outside designated anchorages, speed reduction to 10 knots for laden Class B vessels in the marked zones, and mandatory routing advice acceptance in the marked zones.</w:t>
      </w:r>
    </w:p>
    <w:p>
      <w:pPr>
        <w:pStyle w:val="Heading3"/>
      </w:pPr>
      <w:r>
        <w:t xml:space="preserve">30.3 Pollution response</w:t>
      </w:r>
    </w:p>
    <w:p>
      <w:pPr/>
      <w:r>
        <w:t xml:space="preserve">The coastal states maintain pollution response standby under the Fund's readiness line, per the Catalog: containment and recovery capacity at each approach on 2-hour notice, dispersant stockpiles at Bandar Abbas and Khasab, and a joint response plan at Annex J. A pollution event activates the Mishap Protocol with the environmental watch leading the assessment, and the compensation window covers response costs where the event qualifies.</w:t>
      </w:r>
    </w:p>
    <w:p>
      <w:pPr>
        <w:pStyle w:val="Heading3"/>
      </w:pPr>
      <w:r>
        <w:t xml:space="preserve">30.4 Liability and the coverage rule</w:t>
      </w:r>
    </w:p>
    <w:p>
      <w:pPr/>
      <w:r>
        <w:t xml:space="preserve">Liability for pollution damage follows the international liability and compensation instruments in force for the responsible vessel's flag and class. The Accord adds a coverage rule: every vessel above 10,000 gross tons transiting the corridors carries pollution liability coverage from a recognized provider, evidenced in the notice for Corridor Two and in the Registry for Corridor One. The Fund's compensation window advances response costs where an uninsured or unidentified vessel causes an event, and recovery follows the responsible party wherever the evidence leads.</w:t>
      </w:r>
    </w:p>
    <w:tbl>
      <w:tblPr>
        <w:tblW w:w="5000" w:type="pct"/>
        <w:tblBorders>
          <w:top w:val="single" w:color="B0BEC5" w:sz="2"/>
          <w:left w:val="single" w:color="37474F" w:sz="18"/>
          <w:bottom w:val="single" w:color="B0BEC5" w:sz="2"/>
          <w:right w:val="single" w:color="B0BEC5" w:sz="2"/>
        </w:tblBorders>
        <w:tblCellMar>
          <w:top w:w="140" w:type="dxa"/>
          <w:left w:w="200" w:type="dxa"/>
          <w:bottom w:w="140" w:type="dxa"/>
          <w:right w:w="160" w:type="dxa"/>
        </w:tblCellMar>
      </w:tblPr>
      <w:tblGrid>
        <w:gridCol w:w="9010"/>
      </w:tblGrid>
      <w:tr>
        <w:tc>
          <w:tcPr>
            <w:tcW w:w="9010" w:type="dxa"/>
            <w:shd w:val="clear" w:fill="ECEFF1"/>
          </w:tcPr>
          <w:p>
            <w:pPr>
              <w:spacing w:after="0" w:line="300" w:lineRule="auto"/>
            </w:pPr>
            <w:r>
              <w:rPr>
                <w:i/>
              </w:rPr>
              <w:t xml:space="preserve">Design rationale for the verification philosophy. The Parties anchor verification in human judgment and convergent inputs because the 2026 crisis taught the region that telemetry alone deceives and accusation alone destroys. Single-source intelligence produced the worst decisions of the crisis years; convergent, human-signed evidence produces findings that survive politics. The ground-truth patrols, the embarked observers, and the two-input rule cost more than a satellite subscription, and they buy the one thing no satellite sells: findings every capital accepts without humiliation.</w:t>
            </w:r>
          </w:p>
        </w:tc>
      </w:tr>
    </w:tbl>
    <w:p>
      <w:pPr>
        <w:pStyle w:val="Heading1"/>
      </w:pPr>
      <w:r>
        <w:t xml:space="preserve">Part VI: Compliance, Accountability, and Dispute Resolution</w:t>
      </w:r>
    </w:p>
    <w:p>
      <w:pPr>
        <w:pStyle w:val="Heading2"/>
      </w:pPr>
      <w:r>
        <w:t xml:space="preserve">Article 31: The Compliance Engine</w:t>
      </w:r>
    </w:p>
    <w:p>
      <w:pPr>
        <w:pStyle w:val="Heading3"/>
      </w:pPr>
      <w:r>
        <w:t xml:space="preserve">31.1 Three categories of events</w:t>
      </w:r>
    </w:p>
    <w:p>
      <w:pPr/>
      <w:r>
        <w:t xml:space="preserve">The Accord classifies every compliance event into one of three categories, on verified facts under the Convergence Standard:</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2252"/>
        <w:gridCol w:w="2252"/>
        <w:gridCol w:w="2252"/>
        <w:gridCol w:w="2254"/>
      </w:tblGrid>
      <w:tr>
        <w:trPr>
          <w:tblHeader/>
        </w:trPr>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Category</w:t>
            </w:r>
          </w:p>
        </w:tc>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Definition</w:t>
            </w:r>
          </w:p>
        </w:tc>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Examples</w:t>
            </w:r>
          </w:p>
        </w:tc>
        <w:tc>
          <w:tcPr>
            <w:tcW w:w="2254" w:type="dxa"/>
            <w:tcBorders>
              <w:bottom w:val="single" w:color="546E7A" w:sz="6"/>
            </w:tcBorders>
            <w:shd w:val="clear" w:fill="E4E9EC"/>
          </w:tcPr>
          <w:p>
            <w:pPr>
              <w:spacing w:after="0" w:line="260" w:lineRule="auto"/>
              <w:jc w:val="left"/>
            </w:pPr>
            <w:r>
              <w:rPr>
                <w:rFonts w:ascii="Calibri" w:hAnsi="Calibri"/>
                <w:b/>
                <w:color w:val="37474F"/>
                <w:sz w:val="19"/>
              </w:rPr>
              <w:t xml:space="preserve">Automatic response</w:t>
            </w:r>
          </w:p>
        </w:tc>
      </w:tr>
      <w:tr>
        <w:tc>
          <w:tcPr>
            <w:tcW w:w="2252" w:type="dxa"/>
          </w:tcPr>
          <w:p>
            <w:pPr>
              <w:spacing w:after="0" w:line="260" w:lineRule="auto"/>
              <w:jc w:val="left"/>
            </w:pPr>
            <w:r>
              <w:rPr>
                <w:rFonts w:ascii="Calibri" w:hAnsi="Calibri"/>
                <w:color w:val="212121"/>
                <w:sz w:val="19"/>
              </w:rPr>
              <w:t xml:space="preserve">Operational Variation</w:t>
            </w:r>
          </w:p>
        </w:tc>
        <w:tc>
          <w:tcPr>
            <w:tcW w:w="2252" w:type="dxa"/>
          </w:tcPr>
          <w:p>
            <w:pPr>
              <w:spacing w:after="0" w:line="260" w:lineRule="auto"/>
              <w:jc w:val="left"/>
            </w:pPr>
            <w:r>
              <w:rPr>
                <w:rFonts w:ascii="Calibri" w:hAnsi="Calibri"/>
                <w:color w:val="212121"/>
                <w:sz w:val="19"/>
              </w:rPr>
              <w:t xml:space="preserve">An isolated, non-pattern deviation from a procedural rule, cured or curable without third-party loss</w:t>
            </w:r>
          </w:p>
        </w:tc>
        <w:tc>
          <w:tcPr>
            <w:tcW w:w="2252" w:type="dxa"/>
          </w:tcPr>
          <w:p>
            <w:pPr>
              <w:spacing w:after="0" w:line="260" w:lineRule="auto"/>
              <w:jc w:val="left"/>
            </w:pPr>
            <w:r>
              <w:rPr>
                <w:rFonts w:ascii="Calibri" w:hAnsi="Calibri"/>
                <w:color w:val="212121"/>
                <w:sz w:val="19"/>
              </w:rPr>
              <w:t xml:space="preserve">Late notice cured before transit; a one-off spacing breach logged and acknowledged</w:t>
            </w:r>
          </w:p>
        </w:tc>
        <w:tc>
          <w:tcPr>
            <w:tcW w:w="2254" w:type="dxa"/>
          </w:tcPr>
          <w:p>
            <w:pPr>
              <w:spacing w:after="0" w:line="260" w:lineRule="auto"/>
              <w:jc w:val="left"/>
            </w:pPr>
            <w:r>
              <w:rPr>
                <w:rFonts w:ascii="Calibri" w:hAnsi="Calibri"/>
                <w:color w:val="212121"/>
                <w:sz w:val="19"/>
              </w:rPr>
              <w:t xml:space="preserve">Notice and cure: the Center issues a written notice; the Party cures within 7 days; the event closes on cure</w:t>
            </w:r>
          </w:p>
        </w:tc>
      </w:tr>
      <w:tr>
        <w:tc>
          <w:tcPr>
            <w:tcW w:w="2252" w:type="dxa"/>
          </w:tcPr>
          <w:p>
            <w:pPr>
              <w:spacing w:after="0" w:line="260" w:lineRule="auto"/>
              <w:jc w:val="left"/>
            </w:pPr>
            <w:r>
              <w:rPr>
                <w:rFonts w:ascii="Calibri" w:hAnsi="Calibri"/>
                <w:color w:val="212121"/>
                <w:sz w:val="19"/>
              </w:rPr>
              <w:t xml:space="preserve">Material Disruption</w:t>
            </w:r>
          </w:p>
        </w:tc>
        <w:tc>
          <w:tcPr>
            <w:tcW w:w="2252" w:type="dxa"/>
          </w:tcPr>
          <w:p>
            <w:pPr>
              <w:spacing w:after="0" w:line="260" w:lineRule="auto"/>
              <w:jc w:val="left"/>
            </w:pPr>
            <w:r>
              <w:rPr>
                <w:rFonts w:ascii="Calibri" w:hAnsi="Calibri"/>
                <w:color w:val="212121"/>
                <w:sz w:val="19"/>
              </w:rPr>
              <w:t xml:space="preserve">A deviation that produces third-party loss, repeats after notice, or touches a service, safety, or financial standard</w:t>
            </w:r>
          </w:p>
        </w:tc>
        <w:tc>
          <w:tcPr>
            <w:tcW w:w="2252" w:type="dxa"/>
          </w:tcPr>
          <w:p>
            <w:pPr>
              <w:spacing w:after="0" w:line="260" w:lineRule="auto"/>
              <w:jc w:val="left"/>
            </w:pPr>
            <w:r>
              <w:rPr>
                <w:rFonts w:ascii="Calibri" w:hAnsi="Calibri"/>
                <w:color w:val="212121"/>
                <w:sz w:val="19"/>
              </w:rPr>
              <w:t xml:space="preserve">A pattern of late acknowledgments; double recovery under Article 22.6; obstruction of a scheduled patrol</w:t>
            </w:r>
          </w:p>
        </w:tc>
        <w:tc>
          <w:tcPr>
            <w:tcW w:w="2254" w:type="dxa"/>
          </w:tcPr>
          <w:p>
            <w:pPr>
              <w:spacing w:after="0" w:line="260" w:lineRule="auto"/>
              <w:jc w:val="left"/>
            </w:pPr>
            <w:r>
              <w:rPr>
                <w:rFonts w:ascii="Calibri" w:hAnsi="Calibri"/>
                <w:color w:val="212121"/>
                <w:sz w:val="19"/>
              </w:rPr>
              <w:t xml:space="preserve">Graduated response of Article 31.3, steps one through three</w:t>
            </w:r>
          </w:p>
        </w:tc>
      </w:tr>
      <w:tr>
        <w:tc>
          <w:tcPr>
            <w:tcW w:w="2252" w:type="dxa"/>
          </w:tcPr>
          <w:p>
            <w:pPr>
              <w:spacing w:after="0" w:line="260" w:lineRule="auto"/>
              <w:jc w:val="left"/>
            </w:pPr>
            <w:r>
              <w:rPr>
                <w:rFonts w:ascii="Calibri" w:hAnsi="Calibri"/>
                <w:color w:val="212121"/>
                <w:sz w:val="19"/>
              </w:rPr>
              <w:t xml:space="preserve">Architectural Breach</w:t>
            </w:r>
          </w:p>
        </w:tc>
        <w:tc>
          <w:tcPr>
            <w:tcW w:w="2252" w:type="dxa"/>
          </w:tcPr>
          <w:p>
            <w:pPr>
              <w:spacing w:after="0" w:line="260" w:lineRule="auto"/>
              <w:jc w:val="left"/>
            </w:pPr>
            <w:r>
              <w:rPr>
                <w:rFonts w:ascii="Calibri" w:hAnsi="Calibri"/>
                <w:color w:val="212121"/>
                <w:sz w:val="19"/>
              </w:rPr>
              <w:t xml:space="preserve">A deviation touching a Red Line, the humanitarian absolute, distress response, or the Non-Interdiction Protocol</w:t>
            </w:r>
          </w:p>
        </w:tc>
        <w:tc>
          <w:tcPr>
            <w:tcW w:w="2252" w:type="dxa"/>
          </w:tcPr>
          <w:p>
            <w:pPr>
              <w:spacing w:after="0" w:line="260" w:lineRule="auto"/>
              <w:jc w:val="left"/>
            </w:pPr>
            <w:r>
              <w:rPr>
                <w:rFonts w:ascii="Calibri" w:hAnsi="Calibri"/>
                <w:color w:val="212121"/>
                <w:sz w:val="19"/>
              </w:rPr>
              <w:t xml:space="preserve">A charge collected on passage; an interdiction inside a corridor; a delayed distress response</w:t>
            </w:r>
          </w:p>
        </w:tc>
        <w:tc>
          <w:tcPr>
            <w:tcW w:w="2254" w:type="dxa"/>
          </w:tcPr>
          <w:p>
            <w:pPr>
              <w:spacing w:after="0" w:line="260" w:lineRule="auto"/>
              <w:jc w:val="left"/>
            </w:pPr>
            <w:r>
              <w:rPr>
                <w:rFonts w:ascii="Calibri" w:hAnsi="Calibri"/>
                <w:color w:val="212121"/>
                <w:sz w:val="19"/>
              </w:rPr>
              <w:t xml:space="preserve">Immediate Stillwater Pause of Article 32; Guarantor Panel convenes within 48 hours</w:t>
            </w:r>
          </w:p>
        </w:tc>
      </w:tr>
    </w:tbl>
    <w:p>
      <w:pPr>
        <w:spacing w:after="60"/>
      </w:pPr>
    </w:p>
    <w:p>
      <w:pPr>
        <w:pStyle w:val="Caption"/>
      </w:pPr>
      <w:r>
        <w:t xml:space="preserve">Table 31.1: The three categories of compliance events</w:t>
      </w:r>
    </w:p>
    <w:tbl>
      <w:tblPr>
        <w:tblW w:w="5000" w:type="pct"/>
        <w:tblBorders>
          <w:top w:val="single" w:color="B0BEC5" w:sz="4"/>
          <w:left w:val="single" w:color="B0BEC5" w:sz="4"/>
          <w:bottom w:val="single" w:color="B0BEC5" w:sz="4"/>
          <w:right w:val="single" w:color="B0BEC5" w:sz="4"/>
        </w:tblBorders>
        <w:tblCellMar>
          <w:top w:w="120" w:type="dxa"/>
          <w:left w:w="200" w:type="dxa"/>
          <w:bottom w:w="120" w:type="dxa"/>
          <w:right w:w="200" w:type="dxa"/>
        </w:tblCellMar>
      </w:tblPr>
      <w:tblGrid>
        <w:gridCol w:w="9010"/>
      </w:tblGrid>
      <w:tr>
        <w:tc>
          <w:tcPr>
            <w:tcW w:w="9010" w:type="dxa"/>
            <w:shd w:val="clear" w:fill="F4F6F7"/>
          </w:tcPr>
          <w:p>
            <w:pPr>
              <w:spacing w:after="120"/>
              <w:jc w:val="center"/>
            </w:pPr>
            <w:r>
              <w:rPr>
                <w:rFonts w:ascii="Calibri" w:hAnsi="Calibri"/>
                <w:b/>
                <w:color w:val="37474F"/>
                <w:sz w:val="19"/>
              </w:rPr>
              <w:t xml:space="preserve">Compliance and incident escalation: categories, ladder, and the Stillwater Pause</w:t>
            </w:r>
          </w:p>
          <w:p>
            <w:pPr>
              <w:spacing w:after="60" w:line="260" w:lineRule="auto"/>
              <w:jc w:val="center"/>
            </w:pPr>
            <w:r>
              <w:rPr>
                <w:rFonts w:ascii="Consolas" w:hAnsi="Consolas"/>
                <w:color w:val="212121"/>
                <w:sz w:val="18"/>
              </w:rPr>
              <w:t xml:space="preserve">Verified deviation (Convergence Standard)</w:t>
            </w:r>
          </w:p>
          <w:p>
            <w:pPr>
              <w:spacing w:after="60" w:line="260" w:lineRule="auto"/>
              <w:jc w:val="center"/>
            </w:pPr>
            <w:r>
              <w:rPr>
                <w:rFonts w:ascii="Consolas" w:hAnsi="Consolas"/>
                <w:color w:val="212121"/>
                <w:sz w:val="18"/>
              </w:rPr>
              <w:t xml:space="preserve">                 |</w:t>
            </w:r>
          </w:p>
          <w:p>
            <w:pPr>
              <w:spacing w:after="60" w:line="260" w:lineRule="auto"/>
              <w:jc w:val="center"/>
            </w:pPr>
            <w:r>
              <w:rPr>
                <w:rFonts w:ascii="Consolas" w:hAnsi="Consolas"/>
                <w:color w:val="212121"/>
                <w:sz w:val="18"/>
              </w:rPr>
              <w:t xml:space="preserve">   +-------------+-------------+--------------+</w:t>
            </w:r>
          </w:p>
          <w:p>
            <w:pPr>
              <w:spacing w:after="60" w:line="260" w:lineRule="auto"/>
              <w:jc w:val="center"/>
            </w:pPr>
            <w:r>
              <w:rPr>
                <w:rFonts w:ascii="Consolas" w:hAnsi="Consolas"/>
                <w:color w:val="212121"/>
                <w:sz w:val="18"/>
              </w:rPr>
              <w:t xml:space="preserve">   v                           v              v</w:t>
            </w:r>
          </w:p>
          <w:p>
            <w:pPr>
              <w:spacing w:after="60" w:line="260" w:lineRule="auto"/>
              <w:jc w:val="center"/>
            </w:pPr>
            <w:r>
              <w:rPr>
                <w:rFonts w:ascii="Consolas" w:hAnsi="Consolas"/>
                <w:color w:val="212121"/>
                <w:sz w:val="18"/>
              </w:rPr>
              <w:t xml:space="preserve">Operational              Material         Architectural</w:t>
            </w:r>
          </w:p>
          <w:p>
            <w:pPr>
              <w:spacing w:after="60" w:line="260" w:lineRule="auto"/>
              <w:jc w:val="center"/>
            </w:pPr>
            <w:r>
              <w:rPr>
                <w:rFonts w:ascii="Consolas" w:hAnsi="Consolas"/>
                <w:color w:val="212121"/>
                <w:sz w:val="18"/>
              </w:rPr>
              <w:t xml:space="preserve">Variation                Disruption       Breach</w:t>
            </w:r>
          </w:p>
          <w:p>
            <w:pPr>
              <w:spacing w:after="60" w:line="260" w:lineRule="auto"/>
              <w:jc w:val="center"/>
            </w:pPr>
            <w:r>
              <w:rPr>
                <w:rFonts w:ascii="Consolas" w:hAnsi="Consolas"/>
                <w:color w:val="212121"/>
                <w:sz w:val="18"/>
              </w:rPr>
              <w:t xml:space="preserve">   |                           |              |</w:t>
            </w:r>
          </w:p>
          <w:p>
            <w:pPr>
              <w:spacing w:after="60" w:line="260" w:lineRule="auto"/>
              <w:jc w:val="center"/>
            </w:pPr>
            <w:r>
              <w:rPr>
                <w:rFonts w:ascii="Consolas" w:hAnsi="Consolas"/>
                <w:color w:val="212121"/>
                <w:sz w:val="18"/>
              </w:rPr>
              <w:t xml:space="preserve">   v                           v              v</w:t>
            </w:r>
          </w:p>
          <w:p>
            <w:pPr>
              <w:spacing w:after="60" w:line="260" w:lineRule="auto"/>
              <w:jc w:val="center"/>
            </w:pPr>
            <w:r>
              <w:rPr>
                <w:rFonts w:ascii="Consolas" w:hAnsi="Consolas"/>
                <w:color w:val="212121"/>
                <w:sz w:val="18"/>
              </w:rPr>
              <w:t xml:space="preserve">Notice + cure            Ladder steps      Stillwater Pause</w:t>
            </w:r>
          </w:p>
          <w:p>
            <w:pPr>
              <w:spacing w:after="60" w:line="260" w:lineRule="auto"/>
              <w:jc w:val="center"/>
            </w:pPr>
            <w:r>
              <w:rPr>
                <w:rFonts w:ascii="Consolas" w:hAnsi="Consolas"/>
                <w:color w:val="212121"/>
                <w:sz w:val="18"/>
              </w:rPr>
              <w:t xml:space="preserve">7 days, closes           1-5, each with   72 h; Panel in 48 h;</w:t>
            </w:r>
          </w:p>
          <w:p>
            <w:pPr>
              <w:spacing w:after="60" w:line="260" w:lineRule="auto"/>
              <w:jc w:val="center"/>
            </w:pPr>
            <w:r>
              <w:rPr>
                <w:rFonts w:ascii="Consolas" w:hAnsi="Consolas"/>
                <w:color w:val="212121"/>
                <w:sz w:val="18"/>
              </w:rPr>
              <w:t xml:space="preserve">on cure                  earn-back         core flows never pause</w:t>
            </w:r>
          </w:p>
          <w:p>
            <w:pPr>
              <w:spacing w:after="60" w:line="260" w:lineRule="auto"/>
              <w:jc w:val="center"/>
            </w:pPr>
            <w:r>
              <w:rPr>
                <w:rFonts w:ascii="Consolas" w:hAnsi="Consolas"/>
                <w:color w:val="212121"/>
                <w:sz w:val="18"/>
              </w:rPr>
              <w:t xml:space="preserve">   |                           |              |</w:t>
            </w:r>
          </w:p>
          <w:p>
            <w:pPr>
              <w:spacing w:after="60" w:line="260" w:lineRule="auto"/>
              <w:jc w:val="center"/>
            </w:pPr>
            <w:r>
              <w:rPr>
                <w:rFonts w:ascii="Consolas" w:hAnsi="Consolas"/>
                <w:color w:val="212121"/>
                <w:sz w:val="18"/>
              </w:rPr>
              <w:t xml:space="preserve">   +-------------+-------------+--------------+</w:t>
            </w:r>
          </w:p>
          <w:p>
            <w:pPr>
              <w:spacing w:after="60" w:line="260" w:lineRule="auto"/>
              <w:jc w:val="center"/>
            </w:pPr>
            <w:r>
              <w:rPr>
                <w:rFonts w:ascii="Consolas" w:hAnsi="Consolas"/>
                <w:color w:val="212121"/>
                <w:sz w:val="18"/>
              </w:rPr>
              <w:t xml:space="preserve">                 v</w:t>
            </w:r>
          </w:p>
          <w:p>
            <w:pPr>
              <w:spacing w:after="60" w:line="260" w:lineRule="auto"/>
              <w:jc w:val="center"/>
            </w:pPr>
            <w:r>
              <w:rPr>
                <w:rFonts w:ascii="Consolas" w:hAnsi="Consolas"/>
                <w:color w:val="212121"/>
                <w:sz w:val="18"/>
              </w:rPr>
              <w:t xml:space="preserve">     Restoration automatic on verified cure;</w:t>
            </w:r>
          </w:p>
          <w:p>
            <w:pPr>
              <w:spacing w:after="60" w:line="260" w:lineRule="auto"/>
              <w:jc w:val="center"/>
            </w:pPr>
            <w:r>
              <w:rPr>
                <w:rFonts w:ascii="Consolas" w:hAnsi="Consolas"/>
                <w:color w:val="212121"/>
                <w:sz w:val="18"/>
              </w:rPr>
              <w:t xml:space="preserve">     performance banks in the Ledger (Nofade)</w:t>
            </w:r>
          </w:p>
        </w:tc>
      </w:tr>
    </w:tbl>
    <w:p>
      <w:pPr/>
      <w:r>
        <w:t xml:space="preserve">Classification rests on verified facts. The Neutral Keel Office proposes, the Technical Committee confirms facts, and the Council or the Panel classifies. A Party subject to a proposed classification sees the full evidence file and answers before classification, within 72 hours.</w:t>
      </w:r>
    </w:p>
    <w:p>
      <w:pPr>
        <w:pBdr>
          <w:left w:val="single" w:color="B0BEC5" w:sz="8" w:space="6"/>
        </w:pBdr>
        <w:spacing w:before="40" w:after="120"/>
        <w:ind w:left="360"/>
      </w:pPr>
      <w:r>
        <w:rPr>
          <w:rFonts w:ascii="Calibri" w:hAnsi="Calibri"/>
          <w:i/>
          <w:color w:val="78909C"/>
          <w:sz w:val="18"/>
        </w:rPr>
        <w:t xml:space="preserve">See also Articles 32 and 33, and Annexes D and E.</w:t>
      </w:r>
    </w:p>
    <w:p>
      <w:pPr>
        <w:pStyle w:val="Heading3"/>
      </w:pPr>
      <w:r>
        <w:t xml:space="preserve">31.2 The graduated response ladder</w:t>
      </w:r>
    </w:p>
    <w:p>
      <w:pPr/>
      <w:r>
        <w:t xml:space="preserve">Consequences rise in defined steps, each proportionate, each reversible, none touching the humanitarian absolute:</w:t>
      </w:r>
    </w:p>
    <w:p>
      <w:pPr>
        <w:ind w:left="360"/>
      </w:pPr>
      <w:r>
        <w:t xml:space="preserve">1. Step one: formal notice and cure window of 7 days.</w:t>
      </w:r>
    </w:p>
    <w:p>
      <w:pPr>
        <w:ind w:left="360"/>
      </w:pPr>
      <w:r>
        <w:t xml:space="preserve">2. Step two: publication of the deviation in the Bulletin and the performance digest, with the evidence file attached.</w:t>
      </w:r>
    </w:p>
    <w:p>
      <w:pPr>
        <w:ind w:left="360"/>
      </w:pPr>
      <w:r>
        <w:t xml:space="preserve">3. Step three: suspension of the quality premium and of new service certifications for the responsible Party, for a stated period of 30 days.</w:t>
      </w:r>
    </w:p>
    <w:p>
      <w:pPr>
        <w:ind w:left="360"/>
      </w:pPr>
      <w:r>
        <w:t xml:space="preserve">4. Step four: step-back of standing by one level in the Reciprocity Ledger of Article 33, with earn-back available immediately.</w:t>
      </w:r>
    </w:p>
    <w:p>
      <w:pPr>
        <w:ind w:left="360"/>
      </w:pPr>
      <w:r>
        <w:t xml:space="preserve">5. Step five: referral to the facilitation tier of Article 35.2 with a published case file.</w:t>
      </w:r>
    </w:p>
    <w:p>
      <w:pPr/>
      <w:r>
        <w:t xml:space="preserve">The ladder climbs one step at a time. A step takes effect only where the prior step failed to cure. The ladder never jumps steps except for an Architectural Breach event, which starts at the Stillwater Pause.</w:t>
      </w:r>
    </w:p>
    <w:p>
      <w:pPr>
        <w:pStyle w:val="Heading3"/>
      </w:pPr>
      <w:r>
        <w:t xml:space="preserve">31.3 Earn-back and restoration</w:t>
      </w:r>
    </w:p>
    <w:p>
      <w:pPr/>
      <w:r>
        <w:t xml:space="preserve">Every step carries a defined earn-back: cure plus 30 days of verified clean operation restores step three suspensions; cure plus one quarter restores a step-back of standing; cure plus certification restores every publication flag to a cured marker. Restoration is automatic on verified cure. No organ holds discretion to delay it, and the Bulletin announces every restoration with the same prominence as the deviation.</w:t>
      </w:r>
    </w:p>
    <w:p>
      <w:pPr>
        <w:pStyle w:val="Heading3"/>
      </w:pPr>
      <w:r>
        <w:t xml:space="preserve">31.4 The humanitarian firewall</w:t>
      </w:r>
    </w:p>
    <w:p>
      <w:pPr/>
      <w:r>
        <w:t xml:space="preserve">No step of the ladder, no classification, no dispute, and no pause touches: humanitarian transit; search and rescue; distress response; the Neutral Keel Office's funding and access; the Fund's liquidity reserve; or the publication of the Bulletin. These flows run in every state of the Accord, including a Party's suspension or withdrawal, forever.</w:t>
      </w:r>
    </w:p>
    <w:p>
      <w:pPr>
        <w:pStyle w:val="Heading3"/>
      </w:pPr>
      <w:r>
        <w:t xml:space="preserve">31.5 The Performance Reserve</w:t>
      </w:r>
    </w:p>
    <w:p>
      <w:pPr/>
      <w:r>
        <w:t xml:space="preserve">The Ledger records over-compliance: services delivered above roster, early hazard declarations, patrol invitations beyond schedule, observer embarkations beyond rota. Over-compliance banks as a Performance Reserve, and a Party in a step-back draws on its Reserve to accelerate restoration. The Reserve never expires, per the Nofade Guarantee, and it converts good behavior into a tangible asset that bad weeks never erase.</w:t>
      </w:r>
    </w:p>
    <w:p>
      <w:pPr>
        <w:pStyle w:val="Heading3"/>
      </w:pPr>
      <w:r>
        <w:t xml:space="preserve">31.6 No snapback</w:t>
      </w:r>
    </w:p>
    <w:p>
      <w:pPr/>
      <w:r>
        <w:t xml:space="preserve">The Accord contains no mechanism that restores a prior state of hostility, tolls, or interdiction in one move. The architecture replaces snapback with the ladder and the Pause: consequences arrive graduated, announced, and reversible, and the core constraints of Part II survive every dispute, because the core constraints are the product the Accord sells to the world.</w:t>
      </w:r>
    </w:p>
    <w:p>
      <w:pPr>
        <w:pStyle w:val="Heading3"/>
      </w:pPr>
      <w:r>
        <w:t xml:space="preserve">31.7 The Good Faith Reset</w:t>
      </w:r>
    </w:p>
    <w:p>
      <w:pPr/>
      <w:r>
        <w:t xml:space="preserve">At each annual review conference, the Council, on any Party's request and absent a live Architectural Breach event, declares a Good Faith Reset: operational ledgers clear, cured markers archive, and standings reset to their banked level. The Reset forgives operationally and forgets nothing: the archive of Article 4.6 persists untouched.</w:t>
      </w:r>
    </w:p>
    <w:p>
      <w:pPr>
        <w:pStyle w:val="Heading3"/>
      </w:pPr>
      <w:r>
        <w:t xml:space="preserve">31.8 The anti-cascade firewall</w:t>
      </w:r>
    </w:p>
    <w:p>
      <w:pPr/>
      <w:r>
        <w:t xml:space="preserve">A failure in one module of the Accord stays in its module. A financial dispute never suspends a safety service; a safety incident never suspends the Fund; a political dispute never suspends the Bulletin. Spillover between modules occurs only where the Council certifies, on the Technical Committee's findings and through the Twin Key Rule, that the failure in one module materially prevents the operation of another. The certification publishes with reasons, and the Guarantor Panel reviews it within 7 days on any Party's call.</w:t>
      </w:r>
    </w:p>
    <w:p>
      <w:pPr>
        <w:pStyle w:val="Heading3"/>
      </w:pPr>
      <w:r>
        <w:t xml:space="preserve">31.9 The Humanitarian Surge</w:t>
      </w:r>
    </w:p>
    <w:p>
      <w:pPr/>
      <w:r>
        <w:t xml:space="preserve">Where an Architectural Breach event damages civilian infrastructure, the Transit Services Fund automatically releases a Humanitarian Surge of up to 10 percent of its liquidity reserve for the affected civilian populations. The Neutral Keel Office administers the release jointly with established humanitarian agencies, under the audit rules of Article 25, and publishes the disbursement record within 30 days. The Surge operates in every state of the Accord, including a pause, a suspension, or a withdrawal, and no organ delays, conditions, or redirects it. The liquidity reserve replenishes from the next endowment inflows, and the replenishment schedule publishes with the disbursement record.</w:t>
      </w:r>
    </w:p>
    <w:p>
      <w:pPr>
        <w:pStyle w:val="Heading2"/>
      </w:pPr>
      <w:r>
        <w:t xml:space="preserve">Article 32: The Stillwater Pause</w:t>
      </w:r>
    </w:p>
    <w:p>
      <w:pPr>
        <w:pStyle w:val="Heading3"/>
      </w:pPr>
      <w:r>
        <w:t xml:space="preserve">32.1 The mechanism</w:t>
      </w:r>
    </w:p>
    <w:p>
      <w:pPr/>
      <w:r>
        <w:t xml:space="preserve">The Stillwater Pause is the Accord's namesake and its automatic circuit-breaker. Where an Architectural Breach event is classified, or a Party invokes a Red Line Consultation under Article 6.5, or the Guarantor Panel calls for one, the Pause activates immediately and runs for 72 hours, extendable once for a further 72 hours by the Panel.</w:t>
      </w:r>
    </w:p>
    <w:p>
      <w:pPr>
        <w:pStyle w:val="Heading3"/>
      </w:pPr>
      <w:r>
        <w:t xml:space="preserve">32.2 What pauses</w:t>
      </w:r>
    </w:p>
    <w:p>
      <w:pPr/>
      <w:r>
        <w:t xml:space="preserve">During the Pause: the disputed mechanism freezes in its pre-event state; the ladder holds its current step; no new consequence takes effect; notifications, acknowledgments, and traffic continue under the standing rules; and the Council and the Panel meet in continuous session until resolution. The Pause creates the space for judgment to catch up with events.</w:t>
      </w:r>
    </w:p>
    <w:p>
      <w:pPr>
        <w:pStyle w:val="Heading3"/>
      </w:pPr>
      <w:r>
        <w:t xml:space="preserve">32.3 What never pauses</w:t>
      </w:r>
    </w:p>
    <w:p>
      <w:pPr/>
      <w:r>
        <w:t xml:space="preserve">The Pause never touches: transit in either corridor; the Zero-Toll Rule; the Non-Interdiction Protocol; humanitarian traffic; search and rescue and distress response; the Bulletin's publication; the Neutral Keel Office's operations and funding; or the Fund's institutional first call. The water stays open while the politics talks. That is the whole point of the design: in still water, nobody drowns while the swimmers argue.</w:t>
      </w:r>
    </w:p>
    <w:p>
      <w:pPr>
        <w:pStyle w:val="Heading3"/>
      </w:pPr>
      <w:r>
        <w:t xml:space="preserve">32.4 Exit from the Pause</w:t>
      </w:r>
    </w:p>
    <w:p>
      <w:pPr/>
      <w:r>
        <w:t xml:space="preserve">The Pause ends on the earliest of: a resolution recorded by the Council; a Panel determination; or expiry of the second 72-hour period, whereupon the matter moves automatically to the facilitation tier of Article 35.2 with the full record. Exit from a Pause never requires consensus: the architecture prefers motion to veto, and the record carries every position forward.</w:t>
      </w:r>
    </w:p>
    <w:p>
      <w:pPr>
        <w:pStyle w:val="Heading2"/>
      </w:pPr>
      <w:r>
        <w:t xml:space="preserve">Article 33: The Reciprocity Ledger and Standing Levels</w:t>
      </w:r>
    </w:p>
    <w:p>
      <w:pPr>
        <w:pStyle w:val="Heading3"/>
      </w:pPr>
      <w:r>
        <w:t xml:space="preserve">33.1 The Ledger</w:t>
      </w:r>
    </w:p>
    <w:p>
      <w:pPr/>
      <w:r>
        <w:t xml:space="preserve">The Reciprocity Ledger is the Accord's memory of performance. The Administrator maintains it; the Neutral Keel Office audits it; the Bulletin summarizes it monthly. The Ledger records, for each Party: service delivery against roster; notification-desk latency; patrol and observer cooperation; audit outcomes; deviations and cures; and the Performance Reserve of Article 31.5.</w:t>
      </w:r>
    </w:p>
    <w:p>
      <w:pPr>
        <w:pStyle w:val="Heading3"/>
      </w:pPr>
      <w:r>
        <w:t xml:space="preserve">33.2 Standing levels</w:t>
      </w:r>
    </w:p>
    <w:p>
      <w:pPr/>
      <w:r>
        <w:t xml:space="preserve">Each Party holds a standing on a published scale: Anchor (highest), Steady, Watch, and Step-back. Standing derives mechanically from the Ledger's trailing four quarters, per the formula of Annex E. Standing affects discretionary benefits: rate premium eligibility, chair priority, exercise leadership slots, and first call on capacity-building programs. Standing never affects rights: passage, notification acknowledgment, verification access, and the humanitarian flows remain identical at every standing.</w:t>
      </w:r>
    </w:p>
    <w:p>
      <w:pPr>
        <w:pStyle w:val="Heading3"/>
      </w:pPr>
      <w:r>
        <w:t xml:space="preserve">33.3 Publication</w:t>
      </w:r>
    </w:p>
    <w:p>
      <w:pPr/>
      <w:r>
        <w:t xml:space="preserve">The Ledger publishes quarterly. Every Party sees every Party's record, and the market sees the summary. The Accord trusts sunlight to do the work that sanctions never could: a public ledger of who delivers, quarter after quarter, in the world's most watched waterway.</w:t>
      </w:r>
    </w:p>
    <w:p>
      <w:pPr>
        <w:pStyle w:val="Heading2"/>
      </w:pPr>
      <w:r>
        <w:t xml:space="preserve">Article 34: Substantiated Claims and the Performance Bond</w:t>
      </w:r>
    </w:p>
    <w:p>
      <w:pPr>
        <w:pStyle w:val="Heading3"/>
      </w:pPr>
      <w:r>
        <w:t xml:space="preserve">34.1 The claim standard</w:t>
      </w:r>
    </w:p>
    <w:p>
      <w:pPr/>
      <w:r>
        <w:t xml:space="preserve">A Party advancing a claim of non-compliance files a substantiated claim: a written statement of the facts, the evidence, the provision engaged, and the remedy sought, filed with the Administrator and served on the responding Party. An unsubstantiated public accusation outside the claim process enters the claimant's own Ledger record as a conduct note.</w:t>
      </w:r>
    </w:p>
    <w:p>
      <w:pPr>
        <w:pStyle w:val="Heading3"/>
      </w:pPr>
      <w:r>
        <w:t xml:space="preserve">34.2 The Performance Bond</w:t>
      </w:r>
    </w:p>
    <w:p>
      <w:pPr/>
      <w:r>
        <w:t xml:space="preserve">Each Littoral Party posts a performance bond of 2 percent of its endowment contribution, held by the Neutral Administrator in escrow. A substantiated claim that fails at final determination draws a charge of 10 percent of the claim amount against the claimant's bond, paid to the responding Party's service account. A charge against the bond never exceeds 25 percent of the posting Party's total bond obligation. A claim of less than 1 percent of the claiming Party's annual endowment contribution stands exempt from the bond penalty, so that the bond never becomes a weapon for frivolous, low-value accusations. A claim that succeeds charges nothing. The bond disciplines the accusation economy: evidence costs nothing, noise costs a little, and the system prices the difference.</w:t>
      </w:r>
    </w:p>
    <w:p>
      <w:pPr>
        <w:pStyle w:val="Heading3"/>
      </w:pPr>
      <w:r>
        <w:t xml:space="preserve">34.3 Determination</w:t>
      </w:r>
    </w:p>
    <w:p>
      <w:pPr/>
      <w:r>
        <w:t xml:space="preserve">Claims travel the dispute tiers of Article 35. Facts bind through the independent technical referee where the claim turns on technical questions. Remedies follow the ladder of Article 31, never damages beyond restitution and bond charges, because the Accord repairs performance rather than monetizing blame.</w:t>
      </w:r>
    </w:p>
    <w:p>
      <w:pPr>
        <w:pStyle w:val="Heading3"/>
      </w:pPr>
      <w:r>
        <w:t xml:space="preserve">34.4 The attribution discipline</w:t>
      </w:r>
    </w:p>
    <w:p>
      <w:pPr/>
      <w:r>
        <w:t xml:space="preserve">Security-incident attributions follow Article 27.8's substantiation duty inside the claim framework: the claiming Party files evidence within 72 hours, the Neutral Keel Office assesses convergence within 7 days, and the record distinguishes assertion, assessment, and established fact at every stage.</w:t>
      </w:r>
    </w:p>
    <w:p>
      <w:pPr>
        <w:pStyle w:val="Heading2"/>
      </w:pPr>
      <w:r>
        <w:t xml:space="preserve">Article 35: Dispute Resolution</w:t>
      </w:r>
    </w:p>
    <w:p>
      <w:pPr>
        <w:pStyle w:val="Heading3"/>
      </w:pPr>
      <w:r>
        <w:t xml:space="preserve">35.1 The tiered structure</w:t>
      </w:r>
    </w:p>
    <w:tbl>
      <w:tblPr>
        <w:tblW w:w="5000" w:type="pct"/>
        <w:tblBorders>
          <w:top w:val="single" w:color="B0BEC5" w:sz="4"/>
          <w:left w:val="single" w:color="B0BEC5" w:sz="4"/>
          <w:bottom w:val="single" w:color="B0BEC5" w:sz="4"/>
          <w:right w:val="single" w:color="B0BEC5" w:sz="4"/>
        </w:tblBorders>
        <w:tblCellMar>
          <w:top w:w="120" w:type="dxa"/>
          <w:left w:w="200" w:type="dxa"/>
          <w:bottom w:w="120" w:type="dxa"/>
          <w:right w:w="200" w:type="dxa"/>
        </w:tblCellMar>
      </w:tblPr>
      <w:tblGrid>
        <w:gridCol w:w="9010"/>
      </w:tblGrid>
      <w:tr>
        <w:tc>
          <w:tcPr>
            <w:tcW w:w="9010" w:type="dxa"/>
            <w:shd w:val="clear" w:fill="F4F6F7"/>
          </w:tcPr>
          <w:p>
            <w:pPr>
              <w:spacing w:after="120"/>
              <w:jc w:val="center"/>
            </w:pPr>
            <w:r>
              <w:rPr>
                <w:rFonts w:ascii="Calibri" w:hAnsi="Calibri"/>
                <w:b/>
                <w:color w:val="37474F"/>
                <w:sz w:val="19"/>
              </w:rPr>
              <w:t xml:space="preserve">Dispute resolution flow: four tiers with clocks</w:t>
            </w:r>
          </w:p>
          <w:p>
            <w:pPr>
              <w:spacing w:after="60" w:line="260" w:lineRule="auto"/>
              <w:jc w:val="center"/>
            </w:pPr>
            <w:r>
              <w:rPr>
                <w:rFonts w:ascii="Consolas" w:hAnsi="Consolas"/>
                <w:color w:val="212121"/>
                <w:sz w:val="18"/>
              </w:rPr>
              <w:t xml:space="preserve">Tier 1: working level, paired officers, 72 h</w:t>
            </w:r>
          </w:p>
          <w:p>
            <w:pPr>
              <w:spacing w:after="60" w:line="260" w:lineRule="auto"/>
              <w:jc w:val="center"/>
            </w:pPr>
            <w:r>
              <w:rPr>
                <w:rFonts w:ascii="Consolas" w:hAnsi="Consolas"/>
                <w:color w:val="212121"/>
                <w:sz w:val="18"/>
              </w:rPr>
              <w:t xml:space="preserve">                 | unresolved</w:t>
            </w:r>
          </w:p>
          <w:p>
            <w:pPr>
              <w:spacing w:after="60" w:line="260" w:lineRule="auto"/>
              <w:jc w:val="center"/>
            </w:pPr>
            <w:r>
              <w:rPr>
                <w:rFonts w:ascii="Consolas" w:hAnsi="Consolas"/>
                <w:color w:val="212121"/>
                <w:sz w:val="18"/>
              </w:rPr>
              <w:t xml:space="preserve">                 v</w:t>
            </w:r>
          </w:p>
          <w:p>
            <w:pPr>
              <w:spacing w:after="60" w:line="260" w:lineRule="auto"/>
              <w:jc w:val="center"/>
            </w:pPr>
            <w:r>
              <w:rPr>
                <w:rFonts w:ascii="Consolas" w:hAnsi="Consolas"/>
                <w:color w:val="212121"/>
                <w:sz w:val="18"/>
              </w:rPr>
              <w:t xml:space="preserve">Tier 2: facilitation, Mediator of Record, 21 days</w:t>
            </w:r>
          </w:p>
          <w:p>
            <w:pPr>
              <w:spacing w:after="60" w:line="260" w:lineRule="auto"/>
              <w:jc w:val="center"/>
            </w:pPr>
            <w:r>
              <w:rPr>
                <w:rFonts w:ascii="Consolas" w:hAnsi="Consolas"/>
                <w:color w:val="212121"/>
                <w:sz w:val="18"/>
              </w:rPr>
              <w:t xml:space="preserve">                 | unresolved</w:t>
            </w:r>
          </w:p>
          <w:p>
            <w:pPr>
              <w:spacing w:after="60" w:line="260" w:lineRule="auto"/>
              <w:jc w:val="center"/>
            </w:pPr>
            <w:r>
              <w:rPr>
                <w:rFonts w:ascii="Consolas" w:hAnsi="Consolas"/>
                <w:color w:val="212121"/>
                <w:sz w:val="18"/>
              </w:rPr>
              <w:t xml:space="preserve">                 v</w:t>
            </w:r>
          </w:p>
          <w:p>
            <w:pPr>
              <w:spacing w:after="60" w:line="260" w:lineRule="auto"/>
              <w:jc w:val="center"/>
            </w:pPr>
            <w:r>
              <w:rPr>
                <w:rFonts w:ascii="Consolas" w:hAnsi="Consolas"/>
                <w:color w:val="212121"/>
                <w:sz w:val="18"/>
              </w:rPr>
              <w:t xml:space="preserve">Tier 3: technical referee binds the facts, 30 days</w:t>
            </w:r>
          </w:p>
          <w:p>
            <w:pPr>
              <w:spacing w:after="60" w:line="260" w:lineRule="auto"/>
              <w:jc w:val="center"/>
            </w:pPr>
            <w:r>
              <w:rPr>
                <w:rFonts w:ascii="Consolas" w:hAnsi="Consolas"/>
                <w:color w:val="212121"/>
                <w:sz w:val="18"/>
              </w:rPr>
              <w:t xml:space="preserve">                 | unresolved</w:t>
            </w:r>
          </w:p>
          <w:p>
            <w:pPr>
              <w:spacing w:after="60" w:line="260" w:lineRule="auto"/>
              <w:jc w:val="center"/>
            </w:pPr>
            <w:r>
              <w:rPr>
                <w:rFonts w:ascii="Consolas" w:hAnsi="Consolas"/>
                <w:color w:val="212121"/>
                <w:sz w:val="18"/>
              </w:rPr>
              <w:t xml:space="preserve">                 v</w:t>
            </w:r>
          </w:p>
          <w:p>
            <w:pPr>
              <w:spacing w:after="60" w:line="260" w:lineRule="auto"/>
              <w:jc w:val="center"/>
            </w:pPr>
            <w:r>
              <w:rPr>
                <w:rFonts w:ascii="Consolas" w:hAnsi="Consolas"/>
                <w:color w:val="212121"/>
                <w:sz w:val="18"/>
              </w:rPr>
              <w:t xml:space="preserve">Tier 4: PCA arbitration, binding award, 120 days</w:t>
            </w:r>
          </w:p>
          <w:p>
            <w:pPr>
              <w:spacing w:after="60" w:line="260" w:lineRule="auto"/>
              <w:jc w:val="center"/>
            </w:pPr>
            <w:r>
              <w:rPr>
                <w:rFonts w:ascii="Consolas" w:hAnsi="Consolas"/>
                <w:color w:val="212121"/>
                <w:sz w:val="18"/>
              </w:rPr>
              <w:t xml:space="preserve">                 |</w:t>
            </w:r>
          </w:p>
          <w:p>
            <w:pPr>
              <w:spacing w:after="60" w:line="260" w:lineRule="auto"/>
              <w:jc w:val="center"/>
            </w:pPr>
            <w:r>
              <w:rPr>
                <w:rFonts w:ascii="Consolas" w:hAnsi="Consolas"/>
                <w:color w:val="212121"/>
                <w:sz w:val="18"/>
              </w:rPr>
              <w:t xml:space="preserve">                 v</w:t>
            </w:r>
          </w:p>
          <w:p>
            <w:pPr>
              <w:spacing w:after="60" w:line="260" w:lineRule="auto"/>
              <w:jc w:val="center"/>
            </w:pPr>
            <w:r>
              <w:rPr>
                <w:rFonts w:ascii="Consolas" w:hAnsi="Consolas"/>
                <w:color w:val="212121"/>
                <w:sz w:val="18"/>
              </w:rPr>
              <w:t xml:space="preserve">Throughout: Escalation Cap holds; status quo ante;</w:t>
            </w:r>
          </w:p>
          <w:p>
            <w:pPr>
              <w:spacing w:after="60" w:line="260" w:lineRule="auto"/>
              <w:jc w:val="center"/>
            </w:pPr>
            <w:r>
              <w:rPr>
                <w:rFonts w:ascii="Consolas" w:hAnsi="Consolas"/>
                <w:color w:val="212121"/>
                <w:sz w:val="18"/>
              </w:rPr>
              <w:t xml:space="preserve">corridors, Bulletin, and Fund never stop (Art. 35.4)</w:t>
            </w:r>
          </w:p>
        </w:tc>
      </w:tr>
    </w:tbl>
    <w:p>
      <w:pPr/>
      <w:r>
        <w:t xml:space="preserve">Disputes travel four tiers, in sequence, with defined clocks at each tier:</w:t>
      </w:r>
    </w:p>
    <w:p>
      <w:pPr>
        <w:ind w:left="360"/>
      </w:pPr>
      <w:r>
        <w:t xml:space="preserve">1. Tier one, working level: the paired officers at the Center resolve operational disagreements within 72 hours, on the record.</w:t>
      </w:r>
    </w:p>
    <w:p>
      <w:pPr>
        <w:ind w:left="360"/>
      </w:pPr>
      <w:r>
        <w:t xml:space="preserve">2. Tier two, facilitation: the Mediator of Record facilitates within 21 days, with the Neutral Administrator's good offices, at Muscat or by secure bridge.</w:t>
      </w:r>
    </w:p>
    <w:p>
      <w:pPr>
        <w:ind w:left="360"/>
      </w:pPr>
      <w:r>
        <w:t xml:space="preserve">3. Tier three, technical arbitration: technical questions bind through the independent technical referee of Article 35.3 within 30 days.</w:t>
      </w:r>
    </w:p>
    <w:p>
      <w:pPr>
        <w:ind w:left="360"/>
      </w:pPr>
      <w:r>
        <w:t xml:space="preserve">4. Tier four, arbitration: any dispute unresolved at tiers one through three proceeds to arbitration under the Permanent Court of Arbitration's rules, three arbitrators, seat at The Hague or Geneva, award within 120 days of constitution, binding on the Parties.</w:t>
      </w:r>
    </w:p>
    <w:p>
      <w:pPr>
        <w:pStyle w:val="Heading3"/>
      </w:pPr>
      <w:r>
        <w:t xml:space="preserve">35.2 The facilitation tier in detail</w:t>
      </w:r>
    </w:p>
    <w:p>
      <w:pPr/>
      <w:r>
        <w:t xml:space="preserve">The facilitation tier carries the Accord's political weight. The Mediator of Record convenes the disputing Parties, proposes bases of settlement, and records outcomes in the registry. A facilitation that reaches settlement produces a recorded minute binding on the Parties as a Council decision. A facilitation that fails produces a case file for tier four, so that failure costs time but never produces vacuum.</w:t>
      </w:r>
    </w:p>
    <w:p>
      <w:pPr>
        <w:pStyle w:val="Heading3"/>
      </w:pPr>
      <w:r>
        <w:t xml:space="preserve">35.3 The independent technical referee</w:t>
      </w:r>
    </w:p>
    <w:p>
      <w:pPr/>
      <w:r>
        <w:t xml:space="preserve">The Council appoints a panel of five independent technical referees, International Maritime Organization-nominated experts in hydrography, vessel traffic services, marine insurance, and maritime law, serving three-year terms. A technical question travels to a referee drawn by lot. The referee's fact findings bind all Parties and organs. The referee decides no policy and awards no remedy; the ladder handles remedies on the referee's facts.</w:t>
      </w:r>
    </w:p>
    <w:p>
      <w:pPr>
        <w:pBdr>
          <w:left w:val="single" w:color="B0BEC5" w:sz="8" w:space="6"/>
        </w:pBdr>
        <w:spacing w:before="40" w:after="120"/>
        <w:ind w:left="360"/>
      </w:pPr>
      <w:r>
        <w:rPr>
          <w:rFonts w:ascii="Calibri" w:hAnsi="Calibri"/>
          <w:i/>
          <w:color w:val="78909C"/>
          <w:sz w:val="18"/>
        </w:rPr>
        <w:t xml:space="preserve">See also Articles 32 and 36, and Annex P.</w:t>
      </w:r>
    </w:p>
    <w:p>
      <w:pPr>
        <w:pStyle w:val="Heading3"/>
      </w:pPr>
      <w:r>
        <w:t xml:space="preserve">35.4 The Escalation Cap and the silence clause</w:t>
      </w:r>
    </w:p>
    <w:p>
      <w:pPr/>
      <w:r>
        <w:t xml:space="preserve">While any tier runs, the status quo ante holds. The Escalation Cap binds every Party for the duration of every tier of the dispute resolution process: no Party deploys additional strike aircraft, missile systems, or naval combatants into the Gulf theater, no consequence advances on the ladder, and the Pause rules apply to any Architectural Breach dimension. The Escalation Cap lifts automatically 72 hours after the final determination, and the Neutral Keel Office verifies and publishes each lift. The silence clause preserves operations through every dispute: the corridors run, the Bulletin publishes, the Fund pays verified services, and the world reads calm water even while lawyers argue.</w:t>
      </w:r>
    </w:p>
    <w:p>
      <w:pPr>
        <w:pStyle w:val="Heading3"/>
      </w:pPr>
      <w:r>
        <w:t xml:space="preserve">35.5 Interim measures</w:t>
      </w:r>
    </w:p>
    <w:p>
      <w:pPr/>
      <w:r>
        <w:t xml:space="preserve">An arbitral tribunal under tier four orders interim measures where a Party shows irreparable harm, and the Parties honor such measures as binding. The tribunal's measures never suspend transit, tolls' exclusion, or humanitarian flows, per the protected core of Article 36.</w:t>
      </w:r>
    </w:p>
    <w:p>
      <w:pPr>
        <w:pStyle w:val="Heading2"/>
      </w:pPr>
      <w:r>
        <w:t xml:space="preserve">Article 36: The Protection Covenant</w:t>
      </w:r>
    </w:p>
    <w:p>
      <w:pPr>
        <w:pStyle w:val="Heading3"/>
      </w:pPr>
      <w:r>
        <w:t xml:space="preserve">36.1 The protected core</w:t>
      </w:r>
    </w:p>
    <w:p>
      <w:pPr/>
      <w:r>
        <w:t xml:space="preserve">Certain provisions form the protected core of this Accord: the Zero-Toll Rule; the Non-Interdiction Protocol; the humanitarian absolute and the humanitarian firewall; the Nofade Guarantee; the Stillwater Pause's protected flows; the sanctions-compliance firewall; the distress-priority rule; and the Red Lines Register. The protected core is non-derogable: no classification, ladder step, pause, suspension, dispute outcome, arbitral award, or amendment dilutes it, and an amendment touching the protected core takes effect only by consensus of all Littoral Parties plus ratification by each, per Article 39.2.</w:t>
      </w:r>
    </w:p>
    <w:p>
      <w:pPr>
        <w:pStyle w:val="Heading3"/>
      </w:pPr>
      <w:r>
        <w:t xml:space="preserve">36.2 Non-severability of safeguards</w:t>
      </w:r>
    </w:p>
    <w:p>
      <w:pPr/>
      <w:r>
        <w:t xml:space="preserve">The protected core operates as one fabric. An act that strips, bypasses, or hollows out any element of the core while invoking this Accord is void from inception: it produces no legal effect, binds no Party, and triggers the Stillwater Pause automatically on any Party's notice. The Accord's safeguards exist as a set because each protects the others: a toll justified by a security claim, an interdiction justified by an audit, a blackout justified by a dispute, each kills the whole, and the Covenant treats each accordingly.</w:t>
      </w:r>
    </w:p>
    <w:p>
      <w:pPr>
        <w:pStyle w:val="Heading3"/>
      </w:pPr>
      <w:r>
        <w:t xml:space="preserve">36.3 Declarations of intent</w:t>
      </w:r>
    </w:p>
    <w:p>
      <w:pPr/>
      <w:r>
        <w:t xml:space="preserve">At signature, each Party deposits a public declaration of intent stating that it enters this Accord to keep the Strait open, toll-free, safe, and multilaterally governed, and that it invokes the Accord's mechanisms for those purposes alone. The depositary publishes the declarations with the instrument. An invocation of any mechanism for a purpose demonstrably foreign to the declared purposes is void, and repeated foreign-purpose invocation engages the emergency oversight of Article 36.4.</w:t>
      </w:r>
    </w:p>
    <w:p>
      <w:pPr>
        <w:pStyle w:val="Heading3"/>
      </w:pPr>
      <w:r>
        <w:t xml:space="preserve">36.4 Emergency oversight</w:t>
      </w:r>
    </w:p>
    <w:p>
      <w:pPr/>
      <w:r>
        <w:t xml:space="preserve">Where the Guarantor Panel finds, by a vote of five of its six members including the Neutral Administrator, that a participant systematically invokes the Accord's mechanisms contrary to its declared purposes, the Panel suspends that participant's invocation rights for 90 days and refers the pattern to the Independent Assurance Council and, at the participant's election, to arbitration under Article 35.4. During the suspension, every protection of the Accord continues to run in the suspended participant's favor: oversight restrains the misuse of machinery, never the delivery of safety. The suspension restores automatically at 90 days absent a confirming arbitral award.</w:t>
      </w:r>
    </w:p>
    <w:p>
      <w:pPr>
        <w:pStyle w:val="Heading3"/>
      </w:pPr>
      <w:r>
        <w:t xml:space="preserve">36.5 The integrity review</w:t>
      </w:r>
    </w:p>
    <w:p>
      <w:pPr/>
      <w:r>
        <w:t xml:space="preserve">The Independent Assurance Council conducts an annual integrity review of the protected core: it tests the year's measures, classifications, pauses, and invocations against the Covenant, and publishes its findings. The review stands as the Accord's conscience on the public record, and the Council answers each finding within 60 days.</w:t>
      </w:r>
    </w:p>
    <w:tbl>
      <w:tblPr>
        <w:tblW w:w="5000" w:type="pct"/>
        <w:tblBorders>
          <w:top w:val="single" w:color="B0BEC5" w:sz="2"/>
          <w:left w:val="single" w:color="37474F" w:sz="18"/>
          <w:bottom w:val="single" w:color="B0BEC5" w:sz="2"/>
          <w:right w:val="single" w:color="B0BEC5" w:sz="2"/>
        </w:tblBorders>
        <w:tblCellMar>
          <w:top w:w="140" w:type="dxa"/>
          <w:left w:w="200" w:type="dxa"/>
          <w:bottom w:w="140" w:type="dxa"/>
          <w:right w:w="160" w:type="dxa"/>
        </w:tblCellMar>
      </w:tblPr>
      <w:tblGrid>
        <w:gridCol w:w="9010"/>
      </w:tblGrid>
      <w:tr>
        <w:tc>
          <w:tcPr>
            <w:tcW w:w="9010" w:type="dxa"/>
            <w:shd w:val="clear" w:fill="ECEFF1"/>
          </w:tcPr>
          <w:p>
            <w:pPr>
              <w:spacing w:after="0" w:line="300" w:lineRule="auto"/>
            </w:pPr>
            <w:r>
              <w:rPr>
                <w:i/>
              </w:rPr>
              <w:t xml:space="preserve">Design rationale for the compliance engine. The Parties reject snapback mechanics because snapback kills agreements: binary enforcement produces binary outcomes, and the first serious breach ends the instrument. The graduated ladder, the automatic earn-back, the Performance Reserve, and the Stillwater Pause convert every breach from an existential event into an administrative one. The design assumes that Parties deviate, and it prices deviation low enough to survive and high enough to matter, so that the architecture outlasts the behavior it governs.</w:t>
            </w:r>
          </w:p>
        </w:tc>
      </w:tr>
    </w:tbl>
    <w:p>
      <w:pPr>
        <w:pStyle w:val="Heading1"/>
      </w:pPr>
      <w:r>
        <w:t xml:space="preserve">Part VII: Continuity, Resilience, Accession, and Final Provisions</w:t>
      </w:r>
    </w:p>
    <w:p>
      <w:pPr>
        <w:pStyle w:val="Heading2"/>
      </w:pPr>
      <w:r>
        <w:t xml:space="preserve">Article 37: Phased Activation and Implementation</w:t>
      </w:r>
    </w:p>
    <w:p>
      <w:pPr>
        <w:pStyle w:val="Heading3"/>
      </w:pPr>
      <w:r>
        <w:t xml:space="preserve">37.1 The activation phases</w:t>
      </w:r>
    </w:p>
    <w:p>
      <w:pPr/>
      <w:r>
        <w:t xml:space="preserve">The Accord activates in four phases, each with entry conditions, certification, and a public record, per the full schedule of Annex L:</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2252"/>
        <w:gridCol w:w="2252"/>
        <w:gridCol w:w="2252"/>
        <w:gridCol w:w="2254"/>
      </w:tblGrid>
      <w:tr>
        <w:trPr>
          <w:tblHeader/>
        </w:trPr>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Phase</w:t>
            </w:r>
          </w:p>
        </w:tc>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Window</w:t>
            </w:r>
          </w:p>
        </w:tc>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Core deliverables</w:t>
            </w:r>
          </w:p>
        </w:tc>
        <w:tc>
          <w:tcPr>
            <w:tcW w:w="2254" w:type="dxa"/>
            <w:tcBorders>
              <w:bottom w:val="single" w:color="546E7A" w:sz="6"/>
            </w:tcBorders>
            <w:shd w:val="clear" w:fill="E4E9EC"/>
          </w:tcPr>
          <w:p>
            <w:pPr>
              <w:spacing w:after="0" w:line="260" w:lineRule="auto"/>
              <w:jc w:val="left"/>
            </w:pPr>
            <w:r>
              <w:rPr>
                <w:rFonts w:ascii="Calibri" w:hAnsi="Calibri"/>
                <w:b/>
                <w:color w:val="37474F"/>
                <w:sz w:val="19"/>
              </w:rPr>
              <w:t xml:space="preserve">Certification</w:t>
            </w:r>
          </w:p>
        </w:tc>
      </w:tr>
      <w:tr>
        <w:tc>
          <w:tcPr>
            <w:tcW w:w="2252" w:type="dxa"/>
          </w:tcPr>
          <w:p>
            <w:pPr>
              <w:spacing w:after="0" w:line="260" w:lineRule="auto"/>
              <w:jc w:val="left"/>
            </w:pPr>
            <w:r>
              <w:rPr>
                <w:rFonts w:ascii="Calibri" w:hAnsi="Calibri"/>
                <w:color w:val="212121"/>
                <w:sz w:val="19"/>
              </w:rPr>
              <w:t xml:space="preserve">Phase Zero: Preparation</w:t>
            </w:r>
          </w:p>
        </w:tc>
        <w:tc>
          <w:tcPr>
            <w:tcW w:w="2252" w:type="dxa"/>
          </w:tcPr>
          <w:p>
            <w:pPr>
              <w:spacing w:after="0" w:line="260" w:lineRule="auto"/>
              <w:jc w:val="left"/>
            </w:pPr>
            <w:r>
              <w:rPr>
                <w:rFonts w:ascii="Calibri" w:hAnsi="Calibri"/>
                <w:color w:val="212121"/>
                <w:sz w:val="19"/>
              </w:rPr>
              <w:t xml:space="preserve">Signature to Day 14</w:t>
            </w:r>
          </w:p>
        </w:tc>
        <w:tc>
          <w:tcPr>
            <w:tcW w:w="2252" w:type="dxa"/>
          </w:tcPr>
          <w:p>
            <w:pPr>
              <w:spacing w:after="0" w:line="260" w:lineRule="auto"/>
              <w:jc w:val="left"/>
            </w:pPr>
            <w:r>
              <w:rPr>
                <w:rFonts w:ascii="Calibri" w:hAnsi="Calibri"/>
                <w:color w:val="212121"/>
                <w:sz w:val="19"/>
              </w:rPr>
              <w:t xml:space="preserve">Host agreements signed; escrow accounts opened; paired staffing named; exercise notices filed; hazard declarations exchanged</w:t>
            </w:r>
          </w:p>
        </w:tc>
        <w:tc>
          <w:tcPr>
            <w:tcW w:w="2254" w:type="dxa"/>
          </w:tcPr>
          <w:p>
            <w:pPr>
              <w:spacing w:after="0" w:line="260" w:lineRule="auto"/>
              <w:jc w:val="left"/>
            </w:pPr>
            <w:r>
              <w:rPr>
                <w:rFonts w:ascii="Calibri" w:hAnsi="Calibri"/>
                <w:color w:val="212121"/>
                <w:sz w:val="19"/>
              </w:rPr>
              <w:t xml:space="preserve">Mediator of Record confirms readiness to the Council</w:t>
            </w:r>
          </w:p>
        </w:tc>
      </w:tr>
      <w:tr>
        <w:tc>
          <w:tcPr>
            <w:tcW w:w="2252" w:type="dxa"/>
          </w:tcPr>
          <w:p>
            <w:pPr>
              <w:spacing w:after="0" w:line="260" w:lineRule="auto"/>
              <w:jc w:val="left"/>
            </w:pPr>
            <w:r>
              <w:rPr>
                <w:rFonts w:ascii="Calibri" w:hAnsi="Calibri"/>
                <w:color w:val="212121"/>
                <w:sz w:val="19"/>
              </w:rPr>
              <w:t xml:space="preserve">Phase One: Standing Start</w:t>
            </w:r>
          </w:p>
        </w:tc>
        <w:tc>
          <w:tcPr>
            <w:tcW w:w="2252" w:type="dxa"/>
          </w:tcPr>
          <w:p>
            <w:pPr>
              <w:spacing w:after="0" w:line="260" w:lineRule="auto"/>
              <w:jc w:val="left"/>
            </w:pPr>
            <w:r>
              <w:rPr>
                <w:rFonts w:ascii="Calibri" w:hAnsi="Calibri"/>
                <w:color w:val="212121"/>
                <w:sz w:val="19"/>
              </w:rPr>
              <w:t xml:space="preserve">Day 15 to Day 30</w:t>
            </w:r>
          </w:p>
        </w:tc>
        <w:tc>
          <w:tcPr>
            <w:tcW w:w="2252" w:type="dxa"/>
          </w:tcPr>
          <w:p>
            <w:pPr>
              <w:spacing w:after="0" w:line="260" w:lineRule="auto"/>
              <w:jc w:val="left"/>
            </w:pPr>
            <w:r>
              <w:rPr>
                <w:rFonts w:ascii="Calibri" w:hAnsi="Calibri"/>
                <w:color w:val="212121"/>
                <w:sz w:val="19"/>
              </w:rPr>
              <w:t xml:space="preserve">Center watch floor live; notification desk acknowledging; Bulletin publishing; patrols begun; joint survey under way</w:t>
            </w:r>
          </w:p>
        </w:tc>
        <w:tc>
          <w:tcPr>
            <w:tcW w:w="2254" w:type="dxa"/>
          </w:tcPr>
          <w:p>
            <w:pPr>
              <w:spacing w:after="0" w:line="260" w:lineRule="auto"/>
              <w:jc w:val="left"/>
            </w:pPr>
            <w:r>
              <w:rPr>
                <w:rFonts w:ascii="Calibri" w:hAnsi="Calibri"/>
                <w:color w:val="212121"/>
                <w:sz w:val="19"/>
              </w:rPr>
              <w:t xml:space="preserve">Neutral Keel Office operational certificate</w:t>
            </w:r>
          </w:p>
        </w:tc>
      </w:tr>
      <w:tr>
        <w:tc>
          <w:tcPr>
            <w:tcW w:w="2252" w:type="dxa"/>
          </w:tcPr>
          <w:p>
            <w:pPr>
              <w:spacing w:after="0" w:line="260" w:lineRule="auto"/>
              <w:jc w:val="left"/>
            </w:pPr>
            <w:r>
              <w:rPr>
                <w:rFonts w:ascii="Calibri" w:hAnsi="Calibri"/>
                <w:color w:val="212121"/>
                <w:sz w:val="19"/>
              </w:rPr>
              <w:t xml:space="preserve">Phase Two: Full Service</w:t>
            </w:r>
          </w:p>
        </w:tc>
        <w:tc>
          <w:tcPr>
            <w:tcW w:w="2252" w:type="dxa"/>
          </w:tcPr>
          <w:p>
            <w:pPr>
              <w:spacing w:after="0" w:line="260" w:lineRule="auto"/>
              <w:jc w:val="left"/>
            </w:pPr>
            <w:r>
              <w:rPr>
                <w:rFonts w:ascii="Calibri" w:hAnsi="Calibri"/>
                <w:color w:val="212121"/>
                <w:sz w:val="19"/>
              </w:rPr>
              <w:t xml:space="preserve">Day 31 to Day 60</w:t>
            </w:r>
          </w:p>
        </w:tc>
        <w:tc>
          <w:tcPr>
            <w:tcW w:w="2252" w:type="dxa"/>
          </w:tcPr>
          <w:p>
            <w:pPr>
              <w:spacing w:after="0" w:line="260" w:lineRule="auto"/>
              <w:jc w:val="left"/>
            </w:pPr>
            <w:r>
              <w:rPr>
                <w:rFonts w:ascii="Calibri" w:hAnsi="Calibri"/>
                <w:color w:val="212121"/>
                <w:sz w:val="19"/>
              </w:rPr>
              <w:t xml:space="preserve">Both corridors at full schedule; Fund paying verified services; Registry live; Data Service public tier live</w:t>
            </w:r>
          </w:p>
        </w:tc>
        <w:tc>
          <w:tcPr>
            <w:tcW w:w="2254" w:type="dxa"/>
          </w:tcPr>
          <w:p>
            <w:pPr>
              <w:spacing w:after="0" w:line="260" w:lineRule="auto"/>
              <w:jc w:val="left"/>
            </w:pPr>
            <w:r>
              <w:rPr>
                <w:rFonts w:ascii="Calibri" w:hAnsi="Calibri"/>
                <w:color w:val="212121"/>
                <w:sz w:val="19"/>
              </w:rPr>
              <w:t xml:space="preserve">Council certificate on Technical Committee report</w:t>
            </w:r>
          </w:p>
        </w:tc>
      </w:tr>
      <w:tr>
        <w:tc>
          <w:tcPr>
            <w:tcW w:w="2252" w:type="dxa"/>
          </w:tcPr>
          <w:p>
            <w:pPr>
              <w:spacing w:after="0" w:line="260" w:lineRule="auto"/>
              <w:jc w:val="left"/>
            </w:pPr>
            <w:r>
              <w:rPr>
                <w:rFonts w:ascii="Calibri" w:hAnsi="Calibri"/>
                <w:color w:val="212121"/>
                <w:sz w:val="19"/>
              </w:rPr>
              <w:t xml:space="preserve">Phase Three: Consolidation</w:t>
            </w:r>
          </w:p>
        </w:tc>
        <w:tc>
          <w:tcPr>
            <w:tcW w:w="2252" w:type="dxa"/>
          </w:tcPr>
          <w:p>
            <w:pPr>
              <w:spacing w:after="0" w:line="260" w:lineRule="auto"/>
              <w:jc w:val="left"/>
            </w:pPr>
            <w:r>
              <w:rPr>
                <w:rFonts w:ascii="Calibri" w:hAnsi="Calibri"/>
                <w:color w:val="212121"/>
                <w:sz w:val="19"/>
              </w:rPr>
              <w:t xml:space="preserve">Day 61 onward</w:t>
            </w:r>
          </w:p>
        </w:tc>
        <w:tc>
          <w:tcPr>
            <w:tcW w:w="2252" w:type="dxa"/>
          </w:tcPr>
          <w:p>
            <w:pPr>
              <w:spacing w:after="0" w:line="260" w:lineRule="auto"/>
              <w:jc w:val="left"/>
            </w:pPr>
            <w:r>
              <w:rPr>
                <w:rFonts w:ascii="Calibri" w:hAnsi="Calibri"/>
                <w:color w:val="212121"/>
                <w:sz w:val="19"/>
              </w:rPr>
              <w:t xml:space="preserve">Survey certification complete; insurance normalization tracking; first annual review conference scheduled; accession track open</w:t>
            </w:r>
          </w:p>
        </w:tc>
        <w:tc>
          <w:tcPr>
            <w:tcW w:w="2254" w:type="dxa"/>
          </w:tcPr>
          <w:p>
            <w:pPr>
              <w:spacing w:after="0" w:line="260" w:lineRule="auto"/>
              <w:jc w:val="left"/>
            </w:pPr>
            <w:r>
              <w:rPr>
                <w:rFonts w:ascii="Calibri" w:hAnsi="Calibri"/>
                <w:color w:val="212121"/>
                <w:sz w:val="19"/>
              </w:rPr>
              <w:t xml:space="preserve">Annual review conference declaration</w:t>
            </w:r>
          </w:p>
        </w:tc>
      </w:tr>
    </w:tbl>
    <w:p>
      <w:pPr>
        <w:spacing w:after="60"/>
      </w:pPr>
    </w:p>
    <w:p>
      <w:pPr>
        <w:pStyle w:val="Caption"/>
      </w:pPr>
      <w:r>
        <w:t xml:space="preserve">Table 37.1: Activation phases</w:t>
      </w:r>
    </w:p>
    <w:p>
      <w:pPr/>
      <w:r>
        <w:t xml:space="preserve">Phase boundaries are administrative rhythms, not condition gates: under the Nofade Guarantee, a phase continues until the next certifies, obligations persist across boundaries unchanged, and nothing resets at a boundary. The target timeline serves discipline, and the default-continuity rule absorbs any slip without legal consequence.</w:t>
      </w:r>
    </w:p>
    <w:p>
      <w:pPr>
        <w:pStyle w:val="Heading3"/>
      </w:pPr>
      <w:r>
        <w:t xml:space="preserve">37.2 Early harvest</w:t>
      </w:r>
    </w:p>
    <w:p>
      <w:pPr/>
      <w:r>
        <w:t xml:space="preserve">The Parties deliver visible results early: the joint openness declaration of Article 10.4 within 7 days; the first Bulletin within 14 days; the first escorted windows within 21 days; the first zone certification within 21 days; and the first premium digest within 30 days. Early harvest builds the public confidence on which the entire architecture trades.</w:t>
      </w:r>
    </w:p>
    <w:p>
      <w:pPr>
        <w:pStyle w:val="Heading2"/>
      </w:pPr>
      <w:r>
        <w:t xml:space="preserve">Article 38: Accession, Liaison, and the Multilateral Expansion Path</w:t>
      </w:r>
    </w:p>
    <w:p>
      <w:pPr>
        <w:pStyle w:val="Heading3"/>
      </w:pPr>
      <w:r>
        <w:t xml:space="preserve">38.1 Accession of Acceding Members</w:t>
      </w:r>
    </w:p>
    <w:p>
      <w:pPr/>
      <w:r>
        <w:t xml:space="preserve">Saudi Arabia, Qatar, Bahrain, Kuwait, and Iraq accede as Acceding Members by depositing an instrument of accession with the depositary, in the form of Annex M. Accession takes effect 30 days after deposit, seats the acceding state in the Council with two voting members, adds its paired posts to the staffing table, extends its service delivery roster, and binds it to the whole Accord including the Annexes. The architecture invites every Gulf littoral state to co-govern the waterway its own trade depends on, and the door remains open without time limit, per the Nofade Guarantee.</w:t>
      </w:r>
    </w:p>
    <w:p>
      <w:pPr>
        <w:pStyle w:val="Heading3"/>
      </w:pPr>
      <w:r>
        <w:t xml:space="preserve">38.2 Modular participation</w:t>
      </w:r>
    </w:p>
    <w:p>
      <w:pPr/>
      <w:r>
        <w:t xml:space="preserve">A state not ready for full accession joins modules: the Bulletin subscription, the Registry, the Data Service, the observer seat, or the Fund's contributor class. Module participation publishes, carries the module's obligations, and builds the record that full accession later banks.</w:t>
      </w:r>
    </w:p>
    <w:p>
      <w:pPr>
        <w:pStyle w:val="Heading3"/>
      </w:pPr>
      <w:r>
        <w:t xml:space="preserve">38.3 Gulf coordination</w:t>
      </w:r>
    </w:p>
    <w:p>
      <w:pPr/>
      <w:r>
        <w:t xml:space="preserve">The Council convenes an annual Gulf Maritime Coordination Meeting, open to every Gulf state whether Party or not, with the Gulf Cooperation Council secretariat invited, to align aids to navigation, hydrographic priorities, search and rescue interfaces, and environmental standards across the wider Gulf. The Accord positions itself as the Strait component of a wider regional maritime fabric, never as a rival to any regional body.</w:t>
      </w:r>
    </w:p>
    <w:p>
      <w:pPr>
        <w:pStyle w:val="Heading3"/>
      </w:pPr>
      <w:r>
        <w:t xml:space="preserve">38.4 Liaison with external organizations</w:t>
      </w:r>
    </w:p>
    <w:p>
      <w:pPr/>
      <w:r>
        <w:t xml:space="preserve">The Accord maintains standing liaison with the International Maritime Organization, the International Hydrographic Organization, the International Chamber of Shipping, the protection and indemnity clubs' group, and the United Nations system bodies named in the Annexes. Liaison flows through the Council chair and the Administrator, and every liaison exchange publishes in summary.</w:t>
      </w:r>
    </w:p>
    <w:p>
      <w:pPr>
        <w:pStyle w:val="Heading3"/>
      </w:pPr>
      <w:r>
        <w:t xml:space="preserve">38.5 Adherence by external user states</w:t>
      </w:r>
    </w:p>
    <w:p>
      <w:pPr/>
      <w:r>
        <w:t xml:space="preserve">An external state whose forces operate in or near the Governance Area adheres to the de-confliction and non-interdiction disciplines of Articles 10 and 27 by depositing an adherence instrument in the form of Annex M. Adherence binds the adhering state to those disciplines inside the Governance Area, seats it at the de-confliction channel, and creates no other obligation or right. The United States deposits its adherence with its Endorsing Stakeholder instrument, and the Accord records every adherence publicly.</w:t>
      </w:r>
    </w:p>
    <w:p>
      <w:pPr>
        <w:pStyle w:val="Heading2"/>
      </w:pPr>
      <w:r>
        <w:t xml:space="preserve">Article 39: Amendment and Review</w:t>
      </w:r>
    </w:p>
    <w:p>
      <w:pPr>
        <w:pStyle w:val="Heading3"/>
      </w:pPr>
      <w:r>
        <w:t xml:space="preserve">39.1 Ordinary amendment</w:t>
      </w:r>
    </w:p>
    <w:p>
      <w:pPr/>
      <w:r>
        <w:t xml:space="preserve">A Party proposes an amendment in writing to the depositary. The depositary circulates it; the Council debates it at the next session; and adoption takes consensus of the Littoral Parties under Article 20.3, with the Twin Key Rule where the amendment touches corridor geometry, flow-state doctrine, the Catalog, the budget, or a Red Line safeguard. An amendment enters into force 30 days after adoption for all Parties, and the depositary publishes the consolidated text within 14 days.</w:t>
      </w:r>
    </w:p>
    <w:p>
      <w:pPr>
        <w:pBdr>
          <w:left w:val="single" w:color="B0BEC5" w:sz="8" w:space="6"/>
        </w:pBdr>
        <w:spacing w:before="40" w:after="120"/>
        <w:ind w:left="360"/>
      </w:pPr>
      <w:r>
        <w:rPr>
          <w:rFonts w:ascii="Calibri" w:hAnsi="Calibri"/>
          <w:i/>
          <w:color w:val="78909C"/>
          <w:sz w:val="18"/>
        </w:rPr>
        <w:t xml:space="preserve">See also Articles 4, 20, and 36, and Annex T.</w:t>
      </w:r>
    </w:p>
    <w:p>
      <w:pPr>
        <w:pStyle w:val="Heading3"/>
      </w:pPr>
      <w:r>
        <w:t xml:space="preserve">39.2 Elevated amendment</w:t>
      </w:r>
    </w:p>
    <w:p>
      <w:pPr/>
      <w:r>
        <w:t xml:space="preserve">An amendment touching the protected core of Article 36, the Nofade Guarantee, the Red Lines Register, or this Article takes: consensus of all Littoral Parties; ratification by each Littoral Party under its constitutional procedures; and a 90-day reflection period between adoption and entry into force, during which any Littoral Party withdraws its consent by notice. The elevated rule makes the core harder to change than to keep, which is the Nofade Guarantee's constitutional expression.</w:t>
      </w:r>
    </w:p>
    <w:p>
      <w:pPr>
        <w:pStyle w:val="Heading3"/>
      </w:pPr>
      <w:r>
        <w:t xml:space="preserve">39.3 The symmetry review</w:t>
      </w:r>
    </w:p>
    <w:p>
      <w:pPr/>
      <w:r>
        <w:t xml:space="preserve">Every amendment passes the political acceptability rule of Article 3.1: the legal desk appends a symmetry assessment to the proposal, and the Council votes only with the assessment on the record.</w:t>
      </w:r>
    </w:p>
    <w:p>
      <w:pPr>
        <w:pStyle w:val="Heading3"/>
      </w:pPr>
      <w:r>
        <w:t xml:space="preserve">39.4 The Open Water Review Conference</w:t>
      </w:r>
    </w:p>
    <w:p>
      <w:pPr/>
      <w:r>
        <w:t xml:space="preserve">The Council convenes an annual Open Water Review Conference, open to all Parties, observer states, stakeholders, and the assurance bodies. The Conference reviews the year's record: transit statistics, the Ledger, the premium index, the integrity review, and the audit. Continuation proceeds by silence at every Conference, per Article 4.7: the Accord runs on, and the Conference's output is a published review, never a renewal vote. There is nothing to renew. There is only a record to read and a system to improve.</w:t>
      </w:r>
    </w:p>
    <w:p>
      <w:pPr>
        <w:pStyle w:val="Heading3"/>
      </w:pPr>
      <w:r>
        <w:t xml:space="preserve">39.5 Why the thresholds differ: design commentary</w:t>
      </w:r>
    </w:p>
    <w:p>
      <w:pPr/>
      <w:r>
        <w:t xml:space="preserve">The Parties record the design logic of the amendment thresholds for the guidance of future negotiators. Ordinary amendments follow consensus because the architecture's daily machinery belongs to all its members equally, and no majority rearranges another member's working environment. Twin Key matters follow the paired rule because corridor geometry, flow-state doctrine, rates, and budgets form the core bargain between the two strait states, and a bargain neither keyholder accepts is no bargain at all. Elevated amendments add ratification and a reflection period because the protected core, the Nofade Guarantee, and the Red Lines Register exist precisely to outlast political weather, and a rule designed to survive storms accepts change only after the storm has passed and every capital has confirmed, twice, that it still wishes the change. The thresholds rise with the permanence of the provision they protect: the harder a rule works to prevent drift, the harder the architecture makes its amendment.</w:t>
      </w:r>
    </w:p>
    <w:p>
      <w:pPr>
        <w:pStyle w:val="Heading3"/>
      </w:pPr>
      <w:r>
        <w:t xml:space="preserve">39.6 The architecture review</w:t>
      </w:r>
    </w:p>
    <w:p>
      <w:pPr/>
      <w:r>
        <w:t xml:space="preserve">Every five years from entry into force, the Council conducts a full architecture review: a systems-level examination of whether the Accord's mechanisms perform as designed, drawing on the Risk Register of Annex P, the performance metrics of Annex R, the stress-test record of Annex Q, and the State of the Strait reports. The review produces findings and, where warranted, amendment proposals under this Article. The review never touches continuity: it operates under the Nofade Guarantee as an examination, not an expiry, and the Accord runs at full force before, during, and after every review cycle. The first review concludes no later than the fifth anniversary of entry into force, and each review sets the date of the next.</w:t>
      </w:r>
    </w:p>
    <w:p>
      <w:pPr>
        <w:pStyle w:val="Heading2"/>
      </w:pPr>
      <w:r>
        <w:t xml:space="preserve">Article 40: Transition, Succession, Withdrawal, and Reconstitution</w:t>
      </w:r>
    </w:p>
    <w:p>
      <w:pPr>
        <w:pStyle w:val="Heading3"/>
      </w:pPr>
      <w:r>
        <w:t xml:space="preserve">40.1 Succession of institutions</w:t>
      </w:r>
    </w:p>
    <w:p>
      <w:pPr/>
      <w:r>
        <w:t xml:space="preserve">Upon entry into force, the functions, records, and relevant assets of prior national coordination structures touching corridor governance transfer to the Center under the transition schedule of Annex L: notification systems, watch rotas, and traffic records fold into the Center's desks, and prior structures stand down their corridor-governance functions while retaining every other national function. Personnel of prior structures receive priority for Center posts, with certification under Article 14.2.</w:t>
      </w:r>
    </w:p>
    <w:p>
      <w:pPr>
        <w:pStyle w:val="Heading3"/>
      </w:pPr>
      <w:r>
        <w:t xml:space="preserve">40.2 State succession and continuity of obligation</w:t>
      </w:r>
    </w:p>
    <w:p>
      <w:pPr/>
      <w:r>
        <w:t xml:space="preserve">The obligations of this Accord attach to each Party as a state. A change of government, head of state, or administration changes nothing: the incoming administration holds every obligation and every banked benefit from its first day, and the depositary notes the change without ceremony. State succession in international law governs any succession of states.</w:t>
      </w:r>
    </w:p>
    <w:p>
      <w:pPr>
        <w:pStyle w:val="Heading3"/>
      </w:pPr>
      <w:r>
        <w:t xml:space="preserve">40.3 Records and custody</w:t>
      </w:r>
    </w:p>
    <w:p>
      <w:pPr/>
      <w:r>
        <w:t xml:space="preserve">The archive, the registry, and the Ledger survive every transition. Custody follows the dual-copy rule at all times, and a withdrawing Party's copy obligations continue for the retention period.</w:t>
      </w:r>
    </w:p>
    <w:p>
      <w:pPr>
        <w:pStyle w:val="Heading3"/>
      </w:pPr>
      <w:r>
        <w:t xml:space="preserve">40.4 Withdrawal</w:t>
      </w:r>
    </w:p>
    <w:p>
      <w:pPr/>
      <w:r>
        <w:t xml:space="preserve">Withdrawal is a sovereign act, deliberately structured so that it never arrives by drift: a Party gives 12 months' written notice to the depositary; the notice publishes; during the notice period the Party performs every obligation in full, the corridors run at full standard, and the facilitation tier meets on the withdrawing Party's stated concerns at its request; at the period's end, withdrawal takes effect, and the Party's banked standing and Performance Reserve record remain archived against any future re-accession. Re-accession follows Article 38 with the banked record restored, per the Nofade Guarantee: even departure forgets nothing, and return never starts from zero.</w:t>
      </w:r>
    </w:p>
    <w:p>
      <w:pPr>
        <w:pStyle w:val="Heading3"/>
      </w:pPr>
      <w:r>
        <w:t xml:space="preserve">40.5 Reconstitution</w:t>
      </w:r>
    </w:p>
    <w:p>
      <w:pPr/>
      <w:r>
        <w:t xml:space="preserve">Where the Accord's active membership falls below the entry-into-force threshold, the surviving Parties, the Mediator of Record, and the Neutral Administrator hold the architecture in maintenance mode: the Bulletin continues, the Fund's reserve preserves institutional capacity, the archive persists, and any Gulf littoral state or prior Party reactivates full operation by accession or re-accession. The architecture never dies; it waits, funded and documented, for the politics to return.</w:t>
      </w:r>
    </w:p>
    <w:p>
      <w:pPr>
        <w:pStyle w:val="Heading2"/>
      </w:pPr>
      <w:r>
        <w:t xml:space="preserve">Article 41: Final Provisions</w:t>
      </w:r>
    </w:p>
    <w:p>
      <w:pPr>
        <w:pStyle w:val="Heading3"/>
      </w:pPr>
      <w:r>
        <w:t xml:space="preserve">41.1 Entry into force</w:t>
      </w:r>
    </w:p>
    <w:p>
      <w:pPr/>
      <w:r>
        <w:t xml:space="preserve">The three Founding Members form the Tripod upon which the architecture rests. This Accord enters into force 30 days after the deposit of instruments of ratification or acceptance by all three Founding Members: the Islamic Republic of Iran, the Sultanate of Oman, and the United Arab Emirates. The Tripod rule guarantees that the system never operates on fewer than three pillars, and it prevents any scenario in which only two states carry the architecture. For each subsequent Acceding Member, the Accord enters into force per Article 38.1.</w:t>
      </w:r>
    </w:p>
    <w:p>
      <w:pPr>
        <w:pStyle w:val="Heading3"/>
      </w:pPr>
      <w:r>
        <w:t xml:space="preserve">41.2 Depositary and registration</w:t>
      </w:r>
    </w:p>
    <w:p>
      <w:pPr/>
      <w:r>
        <w:t xml:space="preserve">The Sultanate of Oman serves as depositary. The depositary registers this Accord with the Secretariat of the United Nations under Article 102 of the Charter, transmits certified copies to all Parties, observer states, and the International Maritime Organization, and maintains the authoritative consolidated text in the three languages.</w:t>
      </w:r>
    </w:p>
    <w:p>
      <w:pPr>
        <w:pStyle w:val="Heading3"/>
      </w:pPr>
      <w:r>
        <w:t xml:space="preserve">41.3 Languages</w:t>
      </w:r>
    </w:p>
    <w:p>
      <w:pPr/>
      <w:r>
        <w:t xml:space="preserve">This Accord is executed in Persian, Arabic, and English, each text equally authoritative. Interpretation follows Article 5.2, rule 7.</w:t>
      </w:r>
    </w:p>
    <w:p>
      <w:pPr>
        <w:pStyle w:val="Heading3"/>
      </w:pPr>
      <w:r>
        <w:t xml:space="preserve">41.4 Parallel sovereign tracks</w:t>
      </w:r>
    </w:p>
    <w:p>
      <w:pPr/>
      <w:r>
        <w:t xml:space="preserve">The Accord takes note that several Parties pursue domestic programs of institutional transparency, electoral access, and administrative reform on their own sovereign calendars, as elements of the wider regional settlement. Such programs stand outside this Accord's scope: the Accord neither conditions them nor stands conditioned by them, and no organ of the Accord reviews them. The Parties record their shared understanding that maritime stability and domestic political development proceed on separate tracks, each on its own merits, each free of the other's disputes.</w:t>
      </w:r>
    </w:p>
    <w:p>
      <w:pPr>
        <w:pStyle w:val="Heading3"/>
      </w:pPr>
      <w:r>
        <w:t xml:space="preserve">41.5 The safeguards interface</w:t>
      </w:r>
    </w:p>
    <w:p>
      <w:pPr/>
      <w:r>
        <w:t xml:space="preserve">Questions of nuclear safeguards remain with the International Atomic Energy Agency and the MOU's dedicated working groups. The Accord's sole interface: a certified disruption of corridor transit caused by a nuclear-safety event at a coastal installation activates the Mishap Protocol's environmental track and the compensation window, and the Agency receives the Center's environmental data for such an event at its request. The Accord governs water, not atoms.</w:t>
      </w:r>
    </w:p>
    <w:p>
      <w:pPr>
        <w:pStyle w:val="Heading3"/>
      </w:pPr>
      <w:r>
        <w:t xml:space="preserve">41.6 Relationship with the United Nations Security Council</w:t>
      </w:r>
    </w:p>
    <w:p>
      <w:pPr/>
      <w:r>
        <w:t xml:space="preserve">The Parties recognize the authority of the United Nations Security Council under Chapter VII of the Charter of the United Nations. This Accord operates as a regional arrangement within the meaning of Chapter VIII of the Charter, and the Parties keep the Security Council fully informed of activities undertaken under it for the maintenance of international peace and security. The Parties jointly seek a Security Council resolution endorsing the Accord's governance system and recognizing the Nofade Guarantee as a permanent feature of international maritime law in the Strait of Hormuz. Such a resolution adds international legal weight to the architecture; the absence of one changes nothing in this instrument, per the independence rule of Article 2.4.</w:t>
      </w:r>
    </w:p>
    <w:p>
      <w:pPr>
        <w:pStyle w:val="Heading3"/>
      </w:pPr>
      <w:r>
        <w:t xml:space="preserve">41.7 Signature</w:t>
      </w:r>
    </w:p>
    <w:p>
      <w:pPr/>
      <w:r>
        <w:t xml:space="preserve">Done at Muscat, in three original texts, on the date of signature below.</w:t>
      </w:r>
    </w:p>
    <w:p>
      <w:pPr/>
      <w:r>
        <w:t xml:space="preserve">For the Islamic Republic of Iran: ____________________</w:t>
      </w:r>
    </w:p>
    <w:p>
      <w:pPr/>
      <w:r>
        <w:t xml:space="preserve">For the Sultanate of Oman: ____________________</w:t>
      </w:r>
    </w:p>
    <w:p>
      <w:pPr/>
      <w:r>
        <w:t xml:space="preserve">For the United Arab Emirates: ____________________</w:t>
      </w:r>
    </w:p>
    <w:p>
      <w:pPr/>
      <w:r>
        <w:t xml:space="preserve">Witnessed by the Mediator of Record and the Neutral Administrator, and deposited with the Ministry of Foreign Affairs of the Sultanate of Oman.</w:t>
      </w:r>
    </w:p>
    <w:p>
      <w:pPr>
        <w:pStyle w:val="Heading3"/>
      </w:pPr>
      <w:r>
        <w:t xml:space="preserve">41.8 Terminology governance</w:t>
      </w:r>
    </w:p>
    <w:p>
      <w:pPr/>
      <w:r>
        <w:t xml:space="preserve">The neutral terminology register of Annex N operates as a controlled vocabulary under standing governance. The Technical and Standards Committee maintains the register, reviews it annually, and admits new terms or retirements only through the silence procedure of Article 20.5 with a published rationale. Translation governance follows the same discipline: the three authentic language versions use harmonized equivalents for every register term, the depositary maintains the trilingual concordance, and a divergence among versions routes to the Council under Article 5.2, rule 7, with the resolution entered into the concordance so the same question never arises twice. The register and the concordance publish with each consolidated text, and every Accord organ, publication, and training program uses the controlled vocabulary exclusively.</w:t>
      </w:r>
    </w:p>
    <w:p>
      <w:pPr>
        <w:pStyle w:val="Heading2"/>
      </w:pPr>
      <w:r>
        <w:t xml:space="preserve">Article 42: Continuity During Institutional Failure</w:t>
      </w:r>
    </w:p>
    <w:p>
      <w:pPr>
        <w:pStyle w:val="Heading3"/>
      </w:pPr>
      <w:r>
        <w:t xml:space="preserve">42.1 The continuity doctrine</w:t>
      </w:r>
    </w:p>
    <w:p>
      <w:pPr/>
      <w:r>
        <w:t xml:space="preserve">The Accord assumes that institutions fail and designs for the morning after. Where any organ of the Accord becomes unavailable, through technical failure, natural event, conflict, or political rupture, the continuity doctrine of this Article operates automatically: authority transfers along a published hierarchy, mirrored systems absorb the load, degraded operations preserve every right, and recovery restores full function on a published clock. No institutional failure suspends a vessel's rights, a Party's protections, or the humanitarian flows.</w:t>
      </w:r>
    </w:p>
    <w:p>
      <w:pPr>
        <w:pStyle w:val="Heading3"/>
      </w:pPr>
      <w:r>
        <w:t xml:space="preserve">42.2 Temporary authority hierarchy</w:t>
      </w:r>
    </w:p>
    <w:p>
      <w:pPr/>
      <w:r>
        <w:t xml:space="preserve">Where the Meridian Operations Center becomes unavailable: the Bandar Abbas mirror assumes the full watch within one hour. Where both sites fail: the paired duty officers relocate to the designated continuity station at Khasab, with voice-and-paper operation under Annex G.3, and the coastal vessel traffic services operate the corridors under the standing rules until restoration. Where the Council cannot convene: the Guarantor and Facilitation Panel holds interim policy authority for 30 days, renewable by the Panel once, with every interim act recorded for the Council's later review. Where the Neutral Administrator cannot act: the deputy administrator assumes execution, and the Fund's Charter operates by default continuity under Article 20.4. Where the Neutral Keel Office becomes unavailable: the International Maritime Organization technical seat designates an interim observation arrangement within 72 hours.</w:t>
      </w:r>
    </w:p>
    <w:p>
      <w:pPr>
        <w:pStyle w:val="Heading3"/>
      </w:pPr>
      <w:r>
        <w:t xml:space="preserve">42.3 Mirrored systems and degraded operations</w:t>
      </w:r>
    </w:p>
    <w:p>
      <w:pPr/>
      <w:r>
        <w:t xml:space="preserve">Every critical system exists in at least two physical locations, per Articles 14.1 and 26A.1, and drills its failover monthly. Degraded operation preserves the rights layer in full: passage continues, acknowledgments default under Article 8.3, the Bulletin publishes by any working channel, and voice reporting carries compliance, per Article 26.6. Degradation touches convenience, never rights.</w:t>
      </w:r>
    </w:p>
    <w:p>
      <w:pPr>
        <w:pStyle w:val="Heading3"/>
      </w:pPr>
      <w:r>
        <w:t xml:space="preserve">42.4 Recovery hierarchy and clock</w:t>
      </w:r>
    </w:p>
    <w:p>
      <w:pPr/>
      <w:r>
        <w:t xml:space="preserve">Recovery follows a published hierarchy: safety-of-life systems first, then traffic management, then verification feeds, then financial execution, then administrative functions. The acting authority publishes a recovery estimate within 24 hours of any institutional failure, updates it every 24 hours, and files a post-recovery report with the Council within 14 days. The report enters the archive and feeds the Risk Register review of Annex P.</w:t>
      </w:r>
    </w:p>
    <w:p>
      <w:pPr>
        <w:pStyle w:val="Heading3"/>
      </w:pPr>
      <w:r>
        <w:t xml:space="preserve">42.5 Political rupture</w:t>
      </w:r>
    </w:p>
    <w:p>
      <w:pPr/>
      <w:r>
        <w:t xml:space="preserve">Where a political rupture prevents one Party's officers from attending the watch floor, the remaining officers operate every desk, the absent Party's seats stand vacant without transfer, and every act records the vacancy. The architecture treats political absence as a staffing event, never as a legal event: obligations continue, the default-continuity rule governs every stalled decision, and the vacant seats await their officers without expiry.</w:t>
      </w:r>
    </w:p>
    <w:p>
      <w:pPr>
        <w:pStyle w:val="Heading2"/>
      </w:pPr>
      <w:r>
        <w:t xml:space="preserve">Article 43: Future Technologies and Technological Neutrality</w:t>
      </w:r>
    </w:p>
    <w:p>
      <w:pPr>
        <w:pStyle w:val="Heading3"/>
      </w:pPr>
      <w:r>
        <w:t xml:space="preserve">43.1 The neutrality principle</w:t>
      </w:r>
    </w:p>
    <w:p>
      <w:pPr/>
      <w:r>
        <w:t xml:space="preserve">The Accord regulates conduct and outcomes, never technologies. Its rules bind vessels however navigated, services however delivered, and verification however instrumented, so that autonomous vessels, AI-assisted navigation, remote pilotage, digital-twin traffic modeling, and their successors enter the architecture through their conduct, not through prohibition or special favor. A technology that meets the Accord's safety, notification, and verification standards operates; a technology that does not, does not, regardless of novelty.</w:t>
      </w:r>
    </w:p>
    <w:p>
      <w:pPr>
        <w:pStyle w:val="Heading3"/>
      </w:pPr>
      <w:r>
        <w:t xml:space="preserve">43.2 Standing principles for new technologies</w:t>
      </w:r>
    </w:p>
    <w:p>
      <w:pPr>
        <w:ind w:left="360"/>
      </w:pPr>
      <w:r>
        <w:t xml:space="preserve">1. Equivalence. A new technology enters operation where it demonstrates safety and reliability equivalent to the practice it supplements, through the Technical Committee's certification under the Convergence Standard.</w:t>
      </w:r>
    </w:p>
    <w:p>
      <w:pPr>
        <w:ind w:left="360"/>
      </w:pPr>
      <w:r>
        <w:t xml:space="preserve">2. Human accountability. Every automated or autonomous function traces to a named human authority who answers for its conduct, consistent with Article 26.1. Autonomy never dilutes accountability.</w:t>
      </w:r>
    </w:p>
    <w:p>
      <w:pPr>
        <w:ind w:left="360"/>
      </w:pPr>
      <w:r>
        <w:t xml:space="preserve">3. Graceful degradation. Every technology operating in the Governance Area degrades gracefully: on failure, it reverts to a safe state and to the voice-and-paper baseline of Annex G.3 without external intervention.</w:t>
      </w:r>
    </w:p>
    <w:p>
      <w:pPr>
        <w:ind w:left="360"/>
      </w:pPr>
      <w:r>
        <w:t xml:space="preserve">4. Data equivalence. Sensor and data feeds from new technologies join the verification stack as inputs, subject to the same authentication, custody, and convergence rules as every other input.</w:t>
      </w:r>
    </w:p>
    <w:p>
      <w:pPr>
        <w:ind w:left="360"/>
      </w:pPr>
      <w:r>
        <w:t xml:space="preserve">5. No technological lock-in. The Council reviews the architecture's technology assumptions at each architecture review of Article 39.6 and amends technical annexes through the silence procedure of Article 20.5, so the Accord tracks the fleet it governs.</w:t>
      </w:r>
    </w:p>
    <w:p>
      <w:pPr>
        <w:pStyle w:val="Heading3"/>
      </w:pPr>
      <w:r>
        <w:t xml:space="preserve">43.3 Autonomous and remotely operated vessels</w:t>
      </w:r>
    </w:p>
    <w:p>
      <w:pPr/>
      <w:r>
        <w:t xml:space="preserve">An autonomous or remotely operated vessel transits under its class rules like any other vessel, with three additions: its notice identifies the remote-control station and the accountable officer; it carries the degraded-mode capability of Article 43.2, rule 3; and the Center logs its transits in a dedicated register so that the architecture learns from them. The register publishes annually in the State of the Strait report.</w:t>
      </w:r>
    </w:p>
    <w:p>
      <w:pPr>
        <w:pStyle w:val="Heading2"/>
      </w:pPr>
      <w:r>
        <w:t xml:space="preserve">Article 44: Institutional Succession and Organizational Continuity</w:t>
      </w:r>
    </w:p>
    <w:p>
      <w:pPr>
        <w:pStyle w:val="Heading3"/>
      </w:pPr>
      <w:r>
        <w:t xml:space="preserve">44.1 Succession of national agencies</w:t>
      </w:r>
    </w:p>
    <w:p>
      <w:pPr/>
      <w:r>
        <w:t xml:space="preserve">Where a Party reorganizes, merges, renames, or replaces a national agency that holds functions under this Accord, the successor agency inherits every function, record, and obligation by operation of this Article, and the Party notifies the depositary of the succession within 30 days. The notification publishes, and the staffing, service-delivery, and liaison tables update administratively without amendment.</w:t>
      </w:r>
    </w:p>
    <w:p>
      <w:pPr>
        <w:pStyle w:val="Heading3"/>
      </w:pPr>
      <w:r>
        <w:t xml:space="preserve">44.2 Succession of Accord organs</w:t>
      </w:r>
    </w:p>
    <w:p>
      <w:pPr/>
      <w:r>
        <w:t xml:space="preserve">Where an Accord organ reorganizes, its functions, records, and archives pass to its successor configuration intact, per the archive rule of Article 4.6 and the custody rule of Article 40.3. The Council records every such succession in the registry, and the Neutral Keel Office verifies the continuity of records at the next audit.</w:t>
      </w:r>
    </w:p>
    <w:p>
      <w:pPr>
        <w:pStyle w:val="Heading3"/>
      </w:pPr>
      <w:r>
        <w:t xml:space="preserve">44.3 Succession of external bodies</w:t>
      </w:r>
    </w:p>
    <w:p>
      <w:pPr/>
      <w:r>
        <w:t xml:space="preserve">Where an external body named in this Accord reorganizes or succeeds, including the International Maritime Organization, the International Hydrographic Organization, the International Atomic Energy Agency, and the Permanent Court of Arbitration, the reference reads to its lawful successor, and the depositary notes the succession without amendment. The rule keeps the text stable across institutional generations, consistent with the Nofade Guarantee.</w:t>
      </w:r>
    </w:p>
    <w:p>
      <w:pPr>
        <w:pStyle w:val="Heading3"/>
      </w:pPr>
      <w:r>
        <w:t xml:space="preserve">44.4 Knowledge continuity</w:t>
      </w:r>
    </w:p>
    <w:p>
      <w:pPr/>
      <w:r>
        <w:t xml:space="preserve">Every organ maintains a standing succession file: current delegations, credentials, procedures, and recovery contacts, refreshed quarterly and held under the dual-copy rule. The succession file guarantees that a successor officer, agency, or government picks up the architecture whole, on the first day, without negotiation.</w:t>
      </w:r>
    </w:p>
    <w:tbl>
      <w:tblPr>
        <w:tblW w:w="5000" w:type="pct"/>
        <w:tblBorders>
          <w:top w:val="single" w:color="B0BEC5" w:sz="2"/>
          <w:left w:val="single" w:color="37474F" w:sz="18"/>
          <w:bottom w:val="single" w:color="B0BEC5" w:sz="2"/>
          <w:right w:val="single" w:color="B0BEC5" w:sz="2"/>
        </w:tblBorders>
        <w:tblCellMar>
          <w:top w:w="140" w:type="dxa"/>
          <w:left w:w="200" w:type="dxa"/>
          <w:bottom w:w="140" w:type="dxa"/>
          <w:right w:w="160" w:type="dxa"/>
        </w:tblCellMar>
      </w:tblPr>
      <w:tblGrid>
        <w:gridCol w:w="9010"/>
      </w:tblGrid>
      <w:tr>
        <w:tc>
          <w:tcPr>
            <w:tcW w:w="9010" w:type="dxa"/>
            <w:shd w:val="clear" w:fill="ECEFF1"/>
          </w:tcPr>
          <w:p>
            <w:pPr>
              <w:spacing w:after="0" w:line="300" w:lineRule="auto"/>
            </w:pPr>
            <w:r>
              <w:rPr>
                <w:i/>
              </w:rPr>
              <w:t xml:space="preserve">Design rationale for the resilience and neutrality articles. The Parties add continuity, technological neutrality, and succession rules because institutions fail, technologies turn over, and governments change on schedules that no treaty controls. An architecture that assumes stable institutions writes its own obituary; an architecture that assumes today's technology becomes a museum. These articles therefore treat failure, obsolescence, and succession as normal operating conditions, and they make the Accord's survival independent of every factor the Accord cannot command.</w:t>
            </w:r>
          </w:p>
        </w:tc>
      </w:tr>
    </w:tbl>
    <w:p>
      <w:pPr>
        <w:pStyle w:val="Heading1"/>
      </w:pPr>
      <w:r>
        <w:t xml:space="preserve">Annex A: Corridor Coordinates and Geometry Registry</w:t>
      </w:r>
    </w:p>
    <w:p>
      <w:pPr/>
      <w:r>
        <w:t xml:space="preserve">This Annex states the operative geometry of the Accord. All positions use WGS-84. The Neutral Administrator holds the master register; the Meridian Operations Center publishes the derived chartlets; the International Hydrographic Organization receives every edition.</w:t>
      </w:r>
    </w:p>
    <w:p>
      <w:pPr>
        <w:pStyle w:val="Heading3"/>
      </w:pPr>
      <w:r>
        <w:t xml:space="preserve">A.1 Governance Area boundary</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3003"/>
        <w:gridCol w:w="3003"/>
        <w:gridCol w:w="3004"/>
      </w:tblGrid>
      <w:tr>
        <w:trPr>
          <w:tblHeader/>
        </w:trPr>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Vertex</w:t>
            </w:r>
          </w:p>
        </w:tc>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Latitude (N)</w:t>
            </w:r>
          </w:p>
        </w:tc>
        <w:tc>
          <w:tcPr>
            <w:tcW w:w="3004" w:type="dxa"/>
            <w:tcBorders>
              <w:bottom w:val="single" w:color="546E7A" w:sz="6"/>
            </w:tcBorders>
            <w:shd w:val="clear" w:fill="E4E9EC"/>
          </w:tcPr>
          <w:p>
            <w:pPr>
              <w:spacing w:after="0" w:line="260" w:lineRule="auto"/>
              <w:jc w:val="left"/>
            </w:pPr>
            <w:r>
              <w:rPr>
                <w:rFonts w:ascii="Calibri" w:hAnsi="Calibri"/>
                <w:b/>
                <w:color w:val="37474F"/>
                <w:sz w:val="19"/>
              </w:rPr>
              <w:t xml:space="preserve">Longitude (E)</w:t>
            </w:r>
          </w:p>
        </w:tc>
      </w:tr>
      <w:tr>
        <w:tc>
          <w:tcPr>
            <w:tcW w:w="3003" w:type="dxa"/>
          </w:tcPr>
          <w:p>
            <w:pPr>
              <w:spacing w:after="0" w:line="260" w:lineRule="auto"/>
              <w:jc w:val="left"/>
            </w:pPr>
            <w:r>
              <w:rPr>
                <w:rFonts w:ascii="Calibri" w:hAnsi="Calibri"/>
                <w:color w:val="212121"/>
                <w:sz w:val="19"/>
              </w:rPr>
              <w:t xml:space="preserve">GA-01</w:t>
            </w:r>
          </w:p>
        </w:tc>
        <w:tc>
          <w:tcPr>
            <w:tcW w:w="3003" w:type="dxa"/>
          </w:tcPr>
          <w:p>
            <w:pPr>
              <w:spacing w:after="0" w:line="260" w:lineRule="auto"/>
              <w:jc w:val="left"/>
            </w:pPr>
            <w:r>
              <w:rPr>
                <w:rFonts w:ascii="Calibri" w:hAnsi="Calibri"/>
                <w:color w:val="212121"/>
                <w:sz w:val="19"/>
              </w:rPr>
              <w:t xml:space="preserve">26 degrees 45.0 minutes</w:t>
            </w:r>
          </w:p>
        </w:tc>
        <w:tc>
          <w:tcPr>
            <w:tcW w:w="3004" w:type="dxa"/>
          </w:tcPr>
          <w:p>
            <w:pPr>
              <w:spacing w:after="0" w:line="260" w:lineRule="auto"/>
              <w:jc w:val="left"/>
            </w:pPr>
            <w:r>
              <w:rPr>
                <w:rFonts w:ascii="Calibri" w:hAnsi="Calibri"/>
                <w:color w:val="212121"/>
                <w:sz w:val="19"/>
              </w:rPr>
              <w:t xml:space="preserve">056 degrees 50.0 minutes</w:t>
            </w:r>
          </w:p>
        </w:tc>
      </w:tr>
      <w:tr>
        <w:tc>
          <w:tcPr>
            <w:tcW w:w="3003" w:type="dxa"/>
          </w:tcPr>
          <w:p>
            <w:pPr>
              <w:spacing w:after="0" w:line="260" w:lineRule="auto"/>
              <w:jc w:val="left"/>
            </w:pPr>
            <w:r>
              <w:rPr>
                <w:rFonts w:ascii="Calibri" w:hAnsi="Calibri"/>
                <w:color w:val="212121"/>
                <w:sz w:val="19"/>
              </w:rPr>
              <w:t xml:space="preserve">GA-02</w:t>
            </w:r>
          </w:p>
        </w:tc>
        <w:tc>
          <w:tcPr>
            <w:tcW w:w="3003" w:type="dxa"/>
          </w:tcPr>
          <w:p>
            <w:pPr>
              <w:spacing w:after="0" w:line="260" w:lineRule="auto"/>
              <w:jc w:val="left"/>
            </w:pPr>
            <w:r>
              <w:rPr>
                <w:rFonts w:ascii="Calibri" w:hAnsi="Calibri"/>
                <w:color w:val="212121"/>
                <w:sz w:val="19"/>
              </w:rPr>
              <w:t xml:space="preserve">26 degrees 20.0 minutes</w:t>
            </w:r>
          </w:p>
        </w:tc>
        <w:tc>
          <w:tcPr>
            <w:tcW w:w="3004" w:type="dxa"/>
          </w:tcPr>
          <w:p>
            <w:pPr>
              <w:spacing w:after="0" w:line="260" w:lineRule="auto"/>
              <w:jc w:val="left"/>
            </w:pPr>
            <w:r>
              <w:rPr>
                <w:rFonts w:ascii="Calibri" w:hAnsi="Calibri"/>
                <w:color w:val="212121"/>
                <w:sz w:val="19"/>
              </w:rPr>
              <w:t xml:space="preserve">056 degrees 55.0 minutes</w:t>
            </w:r>
          </w:p>
        </w:tc>
      </w:tr>
      <w:tr>
        <w:tc>
          <w:tcPr>
            <w:tcW w:w="3003" w:type="dxa"/>
          </w:tcPr>
          <w:p>
            <w:pPr>
              <w:spacing w:after="0" w:line="260" w:lineRule="auto"/>
              <w:jc w:val="left"/>
            </w:pPr>
            <w:r>
              <w:rPr>
                <w:rFonts w:ascii="Calibri" w:hAnsi="Calibri"/>
                <w:color w:val="212121"/>
                <w:sz w:val="19"/>
              </w:rPr>
              <w:t xml:space="preserve">GA-03</w:t>
            </w:r>
          </w:p>
        </w:tc>
        <w:tc>
          <w:tcPr>
            <w:tcW w:w="3003" w:type="dxa"/>
          </w:tcPr>
          <w:p>
            <w:pPr>
              <w:spacing w:after="0" w:line="260" w:lineRule="auto"/>
              <w:jc w:val="left"/>
            </w:pPr>
            <w:r>
              <w:rPr>
                <w:rFonts w:ascii="Calibri" w:hAnsi="Calibri"/>
                <w:color w:val="212121"/>
                <w:sz w:val="19"/>
              </w:rPr>
              <w:t xml:space="preserve">25 degrees 58.0 minutes</w:t>
            </w:r>
          </w:p>
        </w:tc>
        <w:tc>
          <w:tcPr>
            <w:tcW w:w="3004" w:type="dxa"/>
          </w:tcPr>
          <w:p>
            <w:pPr>
              <w:spacing w:after="0" w:line="260" w:lineRule="auto"/>
              <w:jc w:val="left"/>
            </w:pPr>
            <w:r>
              <w:rPr>
                <w:rFonts w:ascii="Calibri" w:hAnsi="Calibri"/>
                <w:color w:val="212121"/>
                <w:sz w:val="19"/>
              </w:rPr>
              <w:t xml:space="preserve">057 degrees 00.0 minutes</w:t>
            </w:r>
          </w:p>
        </w:tc>
      </w:tr>
      <w:tr>
        <w:tc>
          <w:tcPr>
            <w:tcW w:w="3003" w:type="dxa"/>
          </w:tcPr>
          <w:p>
            <w:pPr>
              <w:spacing w:after="0" w:line="260" w:lineRule="auto"/>
              <w:jc w:val="left"/>
            </w:pPr>
            <w:r>
              <w:rPr>
                <w:rFonts w:ascii="Calibri" w:hAnsi="Calibri"/>
                <w:color w:val="212121"/>
                <w:sz w:val="19"/>
              </w:rPr>
              <w:t xml:space="preserve">GA-04</w:t>
            </w:r>
          </w:p>
        </w:tc>
        <w:tc>
          <w:tcPr>
            <w:tcW w:w="3003" w:type="dxa"/>
          </w:tcPr>
          <w:p>
            <w:pPr>
              <w:spacing w:after="0" w:line="260" w:lineRule="auto"/>
              <w:jc w:val="left"/>
            </w:pPr>
            <w:r>
              <w:rPr>
                <w:rFonts w:ascii="Calibri" w:hAnsi="Calibri"/>
                <w:color w:val="212121"/>
                <w:sz w:val="19"/>
              </w:rPr>
              <w:t xml:space="preserve">25 degrees 56.0 minutes</w:t>
            </w:r>
          </w:p>
        </w:tc>
        <w:tc>
          <w:tcPr>
            <w:tcW w:w="3004" w:type="dxa"/>
          </w:tcPr>
          <w:p>
            <w:pPr>
              <w:spacing w:after="0" w:line="260" w:lineRule="auto"/>
              <w:jc w:val="left"/>
            </w:pPr>
            <w:r>
              <w:rPr>
                <w:rFonts w:ascii="Calibri" w:hAnsi="Calibri"/>
                <w:color w:val="212121"/>
                <w:sz w:val="19"/>
              </w:rPr>
              <w:t xml:space="preserve">056 degrees 30.0 minutes</w:t>
            </w:r>
          </w:p>
        </w:tc>
      </w:tr>
      <w:tr>
        <w:tc>
          <w:tcPr>
            <w:tcW w:w="3003" w:type="dxa"/>
          </w:tcPr>
          <w:p>
            <w:pPr>
              <w:spacing w:after="0" w:line="260" w:lineRule="auto"/>
              <w:jc w:val="left"/>
            </w:pPr>
            <w:r>
              <w:rPr>
                <w:rFonts w:ascii="Calibri" w:hAnsi="Calibri"/>
                <w:color w:val="212121"/>
                <w:sz w:val="19"/>
              </w:rPr>
              <w:t xml:space="preserve">GA-05</w:t>
            </w:r>
          </w:p>
        </w:tc>
        <w:tc>
          <w:tcPr>
            <w:tcW w:w="3003" w:type="dxa"/>
          </w:tcPr>
          <w:p>
            <w:pPr>
              <w:spacing w:after="0" w:line="260" w:lineRule="auto"/>
              <w:jc w:val="left"/>
            </w:pPr>
            <w:r>
              <w:rPr>
                <w:rFonts w:ascii="Calibri" w:hAnsi="Calibri"/>
                <w:color w:val="212121"/>
                <w:sz w:val="19"/>
              </w:rPr>
              <w:t xml:space="preserve">26 degrees 10.0 minutes</w:t>
            </w:r>
          </w:p>
        </w:tc>
        <w:tc>
          <w:tcPr>
            <w:tcW w:w="3004" w:type="dxa"/>
          </w:tcPr>
          <w:p>
            <w:pPr>
              <w:spacing w:after="0" w:line="260" w:lineRule="auto"/>
              <w:jc w:val="left"/>
            </w:pPr>
            <w:r>
              <w:rPr>
                <w:rFonts w:ascii="Calibri" w:hAnsi="Calibri"/>
                <w:color w:val="212121"/>
                <w:sz w:val="19"/>
              </w:rPr>
              <w:t xml:space="preserve">056 degrees 10.0 minutes</w:t>
            </w:r>
          </w:p>
        </w:tc>
      </w:tr>
      <w:tr>
        <w:tc>
          <w:tcPr>
            <w:tcW w:w="3003" w:type="dxa"/>
          </w:tcPr>
          <w:p>
            <w:pPr>
              <w:spacing w:after="0" w:line="260" w:lineRule="auto"/>
              <w:jc w:val="left"/>
            </w:pPr>
            <w:r>
              <w:rPr>
                <w:rFonts w:ascii="Calibri" w:hAnsi="Calibri"/>
                <w:color w:val="212121"/>
                <w:sz w:val="19"/>
              </w:rPr>
              <w:t xml:space="preserve">GA-06</w:t>
            </w:r>
          </w:p>
        </w:tc>
        <w:tc>
          <w:tcPr>
            <w:tcW w:w="3003" w:type="dxa"/>
          </w:tcPr>
          <w:p>
            <w:pPr>
              <w:spacing w:after="0" w:line="260" w:lineRule="auto"/>
              <w:jc w:val="left"/>
            </w:pPr>
            <w:r>
              <w:rPr>
                <w:rFonts w:ascii="Calibri" w:hAnsi="Calibri"/>
                <w:color w:val="212121"/>
                <w:sz w:val="19"/>
              </w:rPr>
              <w:t xml:space="preserve">26 degrees 05.0 minutes</w:t>
            </w:r>
          </w:p>
        </w:tc>
        <w:tc>
          <w:tcPr>
            <w:tcW w:w="3004" w:type="dxa"/>
          </w:tcPr>
          <w:p>
            <w:pPr>
              <w:spacing w:after="0" w:line="260" w:lineRule="auto"/>
              <w:jc w:val="left"/>
            </w:pPr>
            <w:r>
              <w:rPr>
                <w:rFonts w:ascii="Calibri" w:hAnsi="Calibri"/>
                <w:color w:val="212121"/>
                <w:sz w:val="19"/>
              </w:rPr>
              <w:t xml:space="preserve">055 degrees 30.0 minutes</w:t>
            </w:r>
          </w:p>
        </w:tc>
      </w:tr>
      <w:tr>
        <w:tc>
          <w:tcPr>
            <w:tcW w:w="3003" w:type="dxa"/>
          </w:tcPr>
          <w:p>
            <w:pPr>
              <w:spacing w:after="0" w:line="260" w:lineRule="auto"/>
              <w:jc w:val="left"/>
            </w:pPr>
            <w:r>
              <w:rPr>
                <w:rFonts w:ascii="Calibri" w:hAnsi="Calibri"/>
                <w:color w:val="212121"/>
                <w:sz w:val="19"/>
              </w:rPr>
              <w:t xml:space="preserve">GA-07</w:t>
            </w:r>
          </w:p>
        </w:tc>
        <w:tc>
          <w:tcPr>
            <w:tcW w:w="3003" w:type="dxa"/>
          </w:tcPr>
          <w:p>
            <w:pPr>
              <w:spacing w:after="0" w:line="260" w:lineRule="auto"/>
              <w:jc w:val="left"/>
            </w:pPr>
            <w:r>
              <w:rPr>
                <w:rFonts w:ascii="Calibri" w:hAnsi="Calibri"/>
                <w:color w:val="212121"/>
                <w:sz w:val="19"/>
              </w:rPr>
              <w:t xml:space="preserve">26 degrees 30.0 minutes</w:t>
            </w:r>
          </w:p>
        </w:tc>
        <w:tc>
          <w:tcPr>
            <w:tcW w:w="3004" w:type="dxa"/>
          </w:tcPr>
          <w:p>
            <w:pPr>
              <w:spacing w:after="0" w:line="260" w:lineRule="auto"/>
              <w:jc w:val="left"/>
            </w:pPr>
            <w:r>
              <w:rPr>
                <w:rFonts w:ascii="Calibri" w:hAnsi="Calibri"/>
                <w:color w:val="212121"/>
                <w:sz w:val="19"/>
              </w:rPr>
              <w:t xml:space="preserve">055 degrees 30.0 minutes</w:t>
            </w:r>
          </w:p>
        </w:tc>
      </w:tr>
      <w:tr>
        <w:tc>
          <w:tcPr>
            <w:tcW w:w="3003" w:type="dxa"/>
          </w:tcPr>
          <w:p>
            <w:pPr>
              <w:spacing w:after="0" w:line="260" w:lineRule="auto"/>
              <w:jc w:val="left"/>
            </w:pPr>
            <w:r>
              <w:rPr>
                <w:rFonts w:ascii="Calibri" w:hAnsi="Calibri"/>
                <w:color w:val="212121"/>
                <w:sz w:val="19"/>
              </w:rPr>
              <w:t xml:space="preserve">GA-08</w:t>
            </w:r>
          </w:p>
        </w:tc>
        <w:tc>
          <w:tcPr>
            <w:tcW w:w="3003" w:type="dxa"/>
          </w:tcPr>
          <w:p>
            <w:pPr>
              <w:spacing w:after="0" w:line="260" w:lineRule="auto"/>
              <w:jc w:val="left"/>
            </w:pPr>
            <w:r>
              <w:rPr>
                <w:rFonts w:ascii="Calibri" w:hAnsi="Calibri"/>
                <w:color w:val="212121"/>
                <w:sz w:val="19"/>
              </w:rPr>
              <w:t xml:space="preserve">26 degrees 55.0 minutes</w:t>
            </w:r>
          </w:p>
        </w:tc>
        <w:tc>
          <w:tcPr>
            <w:tcW w:w="3004" w:type="dxa"/>
          </w:tcPr>
          <w:p>
            <w:pPr>
              <w:spacing w:after="0" w:line="260" w:lineRule="auto"/>
              <w:jc w:val="left"/>
            </w:pPr>
            <w:r>
              <w:rPr>
                <w:rFonts w:ascii="Calibri" w:hAnsi="Calibri"/>
                <w:color w:val="212121"/>
                <w:sz w:val="19"/>
              </w:rPr>
              <w:t xml:space="preserve">055 degrees 45.0 minutes</w:t>
            </w:r>
          </w:p>
        </w:tc>
      </w:tr>
      <w:tr>
        <w:tc>
          <w:tcPr>
            <w:tcW w:w="3003" w:type="dxa"/>
          </w:tcPr>
          <w:p>
            <w:pPr>
              <w:spacing w:after="0" w:line="260" w:lineRule="auto"/>
              <w:jc w:val="left"/>
            </w:pPr>
            <w:r>
              <w:rPr>
                <w:rFonts w:ascii="Calibri" w:hAnsi="Calibri"/>
                <w:color w:val="212121"/>
                <w:sz w:val="19"/>
              </w:rPr>
              <w:t xml:space="preserve">GA-09</w:t>
            </w:r>
          </w:p>
        </w:tc>
        <w:tc>
          <w:tcPr>
            <w:tcW w:w="3003" w:type="dxa"/>
          </w:tcPr>
          <w:p>
            <w:pPr>
              <w:spacing w:after="0" w:line="260" w:lineRule="auto"/>
              <w:jc w:val="left"/>
            </w:pPr>
            <w:r>
              <w:rPr>
                <w:rFonts w:ascii="Calibri" w:hAnsi="Calibri"/>
                <w:color w:val="212121"/>
                <w:sz w:val="19"/>
              </w:rPr>
              <w:t xml:space="preserve">27 degrees 05.0 minutes</w:t>
            </w:r>
          </w:p>
        </w:tc>
        <w:tc>
          <w:tcPr>
            <w:tcW w:w="3004" w:type="dxa"/>
          </w:tcPr>
          <w:p>
            <w:pPr>
              <w:spacing w:after="0" w:line="260" w:lineRule="auto"/>
              <w:jc w:val="left"/>
            </w:pPr>
            <w:r>
              <w:rPr>
                <w:rFonts w:ascii="Calibri" w:hAnsi="Calibri"/>
                <w:color w:val="212121"/>
                <w:sz w:val="19"/>
              </w:rPr>
              <w:t xml:space="preserve">056 degrees 10.0 minutes</w:t>
            </w:r>
          </w:p>
        </w:tc>
      </w:tr>
      <w:tr>
        <w:tc>
          <w:tcPr>
            <w:tcW w:w="3003" w:type="dxa"/>
          </w:tcPr>
          <w:p>
            <w:pPr>
              <w:spacing w:after="0" w:line="260" w:lineRule="auto"/>
              <w:jc w:val="left"/>
            </w:pPr>
            <w:r>
              <w:rPr>
                <w:rFonts w:ascii="Calibri" w:hAnsi="Calibri"/>
                <w:color w:val="212121"/>
                <w:sz w:val="19"/>
              </w:rPr>
              <w:t xml:space="preserve">GA-10</w:t>
            </w:r>
          </w:p>
        </w:tc>
        <w:tc>
          <w:tcPr>
            <w:tcW w:w="3003" w:type="dxa"/>
          </w:tcPr>
          <w:p>
            <w:pPr>
              <w:spacing w:after="0" w:line="260" w:lineRule="auto"/>
              <w:jc w:val="left"/>
            </w:pPr>
            <w:r>
              <w:rPr>
                <w:rFonts w:ascii="Calibri" w:hAnsi="Calibri"/>
                <w:color w:val="212121"/>
                <w:sz w:val="19"/>
              </w:rPr>
              <w:t xml:space="preserve">27 degrees 00.0 minutes</w:t>
            </w:r>
          </w:p>
        </w:tc>
        <w:tc>
          <w:tcPr>
            <w:tcW w:w="3004" w:type="dxa"/>
          </w:tcPr>
          <w:p>
            <w:pPr>
              <w:spacing w:after="0" w:line="260" w:lineRule="auto"/>
              <w:jc w:val="left"/>
            </w:pPr>
            <w:r>
              <w:rPr>
                <w:rFonts w:ascii="Calibri" w:hAnsi="Calibri"/>
                <w:color w:val="212121"/>
                <w:sz w:val="19"/>
              </w:rPr>
              <w:t xml:space="preserve">056 degrees 35.0 minutes</w:t>
            </w:r>
          </w:p>
        </w:tc>
      </w:tr>
      <w:tr>
        <w:tc>
          <w:tcPr>
            <w:tcW w:w="3003" w:type="dxa"/>
          </w:tcPr>
          <w:p>
            <w:pPr>
              <w:spacing w:after="0" w:line="260" w:lineRule="auto"/>
              <w:jc w:val="left"/>
            </w:pPr>
            <w:r>
              <w:rPr>
                <w:rFonts w:ascii="Calibri" w:hAnsi="Calibri"/>
                <w:color w:val="212121"/>
                <w:sz w:val="19"/>
              </w:rPr>
              <w:t xml:space="preserve">GA-11</w:t>
            </w:r>
          </w:p>
        </w:tc>
        <w:tc>
          <w:tcPr>
            <w:tcW w:w="3003" w:type="dxa"/>
          </w:tcPr>
          <w:p>
            <w:pPr>
              <w:spacing w:after="0" w:line="260" w:lineRule="auto"/>
              <w:jc w:val="left"/>
            </w:pPr>
            <w:r>
              <w:rPr>
                <w:rFonts w:ascii="Calibri" w:hAnsi="Calibri"/>
                <w:color w:val="212121"/>
                <w:sz w:val="19"/>
              </w:rPr>
              <w:t xml:space="preserve">26 degrees 55.0 minutes</w:t>
            </w:r>
          </w:p>
        </w:tc>
        <w:tc>
          <w:tcPr>
            <w:tcW w:w="3004" w:type="dxa"/>
          </w:tcPr>
          <w:p>
            <w:pPr>
              <w:spacing w:after="0" w:line="260" w:lineRule="auto"/>
              <w:jc w:val="left"/>
            </w:pPr>
            <w:r>
              <w:rPr>
                <w:rFonts w:ascii="Calibri" w:hAnsi="Calibri"/>
                <w:color w:val="212121"/>
                <w:sz w:val="19"/>
              </w:rPr>
              <w:t xml:space="preserve">056 degrees 45.0 minutes</w:t>
            </w:r>
          </w:p>
        </w:tc>
      </w:tr>
      <w:tr>
        <w:tc>
          <w:tcPr>
            <w:tcW w:w="3003" w:type="dxa"/>
          </w:tcPr>
          <w:p>
            <w:pPr>
              <w:spacing w:after="0" w:line="260" w:lineRule="auto"/>
              <w:jc w:val="left"/>
            </w:pPr>
            <w:r>
              <w:rPr>
                <w:rFonts w:ascii="Calibri" w:hAnsi="Calibri"/>
                <w:color w:val="212121"/>
                <w:sz w:val="19"/>
              </w:rPr>
              <w:t xml:space="preserve">GA-12</w:t>
            </w:r>
          </w:p>
        </w:tc>
        <w:tc>
          <w:tcPr>
            <w:tcW w:w="3003" w:type="dxa"/>
          </w:tcPr>
          <w:p>
            <w:pPr>
              <w:spacing w:after="0" w:line="260" w:lineRule="auto"/>
              <w:jc w:val="left"/>
            </w:pPr>
            <w:r>
              <w:rPr>
                <w:rFonts w:ascii="Calibri" w:hAnsi="Calibri"/>
                <w:color w:val="212121"/>
                <w:sz w:val="19"/>
              </w:rPr>
              <w:t xml:space="preserve">26 degrees 45.0 minutes</w:t>
            </w:r>
          </w:p>
        </w:tc>
        <w:tc>
          <w:tcPr>
            <w:tcW w:w="3004" w:type="dxa"/>
          </w:tcPr>
          <w:p>
            <w:pPr>
              <w:spacing w:after="0" w:line="260" w:lineRule="auto"/>
              <w:jc w:val="left"/>
            </w:pPr>
            <w:r>
              <w:rPr>
                <w:rFonts w:ascii="Calibri" w:hAnsi="Calibri"/>
                <w:color w:val="212121"/>
                <w:sz w:val="19"/>
              </w:rPr>
              <w:t xml:space="preserve">056 degrees 50.0 minutes</w:t>
            </w:r>
          </w:p>
        </w:tc>
      </w:tr>
    </w:tbl>
    <w:p>
      <w:pPr>
        <w:spacing w:after="60"/>
      </w:pPr>
    </w:p>
    <w:p>
      <w:pPr>
        <w:pStyle w:val="Caption"/>
      </w:pPr>
      <w:r>
        <w:t xml:space="preserve">Table A.1: Governance Area boundary polygon, closed at GA-12</w:t>
      </w:r>
    </w:p>
    <w:p>
      <w:pPr>
        <w:pStyle w:val="Heading3"/>
      </w:pPr>
      <w:r>
        <w:t xml:space="preserve">A.2 Corridor One waypoints (Southern Assurance Corridor)</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2252"/>
        <w:gridCol w:w="2252"/>
        <w:gridCol w:w="2252"/>
        <w:gridCol w:w="2254"/>
      </w:tblGrid>
      <w:tr>
        <w:trPr>
          <w:tblHeader/>
        </w:trPr>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Waypoint</w:t>
            </w:r>
          </w:p>
        </w:tc>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Latitude (N)</w:t>
            </w:r>
          </w:p>
        </w:tc>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Longitude (E)</w:t>
            </w:r>
          </w:p>
        </w:tc>
        <w:tc>
          <w:tcPr>
            <w:tcW w:w="2254" w:type="dxa"/>
            <w:tcBorders>
              <w:bottom w:val="single" w:color="546E7A" w:sz="6"/>
            </w:tcBorders>
            <w:shd w:val="clear" w:fill="E4E9EC"/>
          </w:tcPr>
          <w:p>
            <w:pPr>
              <w:spacing w:after="0" w:line="260" w:lineRule="auto"/>
              <w:jc w:val="left"/>
            </w:pPr>
            <w:r>
              <w:rPr>
                <w:rFonts w:ascii="Calibri" w:hAnsi="Calibri"/>
                <w:b/>
                <w:color w:val="37474F"/>
                <w:sz w:val="19"/>
              </w:rPr>
              <w:t xml:space="preserve">Function</w:t>
            </w:r>
          </w:p>
        </w:tc>
      </w:tr>
      <w:tr>
        <w:tc>
          <w:tcPr>
            <w:tcW w:w="2252" w:type="dxa"/>
          </w:tcPr>
          <w:p>
            <w:pPr>
              <w:spacing w:after="0" w:line="260" w:lineRule="auto"/>
              <w:jc w:val="left"/>
            </w:pPr>
            <w:r>
              <w:rPr>
                <w:rFonts w:ascii="Calibri" w:hAnsi="Calibri"/>
                <w:color w:val="212121"/>
                <w:sz w:val="19"/>
              </w:rPr>
              <w:t xml:space="preserve">S-1</w:t>
            </w:r>
          </w:p>
        </w:tc>
        <w:tc>
          <w:tcPr>
            <w:tcW w:w="2252" w:type="dxa"/>
          </w:tcPr>
          <w:p>
            <w:pPr>
              <w:spacing w:after="0" w:line="260" w:lineRule="auto"/>
              <w:jc w:val="left"/>
            </w:pPr>
            <w:r>
              <w:rPr>
                <w:rFonts w:ascii="Calibri" w:hAnsi="Calibri"/>
                <w:color w:val="212121"/>
                <w:sz w:val="19"/>
              </w:rPr>
              <w:t xml:space="preserve">26 degrees 38.0 minutes</w:t>
            </w:r>
          </w:p>
        </w:tc>
        <w:tc>
          <w:tcPr>
            <w:tcW w:w="2252" w:type="dxa"/>
          </w:tcPr>
          <w:p>
            <w:pPr>
              <w:spacing w:after="0" w:line="260" w:lineRule="auto"/>
              <w:jc w:val="left"/>
            </w:pPr>
            <w:r>
              <w:rPr>
                <w:rFonts w:ascii="Calibri" w:hAnsi="Calibri"/>
                <w:color w:val="212121"/>
                <w:sz w:val="19"/>
              </w:rPr>
              <w:t xml:space="preserve">056 degrees 52.0 minutes</w:t>
            </w:r>
          </w:p>
        </w:tc>
        <w:tc>
          <w:tcPr>
            <w:tcW w:w="2254" w:type="dxa"/>
          </w:tcPr>
          <w:p>
            <w:pPr>
              <w:spacing w:after="0" w:line="260" w:lineRule="auto"/>
              <w:jc w:val="left"/>
            </w:pPr>
            <w:r>
              <w:rPr>
                <w:rFonts w:ascii="Calibri" w:hAnsi="Calibri"/>
                <w:color w:val="212121"/>
                <w:sz w:val="19"/>
              </w:rPr>
              <w:t xml:space="preserve">Eastern entry, precautionary zone east edge</w:t>
            </w:r>
          </w:p>
        </w:tc>
      </w:tr>
      <w:tr>
        <w:tc>
          <w:tcPr>
            <w:tcW w:w="2252" w:type="dxa"/>
          </w:tcPr>
          <w:p>
            <w:pPr>
              <w:spacing w:after="0" w:line="260" w:lineRule="auto"/>
              <w:jc w:val="left"/>
            </w:pPr>
            <w:r>
              <w:rPr>
                <w:rFonts w:ascii="Calibri" w:hAnsi="Calibri"/>
                <w:color w:val="212121"/>
                <w:sz w:val="19"/>
              </w:rPr>
              <w:t xml:space="preserve">S-2</w:t>
            </w:r>
          </w:p>
        </w:tc>
        <w:tc>
          <w:tcPr>
            <w:tcW w:w="2252" w:type="dxa"/>
          </w:tcPr>
          <w:p>
            <w:pPr>
              <w:spacing w:after="0" w:line="260" w:lineRule="auto"/>
              <w:jc w:val="left"/>
            </w:pPr>
            <w:r>
              <w:rPr>
                <w:rFonts w:ascii="Calibri" w:hAnsi="Calibri"/>
                <w:color w:val="212121"/>
                <w:sz w:val="19"/>
              </w:rPr>
              <w:t xml:space="preserve">26 degrees 32.0 minutes</w:t>
            </w:r>
          </w:p>
        </w:tc>
        <w:tc>
          <w:tcPr>
            <w:tcW w:w="2252" w:type="dxa"/>
          </w:tcPr>
          <w:p>
            <w:pPr>
              <w:spacing w:after="0" w:line="260" w:lineRule="auto"/>
              <w:jc w:val="left"/>
            </w:pPr>
            <w:r>
              <w:rPr>
                <w:rFonts w:ascii="Calibri" w:hAnsi="Calibri"/>
                <w:color w:val="212121"/>
                <w:sz w:val="19"/>
              </w:rPr>
              <w:t xml:space="preserve">056 degrees 40.0 minutes</w:t>
            </w:r>
          </w:p>
        </w:tc>
        <w:tc>
          <w:tcPr>
            <w:tcW w:w="2254" w:type="dxa"/>
          </w:tcPr>
          <w:p>
            <w:pPr>
              <w:spacing w:after="0" w:line="260" w:lineRule="auto"/>
              <w:jc w:val="left"/>
            </w:pPr>
            <w:r>
              <w:rPr>
                <w:rFonts w:ascii="Calibri" w:hAnsi="Calibri"/>
                <w:color w:val="212121"/>
                <w:sz w:val="19"/>
              </w:rPr>
              <w:t xml:space="preserve">Reporting point Charlie</w:t>
            </w:r>
          </w:p>
        </w:tc>
      </w:tr>
      <w:tr>
        <w:tc>
          <w:tcPr>
            <w:tcW w:w="2252" w:type="dxa"/>
          </w:tcPr>
          <w:p>
            <w:pPr>
              <w:spacing w:after="0" w:line="260" w:lineRule="auto"/>
              <w:jc w:val="left"/>
            </w:pPr>
            <w:r>
              <w:rPr>
                <w:rFonts w:ascii="Calibri" w:hAnsi="Calibri"/>
                <w:color w:val="212121"/>
                <w:sz w:val="19"/>
              </w:rPr>
              <w:t xml:space="preserve">S-3</w:t>
            </w:r>
          </w:p>
        </w:tc>
        <w:tc>
          <w:tcPr>
            <w:tcW w:w="2252" w:type="dxa"/>
          </w:tcPr>
          <w:p>
            <w:pPr>
              <w:spacing w:after="0" w:line="260" w:lineRule="auto"/>
              <w:jc w:val="left"/>
            </w:pPr>
            <w:r>
              <w:rPr>
                <w:rFonts w:ascii="Calibri" w:hAnsi="Calibri"/>
                <w:color w:val="212121"/>
                <w:sz w:val="19"/>
              </w:rPr>
              <w:t xml:space="preserve">26 degrees 28.0 minutes</w:t>
            </w:r>
          </w:p>
        </w:tc>
        <w:tc>
          <w:tcPr>
            <w:tcW w:w="2252" w:type="dxa"/>
          </w:tcPr>
          <w:p>
            <w:pPr>
              <w:spacing w:after="0" w:line="260" w:lineRule="auto"/>
              <w:jc w:val="left"/>
            </w:pPr>
            <w:r>
              <w:rPr>
                <w:rFonts w:ascii="Calibri" w:hAnsi="Calibri"/>
                <w:color w:val="212121"/>
                <w:sz w:val="19"/>
              </w:rPr>
              <w:t xml:space="preserve">056 degrees 20.0 minutes</w:t>
            </w:r>
          </w:p>
        </w:tc>
        <w:tc>
          <w:tcPr>
            <w:tcW w:w="2254" w:type="dxa"/>
          </w:tcPr>
          <w:p>
            <w:pPr>
              <w:spacing w:after="0" w:line="260" w:lineRule="auto"/>
              <w:jc w:val="left"/>
            </w:pPr>
            <w:r>
              <w:rPr>
                <w:rFonts w:ascii="Calibri" w:hAnsi="Calibri"/>
                <w:color w:val="212121"/>
                <w:sz w:val="19"/>
              </w:rPr>
              <w:t xml:space="preserve">Mid-passage reporting point Delta</w:t>
            </w:r>
          </w:p>
        </w:tc>
      </w:tr>
      <w:tr>
        <w:tc>
          <w:tcPr>
            <w:tcW w:w="2252" w:type="dxa"/>
          </w:tcPr>
          <w:p>
            <w:pPr>
              <w:spacing w:after="0" w:line="260" w:lineRule="auto"/>
              <w:jc w:val="left"/>
            </w:pPr>
            <w:r>
              <w:rPr>
                <w:rFonts w:ascii="Calibri" w:hAnsi="Calibri"/>
                <w:color w:val="212121"/>
                <w:sz w:val="19"/>
              </w:rPr>
              <w:t xml:space="preserve">S-4</w:t>
            </w:r>
          </w:p>
        </w:tc>
        <w:tc>
          <w:tcPr>
            <w:tcW w:w="2252" w:type="dxa"/>
          </w:tcPr>
          <w:p>
            <w:pPr>
              <w:spacing w:after="0" w:line="260" w:lineRule="auto"/>
              <w:jc w:val="left"/>
            </w:pPr>
            <w:r>
              <w:rPr>
                <w:rFonts w:ascii="Calibri" w:hAnsi="Calibri"/>
                <w:color w:val="212121"/>
                <w:sz w:val="19"/>
              </w:rPr>
              <w:t xml:space="preserve">26 degrees 26.0 minutes</w:t>
            </w:r>
          </w:p>
        </w:tc>
        <w:tc>
          <w:tcPr>
            <w:tcW w:w="2252" w:type="dxa"/>
          </w:tcPr>
          <w:p>
            <w:pPr>
              <w:spacing w:after="0" w:line="260" w:lineRule="auto"/>
              <w:jc w:val="left"/>
            </w:pPr>
            <w:r>
              <w:rPr>
                <w:rFonts w:ascii="Calibri" w:hAnsi="Calibri"/>
                <w:color w:val="212121"/>
                <w:sz w:val="19"/>
              </w:rPr>
              <w:t xml:space="preserve">056 degrees 00.0 minutes</w:t>
            </w:r>
          </w:p>
        </w:tc>
        <w:tc>
          <w:tcPr>
            <w:tcW w:w="2254" w:type="dxa"/>
          </w:tcPr>
          <w:p>
            <w:pPr>
              <w:spacing w:after="0" w:line="260" w:lineRule="auto"/>
              <w:jc w:val="left"/>
            </w:pPr>
            <w:r>
              <w:rPr>
                <w:rFonts w:ascii="Calibri" w:hAnsi="Calibri"/>
                <w:color w:val="212121"/>
                <w:sz w:val="19"/>
              </w:rPr>
              <w:t xml:space="preserve">Crossing sector Kilo south edge</w:t>
            </w:r>
          </w:p>
        </w:tc>
      </w:tr>
      <w:tr>
        <w:tc>
          <w:tcPr>
            <w:tcW w:w="2252" w:type="dxa"/>
          </w:tcPr>
          <w:p>
            <w:pPr>
              <w:spacing w:after="0" w:line="260" w:lineRule="auto"/>
              <w:jc w:val="left"/>
            </w:pPr>
            <w:r>
              <w:rPr>
                <w:rFonts w:ascii="Calibri" w:hAnsi="Calibri"/>
                <w:color w:val="212121"/>
                <w:sz w:val="19"/>
              </w:rPr>
              <w:t xml:space="preserve">S-5</w:t>
            </w:r>
          </w:p>
        </w:tc>
        <w:tc>
          <w:tcPr>
            <w:tcW w:w="2252" w:type="dxa"/>
          </w:tcPr>
          <w:p>
            <w:pPr>
              <w:spacing w:after="0" w:line="260" w:lineRule="auto"/>
              <w:jc w:val="left"/>
            </w:pPr>
            <w:r>
              <w:rPr>
                <w:rFonts w:ascii="Calibri" w:hAnsi="Calibri"/>
                <w:color w:val="212121"/>
                <w:sz w:val="19"/>
              </w:rPr>
              <w:t xml:space="preserve">26 degrees 24.5 minutes</w:t>
            </w:r>
          </w:p>
        </w:tc>
        <w:tc>
          <w:tcPr>
            <w:tcW w:w="2252" w:type="dxa"/>
          </w:tcPr>
          <w:p>
            <w:pPr>
              <w:spacing w:after="0" w:line="260" w:lineRule="auto"/>
              <w:jc w:val="left"/>
            </w:pPr>
            <w:r>
              <w:rPr>
                <w:rFonts w:ascii="Calibri" w:hAnsi="Calibri"/>
                <w:color w:val="212121"/>
                <w:sz w:val="19"/>
              </w:rPr>
              <w:t xml:space="preserve">055 degrees 48.0 minutes</w:t>
            </w:r>
          </w:p>
        </w:tc>
        <w:tc>
          <w:tcPr>
            <w:tcW w:w="2254" w:type="dxa"/>
          </w:tcPr>
          <w:p>
            <w:pPr>
              <w:spacing w:after="0" w:line="260" w:lineRule="auto"/>
              <w:jc w:val="left"/>
            </w:pPr>
            <w:r>
              <w:rPr>
                <w:rFonts w:ascii="Calibri" w:hAnsi="Calibri"/>
                <w:color w:val="212121"/>
                <w:sz w:val="19"/>
              </w:rPr>
              <w:t xml:space="preserve">Reporting point Echo</w:t>
            </w:r>
          </w:p>
        </w:tc>
      </w:tr>
      <w:tr>
        <w:tc>
          <w:tcPr>
            <w:tcW w:w="2252" w:type="dxa"/>
          </w:tcPr>
          <w:p>
            <w:pPr>
              <w:spacing w:after="0" w:line="260" w:lineRule="auto"/>
              <w:jc w:val="left"/>
            </w:pPr>
            <w:r>
              <w:rPr>
                <w:rFonts w:ascii="Calibri" w:hAnsi="Calibri"/>
                <w:color w:val="212121"/>
                <w:sz w:val="19"/>
              </w:rPr>
              <w:t xml:space="preserve">S-6</w:t>
            </w:r>
          </w:p>
        </w:tc>
        <w:tc>
          <w:tcPr>
            <w:tcW w:w="2252" w:type="dxa"/>
          </w:tcPr>
          <w:p>
            <w:pPr>
              <w:spacing w:after="0" w:line="260" w:lineRule="auto"/>
              <w:jc w:val="left"/>
            </w:pPr>
            <w:r>
              <w:rPr>
                <w:rFonts w:ascii="Calibri" w:hAnsi="Calibri"/>
                <w:color w:val="212121"/>
                <w:sz w:val="19"/>
              </w:rPr>
              <w:t xml:space="preserve">26 degrees 24.0 minutes</w:t>
            </w:r>
          </w:p>
        </w:tc>
        <w:tc>
          <w:tcPr>
            <w:tcW w:w="2252" w:type="dxa"/>
          </w:tcPr>
          <w:p>
            <w:pPr>
              <w:spacing w:after="0" w:line="260" w:lineRule="auto"/>
              <w:jc w:val="left"/>
            </w:pPr>
            <w:r>
              <w:rPr>
                <w:rFonts w:ascii="Calibri" w:hAnsi="Calibri"/>
                <w:color w:val="212121"/>
                <w:sz w:val="19"/>
              </w:rPr>
              <w:t xml:space="preserve">055 degrees 38.0 minutes</w:t>
            </w:r>
          </w:p>
        </w:tc>
        <w:tc>
          <w:tcPr>
            <w:tcW w:w="2254" w:type="dxa"/>
          </w:tcPr>
          <w:p>
            <w:pPr>
              <w:spacing w:after="0" w:line="260" w:lineRule="auto"/>
              <w:jc w:val="left"/>
            </w:pPr>
            <w:r>
              <w:rPr>
                <w:rFonts w:ascii="Calibri" w:hAnsi="Calibri"/>
                <w:color w:val="212121"/>
                <w:sz w:val="19"/>
              </w:rPr>
              <w:t xml:space="preserve">Western exit, precautionary zone west edge</w:t>
            </w:r>
          </w:p>
        </w:tc>
      </w:tr>
    </w:tbl>
    <w:p>
      <w:pPr>
        <w:spacing w:after="60"/>
      </w:pPr>
    </w:p>
    <w:p>
      <w:pPr>
        <w:pStyle w:val="Caption"/>
      </w:pPr>
      <w:r>
        <w:t xml:space="preserve">Table A.2: Corridor One centerline; lanes 2.0 nautical miles wide each side of centerline, 1.0 nautical mile separation zone</w:t>
      </w:r>
    </w:p>
    <w:p>
      <w:pPr>
        <w:pStyle w:val="Heading3"/>
      </w:pPr>
      <w:r>
        <w:t xml:space="preserve">A.3 Corridor Two waypoints (Northern Coordination Corridor)</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2252"/>
        <w:gridCol w:w="2252"/>
        <w:gridCol w:w="2252"/>
        <w:gridCol w:w="2254"/>
      </w:tblGrid>
      <w:tr>
        <w:trPr>
          <w:tblHeader/>
        </w:trPr>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Waypoint</w:t>
            </w:r>
          </w:p>
        </w:tc>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Latitude (N)</w:t>
            </w:r>
          </w:p>
        </w:tc>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Longitude (E)</w:t>
            </w:r>
          </w:p>
        </w:tc>
        <w:tc>
          <w:tcPr>
            <w:tcW w:w="2254" w:type="dxa"/>
            <w:tcBorders>
              <w:bottom w:val="single" w:color="546E7A" w:sz="6"/>
            </w:tcBorders>
            <w:shd w:val="clear" w:fill="E4E9EC"/>
          </w:tcPr>
          <w:p>
            <w:pPr>
              <w:spacing w:after="0" w:line="260" w:lineRule="auto"/>
              <w:jc w:val="left"/>
            </w:pPr>
            <w:r>
              <w:rPr>
                <w:rFonts w:ascii="Calibri" w:hAnsi="Calibri"/>
                <w:b/>
                <w:color w:val="37474F"/>
                <w:sz w:val="19"/>
              </w:rPr>
              <w:t xml:space="preserve">Function</w:t>
            </w:r>
          </w:p>
        </w:tc>
      </w:tr>
      <w:tr>
        <w:tc>
          <w:tcPr>
            <w:tcW w:w="2252" w:type="dxa"/>
          </w:tcPr>
          <w:p>
            <w:pPr>
              <w:spacing w:after="0" w:line="260" w:lineRule="auto"/>
              <w:jc w:val="left"/>
            </w:pPr>
            <w:r>
              <w:rPr>
                <w:rFonts w:ascii="Calibri" w:hAnsi="Calibri"/>
                <w:color w:val="212121"/>
                <w:sz w:val="19"/>
              </w:rPr>
              <w:t xml:space="preserve">N-1</w:t>
            </w:r>
          </w:p>
        </w:tc>
        <w:tc>
          <w:tcPr>
            <w:tcW w:w="2252" w:type="dxa"/>
          </w:tcPr>
          <w:p>
            <w:pPr>
              <w:spacing w:after="0" w:line="260" w:lineRule="auto"/>
              <w:jc w:val="left"/>
            </w:pPr>
            <w:r>
              <w:rPr>
                <w:rFonts w:ascii="Calibri" w:hAnsi="Calibri"/>
                <w:color w:val="212121"/>
                <w:sz w:val="19"/>
              </w:rPr>
              <w:t xml:space="preserve">26 degrees 50.0 minutes</w:t>
            </w:r>
          </w:p>
        </w:tc>
        <w:tc>
          <w:tcPr>
            <w:tcW w:w="2252" w:type="dxa"/>
          </w:tcPr>
          <w:p>
            <w:pPr>
              <w:spacing w:after="0" w:line="260" w:lineRule="auto"/>
              <w:jc w:val="left"/>
            </w:pPr>
            <w:r>
              <w:rPr>
                <w:rFonts w:ascii="Calibri" w:hAnsi="Calibri"/>
                <w:color w:val="212121"/>
                <w:sz w:val="19"/>
              </w:rPr>
              <w:t xml:space="preserve">056 degrees 44.0 minutes</w:t>
            </w:r>
          </w:p>
        </w:tc>
        <w:tc>
          <w:tcPr>
            <w:tcW w:w="2254" w:type="dxa"/>
          </w:tcPr>
          <w:p>
            <w:pPr>
              <w:spacing w:after="0" w:line="260" w:lineRule="auto"/>
              <w:jc w:val="left"/>
            </w:pPr>
            <w:r>
              <w:rPr>
                <w:rFonts w:ascii="Calibri" w:hAnsi="Calibri"/>
                <w:color w:val="212121"/>
                <w:sz w:val="19"/>
              </w:rPr>
              <w:t xml:space="preserve">Eastern entry</w:t>
            </w:r>
          </w:p>
        </w:tc>
      </w:tr>
      <w:tr>
        <w:tc>
          <w:tcPr>
            <w:tcW w:w="2252" w:type="dxa"/>
          </w:tcPr>
          <w:p>
            <w:pPr>
              <w:spacing w:after="0" w:line="260" w:lineRule="auto"/>
              <w:jc w:val="left"/>
            </w:pPr>
            <w:r>
              <w:rPr>
                <w:rFonts w:ascii="Calibri" w:hAnsi="Calibri"/>
                <w:color w:val="212121"/>
                <w:sz w:val="19"/>
              </w:rPr>
              <w:t xml:space="preserve">N-2</w:t>
            </w:r>
          </w:p>
        </w:tc>
        <w:tc>
          <w:tcPr>
            <w:tcW w:w="2252" w:type="dxa"/>
          </w:tcPr>
          <w:p>
            <w:pPr>
              <w:spacing w:after="0" w:line="260" w:lineRule="auto"/>
              <w:jc w:val="left"/>
            </w:pPr>
            <w:r>
              <w:rPr>
                <w:rFonts w:ascii="Calibri" w:hAnsi="Calibri"/>
                <w:color w:val="212121"/>
                <w:sz w:val="19"/>
              </w:rPr>
              <w:t xml:space="preserve">26 degrees 48.0 minutes</w:t>
            </w:r>
          </w:p>
        </w:tc>
        <w:tc>
          <w:tcPr>
            <w:tcW w:w="2252" w:type="dxa"/>
          </w:tcPr>
          <w:p>
            <w:pPr>
              <w:spacing w:after="0" w:line="260" w:lineRule="auto"/>
              <w:jc w:val="left"/>
            </w:pPr>
            <w:r>
              <w:rPr>
                <w:rFonts w:ascii="Calibri" w:hAnsi="Calibri"/>
                <w:color w:val="212121"/>
                <w:sz w:val="19"/>
              </w:rPr>
              <w:t xml:space="preserve">056 degrees 30.0 minutes</w:t>
            </w:r>
          </w:p>
        </w:tc>
        <w:tc>
          <w:tcPr>
            <w:tcW w:w="2254" w:type="dxa"/>
          </w:tcPr>
          <w:p>
            <w:pPr>
              <w:spacing w:after="0" w:line="260" w:lineRule="auto"/>
              <w:jc w:val="left"/>
            </w:pPr>
            <w:r>
              <w:rPr>
                <w:rFonts w:ascii="Calibri" w:hAnsi="Calibri"/>
                <w:color w:val="212121"/>
                <w:sz w:val="19"/>
              </w:rPr>
              <w:t xml:space="preserve">Reporting point November</w:t>
            </w:r>
          </w:p>
        </w:tc>
      </w:tr>
      <w:tr>
        <w:tc>
          <w:tcPr>
            <w:tcW w:w="2252" w:type="dxa"/>
          </w:tcPr>
          <w:p>
            <w:pPr>
              <w:spacing w:after="0" w:line="260" w:lineRule="auto"/>
              <w:jc w:val="left"/>
            </w:pPr>
            <w:r>
              <w:rPr>
                <w:rFonts w:ascii="Calibri" w:hAnsi="Calibri"/>
                <w:color w:val="212121"/>
                <w:sz w:val="19"/>
              </w:rPr>
              <w:t xml:space="preserve">N-3</w:t>
            </w:r>
          </w:p>
        </w:tc>
        <w:tc>
          <w:tcPr>
            <w:tcW w:w="2252" w:type="dxa"/>
          </w:tcPr>
          <w:p>
            <w:pPr>
              <w:spacing w:after="0" w:line="260" w:lineRule="auto"/>
              <w:jc w:val="left"/>
            </w:pPr>
            <w:r>
              <w:rPr>
                <w:rFonts w:ascii="Calibri" w:hAnsi="Calibri"/>
                <w:color w:val="212121"/>
                <w:sz w:val="19"/>
              </w:rPr>
              <w:t xml:space="preserve">26 degrees 46.0 minutes</w:t>
            </w:r>
          </w:p>
        </w:tc>
        <w:tc>
          <w:tcPr>
            <w:tcW w:w="2252" w:type="dxa"/>
          </w:tcPr>
          <w:p>
            <w:pPr>
              <w:spacing w:after="0" w:line="260" w:lineRule="auto"/>
              <w:jc w:val="left"/>
            </w:pPr>
            <w:r>
              <w:rPr>
                <w:rFonts w:ascii="Calibri" w:hAnsi="Calibri"/>
                <w:color w:val="212121"/>
                <w:sz w:val="19"/>
              </w:rPr>
              <w:t xml:space="preserve">056 degrees 10.0 minutes</w:t>
            </w:r>
          </w:p>
        </w:tc>
        <w:tc>
          <w:tcPr>
            <w:tcW w:w="2254" w:type="dxa"/>
          </w:tcPr>
          <w:p>
            <w:pPr>
              <w:spacing w:after="0" w:line="260" w:lineRule="auto"/>
              <w:jc w:val="left"/>
            </w:pPr>
            <w:r>
              <w:rPr>
                <w:rFonts w:ascii="Calibri" w:hAnsi="Calibri"/>
                <w:color w:val="212121"/>
                <w:sz w:val="19"/>
              </w:rPr>
              <w:t xml:space="preserve">Larak south abeam; pilot station advisory</w:t>
            </w:r>
          </w:p>
        </w:tc>
      </w:tr>
      <w:tr>
        <w:tc>
          <w:tcPr>
            <w:tcW w:w="2252" w:type="dxa"/>
          </w:tcPr>
          <w:p>
            <w:pPr>
              <w:spacing w:after="0" w:line="260" w:lineRule="auto"/>
              <w:jc w:val="left"/>
            </w:pPr>
            <w:r>
              <w:rPr>
                <w:rFonts w:ascii="Calibri" w:hAnsi="Calibri"/>
                <w:color w:val="212121"/>
                <w:sz w:val="19"/>
              </w:rPr>
              <w:t xml:space="preserve">N-4</w:t>
            </w:r>
          </w:p>
        </w:tc>
        <w:tc>
          <w:tcPr>
            <w:tcW w:w="2252" w:type="dxa"/>
          </w:tcPr>
          <w:p>
            <w:pPr>
              <w:spacing w:after="0" w:line="260" w:lineRule="auto"/>
              <w:jc w:val="left"/>
            </w:pPr>
            <w:r>
              <w:rPr>
                <w:rFonts w:ascii="Calibri" w:hAnsi="Calibri"/>
                <w:color w:val="212121"/>
                <w:sz w:val="19"/>
              </w:rPr>
              <w:t xml:space="preserve">26 degrees 44.0 minutes</w:t>
            </w:r>
          </w:p>
        </w:tc>
        <w:tc>
          <w:tcPr>
            <w:tcW w:w="2252" w:type="dxa"/>
          </w:tcPr>
          <w:p>
            <w:pPr>
              <w:spacing w:after="0" w:line="260" w:lineRule="auto"/>
              <w:jc w:val="left"/>
            </w:pPr>
            <w:r>
              <w:rPr>
                <w:rFonts w:ascii="Calibri" w:hAnsi="Calibri"/>
                <w:color w:val="212121"/>
                <w:sz w:val="19"/>
              </w:rPr>
              <w:t xml:space="preserve">055 degrees 55.0 minutes</w:t>
            </w:r>
          </w:p>
        </w:tc>
        <w:tc>
          <w:tcPr>
            <w:tcW w:w="2254" w:type="dxa"/>
          </w:tcPr>
          <w:p>
            <w:pPr>
              <w:spacing w:after="0" w:line="260" w:lineRule="auto"/>
              <w:jc w:val="left"/>
            </w:pPr>
            <w:r>
              <w:rPr>
                <w:rFonts w:ascii="Calibri" w:hAnsi="Calibri"/>
                <w:color w:val="212121"/>
                <w:sz w:val="19"/>
              </w:rPr>
              <w:t xml:space="preserve">Reporting point Oscar</w:t>
            </w:r>
          </w:p>
        </w:tc>
      </w:tr>
      <w:tr>
        <w:tc>
          <w:tcPr>
            <w:tcW w:w="2252" w:type="dxa"/>
          </w:tcPr>
          <w:p>
            <w:pPr>
              <w:spacing w:after="0" w:line="260" w:lineRule="auto"/>
              <w:jc w:val="left"/>
            </w:pPr>
            <w:r>
              <w:rPr>
                <w:rFonts w:ascii="Calibri" w:hAnsi="Calibri"/>
                <w:color w:val="212121"/>
                <w:sz w:val="19"/>
              </w:rPr>
              <w:t xml:space="preserve">N-5</w:t>
            </w:r>
          </w:p>
        </w:tc>
        <w:tc>
          <w:tcPr>
            <w:tcW w:w="2252" w:type="dxa"/>
          </w:tcPr>
          <w:p>
            <w:pPr>
              <w:spacing w:after="0" w:line="260" w:lineRule="auto"/>
              <w:jc w:val="left"/>
            </w:pPr>
            <w:r>
              <w:rPr>
                <w:rFonts w:ascii="Calibri" w:hAnsi="Calibri"/>
                <w:color w:val="212121"/>
                <w:sz w:val="19"/>
              </w:rPr>
              <w:t xml:space="preserve">26 degrees 41.5 minutes</w:t>
            </w:r>
          </w:p>
        </w:tc>
        <w:tc>
          <w:tcPr>
            <w:tcW w:w="2252" w:type="dxa"/>
          </w:tcPr>
          <w:p>
            <w:pPr>
              <w:spacing w:after="0" w:line="260" w:lineRule="auto"/>
              <w:jc w:val="left"/>
            </w:pPr>
            <w:r>
              <w:rPr>
                <w:rFonts w:ascii="Calibri" w:hAnsi="Calibri"/>
                <w:color w:val="212121"/>
                <w:sz w:val="19"/>
              </w:rPr>
              <w:t xml:space="preserve">055 degrees 42.0 minutes</w:t>
            </w:r>
          </w:p>
        </w:tc>
        <w:tc>
          <w:tcPr>
            <w:tcW w:w="2254" w:type="dxa"/>
          </w:tcPr>
          <w:p>
            <w:pPr>
              <w:spacing w:after="0" w:line="260" w:lineRule="auto"/>
              <w:jc w:val="left"/>
            </w:pPr>
            <w:r>
              <w:rPr>
                <w:rFonts w:ascii="Calibri" w:hAnsi="Calibri"/>
                <w:color w:val="212121"/>
                <w:sz w:val="19"/>
              </w:rPr>
              <w:t xml:space="preserve">Crossing sector Kilo north edge</w:t>
            </w:r>
          </w:p>
        </w:tc>
      </w:tr>
      <w:tr>
        <w:tc>
          <w:tcPr>
            <w:tcW w:w="2252" w:type="dxa"/>
          </w:tcPr>
          <w:p>
            <w:pPr>
              <w:spacing w:after="0" w:line="260" w:lineRule="auto"/>
              <w:jc w:val="left"/>
            </w:pPr>
            <w:r>
              <w:rPr>
                <w:rFonts w:ascii="Calibri" w:hAnsi="Calibri"/>
                <w:color w:val="212121"/>
                <w:sz w:val="19"/>
              </w:rPr>
              <w:t xml:space="preserve">N-6</w:t>
            </w:r>
          </w:p>
        </w:tc>
        <w:tc>
          <w:tcPr>
            <w:tcW w:w="2252" w:type="dxa"/>
          </w:tcPr>
          <w:p>
            <w:pPr>
              <w:spacing w:after="0" w:line="260" w:lineRule="auto"/>
              <w:jc w:val="left"/>
            </w:pPr>
            <w:r>
              <w:rPr>
                <w:rFonts w:ascii="Calibri" w:hAnsi="Calibri"/>
                <w:color w:val="212121"/>
                <w:sz w:val="19"/>
              </w:rPr>
              <w:t xml:space="preserve">26 degrees 40.0 minutes</w:t>
            </w:r>
          </w:p>
        </w:tc>
        <w:tc>
          <w:tcPr>
            <w:tcW w:w="2252" w:type="dxa"/>
          </w:tcPr>
          <w:p>
            <w:pPr>
              <w:spacing w:after="0" w:line="260" w:lineRule="auto"/>
              <w:jc w:val="left"/>
            </w:pPr>
            <w:r>
              <w:rPr>
                <w:rFonts w:ascii="Calibri" w:hAnsi="Calibri"/>
                <w:color w:val="212121"/>
                <w:sz w:val="19"/>
              </w:rPr>
              <w:t xml:space="preserve">055 degrees 32.0 minutes</w:t>
            </w:r>
          </w:p>
        </w:tc>
        <w:tc>
          <w:tcPr>
            <w:tcW w:w="2254" w:type="dxa"/>
          </w:tcPr>
          <w:p>
            <w:pPr>
              <w:spacing w:after="0" w:line="260" w:lineRule="auto"/>
              <w:jc w:val="left"/>
            </w:pPr>
            <w:r>
              <w:rPr>
                <w:rFonts w:ascii="Calibri" w:hAnsi="Calibri"/>
                <w:color w:val="212121"/>
                <w:sz w:val="19"/>
              </w:rPr>
              <w:t xml:space="preserve">Western exit</w:t>
            </w:r>
          </w:p>
        </w:tc>
      </w:tr>
    </w:tbl>
    <w:p>
      <w:pPr>
        <w:spacing w:after="60"/>
      </w:pPr>
    </w:p>
    <w:p>
      <w:pPr>
        <w:pStyle w:val="Caption"/>
      </w:pPr>
      <w:r>
        <w:t xml:space="preserve">Table A.3: Corridor Two centerline; lane geometry mirrors Corridor One</w:t>
      </w:r>
    </w:p>
    <w:p>
      <w:pPr>
        <w:pStyle w:val="Heading3"/>
      </w:pPr>
      <w:r>
        <w:t xml:space="preserve">A.4 Central Separation Belt</w:t>
      </w:r>
    </w:p>
    <w:p>
      <w:pPr/>
      <w:r>
        <w:t xml:space="preserve">The Belt runs between the corridor limit lines from meridian 056 degrees 45.0 minutes East to meridian 055 degrees 40.0 minutes East, nominal width 2.0 nautical miles. Crossing sectors: Kilo (056 degrees 05.0 to 055 degrees 55.0 minutes East) and Lima (055 degrees 45.0 to 055 degrees 38.0 minutes East).</w:t>
      </w:r>
    </w:p>
    <w:p>
      <w:pPr>
        <w:pStyle w:val="Heading3"/>
      </w:pPr>
      <w:r>
        <w:t xml:space="preserve">A.5 Precautionary zones</w:t>
      </w:r>
    </w:p>
    <w:p>
      <w:pPr/>
      <w:r>
        <w:t xml:space="preserve">Eastern precautionary zone: circle of 6.0 nautical miles radius centered 26 degrees 33.0 minutes North, 056 degrees 56.0 minutes East. Western precautionary zone: circle of 6.0 nautical miles radius centered 26 degrees 24.0 minutes North, 055 degrees 34.0 minutes East. Vessels maneuver with heightened caution inside the zones; the Center sequences entries during Managed Flow from the zones.</w:t>
      </w:r>
    </w:p>
    <w:p>
      <w:pPr>
        <w:pStyle w:val="Heading3"/>
      </w:pPr>
      <w:r>
        <w:t xml:space="preserve">A.6 Holding anchorages</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2252"/>
        <w:gridCol w:w="2252"/>
        <w:gridCol w:w="2252"/>
        <w:gridCol w:w="2254"/>
      </w:tblGrid>
      <w:tr>
        <w:trPr>
          <w:tblHeader/>
        </w:trPr>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Anchorage</w:t>
            </w:r>
          </w:p>
        </w:tc>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Position (N, E)</w:t>
            </w:r>
          </w:p>
        </w:tc>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Depth</w:t>
            </w:r>
          </w:p>
        </w:tc>
        <w:tc>
          <w:tcPr>
            <w:tcW w:w="2254" w:type="dxa"/>
            <w:tcBorders>
              <w:bottom w:val="single" w:color="546E7A" w:sz="6"/>
            </w:tcBorders>
            <w:shd w:val="clear" w:fill="E4E9EC"/>
          </w:tcPr>
          <w:p>
            <w:pPr>
              <w:spacing w:after="0" w:line="260" w:lineRule="auto"/>
              <w:jc w:val="left"/>
            </w:pPr>
            <w:r>
              <w:rPr>
                <w:rFonts w:ascii="Calibri" w:hAnsi="Calibri"/>
                <w:b/>
                <w:color w:val="37474F"/>
                <w:sz w:val="19"/>
              </w:rPr>
              <w:t xml:space="preserve">Assignment</w:t>
            </w:r>
          </w:p>
        </w:tc>
      </w:tr>
      <w:tr>
        <w:tc>
          <w:tcPr>
            <w:tcW w:w="2252" w:type="dxa"/>
          </w:tcPr>
          <w:p>
            <w:pPr>
              <w:spacing w:after="0" w:line="260" w:lineRule="auto"/>
              <w:jc w:val="left"/>
            </w:pPr>
            <w:r>
              <w:rPr>
                <w:rFonts w:ascii="Calibri" w:hAnsi="Calibri"/>
                <w:color w:val="212121"/>
                <w:sz w:val="19"/>
              </w:rPr>
              <w:t xml:space="preserve">Alpha East</w:t>
            </w:r>
          </w:p>
        </w:tc>
        <w:tc>
          <w:tcPr>
            <w:tcW w:w="2252" w:type="dxa"/>
          </w:tcPr>
          <w:p>
            <w:pPr>
              <w:spacing w:after="0" w:line="260" w:lineRule="auto"/>
              <w:jc w:val="left"/>
            </w:pPr>
            <w:r>
              <w:rPr>
                <w:rFonts w:ascii="Calibri" w:hAnsi="Calibri"/>
                <w:color w:val="212121"/>
                <w:sz w:val="19"/>
              </w:rPr>
              <w:t xml:space="preserve">26 degrees 36.0 minutes, 056 degrees 58.0 minutes</w:t>
            </w:r>
          </w:p>
        </w:tc>
        <w:tc>
          <w:tcPr>
            <w:tcW w:w="2252" w:type="dxa"/>
          </w:tcPr>
          <w:p>
            <w:pPr>
              <w:spacing w:after="0" w:line="260" w:lineRule="auto"/>
              <w:jc w:val="left"/>
            </w:pPr>
            <w:r>
              <w:rPr>
                <w:rFonts w:ascii="Calibri" w:hAnsi="Calibri"/>
                <w:color w:val="212121"/>
                <w:sz w:val="19"/>
              </w:rPr>
              <w:t xml:space="preserve">35 to 60 meters</w:t>
            </w:r>
          </w:p>
        </w:tc>
        <w:tc>
          <w:tcPr>
            <w:tcW w:w="2254" w:type="dxa"/>
          </w:tcPr>
          <w:p>
            <w:pPr>
              <w:spacing w:after="0" w:line="260" w:lineRule="auto"/>
              <w:jc w:val="left"/>
            </w:pPr>
            <w:r>
              <w:rPr>
                <w:rFonts w:ascii="Calibri" w:hAnsi="Calibri"/>
                <w:color w:val="212121"/>
                <w:sz w:val="19"/>
              </w:rPr>
              <w:t xml:space="preserve">Class H and casualty holding, eastern approach</w:t>
            </w:r>
          </w:p>
        </w:tc>
      </w:tr>
      <w:tr>
        <w:tc>
          <w:tcPr>
            <w:tcW w:w="2252" w:type="dxa"/>
          </w:tcPr>
          <w:p>
            <w:pPr>
              <w:spacing w:after="0" w:line="260" w:lineRule="auto"/>
              <w:jc w:val="left"/>
            </w:pPr>
            <w:r>
              <w:rPr>
                <w:rFonts w:ascii="Calibri" w:hAnsi="Calibri"/>
                <w:color w:val="212121"/>
                <w:sz w:val="19"/>
              </w:rPr>
              <w:t xml:space="preserve">Bravo West</w:t>
            </w:r>
          </w:p>
        </w:tc>
        <w:tc>
          <w:tcPr>
            <w:tcW w:w="2252" w:type="dxa"/>
          </w:tcPr>
          <w:p>
            <w:pPr>
              <w:spacing w:after="0" w:line="260" w:lineRule="auto"/>
              <w:jc w:val="left"/>
            </w:pPr>
            <w:r>
              <w:rPr>
                <w:rFonts w:ascii="Calibri" w:hAnsi="Calibri"/>
                <w:color w:val="212121"/>
                <w:sz w:val="19"/>
              </w:rPr>
              <w:t xml:space="preserve">26 degrees 20.0 minutes, 055 degrees 28.0 minutes</w:t>
            </w:r>
          </w:p>
        </w:tc>
        <w:tc>
          <w:tcPr>
            <w:tcW w:w="2252" w:type="dxa"/>
          </w:tcPr>
          <w:p>
            <w:pPr>
              <w:spacing w:after="0" w:line="260" w:lineRule="auto"/>
              <w:jc w:val="left"/>
            </w:pPr>
            <w:r>
              <w:rPr>
                <w:rFonts w:ascii="Calibri" w:hAnsi="Calibri"/>
                <w:color w:val="212121"/>
                <w:sz w:val="19"/>
              </w:rPr>
              <w:t xml:space="preserve">30 to 55 meters</w:t>
            </w:r>
          </w:p>
        </w:tc>
        <w:tc>
          <w:tcPr>
            <w:tcW w:w="2254" w:type="dxa"/>
          </w:tcPr>
          <w:p>
            <w:pPr>
              <w:spacing w:after="0" w:line="260" w:lineRule="auto"/>
              <w:jc w:val="left"/>
            </w:pPr>
            <w:r>
              <w:rPr>
                <w:rFonts w:ascii="Calibri" w:hAnsi="Calibri"/>
                <w:color w:val="212121"/>
                <w:sz w:val="19"/>
              </w:rPr>
              <w:t xml:space="preserve">Class H and casualty holding, western approach</w:t>
            </w:r>
          </w:p>
        </w:tc>
      </w:tr>
      <w:tr>
        <w:tc>
          <w:tcPr>
            <w:tcW w:w="2252" w:type="dxa"/>
          </w:tcPr>
          <w:p>
            <w:pPr>
              <w:spacing w:after="0" w:line="260" w:lineRule="auto"/>
              <w:jc w:val="left"/>
            </w:pPr>
            <w:r>
              <w:rPr>
                <w:rFonts w:ascii="Calibri" w:hAnsi="Calibri"/>
                <w:color w:val="212121"/>
                <w:sz w:val="19"/>
              </w:rPr>
              <w:t xml:space="preserve">Khasab Standby</w:t>
            </w:r>
          </w:p>
        </w:tc>
        <w:tc>
          <w:tcPr>
            <w:tcW w:w="2252" w:type="dxa"/>
          </w:tcPr>
          <w:p>
            <w:pPr>
              <w:spacing w:after="0" w:line="260" w:lineRule="auto"/>
              <w:jc w:val="left"/>
            </w:pPr>
            <w:r>
              <w:rPr>
                <w:rFonts w:ascii="Calibri" w:hAnsi="Calibri"/>
                <w:color w:val="212121"/>
                <w:sz w:val="19"/>
              </w:rPr>
              <w:t xml:space="preserve">26 degrees 12.0 minutes, 056 degrees 15.0 minutes</w:t>
            </w:r>
          </w:p>
        </w:tc>
        <w:tc>
          <w:tcPr>
            <w:tcW w:w="2252" w:type="dxa"/>
          </w:tcPr>
          <w:p>
            <w:pPr>
              <w:spacing w:after="0" w:line="260" w:lineRule="auto"/>
              <w:jc w:val="left"/>
            </w:pPr>
            <w:r>
              <w:rPr>
                <w:rFonts w:ascii="Calibri" w:hAnsi="Calibri"/>
                <w:color w:val="212121"/>
                <w:sz w:val="19"/>
              </w:rPr>
              <w:t xml:space="preserve">25 to 45 meters</w:t>
            </w:r>
          </w:p>
        </w:tc>
        <w:tc>
          <w:tcPr>
            <w:tcW w:w="2254" w:type="dxa"/>
          </w:tcPr>
          <w:p>
            <w:pPr>
              <w:spacing w:after="0" w:line="260" w:lineRule="auto"/>
              <w:jc w:val="left"/>
            </w:pPr>
            <w:r>
              <w:rPr>
                <w:rFonts w:ascii="Calibri" w:hAnsi="Calibri"/>
                <w:color w:val="212121"/>
                <w:sz w:val="19"/>
              </w:rPr>
              <w:t xml:space="preserve">Managed Flow sequencing, Omani side</w:t>
            </w:r>
          </w:p>
        </w:tc>
      </w:tr>
      <w:tr>
        <w:tc>
          <w:tcPr>
            <w:tcW w:w="2252" w:type="dxa"/>
          </w:tcPr>
          <w:p>
            <w:pPr>
              <w:spacing w:after="0" w:line="260" w:lineRule="auto"/>
              <w:jc w:val="left"/>
            </w:pPr>
            <w:r>
              <w:rPr>
                <w:rFonts w:ascii="Calibri" w:hAnsi="Calibri"/>
                <w:color w:val="212121"/>
                <w:sz w:val="19"/>
              </w:rPr>
              <w:t xml:space="preserve">Hengam Standby</w:t>
            </w:r>
          </w:p>
        </w:tc>
        <w:tc>
          <w:tcPr>
            <w:tcW w:w="2252" w:type="dxa"/>
          </w:tcPr>
          <w:p>
            <w:pPr>
              <w:spacing w:after="0" w:line="260" w:lineRule="auto"/>
              <w:jc w:val="left"/>
            </w:pPr>
            <w:r>
              <w:rPr>
                <w:rFonts w:ascii="Calibri" w:hAnsi="Calibri"/>
                <w:color w:val="212121"/>
                <w:sz w:val="19"/>
              </w:rPr>
              <w:t xml:space="preserve">26 degrees 42.0 minutes, 055 degrees 52.0 minutes</w:t>
            </w:r>
          </w:p>
        </w:tc>
        <w:tc>
          <w:tcPr>
            <w:tcW w:w="2252" w:type="dxa"/>
          </w:tcPr>
          <w:p>
            <w:pPr>
              <w:spacing w:after="0" w:line="260" w:lineRule="auto"/>
              <w:jc w:val="left"/>
            </w:pPr>
            <w:r>
              <w:rPr>
                <w:rFonts w:ascii="Calibri" w:hAnsi="Calibri"/>
                <w:color w:val="212121"/>
                <w:sz w:val="19"/>
              </w:rPr>
              <w:t xml:space="preserve">25 to 40 meters</w:t>
            </w:r>
          </w:p>
        </w:tc>
        <w:tc>
          <w:tcPr>
            <w:tcW w:w="2254" w:type="dxa"/>
          </w:tcPr>
          <w:p>
            <w:pPr>
              <w:spacing w:after="0" w:line="260" w:lineRule="auto"/>
              <w:jc w:val="left"/>
            </w:pPr>
            <w:r>
              <w:rPr>
                <w:rFonts w:ascii="Calibri" w:hAnsi="Calibri"/>
                <w:color w:val="212121"/>
                <w:sz w:val="19"/>
              </w:rPr>
              <w:t xml:space="preserve">Managed Flow sequencing, Iranian side</w:t>
            </w:r>
          </w:p>
        </w:tc>
      </w:tr>
    </w:tbl>
    <w:p>
      <w:pPr>
        <w:spacing w:after="60"/>
      </w:pPr>
    </w:p>
    <w:p>
      <w:pPr>
        <w:pStyle w:val="Caption"/>
      </w:pPr>
      <w:r>
        <w:t xml:space="preserve">Table A.6: Designated anchorages</w:t>
      </w:r>
    </w:p>
    <w:p>
      <w:pPr>
        <w:pStyle w:val="Heading3"/>
      </w:pPr>
      <w:r>
        <w:t xml:space="preserve">A.7 Crossing gates for Class D</w:t>
      </w:r>
    </w:p>
    <w:p>
      <w:pPr/>
      <w:r>
        <w:t xml:space="preserve">Gate One: 26 degrees 30.0 minutes North, 056 degrees 25.0 minutes East. Gate Two: 26 degrees 27.0 minutes North, 055 degrees 50.0 minutes East. Gate windows publish in the daily schedule, nominally 0500 to 0700 and 1700 to 1900 local time, with on-demand crossing by Center direction outside windows.</w:t>
      </w:r>
    </w:p>
    <w:p>
      <w:pPr>
        <w:pStyle w:val="Heading3"/>
      </w:pPr>
      <w:r>
        <w:t xml:space="preserve">A.8 Inshore local craft bands</w:t>
      </w:r>
    </w:p>
    <w:p>
      <w:pPr/>
      <w:r>
        <w:t xml:space="preserve">The bands extend 3.0 nautical miles from the baseline along the Iranian coast between Qeshm East and Sirik, and along the Musandam coast between Khasab and Lima. Class D craft operate inside the bands and cross the lanes only at the gates.</w:t>
      </w:r>
    </w:p>
    <w:p>
      <w:pPr>
        <w:pStyle w:val="Heading3"/>
      </w:pPr>
      <w:r>
        <w:t xml:space="preserve">A.9 Reporting points</w:t>
      </w:r>
    </w:p>
    <w:p>
      <w:pPr/>
      <w:r>
        <w:t xml:space="preserve">Corridor One: entry call, Charlie, Delta, Echo, exit call. Corridor Two: entry call, November, Oscar, exit call. Positions per Tables A.2 and A.3. The Center publishes the full voice procedure in the Mariners' Handbook of Annex F.</w:t>
      </w:r>
    </w:p>
    <w:p>
      <w:pPr>
        <w:pStyle w:val="Heading3"/>
      </w:pPr>
      <w:r>
        <w:t xml:space="preserve">A.10 Chart edition</w:t>
      </w:r>
    </w:p>
    <w:p>
      <w:pPr/>
      <w:r>
        <w:t xml:space="preserve">The reference chart derives from the International Hydrographic Organization's official coverage of the Strait, Accord overlay edition 1, July 2026. Edition control follows Article 7.4.</w:t>
      </w:r>
    </w:p>
    <w:p>
      <w:pPr>
        <w:pStyle w:val="Heading1"/>
      </w:pPr>
      <w:r>
        <w:t xml:space="preserve">Annex B: Vessel Classification and Treatment Matrix</w:t>
      </w:r>
    </w:p>
    <w:p>
      <w:pPr/>
      <w:r>
        <w:t xml:space="preserve">This Annex states the operative treatment matrix of Article 9. Where a vessel presents characteristics of two classes, the higher-protection class governs scheduling and the higher-friction class governs documentation, and the Center resolves the pairing within 4 hours.</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1001"/>
        <w:gridCol w:w="1001"/>
        <w:gridCol w:w="1001"/>
        <w:gridCol w:w="1001"/>
        <w:gridCol w:w="1001"/>
        <w:gridCol w:w="1001"/>
        <w:gridCol w:w="1001"/>
        <w:gridCol w:w="1001"/>
        <w:gridCol w:w="1002"/>
      </w:tblGrid>
      <w:tr>
        <w:trPr>
          <w:tblHeader/>
        </w:trPr>
        <w:tc>
          <w:tcPr>
            <w:tcW w:w="1001" w:type="dxa"/>
            <w:tcBorders>
              <w:bottom w:val="single" w:color="546E7A" w:sz="6"/>
            </w:tcBorders>
            <w:shd w:val="clear" w:fill="E4E9EC"/>
          </w:tcPr>
          <w:p>
            <w:pPr>
              <w:spacing w:after="0" w:line="260" w:lineRule="auto"/>
              <w:jc w:val="left"/>
            </w:pPr>
            <w:r>
              <w:rPr>
                <w:rFonts w:ascii="Calibri" w:hAnsi="Calibri"/>
                <w:b/>
                <w:color w:val="37474F"/>
                <w:sz w:val="19"/>
              </w:rPr>
              <w:t xml:space="preserve">Dimension</w:t>
            </w:r>
          </w:p>
        </w:tc>
        <w:tc>
          <w:tcPr>
            <w:tcW w:w="1001" w:type="dxa"/>
            <w:tcBorders>
              <w:bottom w:val="single" w:color="546E7A" w:sz="6"/>
            </w:tcBorders>
            <w:shd w:val="clear" w:fill="E4E9EC"/>
          </w:tcPr>
          <w:p>
            <w:pPr>
              <w:spacing w:after="0" w:line="260" w:lineRule="auto"/>
              <w:jc w:val="left"/>
            </w:pPr>
            <w:r>
              <w:rPr>
                <w:rFonts w:ascii="Calibri" w:hAnsi="Calibri"/>
                <w:b/>
                <w:color w:val="37474F"/>
                <w:sz w:val="19"/>
              </w:rPr>
              <w:t xml:space="preserve">A</w:t>
            </w:r>
          </w:p>
        </w:tc>
        <w:tc>
          <w:tcPr>
            <w:tcW w:w="1001" w:type="dxa"/>
            <w:tcBorders>
              <w:bottom w:val="single" w:color="546E7A" w:sz="6"/>
            </w:tcBorders>
            <w:shd w:val="clear" w:fill="E4E9EC"/>
          </w:tcPr>
          <w:p>
            <w:pPr>
              <w:spacing w:after="0" w:line="260" w:lineRule="auto"/>
              <w:jc w:val="left"/>
            </w:pPr>
            <w:r>
              <w:rPr>
                <w:rFonts w:ascii="Calibri" w:hAnsi="Calibri"/>
                <w:b/>
                <w:color w:val="37474F"/>
                <w:sz w:val="19"/>
              </w:rPr>
              <w:t xml:space="preserve">B</w:t>
            </w:r>
          </w:p>
        </w:tc>
        <w:tc>
          <w:tcPr>
            <w:tcW w:w="1001" w:type="dxa"/>
            <w:tcBorders>
              <w:bottom w:val="single" w:color="546E7A" w:sz="6"/>
            </w:tcBorders>
            <w:shd w:val="clear" w:fill="E4E9EC"/>
          </w:tcPr>
          <w:p>
            <w:pPr>
              <w:spacing w:after="0" w:line="260" w:lineRule="auto"/>
              <w:jc w:val="left"/>
            </w:pPr>
            <w:r>
              <w:rPr>
                <w:rFonts w:ascii="Calibri" w:hAnsi="Calibri"/>
                <w:b/>
                <w:color w:val="37474F"/>
                <w:sz w:val="19"/>
              </w:rPr>
              <w:t xml:space="preserve">C</w:t>
            </w:r>
          </w:p>
        </w:tc>
        <w:tc>
          <w:tcPr>
            <w:tcW w:w="1001" w:type="dxa"/>
            <w:tcBorders>
              <w:bottom w:val="single" w:color="546E7A" w:sz="6"/>
            </w:tcBorders>
            <w:shd w:val="clear" w:fill="E4E9EC"/>
          </w:tcPr>
          <w:p>
            <w:pPr>
              <w:spacing w:after="0" w:line="260" w:lineRule="auto"/>
              <w:jc w:val="left"/>
            </w:pPr>
            <w:r>
              <w:rPr>
                <w:rFonts w:ascii="Calibri" w:hAnsi="Calibri"/>
                <w:b/>
                <w:color w:val="37474F"/>
                <w:sz w:val="19"/>
              </w:rPr>
              <w:t xml:space="preserve">D</w:t>
            </w:r>
          </w:p>
        </w:tc>
        <w:tc>
          <w:tcPr>
            <w:tcW w:w="1001" w:type="dxa"/>
            <w:tcBorders>
              <w:bottom w:val="single" w:color="546E7A" w:sz="6"/>
            </w:tcBorders>
            <w:shd w:val="clear" w:fill="E4E9EC"/>
          </w:tcPr>
          <w:p>
            <w:pPr>
              <w:spacing w:after="0" w:line="260" w:lineRule="auto"/>
              <w:jc w:val="left"/>
            </w:pPr>
            <w:r>
              <w:rPr>
                <w:rFonts w:ascii="Calibri" w:hAnsi="Calibri"/>
                <w:b/>
                <w:color w:val="37474F"/>
                <w:sz w:val="19"/>
              </w:rPr>
              <w:t xml:space="preserve">E</w:t>
            </w:r>
          </w:p>
        </w:tc>
        <w:tc>
          <w:tcPr>
            <w:tcW w:w="1001" w:type="dxa"/>
            <w:tcBorders>
              <w:bottom w:val="single" w:color="546E7A" w:sz="6"/>
            </w:tcBorders>
            <w:shd w:val="clear" w:fill="E4E9EC"/>
          </w:tcPr>
          <w:p>
            <w:pPr>
              <w:spacing w:after="0" w:line="260" w:lineRule="auto"/>
              <w:jc w:val="left"/>
            </w:pPr>
            <w:r>
              <w:rPr>
                <w:rFonts w:ascii="Calibri" w:hAnsi="Calibri"/>
                <w:b/>
                <w:color w:val="37474F"/>
                <w:sz w:val="19"/>
              </w:rPr>
              <w:t xml:space="preserve">F</w:t>
            </w:r>
          </w:p>
        </w:tc>
        <w:tc>
          <w:tcPr>
            <w:tcW w:w="1001" w:type="dxa"/>
            <w:tcBorders>
              <w:bottom w:val="single" w:color="546E7A" w:sz="6"/>
            </w:tcBorders>
            <w:shd w:val="clear" w:fill="E4E9EC"/>
          </w:tcPr>
          <w:p>
            <w:pPr>
              <w:spacing w:after="0" w:line="260" w:lineRule="auto"/>
              <w:jc w:val="left"/>
            </w:pPr>
            <w:r>
              <w:rPr>
                <w:rFonts w:ascii="Calibri" w:hAnsi="Calibri"/>
                <w:b/>
                <w:color w:val="37474F"/>
                <w:sz w:val="19"/>
              </w:rPr>
              <w:t xml:space="preserve">G</w:t>
            </w:r>
          </w:p>
        </w:tc>
        <w:tc>
          <w:tcPr>
            <w:tcW w:w="1002" w:type="dxa"/>
            <w:tcBorders>
              <w:bottom w:val="single" w:color="546E7A" w:sz="6"/>
            </w:tcBorders>
            <w:shd w:val="clear" w:fill="E4E9EC"/>
          </w:tcPr>
          <w:p>
            <w:pPr>
              <w:spacing w:after="0" w:line="260" w:lineRule="auto"/>
              <w:jc w:val="left"/>
            </w:pPr>
            <w:r>
              <w:rPr>
                <w:rFonts w:ascii="Calibri" w:hAnsi="Calibri"/>
                <w:b/>
                <w:color w:val="37474F"/>
                <w:sz w:val="19"/>
              </w:rPr>
              <w:t xml:space="preserve">H</w:t>
            </w:r>
          </w:p>
        </w:tc>
      </w:tr>
      <w:tr>
        <w:tc>
          <w:tcPr>
            <w:tcW w:w="1001" w:type="dxa"/>
          </w:tcPr>
          <w:p>
            <w:pPr>
              <w:spacing w:after="0" w:line="260" w:lineRule="auto"/>
              <w:jc w:val="left"/>
            </w:pPr>
            <w:r>
              <w:rPr>
                <w:rFonts w:ascii="Calibri" w:hAnsi="Calibri"/>
                <w:color w:val="212121"/>
                <w:sz w:val="19"/>
              </w:rPr>
              <w:t xml:space="preserve">Default corridor</w:t>
            </w:r>
          </w:p>
        </w:tc>
        <w:tc>
          <w:tcPr>
            <w:tcW w:w="1001" w:type="dxa"/>
          </w:tcPr>
          <w:p>
            <w:pPr>
              <w:spacing w:after="0" w:line="260" w:lineRule="auto"/>
              <w:jc w:val="left"/>
            </w:pPr>
            <w:r>
              <w:rPr>
                <w:rFonts w:ascii="Calibri" w:hAnsi="Calibri"/>
                <w:color w:val="212121"/>
                <w:sz w:val="19"/>
              </w:rPr>
              <w:t xml:space="preserve">One</w:t>
            </w:r>
          </w:p>
        </w:tc>
        <w:tc>
          <w:tcPr>
            <w:tcW w:w="1001" w:type="dxa"/>
          </w:tcPr>
          <w:p>
            <w:pPr>
              <w:spacing w:after="0" w:line="260" w:lineRule="auto"/>
              <w:jc w:val="left"/>
            </w:pPr>
            <w:r>
              <w:rPr>
                <w:rFonts w:ascii="Calibri" w:hAnsi="Calibri"/>
                <w:color w:val="212121"/>
                <w:sz w:val="19"/>
              </w:rPr>
              <w:t xml:space="preserve">Two for Iranian terminals, else One</w:t>
            </w:r>
          </w:p>
        </w:tc>
        <w:tc>
          <w:tcPr>
            <w:tcW w:w="1001" w:type="dxa"/>
          </w:tcPr>
          <w:p>
            <w:pPr>
              <w:spacing w:after="0" w:line="260" w:lineRule="auto"/>
              <w:jc w:val="left"/>
            </w:pPr>
            <w:r>
              <w:rPr>
                <w:rFonts w:ascii="Calibri" w:hAnsi="Calibri"/>
                <w:color w:val="212121"/>
                <w:sz w:val="19"/>
              </w:rPr>
              <w:t xml:space="preserve">One</w:t>
            </w:r>
          </w:p>
        </w:tc>
        <w:tc>
          <w:tcPr>
            <w:tcW w:w="1001" w:type="dxa"/>
          </w:tcPr>
          <w:p>
            <w:pPr>
              <w:spacing w:after="0" w:line="260" w:lineRule="auto"/>
              <w:jc w:val="left"/>
            </w:pPr>
            <w:r>
              <w:rPr>
                <w:rFonts w:ascii="Calibri" w:hAnsi="Calibri"/>
                <w:color w:val="212121"/>
                <w:sz w:val="19"/>
              </w:rPr>
              <w:t xml:space="preserve">Inshore bands</w:t>
            </w:r>
          </w:p>
        </w:tc>
        <w:tc>
          <w:tcPr>
            <w:tcW w:w="1001" w:type="dxa"/>
          </w:tcPr>
          <w:p>
            <w:pPr>
              <w:spacing w:after="0" w:line="260" w:lineRule="auto"/>
              <w:jc w:val="left"/>
            </w:pPr>
            <w:r>
              <w:rPr>
                <w:rFonts w:ascii="Calibri" w:hAnsi="Calibri"/>
                <w:color w:val="212121"/>
                <w:sz w:val="19"/>
              </w:rPr>
              <w:t xml:space="preserve">Either, expedited</w:t>
            </w:r>
          </w:p>
        </w:tc>
        <w:tc>
          <w:tcPr>
            <w:tcW w:w="1001" w:type="dxa"/>
          </w:tcPr>
          <w:p>
            <w:pPr>
              <w:spacing w:after="0" w:line="260" w:lineRule="auto"/>
              <w:jc w:val="left"/>
            </w:pPr>
            <w:r>
              <w:rPr>
                <w:rFonts w:ascii="Calibri" w:hAnsi="Calibri"/>
                <w:color w:val="212121"/>
                <w:sz w:val="19"/>
              </w:rPr>
              <w:t xml:space="preserve">Notice, either</w:t>
            </w:r>
          </w:p>
        </w:tc>
        <w:tc>
          <w:tcPr>
            <w:tcW w:w="1001" w:type="dxa"/>
          </w:tcPr>
          <w:p>
            <w:pPr>
              <w:spacing w:after="0" w:line="260" w:lineRule="auto"/>
              <w:jc w:val="left"/>
            </w:pPr>
            <w:r>
              <w:rPr>
                <w:rFonts w:ascii="Calibri" w:hAnsi="Calibri"/>
                <w:color w:val="212121"/>
                <w:sz w:val="19"/>
              </w:rPr>
              <w:t xml:space="preserve">One only</w:t>
            </w:r>
          </w:p>
        </w:tc>
        <w:tc>
          <w:tcPr>
            <w:tcW w:w="1002" w:type="dxa"/>
          </w:tcPr>
          <w:p>
            <w:pPr>
              <w:spacing w:after="0" w:line="260" w:lineRule="auto"/>
              <w:jc w:val="left"/>
            </w:pPr>
            <w:r>
              <w:rPr>
                <w:rFonts w:ascii="Calibri" w:hAnsi="Calibri"/>
                <w:color w:val="212121"/>
                <w:sz w:val="19"/>
              </w:rPr>
              <w:t xml:space="preserve">Anchorage first</w:t>
            </w:r>
          </w:p>
        </w:tc>
      </w:tr>
      <w:tr>
        <w:tc>
          <w:tcPr>
            <w:tcW w:w="1001" w:type="dxa"/>
          </w:tcPr>
          <w:p>
            <w:pPr>
              <w:spacing w:after="0" w:line="260" w:lineRule="auto"/>
              <w:jc w:val="left"/>
            </w:pPr>
            <w:r>
              <w:rPr>
                <w:rFonts w:ascii="Calibri" w:hAnsi="Calibri"/>
                <w:color w:val="212121"/>
                <w:sz w:val="19"/>
              </w:rPr>
              <w:t xml:space="preserve">Advance notice</w:t>
            </w:r>
          </w:p>
        </w:tc>
        <w:tc>
          <w:tcPr>
            <w:tcW w:w="1001" w:type="dxa"/>
          </w:tcPr>
          <w:p>
            <w:pPr>
              <w:spacing w:after="0" w:line="260" w:lineRule="auto"/>
              <w:jc w:val="left"/>
            </w:pPr>
            <w:r>
              <w:rPr>
                <w:rFonts w:ascii="Calibri" w:hAnsi="Calibri"/>
                <w:color w:val="212121"/>
                <w:sz w:val="19"/>
              </w:rPr>
              <w:t xml:space="preserve">Corridor Two only, 72 to 6 hours</w:t>
            </w:r>
          </w:p>
        </w:tc>
        <w:tc>
          <w:tcPr>
            <w:tcW w:w="1001" w:type="dxa"/>
          </w:tcPr>
          <w:p>
            <w:pPr>
              <w:spacing w:after="0" w:line="260" w:lineRule="auto"/>
              <w:jc w:val="left"/>
            </w:pPr>
            <w:r>
              <w:rPr>
                <w:rFonts w:ascii="Calibri" w:hAnsi="Calibri"/>
                <w:color w:val="212121"/>
                <w:sz w:val="19"/>
              </w:rPr>
              <w:t xml:space="preserve">72 to 6 hours</w:t>
            </w:r>
          </w:p>
        </w:tc>
        <w:tc>
          <w:tcPr>
            <w:tcW w:w="1001" w:type="dxa"/>
          </w:tcPr>
          <w:p>
            <w:pPr>
              <w:spacing w:after="0" w:line="260" w:lineRule="auto"/>
              <w:jc w:val="left"/>
            </w:pPr>
            <w:r>
              <w:rPr>
                <w:rFonts w:ascii="Calibri" w:hAnsi="Calibri"/>
                <w:color w:val="212121"/>
                <w:sz w:val="19"/>
              </w:rPr>
              <w:t xml:space="preserve">Manifest 48 hours</w:t>
            </w:r>
          </w:p>
        </w:tc>
        <w:tc>
          <w:tcPr>
            <w:tcW w:w="1001" w:type="dxa"/>
          </w:tcPr>
          <w:p>
            <w:pPr>
              <w:spacing w:after="0" w:line="260" w:lineRule="auto"/>
              <w:jc w:val="left"/>
            </w:pPr>
            <w:r>
              <w:rPr>
                <w:rFonts w:ascii="Calibri" w:hAnsi="Calibri"/>
                <w:color w:val="212121"/>
                <w:sz w:val="19"/>
              </w:rPr>
              <w:t xml:space="preserve">Local registration</w:t>
            </w:r>
          </w:p>
        </w:tc>
        <w:tc>
          <w:tcPr>
            <w:tcW w:w="1001" w:type="dxa"/>
          </w:tcPr>
          <w:p>
            <w:pPr>
              <w:spacing w:after="0" w:line="260" w:lineRule="auto"/>
              <w:jc w:val="left"/>
            </w:pPr>
            <w:r>
              <w:rPr>
                <w:rFonts w:ascii="Calibri" w:hAnsi="Calibri"/>
                <w:color w:val="212121"/>
                <w:sz w:val="19"/>
              </w:rPr>
              <w:t xml:space="preserve">Immediate acknowledgment</w:t>
            </w:r>
          </w:p>
        </w:tc>
        <w:tc>
          <w:tcPr>
            <w:tcW w:w="1001" w:type="dxa"/>
          </w:tcPr>
          <w:p>
            <w:pPr>
              <w:spacing w:after="0" w:line="260" w:lineRule="auto"/>
              <w:jc w:val="left"/>
            </w:pPr>
            <w:r>
              <w:rPr>
                <w:rFonts w:ascii="Calibri" w:hAnsi="Calibri"/>
                <w:color w:val="212121"/>
                <w:sz w:val="19"/>
              </w:rPr>
              <w:t xml:space="preserve">72 hours</w:t>
            </w:r>
          </w:p>
        </w:tc>
        <w:tc>
          <w:tcPr>
            <w:tcW w:w="1001" w:type="dxa"/>
          </w:tcPr>
          <w:p>
            <w:pPr>
              <w:spacing w:after="0" w:line="260" w:lineRule="auto"/>
              <w:jc w:val="left"/>
            </w:pPr>
            <w:r>
              <w:rPr>
                <w:rFonts w:ascii="Calibri" w:hAnsi="Calibri"/>
                <w:color w:val="212121"/>
                <w:sz w:val="19"/>
              </w:rPr>
              <w:t xml:space="preserve">96 hours, military channel</w:t>
            </w:r>
          </w:p>
        </w:tc>
        <w:tc>
          <w:tcPr>
            <w:tcW w:w="1002" w:type="dxa"/>
          </w:tcPr>
          <w:p>
            <w:pPr>
              <w:spacing w:after="0" w:line="260" w:lineRule="auto"/>
              <w:jc w:val="left"/>
            </w:pPr>
            <w:r>
              <w:rPr>
                <w:rFonts w:ascii="Calibri" w:hAnsi="Calibri"/>
                <w:color w:val="212121"/>
                <w:sz w:val="19"/>
              </w:rPr>
              <w:t xml:space="preserve">Referral-based</w:t>
            </w:r>
          </w:p>
        </w:tc>
      </w:tr>
      <w:tr>
        <w:tc>
          <w:tcPr>
            <w:tcW w:w="1001" w:type="dxa"/>
          </w:tcPr>
          <w:p>
            <w:pPr>
              <w:spacing w:after="0" w:line="260" w:lineRule="auto"/>
              <w:jc w:val="left"/>
            </w:pPr>
            <w:r>
              <w:rPr>
                <w:rFonts w:ascii="Calibri" w:hAnsi="Calibri"/>
                <w:color w:val="212121"/>
                <w:sz w:val="19"/>
              </w:rPr>
              <w:t xml:space="preserve">Speed band</w:t>
            </w:r>
          </w:p>
        </w:tc>
        <w:tc>
          <w:tcPr>
            <w:tcW w:w="1001" w:type="dxa"/>
          </w:tcPr>
          <w:p>
            <w:pPr>
              <w:spacing w:after="0" w:line="260" w:lineRule="auto"/>
              <w:jc w:val="left"/>
            </w:pPr>
            <w:r>
              <w:rPr>
                <w:rFonts w:ascii="Calibri" w:hAnsi="Calibri"/>
                <w:color w:val="212121"/>
                <w:sz w:val="19"/>
              </w:rPr>
              <w:t xml:space="preserve">8 to 14 knots</w:t>
            </w:r>
          </w:p>
        </w:tc>
        <w:tc>
          <w:tcPr>
            <w:tcW w:w="1001" w:type="dxa"/>
          </w:tcPr>
          <w:p>
            <w:pPr>
              <w:spacing w:after="0" w:line="260" w:lineRule="auto"/>
              <w:jc w:val="left"/>
            </w:pPr>
            <w:r>
              <w:rPr>
                <w:rFonts w:ascii="Calibri" w:hAnsi="Calibri"/>
                <w:color w:val="212121"/>
                <w:sz w:val="19"/>
              </w:rPr>
              <w:t xml:space="preserve">8 to 14 knots</w:t>
            </w:r>
          </w:p>
        </w:tc>
        <w:tc>
          <w:tcPr>
            <w:tcW w:w="1001" w:type="dxa"/>
          </w:tcPr>
          <w:p>
            <w:pPr>
              <w:spacing w:after="0" w:line="260" w:lineRule="auto"/>
              <w:jc w:val="left"/>
            </w:pPr>
            <w:r>
              <w:rPr>
                <w:rFonts w:ascii="Calibri" w:hAnsi="Calibri"/>
                <w:color w:val="212121"/>
                <w:sz w:val="19"/>
              </w:rPr>
              <w:t xml:space="preserve">10 to 14 knots</w:t>
            </w:r>
          </w:p>
        </w:tc>
        <w:tc>
          <w:tcPr>
            <w:tcW w:w="1001" w:type="dxa"/>
          </w:tcPr>
          <w:p>
            <w:pPr>
              <w:spacing w:after="0" w:line="260" w:lineRule="auto"/>
              <w:jc w:val="left"/>
            </w:pPr>
            <w:r>
              <w:rPr>
                <w:rFonts w:ascii="Calibri" w:hAnsi="Calibri"/>
                <w:color w:val="212121"/>
                <w:sz w:val="19"/>
              </w:rPr>
              <w:t xml:space="preserve">Customary</w:t>
            </w:r>
          </w:p>
        </w:tc>
        <w:tc>
          <w:tcPr>
            <w:tcW w:w="1001" w:type="dxa"/>
          </w:tcPr>
          <w:p>
            <w:pPr>
              <w:spacing w:after="0" w:line="260" w:lineRule="auto"/>
              <w:jc w:val="left"/>
            </w:pPr>
            <w:r>
              <w:rPr>
                <w:rFonts w:ascii="Calibri" w:hAnsi="Calibri"/>
                <w:color w:val="212121"/>
                <w:sz w:val="19"/>
              </w:rPr>
              <w:t xml:space="preserve">10 to 16 knots</w:t>
            </w:r>
          </w:p>
        </w:tc>
        <w:tc>
          <w:tcPr>
            <w:tcW w:w="1001" w:type="dxa"/>
          </w:tcPr>
          <w:p>
            <w:pPr>
              <w:spacing w:after="0" w:line="260" w:lineRule="auto"/>
              <w:jc w:val="left"/>
            </w:pPr>
            <w:r>
              <w:rPr>
                <w:rFonts w:ascii="Calibri" w:hAnsi="Calibri"/>
                <w:color w:val="212121"/>
                <w:sz w:val="19"/>
              </w:rPr>
              <w:t xml:space="preserve">8 to 14 knots</w:t>
            </w:r>
          </w:p>
        </w:tc>
        <w:tc>
          <w:tcPr>
            <w:tcW w:w="1001" w:type="dxa"/>
          </w:tcPr>
          <w:p>
            <w:pPr>
              <w:spacing w:after="0" w:line="260" w:lineRule="auto"/>
              <w:jc w:val="left"/>
            </w:pPr>
            <w:r>
              <w:rPr>
                <w:rFonts w:ascii="Calibri" w:hAnsi="Calibri"/>
                <w:color w:val="212121"/>
                <w:sz w:val="19"/>
              </w:rPr>
              <w:t xml:space="preserve">10 to 14 knots</w:t>
            </w:r>
          </w:p>
        </w:tc>
        <w:tc>
          <w:tcPr>
            <w:tcW w:w="1002" w:type="dxa"/>
          </w:tcPr>
          <w:p>
            <w:pPr>
              <w:spacing w:after="0" w:line="260" w:lineRule="auto"/>
              <w:jc w:val="left"/>
            </w:pPr>
            <w:r>
              <w:rPr>
                <w:rFonts w:ascii="Calibri" w:hAnsi="Calibri"/>
                <w:color w:val="212121"/>
                <w:sz w:val="19"/>
              </w:rPr>
              <w:t xml:space="preserve">At anchor</w:t>
            </w:r>
          </w:p>
        </w:tc>
      </w:tr>
      <w:tr>
        <w:tc>
          <w:tcPr>
            <w:tcW w:w="1001" w:type="dxa"/>
          </w:tcPr>
          <w:p>
            <w:pPr>
              <w:spacing w:after="0" w:line="260" w:lineRule="auto"/>
              <w:jc w:val="left"/>
            </w:pPr>
            <w:r>
              <w:rPr>
                <w:rFonts w:ascii="Calibri" w:hAnsi="Calibri"/>
                <w:color w:val="212121"/>
                <w:sz w:val="19"/>
              </w:rPr>
              <w:t xml:space="preserve">Spacing</w:t>
            </w:r>
          </w:p>
        </w:tc>
        <w:tc>
          <w:tcPr>
            <w:tcW w:w="1001" w:type="dxa"/>
          </w:tcPr>
          <w:p>
            <w:pPr>
              <w:spacing w:after="0" w:line="260" w:lineRule="auto"/>
              <w:jc w:val="left"/>
            </w:pPr>
            <w:r>
              <w:rPr>
                <w:rFonts w:ascii="Calibri" w:hAnsi="Calibri"/>
                <w:color w:val="212121"/>
                <w:sz w:val="19"/>
              </w:rPr>
              <w:t xml:space="preserve">1 nautical mile</w:t>
            </w:r>
          </w:p>
        </w:tc>
        <w:tc>
          <w:tcPr>
            <w:tcW w:w="1001" w:type="dxa"/>
          </w:tcPr>
          <w:p>
            <w:pPr>
              <w:spacing w:after="0" w:line="260" w:lineRule="auto"/>
              <w:jc w:val="left"/>
            </w:pPr>
            <w:r>
              <w:rPr>
                <w:rFonts w:ascii="Calibri" w:hAnsi="Calibri"/>
                <w:color w:val="212121"/>
                <w:sz w:val="19"/>
              </w:rPr>
              <w:t xml:space="preserve">2 to 3 nautical miles</w:t>
            </w:r>
          </w:p>
        </w:tc>
        <w:tc>
          <w:tcPr>
            <w:tcW w:w="1001" w:type="dxa"/>
          </w:tcPr>
          <w:p>
            <w:pPr>
              <w:spacing w:after="0" w:line="260" w:lineRule="auto"/>
              <w:jc w:val="left"/>
            </w:pPr>
            <w:r>
              <w:rPr>
                <w:rFonts w:ascii="Calibri" w:hAnsi="Calibri"/>
                <w:color w:val="212121"/>
                <w:sz w:val="19"/>
              </w:rPr>
              <w:t xml:space="preserve">1.5 nautical miles</w:t>
            </w:r>
          </w:p>
        </w:tc>
        <w:tc>
          <w:tcPr>
            <w:tcW w:w="1001" w:type="dxa"/>
          </w:tcPr>
          <w:p>
            <w:pPr>
              <w:spacing w:after="0" w:line="260" w:lineRule="auto"/>
              <w:jc w:val="left"/>
            </w:pPr>
            <w:r>
              <w:rPr>
                <w:rFonts w:ascii="Calibri" w:hAnsi="Calibri"/>
                <w:color w:val="212121"/>
                <w:sz w:val="19"/>
              </w:rPr>
              <w:t xml:space="preserve">Not applicable</w:t>
            </w:r>
          </w:p>
        </w:tc>
        <w:tc>
          <w:tcPr>
            <w:tcW w:w="1001" w:type="dxa"/>
          </w:tcPr>
          <w:p>
            <w:pPr>
              <w:spacing w:after="0" w:line="260" w:lineRule="auto"/>
              <w:jc w:val="left"/>
            </w:pPr>
            <w:r>
              <w:rPr>
                <w:rFonts w:ascii="Calibri" w:hAnsi="Calibri"/>
                <w:color w:val="212121"/>
                <w:sz w:val="19"/>
              </w:rPr>
              <w:t xml:space="preserve">2 nautical miles</w:t>
            </w:r>
          </w:p>
        </w:tc>
        <w:tc>
          <w:tcPr>
            <w:tcW w:w="1001" w:type="dxa"/>
          </w:tcPr>
          <w:p>
            <w:pPr>
              <w:spacing w:after="0" w:line="260" w:lineRule="auto"/>
              <w:jc w:val="left"/>
            </w:pPr>
            <w:r>
              <w:rPr>
                <w:rFonts w:ascii="Calibri" w:hAnsi="Calibri"/>
                <w:color w:val="212121"/>
                <w:sz w:val="19"/>
              </w:rPr>
              <w:t xml:space="preserve">1 nautical mile</w:t>
            </w:r>
          </w:p>
        </w:tc>
        <w:tc>
          <w:tcPr>
            <w:tcW w:w="1001" w:type="dxa"/>
          </w:tcPr>
          <w:p>
            <w:pPr>
              <w:spacing w:after="0" w:line="260" w:lineRule="auto"/>
              <w:jc w:val="left"/>
            </w:pPr>
            <w:r>
              <w:rPr>
                <w:rFonts w:ascii="Calibri" w:hAnsi="Calibri"/>
                <w:color w:val="212121"/>
                <w:sz w:val="19"/>
              </w:rPr>
              <w:t xml:space="preserve">5 nautical miles</w:t>
            </w:r>
          </w:p>
        </w:tc>
        <w:tc>
          <w:tcPr>
            <w:tcW w:w="1002" w:type="dxa"/>
          </w:tcPr>
          <w:p>
            <w:pPr>
              <w:spacing w:after="0" w:line="260" w:lineRule="auto"/>
              <w:jc w:val="left"/>
            </w:pPr>
            <w:r>
              <w:rPr>
                <w:rFonts w:ascii="Calibri" w:hAnsi="Calibri"/>
                <w:color w:val="212121"/>
                <w:sz w:val="19"/>
              </w:rPr>
              <w:t xml:space="preserve">Not applicable</w:t>
            </w:r>
          </w:p>
        </w:tc>
      </w:tr>
      <w:tr>
        <w:tc>
          <w:tcPr>
            <w:tcW w:w="1001" w:type="dxa"/>
          </w:tcPr>
          <w:p>
            <w:pPr>
              <w:spacing w:after="0" w:line="260" w:lineRule="auto"/>
              <w:jc w:val="left"/>
            </w:pPr>
            <w:r>
              <w:rPr>
                <w:rFonts w:ascii="Calibri" w:hAnsi="Calibri"/>
                <w:color w:val="212121"/>
                <w:sz w:val="19"/>
              </w:rPr>
              <w:t xml:space="preserve">Escort eligibility</w:t>
            </w:r>
          </w:p>
        </w:tc>
        <w:tc>
          <w:tcPr>
            <w:tcW w:w="1001" w:type="dxa"/>
          </w:tcPr>
          <w:p>
            <w:pPr>
              <w:spacing w:after="0" w:line="260" w:lineRule="auto"/>
              <w:jc w:val="left"/>
            </w:pPr>
            <w:r>
              <w:rPr>
                <w:rFonts w:ascii="Calibri" w:hAnsi="Calibri"/>
                <w:color w:val="212121"/>
                <w:sz w:val="19"/>
              </w:rPr>
              <w:t xml:space="preserve">Optional</w:t>
            </w:r>
          </w:p>
        </w:tc>
        <w:tc>
          <w:tcPr>
            <w:tcW w:w="1001" w:type="dxa"/>
          </w:tcPr>
          <w:p>
            <w:pPr>
              <w:spacing w:after="0" w:line="260" w:lineRule="auto"/>
              <w:jc w:val="left"/>
            </w:pPr>
            <w:r>
              <w:rPr>
                <w:rFonts w:ascii="Calibri" w:hAnsi="Calibri"/>
                <w:color w:val="212121"/>
                <w:sz w:val="19"/>
              </w:rPr>
              <w:t xml:space="preserve">Optional, priority</w:t>
            </w:r>
          </w:p>
        </w:tc>
        <w:tc>
          <w:tcPr>
            <w:tcW w:w="1001" w:type="dxa"/>
          </w:tcPr>
          <w:p>
            <w:pPr>
              <w:spacing w:after="0" w:line="260" w:lineRule="auto"/>
              <w:jc w:val="left"/>
            </w:pPr>
            <w:r>
              <w:rPr>
                <w:rFonts w:ascii="Calibri" w:hAnsi="Calibri"/>
                <w:color w:val="212121"/>
                <w:sz w:val="19"/>
              </w:rPr>
              <w:t xml:space="preserve">Optional, priority</w:t>
            </w:r>
          </w:p>
        </w:tc>
        <w:tc>
          <w:tcPr>
            <w:tcW w:w="1001" w:type="dxa"/>
          </w:tcPr>
          <w:p>
            <w:pPr>
              <w:spacing w:after="0" w:line="260" w:lineRule="auto"/>
              <w:jc w:val="left"/>
            </w:pPr>
            <w:r>
              <w:rPr>
                <w:rFonts w:ascii="Calibri" w:hAnsi="Calibri"/>
                <w:color w:val="212121"/>
                <w:sz w:val="19"/>
              </w:rPr>
              <w:t xml:space="preserve">Not applicable</w:t>
            </w:r>
          </w:p>
        </w:tc>
        <w:tc>
          <w:tcPr>
            <w:tcW w:w="1001" w:type="dxa"/>
          </w:tcPr>
          <w:p>
            <w:pPr>
              <w:spacing w:after="0" w:line="260" w:lineRule="auto"/>
              <w:jc w:val="left"/>
            </w:pPr>
            <w:r>
              <w:rPr>
                <w:rFonts w:ascii="Calibri" w:hAnsi="Calibri"/>
                <w:color w:val="212121"/>
                <w:sz w:val="19"/>
              </w:rPr>
              <w:t xml:space="preserve">Priority</w:t>
            </w:r>
          </w:p>
        </w:tc>
        <w:tc>
          <w:tcPr>
            <w:tcW w:w="1001" w:type="dxa"/>
          </w:tcPr>
          <w:p>
            <w:pPr>
              <w:spacing w:after="0" w:line="260" w:lineRule="auto"/>
              <w:jc w:val="left"/>
            </w:pPr>
            <w:r>
              <w:rPr>
                <w:rFonts w:ascii="Calibri" w:hAnsi="Calibri"/>
                <w:color w:val="212121"/>
                <w:sz w:val="19"/>
              </w:rPr>
              <w:t xml:space="preserve">Not applicable</w:t>
            </w:r>
          </w:p>
        </w:tc>
        <w:tc>
          <w:tcPr>
            <w:tcW w:w="1001" w:type="dxa"/>
          </w:tcPr>
          <w:p>
            <w:pPr>
              <w:spacing w:after="0" w:line="260" w:lineRule="auto"/>
              <w:jc w:val="left"/>
            </w:pPr>
            <w:r>
              <w:rPr>
                <w:rFonts w:ascii="Calibri" w:hAnsi="Calibri"/>
                <w:color w:val="212121"/>
                <w:sz w:val="19"/>
              </w:rPr>
              <w:t xml:space="preserve">Not applicable</w:t>
            </w:r>
          </w:p>
        </w:tc>
        <w:tc>
          <w:tcPr>
            <w:tcW w:w="1002" w:type="dxa"/>
          </w:tcPr>
          <w:p>
            <w:pPr>
              <w:spacing w:after="0" w:line="260" w:lineRule="auto"/>
              <w:jc w:val="left"/>
            </w:pPr>
            <w:r>
              <w:rPr>
                <w:rFonts w:ascii="Calibri" w:hAnsi="Calibri"/>
                <w:color w:val="212121"/>
                <w:sz w:val="19"/>
              </w:rPr>
              <w:t xml:space="preserve">Not applicable</w:t>
            </w:r>
          </w:p>
        </w:tc>
      </w:tr>
      <w:tr>
        <w:tc>
          <w:tcPr>
            <w:tcW w:w="1001" w:type="dxa"/>
          </w:tcPr>
          <w:p>
            <w:pPr>
              <w:spacing w:after="0" w:line="260" w:lineRule="auto"/>
              <w:jc w:val="left"/>
            </w:pPr>
            <w:r>
              <w:rPr>
                <w:rFonts w:ascii="Calibri" w:hAnsi="Calibri"/>
                <w:color w:val="212121"/>
                <w:sz w:val="19"/>
              </w:rPr>
              <w:t xml:space="preserve">Observer embarkation</w:t>
            </w:r>
          </w:p>
        </w:tc>
        <w:tc>
          <w:tcPr>
            <w:tcW w:w="1001" w:type="dxa"/>
          </w:tcPr>
          <w:p>
            <w:pPr>
              <w:spacing w:after="0" w:line="260" w:lineRule="auto"/>
              <w:jc w:val="left"/>
            </w:pPr>
            <w:r>
              <w:rPr>
                <w:rFonts w:ascii="Calibri" w:hAnsi="Calibri"/>
                <w:color w:val="212121"/>
                <w:sz w:val="19"/>
              </w:rPr>
              <w:t xml:space="preserve">Registry practice</w:t>
            </w:r>
          </w:p>
        </w:tc>
        <w:tc>
          <w:tcPr>
            <w:tcW w:w="1001" w:type="dxa"/>
          </w:tcPr>
          <w:p>
            <w:pPr>
              <w:spacing w:after="0" w:line="260" w:lineRule="auto"/>
              <w:jc w:val="left"/>
            </w:pPr>
            <w:r>
              <w:rPr>
                <w:rFonts w:ascii="Calibri" w:hAnsi="Calibri"/>
                <w:color w:val="212121"/>
                <w:sz w:val="19"/>
              </w:rPr>
              <w:t xml:space="preserve">Registry practice</w:t>
            </w:r>
          </w:p>
        </w:tc>
        <w:tc>
          <w:tcPr>
            <w:tcW w:w="1001" w:type="dxa"/>
          </w:tcPr>
          <w:p>
            <w:pPr>
              <w:spacing w:after="0" w:line="260" w:lineRule="auto"/>
              <w:jc w:val="left"/>
            </w:pPr>
            <w:r>
              <w:rPr>
                <w:rFonts w:ascii="Calibri" w:hAnsi="Calibri"/>
                <w:color w:val="212121"/>
                <w:sz w:val="19"/>
              </w:rPr>
              <w:t xml:space="preserve">Registry practice</w:t>
            </w:r>
          </w:p>
        </w:tc>
        <w:tc>
          <w:tcPr>
            <w:tcW w:w="1001" w:type="dxa"/>
          </w:tcPr>
          <w:p>
            <w:pPr>
              <w:spacing w:after="0" w:line="260" w:lineRule="auto"/>
              <w:jc w:val="left"/>
            </w:pPr>
            <w:r>
              <w:rPr>
                <w:rFonts w:ascii="Calibri" w:hAnsi="Calibri"/>
                <w:color w:val="212121"/>
                <w:sz w:val="19"/>
              </w:rPr>
              <w:t xml:space="preserve">Not applicable</w:t>
            </w:r>
          </w:p>
        </w:tc>
        <w:tc>
          <w:tcPr>
            <w:tcW w:w="1001" w:type="dxa"/>
          </w:tcPr>
          <w:p>
            <w:pPr>
              <w:spacing w:after="0" w:line="260" w:lineRule="auto"/>
              <w:jc w:val="left"/>
            </w:pPr>
            <w:r>
              <w:rPr>
                <w:rFonts w:ascii="Calibri" w:hAnsi="Calibri"/>
                <w:color w:val="212121"/>
                <w:sz w:val="19"/>
              </w:rPr>
              <w:t xml:space="preserve">Standing consent encouraged</w:t>
            </w:r>
          </w:p>
        </w:tc>
        <w:tc>
          <w:tcPr>
            <w:tcW w:w="1001" w:type="dxa"/>
          </w:tcPr>
          <w:p>
            <w:pPr>
              <w:spacing w:after="0" w:line="260" w:lineRule="auto"/>
              <w:jc w:val="left"/>
            </w:pPr>
            <w:r>
              <w:rPr>
                <w:rFonts w:ascii="Calibri" w:hAnsi="Calibri"/>
                <w:color w:val="212121"/>
                <w:sz w:val="19"/>
              </w:rPr>
              <w:t xml:space="preserve">Notice-based</w:t>
            </w:r>
          </w:p>
        </w:tc>
        <w:tc>
          <w:tcPr>
            <w:tcW w:w="1001" w:type="dxa"/>
          </w:tcPr>
          <w:p>
            <w:pPr>
              <w:spacing w:after="0" w:line="260" w:lineRule="auto"/>
              <w:jc w:val="left"/>
            </w:pPr>
            <w:r>
              <w:rPr>
                <w:rFonts w:ascii="Calibri" w:hAnsi="Calibri"/>
                <w:color w:val="212121"/>
                <w:sz w:val="19"/>
              </w:rPr>
              <w:t xml:space="preserve">Not applicable</w:t>
            </w:r>
          </w:p>
        </w:tc>
        <w:tc>
          <w:tcPr>
            <w:tcW w:w="1002" w:type="dxa"/>
          </w:tcPr>
          <w:p>
            <w:pPr>
              <w:spacing w:after="0" w:line="260" w:lineRule="auto"/>
              <w:jc w:val="left"/>
            </w:pPr>
            <w:r>
              <w:rPr>
                <w:rFonts w:ascii="Calibri" w:hAnsi="Calibri"/>
                <w:color w:val="212121"/>
                <w:sz w:val="19"/>
              </w:rPr>
              <w:t xml:space="preserve">Joint team only</w:t>
            </w:r>
          </w:p>
        </w:tc>
      </w:tr>
      <w:tr>
        <w:tc>
          <w:tcPr>
            <w:tcW w:w="1001" w:type="dxa"/>
          </w:tcPr>
          <w:p>
            <w:pPr>
              <w:spacing w:after="0" w:line="260" w:lineRule="auto"/>
              <w:jc w:val="left"/>
            </w:pPr>
            <w:r>
              <w:rPr>
                <w:rFonts w:ascii="Calibri" w:hAnsi="Calibri"/>
                <w:color w:val="212121"/>
                <w:sz w:val="19"/>
              </w:rPr>
              <w:t xml:space="preserve">Night transit</w:t>
            </w:r>
          </w:p>
        </w:tc>
        <w:tc>
          <w:tcPr>
            <w:tcW w:w="1001" w:type="dxa"/>
          </w:tcPr>
          <w:p>
            <w:pPr>
              <w:spacing w:after="0" w:line="260" w:lineRule="auto"/>
              <w:jc w:val="left"/>
            </w:pPr>
            <w:r>
              <w:rPr>
                <w:rFonts w:ascii="Calibri" w:hAnsi="Calibri"/>
                <w:color w:val="212121"/>
                <w:sz w:val="19"/>
              </w:rPr>
              <w:t xml:space="preserve">Yes</w:t>
            </w:r>
          </w:p>
        </w:tc>
        <w:tc>
          <w:tcPr>
            <w:tcW w:w="1001" w:type="dxa"/>
          </w:tcPr>
          <w:p>
            <w:pPr>
              <w:spacing w:after="0" w:line="260" w:lineRule="auto"/>
              <w:jc w:val="left"/>
            </w:pPr>
            <w:r>
              <w:rPr>
                <w:rFonts w:ascii="Calibri" w:hAnsi="Calibri"/>
                <w:color w:val="212121"/>
                <w:sz w:val="19"/>
              </w:rPr>
              <w:t xml:space="preserve">Yes</w:t>
            </w:r>
          </w:p>
        </w:tc>
        <w:tc>
          <w:tcPr>
            <w:tcW w:w="1001" w:type="dxa"/>
          </w:tcPr>
          <w:p>
            <w:pPr>
              <w:spacing w:after="0" w:line="260" w:lineRule="auto"/>
              <w:jc w:val="left"/>
            </w:pPr>
            <w:r>
              <w:rPr>
                <w:rFonts w:ascii="Calibri" w:hAnsi="Calibri"/>
                <w:color w:val="212121"/>
                <w:sz w:val="19"/>
              </w:rPr>
              <w:t xml:space="preserve">Recommended daylight</w:t>
            </w:r>
          </w:p>
        </w:tc>
        <w:tc>
          <w:tcPr>
            <w:tcW w:w="1001" w:type="dxa"/>
          </w:tcPr>
          <w:p>
            <w:pPr>
              <w:spacing w:after="0" w:line="260" w:lineRule="auto"/>
              <w:jc w:val="left"/>
            </w:pPr>
            <w:r>
              <w:rPr>
                <w:rFonts w:ascii="Calibri" w:hAnsi="Calibri"/>
                <w:color w:val="212121"/>
                <w:sz w:val="19"/>
              </w:rPr>
              <w:t xml:space="preserve">Restricted to bands</w:t>
            </w:r>
          </w:p>
        </w:tc>
        <w:tc>
          <w:tcPr>
            <w:tcW w:w="1001" w:type="dxa"/>
          </w:tcPr>
          <w:p>
            <w:pPr>
              <w:spacing w:after="0" w:line="260" w:lineRule="auto"/>
              <w:jc w:val="left"/>
            </w:pPr>
            <w:r>
              <w:rPr>
                <w:rFonts w:ascii="Calibri" w:hAnsi="Calibri"/>
                <w:color w:val="212121"/>
                <w:sz w:val="19"/>
              </w:rPr>
              <w:t xml:space="preserve">Yes</w:t>
            </w:r>
          </w:p>
        </w:tc>
        <w:tc>
          <w:tcPr>
            <w:tcW w:w="1001" w:type="dxa"/>
          </w:tcPr>
          <w:p>
            <w:pPr>
              <w:spacing w:after="0" w:line="260" w:lineRule="auto"/>
              <w:jc w:val="left"/>
            </w:pPr>
            <w:r>
              <w:rPr>
                <w:rFonts w:ascii="Calibri" w:hAnsi="Calibri"/>
                <w:color w:val="212121"/>
                <w:sz w:val="19"/>
              </w:rPr>
              <w:t xml:space="preserve">Yes</w:t>
            </w:r>
          </w:p>
        </w:tc>
        <w:tc>
          <w:tcPr>
            <w:tcW w:w="1001" w:type="dxa"/>
          </w:tcPr>
          <w:p>
            <w:pPr>
              <w:spacing w:after="0" w:line="260" w:lineRule="auto"/>
              <w:jc w:val="left"/>
            </w:pPr>
            <w:r>
              <w:rPr>
                <w:rFonts w:ascii="Calibri" w:hAnsi="Calibri"/>
                <w:color w:val="212121"/>
                <w:sz w:val="19"/>
              </w:rPr>
              <w:t xml:space="preserve">Windows only</w:t>
            </w:r>
          </w:p>
        </w:tc>
        <w:tc>
          <w:tcPr>
            <w:tcW w:w="1002" w:type="dxa"/>
          </w:tcPr>
          <w:p>
            <w:pPr>
              <w:spacing w:after="0" w:line="260" w:lineRule="auto"/>
              <w:jc w:val="left"/>
            </w:pPr>
            <w:r>
              <w:rPr>
                <w:rFonts w:ascii="Calibri" w:hAnsi="Calibri"/>
                <w:color w:val="212121"/>
                <w:sz w:val="19"/>
              </w:rPr>
              <w:t xml:space="preserve">Not applicable</w:t>
            </w:r>
          </w:p>
        </w:tc>
      </w:tr>
      <w:tr>
        <w:tc>
          <w:tcPr>
            <w:tcW w:w="1001" w:type="dxa"/>
          </w:tcPr>
          <w:p>
            <w:pPr>
              <w:spacing w:after="0" w:line="260" w:lineRule="auto"/>
              <w:jc w:val="left"/>
            </w:pPr>
            <w:r>
              <w:rPr>
                <w:rFonts w:ascii="Calibri" w:hAnsi="Calibri"/>
                <w:color w:val="212121"/>
                <w:sz w:val="19"/>
              </w:rPr>
              <w:t xml:space="preserve">Insurance evidence</w:t>
            </w:r>
          </w:p>
        </w:tc>
        <w:tc>
          <w:tcPr>
            <w:tcW w:w="1001" w:type="dxa"/>
          </w:tcPr>
          <w:p>
            <w:pPr>
              <w:spacing w:after="0" w:line="260" w:lineRule="auto"/>
              <w:jc w:val="left"/>
            </w:pPr>
            <w:r>
              <w:rPr>
                <w:rFonts w:ascii="Calibri" w:hAnsi="Calibri"/>
                <w:color w:val="212121"/>
                <w:sz w:val="19"/>
              </w:rPr>
              <w:t xml:space="preserve">Registry</w:t>
            </w:r>
          </w:p>
        </w:tc>
        <w:tc>
          <w:tcPr>
            <w:tcW w:w="1001" w:type="dxa"/>
          </w:tcPr>
          <w:p>
            <w:pPr>
              <w:spacing w:after="0" w:line="260" w:lineRule="auto"/>
              <w:jc w:val="left"/>
            </w:pPr>
            <w:r>
              <w:rPr>
                <w:rFonts w:ascii="Calibri" w:hAnsi="Calibri"/>
                <w:color w:val="212121"/>
                <w:sz w:val="19"/>
              </w:rPr>
              <w:t xml:space="preserve">Registry</w:t>
            </w:r>
          </w:p>
        </w:tc>
        <w:tc>
          <w:tcPr>
            <w:tcW w:w="1001" w:type="dxa"/>
          </w:tcPr>
          <w:p>
            <w:pPr>
              <w:spacing w:after="0" w:line="260" w:lineRule="auto"/>
              <w:jc w:val="left"/>
            </w:pPr>
            <w:r>
              <w:rPr>
                <w:rFonts w:ascii="Calibri" w:hAnsi="Calibri"/>
                <w:color w:val="212121"/>
                <w:sz w:val="19"/>
              </w:rPr>
              <w:t xml:space="preserve">Registry</w:t>
            </w:r>
          </w:p>
        </w:tc>
        <w:tc>
          <w:tcPr>
            <w:tcW w:w="1001" w:type="dxa"/>
          </w:tcPr>
          <w:p>
            <w:pPr>
              <w:spacing w:after="0" w:line="260" w:lineRule="auto"/>
              <w:jc w:val="left"/>
            </w:pPr>
            <w:r>
              <w:rPr>
                <w:rFonts w:ascii="Calibri" w:hAnsi="Calibri"/>
                <w:color w:val="212121"/>
                <w:sz w:val="19"/>
              </w:rPr>
              <w:t xml:space="preserve">Local</w:t>
            </w:r>
          </w:p>
        </w:tc>
        <w:tc>
          <w:tcPr>
            <w:tcW w:w="1001" w:type="dxa"/>
          </w:tcPr>
          <w:p>
            <w:pPr>
              <w:spacing w:after="0" w:line="260" w:lineRule="auto"/>
              <w:jc w:val="left"/>
            </w:pPr>
            <w:r>
              <w:rPr>
                <w:rFonts w:ascii="Calibri" w:hAnsi="Calibri"/>
                <w:color w:val="212121"/>
                <w:sz w:val="19"/>
              </w:rPr>
              <w:t xml:space="preserve">Registry</w:t>
            </w:r>
          </w:p>
        </w:tc>
        <w:tc>
          <w:tcPr>
            <w:tcW w:w="1001" w:type="dxa"/>
          </w:tcPr>
          <w:p>
            <w:pPr>
              <w:spacing w:after="0" w:line="260" w:lineRule="auto"/>
              <w:jc w:val="left"/>
            </w:pPr>
            <w:r>
              <w:rPr>
                <w:rFonts w:ascii="Calibri" w:hAnsi="Calibri"/>
                <w:color w:val="212121"/>
                <w:sz w:val="19"/>
              </w:rPr>
              <w:t xml:space="preserve">Notice</w:t>
            </w:r>
          </w:p>
        </w:tc>
        <w:tc>
          <w:tcPr>
            <w:tcW w:w="1001" w:type="dxa"/>
          </w:tcPr>
          <w:p>
            <w:pPr>
              <w:spacing w:after="0" w:line="260" w:lineRule="auto"/>
              <w:jc w:val="left"/>
            </w:pPr>
            <w:r>
              <w:rPr>
                <w:rFonts w:ascii="Calibri" w:hAnsi="Calibri"/>
                <w:color w:val="212121"/>
                <w:sz w:val="19"/>
              </w:rPr>
              <w:t xml:space="preserve">Not applicable</w:t>
            </w:r>
          </w:p>
        </w:tc>
        <w:tc>
          <w:tcPr>
            <w:tcW w:w="1002" w:type="dxa"/>
          </w:tcPr>
          <w:p>
            <w:pPr>
              <w:spacing w:after="0" w:line="260" w:lineRule="auto"/>
              <w:jc w:val="left"/>
            </w:pPr>
            <w:r>
              <w:rPr>
                <w:rFonts w:ascii="Calibri" w:hAnsi="Calibri"/>
                <w:color w:val="212121"/>
                <w:sz w:val="19"/>
              </w:rPr>
              <w:t xml:space="preserve">Joint team review</w:t>
            </w:r>
          </w:p>
        </w:tc>
      </w:tr>
    </w:tbl>
    <w:p>
      <w:pPr>
        <w:spacing w:after="60"/>
      </w:pPr>
    </w:p>
    <w:p>
      <w:pPr>
        <w:pStyle w:val="Caption"/>
      </w:pPr>
      <w:r>
        <w:t xml:space="preserve">Table B.1: Treatment matrix summary; the Articles govern over this summary</w:t>
      </w:r>
    </w:p>
    <w:p>
      <w:pPr>
        <w:pStyle w:val="Heading3"/>
      </w:pPr>
      <w:r>
        <w:t xml:space="preserve">B.1 Class assignment disputes</w:t>
      </w:r>
    </w:p>
    <w:p>
      <w:pPr/>
      <w:r>
        <w:t xml:space="preserve">A master contesting a class assignment files with the Center before entry; the paired duty officers rule within 4 hours; the ruling binds the transit and travels to the Technical Committee for pattern review. Class assignment never delays a Class E vessel.</w:t>
      </w:r>
    </w:p>
    <w:p>
      <w:pPr>
        <w:pStyle w:val="Heading3"/>
      </w:pPr>
      <w:r>
        <w:t xml:space="preserve">B.2 Reclassification</w:t>
      </w:r>
    </w:p>
    <w:p>
      <w:pPr/>
      <w:r>
        <w:t xml:space="preserve">A vessel's class follows its current voyage purpose. Reclassification between voyages is automatic on the notice or registration data. A mid-voyage purpose change triggers an immediate notice amendment, and the Center re-sequences without penalty where the amendment arrives before the mid-passage reporting point.</w:t>
      </w:r>
    </w:p>
    <w:p>
      <w:pPr>
        <w:pStyle w:val="Heading1"/>
      </w:pPr>
      <w:r>
        <w:t xml:space="preserve">Annex C: Transit Services Fund Charter</w:t>
      </w:r>
    </w:p>
    <w:p>
      <w:pPr>
        <w:pStyle w:val="Heading3"/>
      </w:pPr>
      <w:r>
        <w:t xml:space="preserve">C.1 Legal form and accounts</w:t>
      </w:r>
    </w:p>
    <w:p>
      <w:pPr/>
      <w:r>
        <w:t xml:space="preserve">The Fund operates as a multilateral fiduciary facility under Swiss law, administered by the Neutral Administrator. Principal account: a Swiss-confederation-supervised banking institution in Bern or Zurich. Mirror settlement account: the Central Bank of Oman correspondent arrangement in Muscat. All accounts publish their audited balances annually.</w:t>
      </w:r>
    </w:p>
    <w:p>
      <w:pPr>
        <w:pStyle w:val="Heading3"/>
      </w:pPr>
      <w:r>
        <w:t xml:space="preserve">C.2 Initial capitalization</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2252"/>
        <w:gridCol w:w="2252"/>
        <w:gridCol w:w="2252"/>
        <w:gridCol w:w="2254"/>
      </w:tblGrid>
      <w:tr>
        <w:trPr>
          <w:tblHeader/>
        </w:trPr>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Contributor</w:t>
            </w:r>
          </w:p>
        </w:tc>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Instrument</w:t>
            </w:r>
          </w:p>
        </w:tc>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Initial contribution (USD)</w:t>
            </w:r>
          </w:p>
        </w:tc>
        <w:tc>
          <w:tcPr>
            <w:tcW w:w="2254" w:type="dxa"/>
            <w:tcBorders>
              <w:bottom w:val="single" w:color="546E7A" w:sz="6"/>
            </w:tcBorders>
            <w:shd w:val="clear" w:fill="E4E9EC"/>
          </w:tcPr>
          <w:p>
            <w:pPr>
              <w:spacing w:after="0" w:line="260" w:lineRule="auto"/>
              <w:jc w:val="left"/>
            </w:pPr>
            <w:r>
              <w:rPr>
                <w:rFonts w:ascii="Calibri" w:hAnsi="Calibri"/>
                <w:b/>
                <w:color w:val="37474F"/>
                <w:sz w:val="19"/>
              </w:rPr>
              <w:t xml:space="preserve">Share</w:t>
            </w:r>
          </w:p>
        </w:tc>
      </w:tr>
      <w:tr>
        <w:tc>
          <w:tcPr>
            <w:tcW w:w="2252" w:type="dxa"/>
          </w:tcPr>
          <w:p>
            <w:pPr>
              <w:spacing w:after="0" w:line="260" w:lineRule="auto"/>
              <w:jc w:val="left"/>
            </w:pPr>
            <w:r>
              <w:rPr>
                <w:rFonts w:ascii="Calibri" w:hAnsi="Calibri"/>
                <w:color w:val="212121"/>
                <w:sz w:val="19"/>
              </w:rPr>
              <w:t xml:space="preserve">Islamic Republic of Iran</w:t>
            </w:r>
          </w:p>
        </w:tc>
        <w:tc>
          <w:tcPr>
            <w:tcW w:w="2252" w:type="dxa"/>
          </w:tcPr>
          <w:p>
            <w:pPr>
              <w:spacing w:after="0" w:line="260" w:lineRule="auto"/>
              <w:jc w:val="left"/>
            </w:pPr>
            <w:r>
              <w:rPr>
                <w:rFonts w:ascii="Calibri" w:hAnsi="Calibri"/>
                <w:color w:val="212121"/>
                <w:sz w:val="19"/>
              </w:rPr>
              <w:t xml:space="preserve">Endowment</w:t>
            </w:r>
          </w:p>
        </w:tc>
        <w:tc>
          <w:tcPr>
            <w:tcW w:w="2252" w:type="dxa"/>
          </w:tcPr>
          <w:p>
            <w:pPr>
              <w:spacing w:after="0" w:line="260" w:lineRule="auto"/>
              <w:jc w:val="left"/>
            </w:pPr>
            <w:r>
              <w:rPr>
                <w:rFonts w:ascii="Calibri" w:hAnsi="Calibri"/>
                <w:color w:val="212121"/>
                <w:sz w:val="19"/>
              </w:rPr>
              <w:t xml:space="preserve">40,000,000</w:t>
            </w:r>
          </w:p>
        </w:tc>
        <w:tc>
          <w:tcPr>
            <w:tcW w:w="2254" w:type="dxa"/>
          </w:tcPr>
          <w:p>
            <w:pPr>
              <w:spacing w:after="0" w:line="260" w:lineRule="auto"/>
              <w:jc w:val="left"/>
            </w:pPr>
            <w:r>
              <w:rPr>
                <w:rFonts w:ascii="Calibri" w:hAnsi="Calibri"/>
                <w:color w:val="212121"/>
                <w:sz w:val="19"/>
              </w:rPr>
              <w:t xml:space="preserve">16.0 percent</w:t>
            </w:r>
          </w:p>
        </w:tc>
      </w:tr>
      <w:tr>
        <w:tc>
          <w:tcPr>
            <w:tcW w:w="2252" w:type="dxa"/>
          </w:tcPr>
          <w:p>
            <w:pPr>
              <w:spacing w:after="0" w:line="260" w:lineRule="auto"/>
              <w:jc w:val="left"/>
            </w:pPr>
            <w:r>
              <w:rPr>
                <w:rFonts w:ascii="Calibri" w:hAnsi="Calibri"/>
                <w:color w:val="212121"/>
                <w:sz w:val="19"/>
              </w:rPr>
              <w:t xml:space="preserve">Sultanate of Oman</w:t>
            </w:r>
          </w:p>
        </w:tc>
        <w:tc>
          <w:tcPr>
            <w:tcW w:w="2252" w:type="dxa"/>
          </w:tcPr>
          <w:p>
            <w:pPr>
              <w:spacing w:after="0" w:line="260" w:lineRule="auto"/>
              <w:jc w:val="left"/>
            </w:pPr>
            <w:r>
              <w:rPr>
                <w:rFonts w:ascii="Calibri" w:hAnsi="Calibri"/>
                <w:color w:val="212121"/>
                <w:sz w:val="19"/>
              </w:rPr>
              <w:t xml:space="preserve">Endowment</w:t>
            </w:r>
          </w:p>
        </w:tc>
        <w:tc>
          <w:tcPr>
            <w:tcW w:w="2252" w:type="dxa"/>
          </w:tcPr>
          <w:p>
            <w:pPr>
              <w:spacing w:after="0" w:line="260" w:lineRule="auto"/>
              <w:jc w:val="left"/>
            </w:pPr>
            <w:r>
              <w:rPr>
                <w:rFonts w:ascii="Calibri" w:hAnsi="Calibri"/>
                <w:color w:val="212121"/>
                <w:sz w:val="19"/>
              </w:rPr>
              <w:t xml:space="preserve">40,000,000</w:t>
            </w:r>
          </w:p>
        </w:tc>
        <w:tc>
          <w:tcPr>
            <w:tcW w:w="2254" w:type="dxa"/>
          </w:tcPr>
          <w:p>
            <w:pPr>
              <w:spacing w:after="0" w:line="260" w:lineRule="auto"/>
              <w:jc w:val="left"/>
            </w:pPr>
            <w:r>
              <w:rPr>
                <w:rFonts w:ascii="Calibri" w:hAnsi="Calibri"/>
                <w:color w:val="212121"/>
                <w:sz w:val="19"/>
              </w:rPr>
              <w:t xml:space="preserve">16.0 percent</w:t>
            </w:r>
          </w:p>
        </w:tc>
      </w:tr>
      <w:tr>
        <w:tc>
          <w:tcPr>
            <w:tcW w:w="2252" w:type="dxa"/>
          </w:tcPr>
          <w:p>
            <w:pPr>
              <w:spacing w:after="0" w:line="260" w:lineRule="auto"/>
              <w:jc w:val="left"/>
            </w:pPr>
            <w:r>
              <w:rPr>
                <w:rFonts w:ascii="Calibri" w:hAnsi="Calibri"/>
                <w:color w:val="212121"/>
                <w:sz w:val="19"/>
              </w:rPr>
              <w:t xml:space="preserve">United Arab Emirates</w:t>
            </w:r>
          </w:p>
        </w:tc>
        <w:tc>
          <w:tcPr>
            <w:tcW w:w="2252" w:type="dxa"/>
          </w:tcPr>
          <w:p>
            <w:pPr>
              <w:spacing w:after="0" w:line="260" w:lineRule="auto"/>
              <w:jc w:val="left"/>
            </w:pPr>
            <w:r>
              <w:rPr>
                <w:rFonts w:ascii="Calibri" w:hAnsi="Calibri"/>
                <w:color w:val="212121"/>
                <w:sz w:val="19"/>
              </w:rPr>
              <w:t xml:space="preserve">Endowment on accession</w:t>
            </w:r>
          </w:p>
        </w:tc>
        <w:tc>
          <w:tcPr>
            <w:tcW w:w="2252" w:type="dxa"/>
          </w:tcPr>
          <w:p>
            <w:pPr>
              <w:spacing w:after="0" w:line="260" w:lineRule="auto"/>
              <w:jc w:val="left"/>
            </w:pPr>
            <w:r>
              <w:rPr>
                <w:rFonts w:ascii="Calibri" w:hAnsi="Calibri"/>
                <w:color w:val="212121"/>
                <w:sz w:val="19"/>
              </w:rPr>
              <w:t xml:space="preserve">40,000,000</w:t>
            </w:r>
          </w:p>
        </w:tc>
        <w:tc>
          <w:tcPr>
            <w:tcW w:w="2254" w:type="dxa"/>
          </w:tcPr>
          <w:p>
            <w:pPr>
              <w:spacing w:after="0" w:line="260" w:lineRule="auto"/>
              <w:jc w:val="left"/>
            </w:pPr>
            <w:r>
              <w:rPr>
                <w:rFonts w:ascii="Calibri" w:hAnsi="Calibri"/>
                <w:color w:val="212121"/>
                <w:sz w:val="19"/>
              </w:rPr>
              <w:t xml:space="preserve">16.0 percent</w:t>
            </w:r>
          </w:p>
        </w:tc>
      </w:tr>
      <w:tr>
        <w:tc>
          <w:tcPr>
            <w:tcW w:w="2252" w:type="dxa"/>
          </w:tcPr>
          <w:p>
            <w:pPr>
              <w:spacing w:after="0" w:line="260" w:lineRule="auto"/>
              <w:jc w:val="left"/>
            </w:pPr>
            <w:r>
              <w:rPr>
                <w:rFonts w:ascii="Calibri" w:hAnsi="Calibri"/>
                <w:color w:val="212121"/>
                <w:sz w:val="19"/>
              </w:rPr>
              <w:t xml:space="preserve">User-state contributor class (Endorsing Stakeholder and observer states, pooled)</w:t>
            </w:r>
          </w:p>
        </w:tc>
        <w:tc>
          <w:tcPr>
            <w:tcW w:w="2252" w:type="dxa"/>
          </w:tcPr>
          <w:p>
            <w:pPr>
              <w:spacing w:after="0" w:line="260" w:lineRule="auto"/>
              <w:jc w:val="left"/>
            </w:pPr>
            <w:r>
              <w:rPr>
                <w:rFonts w:ascii="Calibri" w:hAnsi="Calibri"/>
                <w:color w:val="212121"/>
                <w:sz w:val="19"/>
              </w:rPr>
              <w:t xml:space="preserve">Endowment</w:t>
            </w:r>
          </w:p>
        </w:tc>
        <w:tc>
          <w:tcPr>
            <w:tcW w:w="2252" w:type="dxa"/>
          </w:tcPr>
          <w:p>
            <w:pPr>
              <w:spacing w:after="0" w:line="260" w:lineRule="auto"/>
              <w:jc w:val="left"/>
            </w:pPr>
            <w:r>
              <w:rPr>
                <w:rFonts w:ascii="Calibri" w:hAnsi="Calibri"/>
                <w:color w:val="212121"/>
                <w:sz w:val="19"/>
              </w:rPr>
              <w:t xml:space="preserve">80,000,000</w:t>
            </w:r>
          </w:p>
        </w:tc>
        <w:tc>
          <w:tcPr>
            <w:tcW w:w="2254" w:type="dxa"/>
          </w:tcPr>
          <w:p>
            <w:pPr>
              <w:spacing w:after="0" w:line="260" w:lineRule="auto"/>
              <w:jc w:val="left"/>
            </w:pPr>
            <w:r>
              <w:rPr>
                <w:rFonts w:ascii="Calibri" w:hAnsi="Calibri"/>
                <w:color w:val="212121"/>
                <w:sz w:val="19"/>
              </w:rPr>
              <w:t xml:space="preserve">32.0 percent</w:t>
            </w:r>
          </w:p>
        </w:tc>
      </w:tr>
      <w:tr>
        <w:tc>
          <w:tcPr>
            <w:tcW w:w="2252" w:type="dxa"/>
          </w:tcPr>
          <w:p>
            <w:pPr>
              <w:spacing w:after="0" w:line="260" w:lineRule="auto"/>
              <w:jc w:val="left"/>
            </w:pPr>
            <w:r>
              <w:rPr>
                <w:rFonts w:ascii="Calibri" w:hAnsi="Calibri"/>
                <w:color w:val="212121"/>
                <w:sz w:val="19"/>
              </w:rPr>
              <w:t xml:space="preserve">Industry endowment (flag administrations and operator associations, pooled)</w:t>
            </w:r>
          </w:p>
        </w:tc>
        <w:tc>
          <w:tcPr>
            <w:tcW w:w="2252" w:type="dxa"/>
          </w:tcPr>
          <w:p>
            <w:pPr>
              <w:spacing w:after="0" w:line="260" w:lineRule="auto"/>
              <w:jc w:val="left"/>
            </w:pPr>
            <w:r>
              <w:rPr>
                <w:rFonts w:ascii="Calibri" w:hAnsi="Calibri"/>
                <w:color w:val="212121"/>
                <w:sz w:val="19"/>
              </w:rPr>
              <w:t xml:space="preserve">Endowment</w:t>
            </w:r>
          </w:p>
        </w:tc>
        <w:tc>
          <w:tcPr>
            <w:tcW w:w="2252" w:type="dxa"/>
          </w:tcPr>
          <w:p>
            <w:pPr>
              <w:spacing w:after="0" w:line="260" w:lineRule="auto"/>
              <w:jc w:val="left"/>
            </w:pPr>
            <w:r>
              <w:rPr>
                <w:rFonts w:ascii="Calibri" w:hAnsi="Calibri"/>
                <w:color w:val="212121"/>
                <w:sz w:val="19"/>
              </w:rPr>
              <w:t xml:space="preserve">25,000,000</w:t>
            </w:r>
          </w:p>
        </w:tc>
        <w:tc>
          <w:tcPr>
            <w:tcW w:w="2254" w:type="dxa"/>
          </w:tcPr>
          <w:p>
            <w:pPr>
              <w:spacing w:after="0" w:line="260" w:lineRule="auto"/>
              <w:jc w:val="left"/>
            </w:pPr>
            <w:r>
              <w:rPr>
                <w:rFonts w:ascii="Calibri" w:hAnsi="Calibri"/>
                <w:color w:val="212121"/>
                <w:sz w:val="19"/>
              </w:rPr>
              <w:t xml:space="preserve">10.0 percent</w:t>
            </w:r>
          </w:p>
        </w:tc>
      </w:tr>
      <w:tr>
        <w:tc>
          <w:tcPr>
            <w:tcW w:w="2252" w:type="dxa"/>
          </w:tcPr>
          <w:p>
            <w:pPr>
              <w:spacing w:after="0" w:line="260" w:lineRule="auto"/>
              <w:jc w:val="left"/>
            </w:pPr>
            <w:r>
              <w:rPr>
                <w:rFonts w:ascii="Calibri" w:hAnsi="Calibri"/>
                <w:color w:val="212121"/>
                <w:sz w:val="19"/>
              </w:rPr>
              <w:t xml:space="preserve">Standing liquidity reserve carve-out</w:t>
            </w:r>
          </w:p>
        </w:tc>
        <w:tc>
          <w:tcPr>
            <w:tcW w:w="2252" w:type="dxa"/>
          </w:tcPr>
          <w:p>
            <w:pPr>
              <w:spacing w:after="0" w:line="260" w:lineRule="auto"/>
              <w:jc w:val="left"/>
            </w:pPr>
            <w:r>
              <w:rPr>
                <w:rFonts w:ascii="Calibri" w:hAnsi="Calibri"/>
                <w:color w:val="212121"/>
                <w:sz w:val="19"/>
              </w:rPr>
              <w:t xml:space="preserve">Reserve, from endowment inflows</w:t>
            </w:r>
          </w:p>
        </w:tc>
        <w:tc>
          <w:tcPr>
            <w:tcW w:w="2252" w:type="dxa"/>
          </w:tcPr>
          <w:p>
            <w:pPr>
              <w:spacing w:after="0" w:line="260" w:lineRule="auto"/>
              <w:jc w:val="left"/>
            </w:pPr>
            <w:r>
              <w:rPr>
                <w:rFonts w:ascii="Calibri" w:hAnsi="Calibri"/>
                <w:color w:val="212121"/>
                <w:sz w:val="19"/>
              </w:rPr>
              <w:t xml:space="preserve">15,000,000</w:t>
            </w:r>
          </w:p>
        </w:tc>
        <w:tc>
          <w:tcPr>
            <w:tcW w:w="2254" w:type="dxa"/>
          </w:tcPr>
          <w:p>
            <w:pPr>
              <w:spacing w:after="0" w:line="260" w:lineRule="auto"/>
              <w:jc w:val="left"/>
            </w:pPr>
            <w:r>
              <w:rPr>
                <w:rFonts w:ascii="Calibri" w:hAnsi="Calibri"/>
                <w:color w:val="212121"/>
                <w:sz w:val="19"/>
              </w:rPr>
              <w:t xml:space="preserve">6.0 percent</w:t>
            </w:r>
          </w:p>
        </w:tc>
      </w:tr>
      <w:tr>
        <w:tc>
          <w:tcPr>
            <w:tcW w:w="2252" w:type="dxa"/>
          </w:tcPr>
          <w:p>
            <w:pPr>
              <w:spacing w:after="0" w:line="260" w:lineRule="auto"/>
              <w:jc w:val="left"/>
            </w:pPr>
            <w:r>
              <w:rPr>
                <w:rFonts w:ascii="Calibri" w:hAnsi="Calibri"/>
                <w:color w:val="212121"/>
                <w:sz w:val="19"/>
              </w:rPr>
              <w:t xml:space="preserve">Disruption reserve carve-out</w:t>
            </w:r>
          </w:p>
        </w:tc>
        <w:tc>
          <w:tcPr>
            <w:tcW w:w="2252" w:type="dxa"/>
          </w:tcPr>
          <w:p>
            <w:pPr>
              <w:spacing w:after="0" w:line="260" w:lineRule="auto"/>
              <w:jc w:val="left"/>
            </w:pPr>
            <w:r>
              <w:rPr>
                <w:rFonts w:ascii="Calibri" w:hAnsi="Calibri"/>
                <w:color w:val="212121"/>
                <w:sz w:val="19"/>
              </w:rPr>
              <w:t xml:space="preserve">Reserve, 15 percent of endowment</w:t>
            </w:r>
          </w:p>
        </w:tc>
        <w:tc>
          <w:tcPr>
            <w:tcW w:w="2252" w:type="dxa"/>
          </w:tcPr>
          <w:p>
            <w:pPr>
              <w:spacing w:after="0" w:line="260" w:lineRule="auto"/>
              <w:jc w:val="left"/>
            </w:pPr>
            <w:r>
              <w:rPr>
                <w:rFonts w:ascii="Calibri" w:hAnsi="Calibri"/>
                <w:color w:val="212121"/>
                <w:sz w:val="19"/>
              </w:rPr>
              <w:t xml:space="preserve">10,000,000</w:t>
            </w:r>
          </w:p>
        </w:tc>
        <w:tc>
          <w:tcPr>
            <w:tcW w:w="2254" w:type="dxa"/>
          </w:tcPr>
          <w:p>
            <w:pPr>
              <w:spacing w:after="0" w:line="260" w:lineRule="auto"/>
              <w:jc w:val="left"/>
            </w:pPr>
            <w:r>
              <w:rPr>
                <w:rFonts w:ascii="Calibri" w:hAnsi="Calibri"/>
                <w:color w:val="212121"/>
                <w:sz w:val="19"/>
              </w:rPr>
              <w:t xml:space="preserve">4.0 percent</w:t>
            </w:r>
          </w:p>
        </w:tc>
      </w:tr>
      <w:tr>
        <w:tc>
          <w:tcPr>
            <w:tcW w:w="2252" w:type="dxa"/>
          </w:tcPr>
          <w:p>
            <w:pPr>
              <w:spacing w:after="0" w:line="260" w:lineRule="auto"/>
              <w:jc w:val="left"/>
            </w:pPr>
            <w:r>
              <w:rPr>
                <w:rFonts w:ascii="Calibri" w:hAnsi="Calibri"/>
                <w:color w:val="212121"/>
                <w:sz w:val="19"/>
              </w:rPr>
              <w:t xml:space="preserve">Total initial facility</w:t>
            </w:r>
          </w:p>
        </w:tc>
        <w:tc>
          <w:tcPr>
            <w:tcW w:w="2252" w:type="dxa"/>
          </w:tcPr>
          <w:p>
            <w:pPr>
              <w:spacing w:after="0" w:line="260" w:lineRule="auto"/>
              <w:jc w:val="left"/>
            </w:pPr>
            <w:r>
              <w:rPr>
                <w:rFonts w:ascii="Calibri" w:hAnsi="Calibri"/>
                <w:color w:val="212121"/>
                <w:sz w:val="19"/>
              </w:rPr>
              <w:t xml:space="preserve">Sum of lines</w:t>
            </w:r>
          </w:p>
        </w:tc>
        <w:tc>
          <w:tcPr>
            <w:tcW w:w="2252" w:type="dxa"/>
          </w:tcPr>
          <w:p>
            <w:pPr>
              <w:spacing w:after="0" w:line="260" w:lineRule="auto"/>
              <w:jc w:val="left"/>
            </w:pPr>
            <w:r>
              <w:rPr>
                <w:rFonts w:ascii="Calibri" w:hAnsi="Calibri"/>
                <w:color w:val="212121"/>
                <w:sz w:val="19"/>
              </w:rPr>
              <w:t xml:space="preserve">250,000,000</w:t>
            </w:r>
          </w:p>
        </w:tc>
        <w:tc>
          <w:tcPr>
            <w:tcW w:w="2254" w:type="dxa"/>
          </w:tcPr>
          <w:p>
            <w:pPr>
              <w:spacing w:after="0" w:line="260" w:lineRule="auto"/>
              <w:jc w:val="left"/>
            </w:pPr>
            <w:r>
              <w:rPr>
                <w:rFonts w:ascii="Calibri" w:hAnsi="Calibri"/>
                <w:color w:val="212121"/>
                <w:sz w:val="19"/>
              </w:rPr>
              <w:t xml:space="preserve">100 percent</w:t>
            </w:r>
          </w:p>
        </w:tc>
      </w:tr>
    </w:tbl>
    <w:p>
      <w:pPr>
        <w:spacing w:after="60"/>
      </w:pPr>
    </w:p>
    <w:p>
      <w:pPr>
        <w:pStyle w:val="Caption"/>
      </w:pPr>
      <w:r>
        <w:t xml:space="preserve">Table C.2: Initial capitalization schedule; accession contributions per the same schedule</w:t>
      </w:r>
    </w:p>
    <w:p>
      <w:pPr/>
      <w:r>
        <w:t xml:space="preserve">The schedule scales contributions to capacity, caps any single contributor below one third, and publishes every contribution. Contribution levels review at each annual Conference under the default-continuity rule.</w:t>
      </w:r>
    </w:p>
    <w:p>
      <w:pPr>
        <w:pStyle w:val="Heading3"/>
      </w:pPr>
      <w:r>
        <w:t xml:space="preserve">C.3 Payment mechanics</w:t>
      </w:r>
    </w:p>
    <w:p>
      <w:pPr/>
      <w:r>
        <w:t xml:space="preserve">Payments execute monthly against verified service records: the delivering state submits the service record bundle; the Administrator validates against the Charter and the rate card; the Neutral Keel cross-check sample confirms; payment executes within 10 working days. A validation failure pauses the line item only, with written reasons, and the default-continuity rule keeps every other line moving.</w:t>
      </w:r>
    </w:p>
    <w:p>
      <w:pPr>
        <w:pStyle w:val="Heading3"/>
      </w:pPr>
      <w:r>
        <w:t xml:space="preserve">C.4 Initial rate card</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2252"/>
        <w:gridCol w:w="2252"/>
        <w:gridCol w:w="2252"/>
        <w:gridCol w:w="2254"/>
      </w:tblGrid>
      <w:tr>
        <w:trPr>
          <w:tblHeader/>
        </w:trPr>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Service</w:t>
            </w:r>
          </w:p>
        </w:tc>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Unit</w:t>
            </w:r>
          </w:p>
        </w:tc>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Initial rate (USD)</w:t>
            </w:r>
          </w:p>
        </w:tc>
        <w:tc>
          <w:tcPr>
            <w:tcW w:w="2254" w:type="dxa"/>
            <w:tcBorders>
              <w:bottom w:val="single" w:color="546E7A" w:sz="6"/>
            </w:tcBorders>
            <w:shd w:val="clear" w:fill="E4E9EC"/>
          </w:tcPr>
          <w:p>
            <w:pPr>
              <w:spacing w:after="0" w:line="260" w:lineRule="auto"/>
              <w:jc w:val="left"/>
            </w:pPr>
            <w:r>
              <w:rPr>
                <w:rFonts w:ascii="Calibri" w:hAnsi="Calibri"/>
                <w:b/>
                <w:color w:val="37474F"/>
                <w:sz w:val="19"/>
              </w:rPr>
              <w:t xml:space="preserve">Benchmark source</w:t>
            </w:r>
          </w:p>
        </w:tc>
      </w:tr>
      <w:tr>
        <w:tc>
          <w:tcPr>
            <w:tcW w:w="2252" w:type="dxa"/>
          </w:tcPr>
          <w:p>
            <w:pPr>
              <w:spacing w:after="0" w:line="260" w:lineRule="auto"/>
              <w:jc w:val="left"/>
            </w:pPr>
            <w:r>
              <w:rPr>
                <w:rFonts w:ascii="Calibri" w:hAnsi="Calibri"/>
                <w:color w:val="212121"/>
                <w:sz w:val="19"/>
              </w:rPr>
              <w:t xml:space="preserve">Vessel traffic service operation</w:t>
            </w:r>
          </w:p>
        </w:tc>
        <w:tc>
          <w:tcPr>
            <w:tcW w:w="2252" w:type="dxa"/>
          </w:tcPr>
          <w:p>
            <w:pPr>
              <w:spacing w:after="0" w:line="260" w:lineRule="auto"/>
              <w:jc w:val="left"/>
            </w:pPr>
            <w:r>
              <w:rPr>
                <w:rFonts w:ascii="Calibri" w:hAnsi="Calibri"/>
                <w:color w:val="212121"/>
                <w:sz w:val="19"/>
              </w:rPr>
              <w:t xml:space="preserve">Per corridor transit-day</w:t>
            </w:r>
          </w:p>
        </w:tc>
        <w:tc>
          <w:tcPr>
            <w:tcW w:w="2252" w:type="dxa"/>
          </w:tcPr>
          <w:p>
            <w:pPr>
              <w:spacing w:after="0" w:line="260" w:lineRule="auto"/>
              <w:jc w:val="left"/>
            </w:pPr>
            <w:r>
              <w:rPr>
                <w:rFonts w:ascii="Calibri" w:hAnsi="Calibri"/>
                <w:color w:val="212121"/>
                <w:sz w:val="19"/>
              </w:rPr>
              <w:t xml:space="preserve">180,000 per day both corridors, apportioned</w:t>
            </w:r>
          </w:p>
        </w:tc>
        <w:tc>
          <w:tcPr>
            <w:tcW w:w="2254" w:type="dxa"/>
          </w:tcPr>
          <w:p>
            <w:pPr>
              <w:spacing w:after="0" w:line="260" w:lineRule="auto"/>
              <w:jc w:val="left"/>
            </w:pPr>
            <w:r>
              <w:rPr>
                <w:rFonts w:ascii="Calibri" w:hAnsi="Calibri"/>
                <w:color w:val="212121"/>
                <w:sz w:val="19"/>
              </w:rPr>
              <w:t xml:space="preserve">Regional VTS cost study, 2025 base</w:t>
            </w:r>
          </w:p>
        </w:tc>
      </w:tr>
      <w:tr>
        <w:tc>
          <w:tcPr>
            <w:tcW w:w="2252" w:type="dxa"/>
          </w:tcPr>
          <w:p>
            <w:pPr>
              <w:spacing w:after="0" w:line="260" w:lineRule="auto"/>
              <w:jc w:val="left"/>
            </w:pPr>
            <w:r>
              <w:rPr>
                <w:rFonts w:ascii="Calibri" w:hAnsi="Calibri"/>
                <w:color w:val="212121"/>
                <w:sz w:val="19"/>
              </w:rPr>
              <w:t xml:space="preserve">Escorted window coordination</w:t>
            </w:r>
          </w:p>
        </w:tc>
        <w:tc>
          <w:tcPr>
            <w:tcW w:w="2252" w:type="dxa"/>
          </w:tcPr>
          <w:p>
            <w:pPr>
              <w:spacing w:after="0" w:line="260" w:lineRule="auto"/>
              <w:jc w:val="left"/>
            </w:pPr>
            <w:r>
              <w:rPr>
                <w:rFonts w:ascii="Calibri" w:hAnsi="Calibri"/>
                <w:color w:val="212121"/>
                <w:sz w:val="19"/>
              </w:rPr>
              <w:t xml:space="preserve">Per window</w:t>
            </w:r>
          </w:p>
        </w:tc>
        <w:tc>
          <w:tcPr>
            <w:tcW w:w="2252" w:type="dxa"/>
          </w:tcPr>
          <w:p>
            <w:pPr>
              <w:spacing w:after="0" w:line="260" w:lineRule="auto"/>
              <w:jc w:val="left"/>
            </w:pPr>
            <w:r>
              <w:rPr>
                <w:rFonts w:ascii="Calibri" w:hAnsi="Calibri"/>
                <w:color w:val="212121"/>
                <w:sz w:val="19"/>
              </w:rPr>
              <w:t xml:space="preserve">22,000</w:t>
            </w:r>
          </w:p>
        </w:tc>
        <w:tc>
          <w:tcPr>
            <w:tcW w:w="2254" w:type="dxa"/>
          </w:tcPr>
          <w:p>
            <w:pPr>
              <w:spacing w:after="0" w:line="260" w:lineRule="auto"/>
              <w:jc w:val="left"/>
            </w:pPr>
            <w:r>
              <w:rPr>
                <w:rFonts w:ascii="Calibri" w:hAnsi="Calibri"/>
                <w:color w:val="212121"/>
                <w:sz w:val="19"/>
              </w:rPr>
              <w:t xml:space="preserve">Gulf escort operating cost survey</w:t>
            </w:r>
          </w:p>
        </w:tc>
      </w:tr>
      <w:tr>
        <w:tc>
          <w:tcPr>
            <w:tcW w:w="2252" w:type="dxa"/>
          </w:tcPr>
          <w:p>
            <w:pPr>
              <w:spacing w:after="0" w:line="260" w:lineRule="auto"/>
              <w:jc w:val="left"/>
            </w:pPr>
            <w:r>
              <w:rPr>
                <w:rFonts w:ascii="Calibri" w:hAnsi="Calibri"/>
                <w:color w:val="212121"/>
                <w:sz w:val="19"/>
              </w:rPr>
              <w:t xml:space="preserve">Pilotage advisory (Corridor Two)</w:t>
            </w:r>
          </w:p>
        </w:tc>
        <w:tc>
          <w:tcPr>
            <w:tcW w:w="2252" w:type="dxa"/>
          </w:tcPr>
          <w:p>
            <w:pPr>
              <w:spacing w:after="0" w:line="260" w:lineRule="auto"/>
              <w:jc w:val="left"/>
            </w:pPr>
            <w:r>
              <w:rPr>
                <w:rFonts w:ascii="Calibri" w:hAnsi="Calibri"/>
                <w:color w:val="212121"/>
                <w:sz w:val="19"/>
              </w:rPr>
              <w:t xml:space="preserve">Per vessel movement</w:t>
            </w:r>
          </w:p>
        </w:tc>
        <w:tc>
          <w:tcPr>
            <w:tcW w:w="2252" w:type="dxa"/>
          </w:tcPr>
          <w:p>
            <w:pPr>
              <w:spacing w:after="0" w:line="260" w:lineRule="auto"/>
              <w:jc w:val="left"/>
            </w:pPr>
            <w:r>
              <w:rPr>
                <w:rFonts w:ascii="Calibri" w:hAnsi="Calibri"/>
                <w:color w:val="212121"/>
                <w:sz w:val="19"/>
              </w:rPr>
              <w:t xml:space="preserve">Published Bandar Abbas and Qeshm port tariff</w:t>
            </w:r>
          </w:p>
        </w:tc>
        <w:tc>
          <w:tcPr>
            <w:tcW w:w="2254" w:type="dxa"/>
          </w:tcPr>
          <w:p>
            <w:pPr>
              <w:spacing w:after="0" w:line="260" w:lineRule="auto"/>
              <w:jc w:val="left"/>
            </w:pPr>
            <w:r>
              <w:rPr>
                <w:rFonts w:ascii="Calibri" w:hAnsi="Calibri"/>
                <w:color w:val="212121"/>
                <w:sz w:val="19"/>
              </w:rPr>
              <w:t xml:space="preserve">Port tariffs, non-discriminatory</w:t>
            </w:r>
          </w:p>
        </w:tc>
      </w:tr>
      <w:tr>
        <w:tc>
          <w:tcPr>
            <w:tcW w:w="2252" w:type="dxa"/>
          </w:tcPr>
          <w:p>
            <w:pPr>
              <w:spacing w:after="0" w:line="260" w:lineRule="auto"/>
              <w:jc w:val="left"/>
            </w:pPr>
            <w:r>
              <w:rPr>
                <w:rFonts w:ascii="Calibri" w:hAnsi="Calibri"/>
                <w:color w:val="212121"/>
                <w:sz w:val="19"/>
              </w:rPr>
              <w:t xml:space="preserve">Hydrographic survey</w:t>
            </w:r>
          </w:p>
        </w:tc>
        <w:tc>
          <w:tcPr>
            <w:tcW w:w="2252" w:type="dxa"/>
          </w:tcPr>
          <w:p>
            <w:pPr>
              <w:spacing w:after="0" w:line="260" w:lineRule="auto"/>
              <w:jc w:val="left"/>
            </w:pPr>
            <w:r>
              <w:rPr>
                <w:rFonts w:ascii="Calibri" w:hAnsi="Calibri"/>
                <w:color w:val="212121"/>
                <w:sz w:val="19"/>
              </w:rPr>
              <w:t xml:space="preserve">Per survey-mile</w:t>
            </w:r>
          </w:p>
        </w:tc>
        <w:tc>
          <w:tcPr>
            <w:tcW w:w="2252" w:type="dxa"/>
          </w:tcPr>
          <w:p>
            <w:pPr>
              <w:spacing w:after="0" w:line="260" w:lineRule="auto"/>
              <w:jc w:val="left"/>
            </w:pPr>
            <w:r>
              <w:rPr>
                <w:rFonts w:ascii="Calibri" w:hAnsi="Calibri"/>
                <w:color w:val="212121"/>
                <w:sz w:val="19"/>
              </w:rPr>
              <w:t xml:space="preserve">4,500</w:t>
            </w:r>
          </w:p>
        </w:tc>
        <w:tc>
          <w:tcPr>
            <w:tcW w:w="2254" w:type="dxa"/>
          </w:tcPr>
          <w:p>
            <w:pPr>
              <w:spacing w:after="0" w:line="260" w:lineRule="auto"/>
              <w:jc w:val="left"/>
            </w:pPr>
            <w:r>
              <w:rPr>
                <w:rFonts w:ascii="Calibri" w:hAnsi="Calibri"/>
                <w:color w:val="212121"/>
                <w:sz w:val="19"/>
              </w:rPr>
              <w:t xml:space="preserve">IHO cost references</w:t>
            </w:r>
          </w:p>
        </w:tc>
      </w:tr>
      <w:tr>
        <w:tc>
          <w:tcPr>
            <w:tcW w:w="2252" w:type="dxa"/>
          </w:tcPr>
          <w:p>
            <w:pPr>
              <w:spacing w:after="0" w:line="260" w:lineRule="auto"/>
              <w:jc w:val="left"/>
            </w:pPr>
            <w:r>
              <w:rPr>
                <w:rFonts w:ascii="Calibri" w:hAnsi="Calibri"/>
                <w:color w:val="212121"/>
                <w:sz w:val="19"/>
              </w:rPr>
              <w:t xml:space="preserve">Aids to navigation maintenance</w:t>
            </w:r>
          </w:p>
        </w:tc>
        <w:tc>
          <w:tcPr>
            <w:tcW w:w="2252" w:type="dxa"/>
          </w:tcPr>
          <w:p>
            <w:pPr>
              <w:spacing w:after="0" w:line="260" w:lineRule="auto"/>
              <w:jc w:val="left"/>
            </w:pPr>
            <w:r>
              <w:rPr>
                <w:rFonts w:ascii="Calibri" w:hAnsi="Calibri"/>
                <w:color w:val="212121"/>
                <w:sz w:val="19"/>
              </w:rPr>
              <w:t xml:space="preserve">Per aid-year</w:t>
            </w:r>
          </w:p>
        </w:tc>
        <w:tc>
          <w:tcPr>
            <w:tcW w:w="2252" w:type="dxa"/>
          </w:tcPr>
          <w:p>
            <w:pPr>
              <w:spacing w:after="0" w:line="260" w:lineRule="auto"/>
              <w:jc w:val="left"/>
            </w:pPr>
            <w:r>
              <w:rPr>
                <w:rFonts w:ascii="Calibri" w:hAnsi="Calibri"/>
                <w:color w:val="212121"/>
                <w:sz w:val="19"/>
              </w:rPr>
              <w:t xml:space="preserve">85,000</w:t>
            </w:r>
          </w:p>
        </w:tc>
        <w:tc>
          <w:tcPr>
            <w:tcW w:w="2254" w:type="dxa"/>
          </w:tcPr>
          <w:p>
            <w:pPr>
              <w:spacing w:after="0" w:line="260" w:lineRule="auto"/>
              <w:jc w:val="left"/>
            </w:pPr>
            <w:r>
              <w:rPr>
                <w:rFonts w:ascii="Calibri" w:hAnsi="Calibri"/>
                <w:color w:val="212121"/>
                <w:sz w:val="19"/>
              </w:rPr>
              <w:t xml:space="preserve">Regional aids authority schedules</w:t>
            </w:r>
          </w:p>
        </w:tc>
      </w:tr>
      <w:tr>
        <w:tc>
          <w:tcPr>
            <w:tcW w:w="2252" w:type="dxa"/>
          </w:tcPr>
          <w:p>
            <w:pPr>
              <w:spacing w:after="0" w:line="260" w:lineRule="auto"/>
              <w:jc w:val="left"/>
            </w:pPr>
            <w:r>
              <w:rPr>
                <w:rFonts w:ascii="Calibri" w:hAnsi="Calibri"/>
                <w:color w:val="212121"/>
                <w:sz w:val="19"/>
              </w:rPr>
              <w:t xml:space="preserve">Search and rescue standby</w:t>
            </w:r>
          </w:p>
        </w:tc>
        <w:tc>
          <w:tcPr>
            <w:tcW w:w="2252" w:type="dxa"/>
          </w:tcPr>
          <w:p>
            <w:pPr>
              <w:spacing w:after="0" w:line="260" w:lineRule="auto"/>
              <w:jc w:val="left"/>
            </w:pPr>
            <w:r>
              <w:rPr>
                <w:rFonts w:ascii="Calibri" w:hAnsi="Calibri"/>
                <w:color w:val="212121"/>
                <w:sz w:val="19"/>
              </w:rPr>
              <w:t xml:space="preserve">Per asset-day</w:t>
            </w:r>
          </w:p>
        </w:tc>
        <w:tc>
          <w:tcPr>
            <w:tcW w:w="2252" w:type="dxa"/>
          </w:tcPr>
          <w:p>
            <w:pPr>
              <w:spacing w:after="0" w:line="260" w:lineRule="auto"/>
              <w:jc w:val="left"/>
            </w:pPr>
            <w:r>
              <w:rPr>
                <w:rFonts w:ascii="Calibri" w:hAnsi="Calibri"/>
                <w:color w:val="212121"/>
                <w:sz w:val="19"/>
              </w:rPr>
              <w:t xml:space="preserve">9,000</w:t>
            </w:r>
          </w:p>
        </w:tc>
        <w:tc>
          <w:tcPr>
            <w:tcW w:w="2254" w:type="dxa"/>
          </w:tcPr>
          <w:p>
            <w:pPr>
              <w:spacing w:after="0" w:line="260" w:lineRule="auto"/>
              <w:jc w:val="left"/>
            </w:pPr>
            <w:r>
              <w:rPr>
                <w:rFonts w:ascii="Calibri" w:hAnsi="Calibri"/>
                <w:color w:val="212121"/>
                <w:sz w:val="19"/>
              </w:rPr>
              <w:t xml:space="preserve">Regional rescue operating costs</w:t>
            </w:r>
          </w:p>
        </w:tc>
      </w:tr>
      <w:tr>
        <w:tc>
          <w:tcPr>
            <w:tcW w:w="2252" w:type="dxa"/>
          </w:tcPr>
          <w:p>
            <w:pPr>
              <w:spacing w:after="0" w:line="260" w:lineRule="auto"/>
              <w:jc w:val="left"/>
            </w:pPr>
            <w:r>
              <w:rPr>
                <w:rFonts w:ascii="Calibri" w:hAnsi="Calibri"/>
                <w:color w:val="212121"/>
                <w:sz w:val="19"/>
              </w:rPr>
              <w:t xml:space="preserve">Pollution response standby</w:t>
            </w:r>
          </w:p>
        </w:tc>
        <w:tc>
          <w:tcPr>
            <w:tcW w:w="2252" w:type="dxa"/>
          </w:tcPr>
          <w:p>
            <w:pPr>
              <w:spacing w:after="0" w:line="260" w:lineRule="auto"/>
              <w:jc w:val="left"/>
            </w:pPr>
            <w:r>
              <w:rPr>
                <w:rFonts w:ascii="Calibri" w:hAnsi="Calibri"/>
                <w:color w:val="212121"/>
                <w:sz w:val="19"/>
              </w:rPr>
              <w:t xml:space="preserve">Per standby-day</w:t>
            </w:r>
          </w:p>
        </w:tc>
        <w:tc>
          <w:tcPr>
            <w:tcW w:w="2252" w:type="dxa"/>
          </w:tcPr>
          <w:p>
            <w:pPr>
              <w:spacing w:after="0" w:line="260" w:lineRule="auto"/>
              <w:jc w:val="left"/>
            </w:pPr>
            <w:r>
              <w:rPr>
                <w:rFonts w:ascii="Calibri" w:hAnsi="Calibri"/>
                <w:color w:val="212121"/>
                <w:sz w:val="19"/>
              </w:rPr>
              <w:t xml:space="preserve">12,000</w:t>
            </w:r>
          </w:p>
        </w:tc>
        <w:tc>
          <w:tcPr>
            <w:tcW w:w="2254" w:type="dxa"/>
          </w:tcPr>
          <w:p>
            <w:pPr>
              <w:spacing w:after="0" w:line="260" w:lineRule="auto"/>
              <w:jc w:val="left"/>
            </w:pPr>
            <w:r>
              <w:rPr>
                <w:rFonts w:ascii="Calibri" w:hAnsi="Calibri"/>
                <w:color w:val="212121"/>
                <w:sz w:val="19"/>
              </w:rPr>
              <w:t xml:space="preserve">Regional response contractor rates</w:t>
            </w:r>
          </w:p>
        </w:tc>
      </w:tr>
      <w:tr>
        <w:tc>
          <w:tcPr>
            <w:tcW w:w="2252" w:type="dxa"/>
          </w:tcPr>
          <w:p>
            <w:pPr>
              <w:spacing w:after="0" w:line="260" w:lineRule="auto"/>
              <w:jc w:val="left"/>
            </w:pPr>
            <w:r>
              <w:rPr>
                <w:rFonts w:ascii="Calibri" w:hAnsi="Calibri"/>
                <w:color w:val="212121"/>
                <w:sz w:val="19"/>
              </w:rPr>
              <w:t xml:space="preserve">Tug availability</w:t>
            </w:r>
          </w:p>
        </w:tc>
        <w:tc>
          <w:tcPr>
            <w:tcW w:w="2252" w:type="dxa"/>
          </w:tcPr>
          <w:p>
            <w:pPr>
              <w:spacing w:after="0" w:line="260" w:lineRule="auto"/>
              <w:jc w:val="left"/>
            </w:pPr>
            <w:r>
              <w:rPr>
                <w:rFonts w:ascii="Calibri" w:hAnsi="Calibri"/>
                <w:color w:val="212121"/>
                <w:sz w:val="19"/>
              </w:rPr>
              <w:t xml:space="preserve">Per standby-day</w:t>
            </w:r>
          </w:p>
        </w:tc>
        <w:tc>
          <w:tcPr>
            <w:tcW w:w="2252" w:type="dxa"/>
          </w:tcPr>
          <w:p>
            <w:pPr>
              <w:spacing w:after="0" w:line="260" w:lineRule="auto"/>
              <w:jc w:val="left"/>
            </w:pPr>
            <w:r>
              <w:rPr>
                <w:rFonts w:ascii="Calibri" w:hAnsi="Calibri"/>
                <w:color w:val="212121"/>
                <w:sz w:val="19"/>
              </w:rPr>
              <w:t xml:space="preserve">7,500</w:t>
            </w:r>
          </w:p>
        </w:tc>
        <w:tc>
          <w:tcPr>
            <w:tcW w:w="2254" w:type="dxa"/>
          </w:tcPr>
          <w:p>
            <w:pPr>
              <w:spacing w:after="0" w:line="260" w:lineRule="auto"/>
              <w:jc w:val="left"/>
            </w:pPr>
            <w:r>
              <w:rPr>
                <w:rFonts w:ascii="Calibri" w:hAnsi="Calibri"/>
                <w:color w:val="212121"/>
                <w:sz w:val="19"/>
              </w:rPr>
              <w:t xml:space="preserve">Salvage market standby rates</w:t>
            </w:r>
          </w:p>
        </w:tc>
      </w:tr>
    </w:tbl>
    <w:p>
      <w:pPr>
        <w:spacing w:after="60"/>
      </w:pPr>
    </w:p>
    <w:p>
      <w:pPr>
        <w:pStyle w:val="Caption"/>
      </w:pPr>
      <w:r>
        <w:t xml:space="preserve">Table C.4: Initial rate card; annual adjustment on the Technical Committee cost study</w:t>
      </w:r>
    </w:p>
    <w:p>
      <w:pPr>
        <w:pStyle w:val="Heading3"/>
      </w:pPr>
      <w:r>
        <w:t xml:space="preserve">C.5 Apportionment mechanics</w:t>
      </w:r>
    </w:p>
    <w:p>
      <w:pPr/>
      <w:r>
        <w:t xml:space="preserve">Net service cost after institutional first call apportions between endowment drawdown and access contributions inside the 40 to 60 percent band of Article 23.4. The board fixes the year's point in the first quarter on the Auditor's sustainability opinion; a stalled decision holds the prior year's point. Access contributions invoice quarterly through flag administrations or operators, at published per-service-unit rates, never per transit.</w:t>
      </w:r>
    </w:p>
    <w:p>
      <w:pPr>
        <w:pStyle w:val="Heading3"/>
      </w:pPr>
      <w:r>
        <w:t xml:space="preserve">C.6 Compensation window schedule</w:t>
      </w:r>
    </w:p>
    <w:p>
      <w:pPr/>
      <w:r>
        <w:t xml:space="preserve">Qualifying closure: a Neutral Keel-certified corridor closure beyond 24 hours. Compensation basis: documented demurrage, rerouting cost, and coastal revenue loss, capped per event at 40 percent of the disruption reserve, with pro-rata distribution where claims exceed the cap. Claims file within 90 days of the closure certificate; the Administrator pays verified claims within 60 days. Payment never implies fault, per Article 22.7.</w:t>
      </w:r>
    </w:p>
    <w:p>
      <w:pPr>
        <w:pStyle w:val="Heading3"/>
      </w:pPr>
      <w:r>
        <w:t xml:space="preserve">C.7 Insurance normalization schedule</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3003"/>
        <w:gridCol w:w="3003"/>
        <w:gridCol w:w="3004"/>
      </w:tblGrid>
      <w:tr>
        <w:trPr>
          <w:tblHeader/>
        </w:trPr>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Milestone</w:t>
            </w:r>
          </w:p>
        </w:tc>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Trigger</w:t>
            </w:r>
          </w:p>
        </w:tc>
        <w:tc>
          <w:tcPr>
            <w:tcW w:w="3004" w:type="dxa"/>
            <w:tcBorders>
              <w:bottom w:val="single" w:color="546E7A" w:sz="6"/>
            </w:tcBorders>
            <w:shd w:val="clear" w:fill="E4E9EC"/>
          </w:tcPr>
          <w:p>
            <w:pPr>
              <w:spacing w:after="0" w:line="260" w:lineRule="auto"/>
              <w:jc w:val="left"/>
            </w:pPr>
            <w:r>
              <w:rPr>
                <w:rFonts w:ascii="Calibri" w:hAnsi="Calibri"/>
                <w:b/>
                <w:color w:val="37474F"/>
                <w:sz w:val="19"/>
              </w:rPr>
              <w:t xml:space="preserve">Target</w:t>
            </w:r>
          </w:p>
        </w:tc>
      </w:tr>
      <w:tr>
        <w:tc>
          <w:tcPr>
            <w:tcW w:w="3003" w:type="dxa"/>
          </w:tcPr>
          <w:p>
            <w:pPr>
              <w:spacing w:after="0" w:line="260" w:lineRule="auto"/>
              <w:jc w:val="left"/>
            </w:pPr>
            <w:r>
              <w:rPr>
                <w:rFonts w:ascii="Calibri" w:hAnsi="Calibri"/>
                <w:color w:val="212121"/>
                <w:sz w:val="19"/>
              </w:rPr>
              <w:t xml:space="preserve">Premium cap phase</w:t>
            </w:r>
          </w:p>
        </w:tc>
        <w:tc>
          <w:tcPr>
            <w:tcW w:w="3003" w:type="dxa"/>
          </w:tcPr>
          <w:p>
            <w:pPr>
              <w:spacing w:after="0" w:line="260" w:lineRule="auto"/>
              <w:jc w:val="left"/>
            </w:pPr>
            <w:r>
              <w:rPr>
                <w:rFonts w:ascii="Calibri" w:hAnsi="Calibri"/>
                <w:color w:val="212121"/>
                <w:sz w:val="19"/>
              </w:rPr>
              <w:t xml:space="preserve">Sustained clean operation, 90 days</w:t>
            </w:r>
          </w:p>
        </w:tc>
        <w:tc>
          <w:tcPr>
            <w:tcW w:w="3004" w:type="dxa"/>
          </w:tcPr>
          <w:p>
            <w:pPr>
              <w:spacing w:after="0" w:line="260" w:lineRule="auto"/>
              <w:jc w:val="left"/>
            </w:pPr>
            <w:r>
              <w:rPr>
                <w:rFonts w:ascii="Calibri" w:hAnsi="Calibri"/>
                <w:color w:val="212121"/>
                <w:sz w:val="19"/>
              </w:rPr>
              <w:t xml:space="preserve">War-risk multiple at or below 2.0 times pre-crisis</w:t>
            </w:r>
          </w:p>
        </w:tc>
      </w:tr>
      <w:tr>
        <w:tc>
          <w:tcPr>
            <w:tcW w:w="3003" w:type="dxa"/>
          </w:tcPr>
          <w:p>
            <w:pPr>
              <w:spacing w:after="0" w:line="260" w:lineRule="auto"/>
              <w:jc w:val="left"/>
            </w:pPr>
            <w:r>
              <w:rPr>
                <w:rFonts w:ascii="Calibri" w:hAnsi="Calibri"/>
                <w:color w:val="212121"/>
                <w:sz w:val="19"/>
              </w:rPr>
              <w:t xml:space="preserve">Normalization phase</w:t>
            </w:r>
          </w:p>
        </w:tc>
        <w:tc>
          <w:tcPr>
            <w:tcW w:w="3003" w:type="dxa"/>
          </w:tcPr>
          <w:p>
            <w:pPr>
              <w:spacing w:after="0" w:line="260" w:lineRule="auto"/>
              <w:jc w:val="left"/>
            </w:pPr>
            <w:r>
              <w:rPr>
                <w:rFonts w:ascii="Calibri" w:hAnsi="Calibri"/>
                <w:color w:val="212121"/>
                <w:sz w:val="19"/>
              </w:rPr>
              <w:t xml:space="preserve">Sustained clean operation, two quarters</w:t>
            </w:r>
          </w:p>
        </w:tc>
        <w:tc>
          <w:tcPr>
            <w:tcW w:w="3004" w:type="dxa"/>
          </w:tcPr>
          <w:p>
            <w:pPr>
              <w:spacing w:after="0" w:line="260" w:lineRule="auto"/>
              <w:jc w:val="left"/>
            </w:pPr>
            <w:r>
              <w:rPr>
                <w:rFonts w:ascii="Calibri" w:hAnsi="Calibri"/>
                <w:color w:val="212121"/>
                <w:sz w:val="19"/>
              </w:rPr>
              <w:t xml:space="preserve">Multiple at or below 1.5 times pre-crisis</w:t>
            </w:r>
          </w:p>
        </w:tc>
      </w:tr>
      <w:tr>
        <w:tc>
          <w:tcPr>
            <w:tcW w:w="3003" w:type="dxa"/>
          </w:tcPr>
          <w:p>
            <w:pPr>
              <w:spacing w:after="0" w:line="260" w:lineRule="auto"/>
              <w:jc w:val="left"/>
            </w:pPr>
            <w:r>
              <w:rPr>
                <w:rFonts w:ascii="Calibri" w:hAnsi="Calibri"/>
                <w:color w:val="212121"/>
                <w:sz w:val="19"/>
              </w:rPr>
              <w:t xml:space="preserve">Restoration phase</w:t>
            </w:r>
          </w:p>
        </w:tc>
        <w:tc>
          <w:tcPr>
            <w:tcW w:w="3003" w:type="dxa"/>
          </w:tcPr>
          <w:p>
            <w:pPr>
              <w:spacing w:after="0" w:line="260" w:lineRule="auto"/>
              <w:jc w:val="left"/>
            </w:pPr>
            <w:r>
              <w:rPr>
                <w:rFonts w:ascii="Calibri" w:hAnsi="Calibri"/>
                <w:color w:val="212121"/>
                <w:sz w:val="19"/>
              </w:rPr>
              <w:t xml:space="preserve">Sustained clean operation, four quarters</w:t>
            </w:r>
          </w:p>
        </w:tc>
        <w:tc>
          <w:tcPr>
            <w:tcW w:w="3004" w:type="dxa"/>
          </w:tcPr>
          <w:p>
            <w:pPr>
              <w:spacing w:after="0" w:line="260" w:lineRule="auto"/>
              <w:jc w:val="left"/>
            </w:pPr>
            <w:r>
              <w:rPr>
                <w:rFonts w:ascii="Calibri" w:hAnsi="Calibri"/>
                <w:color w:val="212121"/>
                <w:sz w:val="19"/>
              </w:rPr>
              <w:t xml:space="preserve">Pre-crisis premium levels restored</w:t>
            </w:r>
          </w:p>
        </w:tc>
      </w:tr>
    </w:tbl>
    <w:p>
      <w:pPr>
        <w:spacing w:after="60"/>
      </w:pPr>
    </w:p>
    <w:p>
      <w:pPr>
        <w:pStyle w:val="Caption"/>
      </w:pPr>
      <w:r>
        <w:t xml:space="preserve">Table C.7: Premium normalization targets; the Center publishes the weekly premium index</w:t>
      </w:r>
    </w:p>
    <w:p>
      <w:pPr>
        <w:pStyle w:val="Heading1"/>
      </w:pPr>
      <w:r>
        <w:t xml:space="preserve">Annex D: Point Schedule for Verified Deviations</w:t>
      </w:r>
    </w:p>
    <w:p>
      <w:pPr/>
      <w:r>
        <w:t xml:space="preserve">The Ledger converts verified deviations into points, and points feed the standing formula of Annex E. Points record severity, never politics, and every entry carries its evidence file reference.</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2252"/>
        <w:gridCol w:w="2252"/>
        <w:gridCol w:w="2252"/>
        <w:gridCol w:w="2254"/>
      </w:tblGrid>
      <w:tr>
        <w:trPr>
          <w:tblHeader/>
        </w:trPr>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Category</w:t>
            </w:r>
          </w:p>
        </w:tc>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Description</w:t>
            </w:r>
          </w:p>
        </w:tc>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Points</w:t>
            </w:r>
          </w:p>
        </w:tc>
        <w:tc>
          <w:tcPr>
            <w:tcW w:w="2254" w:type="dxa"/>
            <w:tcBorders>
              <w:bottom w:val="single" w:color="546E7A" w:sz="6"/>
            </w:tcBorders>
            <w:shd w:val="clear" w:fill="E4E9EC"/>
          </w:tcPr>
          <w:p>
            <w:pPr>
              <w:spacing w:after="0" w:line="260" w:lineRule="auto"/>
              <w:jc w:val="left"/>
            </w:pPr>
            <w:r>
              <w:rPr>
                <w:rFonts w:ascii="Calibri" w:hAnsi="Calibri"/>
                <w:b/>
                <w:color w:val="37474F"/>
                <w:sz w:val="19"/>
              </w:rPr>
              <w:t xml:space="preserve">Notes</w:t>
            </w:r>
          </w:p>
        </w:tc>
      </w:tr>
      <w:tr>
        <w:tc>
          <w:tcPr>
            <w:tcW w:w="2252" w:type="dxa"/>
          </w:tcPr>
          <w:p>
            <w:pPr>
              <w:spacing w:after="0" w:line="260" w:lineRule="auto"/>
              <w:jc w:val="left"/>
            </w:pPr>
            <w:r>
              <w:rPr>
                <w:rFonts w:ascii="Calibri" w:hAnsi="Calibri"/>
                <w:color w:val="212121"/>
                <w:sz w:val="19"/>
              </w:rPr>
              <w:t xml:space="preserve">P-1</w:t>
            </w:r>
          </w:p>
        </w:tc>
        <w:tc>
          <w:tcPr>
            <w:tcW w:w="2252" w:type="dxa"/>
          </w:tcPr>
          <w:p>
            <w:pPr>
              <w:spacing w:after="0" w:line="260" w:lineRule="auto"/>
              <w:jc w:val="left"/>
            </w:pPr>
            <w:r>
              <w:rPr>
                <w:rFonts w:ascii="Calibri" w:hAnsi="Calibri"/>
                <w:color w:val="212121"/>
                <w:sz w:val="19"/>
              </w:rPr>
              <w:t xml:space="preserve">Procedural deviation, cured within notice window</w:t>
            </w:r>
          </w:p>
        </w:tc>
        <w:tc>
          <w:tcPr>
            <w:tcW w:w="2252" w:type="dxa"/>
          </w:tcPr>
          <w:p>
            <w:pPr>
              <w:spacing w:after="0" w:line="260" w:lineRule="auto"/>
              <w:jc w:val="left"/>
            </w:pPr>
            <w:r>
              <w:rPr>
                <w:rFonts w:ascii="Calibri" w:hAnsi="Calibri"/>
                <w:color w:val="212121"/>
                <w:sz w:val="19"/>
              </w:rPr>
              <w:t xml:space="preserve">1</w:t>
            </w:r>
          </w:p>
        </w:tc>
        <w:tc>
          <w:tcPr>
            <w:tcW w:w="2254" w:type="dxa"/>
          </w:tcPr>
          <w:p>
            <w:pPr>
              <w:spacing w:after="0" w:line="260" w:lineRule="auto"/>
              <w:jc w:val="left"/>
            </w:pPr>
            <w:r>
              <w:rPr>
                <w:rFonts w:ascii="Calibri" w:hAnsi="Calibri"/>
                <w:color w:val="212121"/>
                <w:sz w:val="19"/>
              </w:rPr>
              <w:t xml:space="preserve">Expires from standing calculation at 12 months; archive retains</w:t>
            </w:r>
          </w:p>
        </w:tc>
      </w:tr>
      <w:tr>
        <w:tc>
          <w:tcPr>
            <w:tcW w:w="2252" w:type="dxa"/>
          </w:tcPr>
          <w:p>
            <w:pPr>
              <w:spacing w:after="0" w:line="260" w:lineRule="auto"/>
              <w:jc w:val="left"/>
            </w:pPr>
            <w:r>
              <w:rPr>
                <w:rFonts w:ascii="Calibri" w:hAnsi="Calibri"/>
                <w:color w:val="212121"/>
                <w:sz w:val="19"/>
              </w:rPr>
              <w:t xml:space="preserve">P-2</w:t>
            </w:r>
          </w:p>
        </w:tc>
        <w:tc>
          <w:tcPr>
            <w:tcW w:w="2252" w:type="dxa"/>
          </w:tcPr>
          <w:p>
            <w:pPr>
              <w:spacing w:after="0" w:line="260" w:lineRule="auto"/>
              <w:jc w:val="left"/>
            </w:pPr>
            <w:r>
              <w:rPr>
                <w:rFonts w:ascii="Calibri" w:hAnsi="Calibri"/>
                <w:color w:val="212121"/>
                <w:sz w:val="19"/>
              </w:rPr>
              <w:t xml:space="preserve">Procedural deviation, uncured or repeated</w:t>
            </w:r>
          </w:p>
        </w:tc>
        <w:tc>
          <w:tcPr>
            <w:tcW w:w="2252" w:type="dxa"/>
          </w:tcPr>
          <w:p>
            <w:pPr>
              <w:spacing w:after="0" w:line="260" w:lineRule="auto"/>
              <w:jc w:val="left"/>
            </w:pPr>
            <w:r>
              <w:rPr>
                <w:rFonts w:ascii="Calibri" w:hAnsi="Calibri"/>
                <w:color w:val="212121"/>
                <w:sz w:val="19"/>
              </w:rPr>
              <w:t xml:space="preserve">3</w:t>
            </w:r>
          </w:p>
        </w:tc>
        <w:tc>
          <w:tcPr>
            <w:tcW w:w="2254" w:type="dxa"/>
          </w:tcPr>
          <w:p>
            <w:pPr>
              <w:spacing w:after="0" w:line="260" w:lineRule="auto"/>
              <w:jc w:val="left"/>
            </w:pPr>
            <w:r>
              <w:rPr>
                <w:rFonts w:ascii="Calibri" w:hAnsi="Calibri"/>
                <w:color w:val="212121"/>
                <w:sz w:val="19"/>
              </w:rPr>
              <w:t xml:space="preserve">Triggers ladder step two</w:t>
            </w:r>
          </w:p>
        </w:tc>
      </w:tr>
      <w:tr>
        <w:tc>
          <w:tcPr>
            <w:tcW w:w="2252" w:type="dxa"/>
          </w:tcPr>
          <w:p>
            <w:pPr>
              <w:spacing w:after="0" w:line="260" w:lineRule="auto"/>
              <w:jc w:val="left"/>
            </w:pPr>
            <w:r>
              <w:rPr>
                <w:rFonts w:ascii="Calibri" w:hAnsi="Calibri"/>
                <w:color w:val="212121"/>
                <w:sz w:val="19"/>
              </w:rPr>
              <w:t xml:space="preserve">M-1</w:t>
            </w:r>
          </w:p>
        </w:tc>
        <w:tc>
          <w:tcPr>
            <w:tcW w:w="2252" w:type="dxa"/>
          </w:tcPr>
          <w:p>
            <w:pPr>
              <w:spacing w:after="0" w:line="260" w:lineRule="auto"/>
              <w:jc w:val="left"/>
            </w:pPr>
            <w:r>
              <w:rPr>
                <w:rFonts w:ascii="Calibri" w:hAnsi="Calibri"/>
                <w:color w:val="212121"/>
                <w:sz w:val="19"/>
              </w:rPr>
              <w:t xml:space="preserve">Material deviation with third-party loss, cured</w:t>
            </w:r>
          </w:p>
        </w:tc>
        <w:tc>
          <w:tcPr>
            <w:tcW w:w="2252" w:type="dxa"/>
          </w:tcPr>
          <w:p>
            <w:pPr>
              <w:spacing w:after="0" w:line="260" w:lineRule="auto"/>
              <w:jc w:val="left"/>
            </w:pPr>
            <w:r>
              <w:rPr>
                <w:rFonts w:ascii="Calibri" w:hAnsi="Calibri"/>
                <w:color w:val="212121"/>
                <w:sz w:val="19"/>
              </w:rPr>
              <w:t xml:space="preserve">5</w:t>
            </w:r>
          </w:p>
        </w:tc>
        <w:tc>
          <w:tcPr>
            <w:tcW w:w="2254" w:type="dxa"/>
          </w:tcPr>
          <w:p>
            <w:pPr>
              <w:spacing w:after="0" w:line="260" w:lineRule="auto"/>
              <w:jc w:val="left"/>
            </w:pPr>
            <w:r>
              <w:rPr>
                <w:rFonts w:ascii="Calibri" w:hAnsi="Calibri"/>
                <w:color w:val="212121"/>
                <w:sz w:val="19"/>
              </w:rPr>
              <w:t xml:space="preserve">Compensation through Fund where qualifying</w:t>
            </w:r>
          </w:p>
        </w:tc>
      </w:tr>
      <w:tr>
        <w:tc>
          <w:tcPr>
            <w:tcW w:w="2252" w:type="dxa"/>
          </w:tcPr>
          <w:p>
            <w:pPr>
              <w:spacing w:after="0" w:line="260" w:lineRule="auto"/>
              <w:jc w:val="left"/>
            </w:pPr>
            <w:r>
              <w:rPr>
                <w:rFonts w:ascii="Calibri" w:hAnsi="Calibri"/>
                <w:color w:val="212121"/>
                <w:sz w:val="19"/>
              </w:rPr>
              <w:t xml:space="preserve">M-2</w:t>
            </w:r>
          </w:p>
        </w:tc>
        <w:tc>
          <w:tcPr>
            <w:tcW w:w="2252" w:type="dxa"/>
          </w:tcPr>
          <w:p>
            <w:pPr>
              <w:spacing w:after="0" w:line="260" w:lineRule="auto"/>
              <w:jc w:val="left"/>
            </w:pPr>
            <w:r>
              <w:rPr>
                <w:rFonts w:ascii="Calibri" w:hAnsi="Calibri"/>
                <w:color w:val="212121"/>
                <w:sz w:val="19"/>
              </w:rPr>
              <w:t xml:space="preserve">Obstruction of patrol, observer, or audit</w:t>
            </w:r>
          </w:p>
        </w:tc>
        <w:tc>
          <w:tcPr>
            <w:tcW w:w="2252" w:type="dxa"/>
          </w:tcPr>
          <w:p>
            <w:pPr>
              <w:spacing w:after="0" w:line="260" w:lineRule="auto"/>
              <w:jc w:val="left"/>
            </w:pPr>
            <w:r>
              <w:rPr>
                <w:rFonts w:ascii="Calibri" w:hAnsi="Calibri"/>
                <w:color w:val="212121"/>
                <w:sz w:val="19"/>
              </w:rPr>
              <w:t xml:space="preserve">8</w:t>
            </w:r>
          </w:p>
        </w:tc>
        <w:tc>
          <w:tcPr>
            <w:tcW w:w="2254" w:type="dxa"/>
          </w:tcPr>
          <w:p>
            <w:pPr>
              <w:spacing w:after="0" w:line="260" w:lineRule="auto"/>
              <w:jc w:val="left"/>
            </w:pPr>
            <w:r>
              <w:rPr>
                <w:rFonts w:ascii="Calibri" w:hAnsi="Calibri"/>
                <w:color w:val="212121"/>
                <w:sz w:val="19"/>
              </w:rPr>
              <w:t xml:space="preserve">One category higher where an observer is involved</w:t>
            </w:r>
          </w:p>
        </w:tc>
      </w:tr>
      <w:tr>
        <w:tc>
          <w:tcPr>
            <w:tcW w:w="2252" w:type="dxa"/>
          </w:tcPr>
          <w:p>
            <w:pPr>
              <w:spacing w:after="0" w:line="260" w:lineRule="auto"/>
              <w:jc w:val="left"/>
            </w:pPr>
            <w:r>
              <w:rPr>
                <w:rFonts w:ascii="Calibri" w:hAnsi="Calibri"/>
                <w:color w:val="212121"/>
                <w:sz w:val="19"/>
              </w:rPr>
              <w:t xml:space="preserve">S-1</w:t>
            </w:r>
          </w:p>
        </w:tc>
        <w:tc>
          <w:tcPr>
            <w:tcW w:w="2252" w:type="dxa"/>
          </w:tcPr>
          <w:p>
            <w:pPr>
              <w:spacing w:after="0" w:line="260" w:lineRule="auto"/>
              <w:jc w:val="left"/>
            </w:pPr>
            <w:r>
              <w:rPr>
                <w:rFonts w:ascii="Calibri" w:hAnsi="Calibri"/>
                <w:color w:val="212121"/>
                <w:sz w:val="19"/>
              </w:rPr>
              <w:t xml:space="preserve">Service record falsification</w:t>
            </w:r>
          </w:p>
        </w:tc>
        <w:tc>
          <w:tcPr>
            <w:tcW w:w="2252" w:type="dxa"/>
          </w:tcPr>
          <w:p>
            <w:pPr>
              <w:spacing w:after="0" w:line="260" w:lineRule="auto"/>
              <w:jc w:val="left"/>
            </w:pPr>
            <w:r>
              <w:rPr>
                <w:rFonts w:ascii="Calibri" w:hAnsi="Calibri"/>
                <w:color w:val="212121"/>
                <w:sz w:val="19"/>
              </w:rPr>
              <w:t xml:space="preserve">10</w:t>
            </w:r>
          </w:p>
        </w:tc>
        <w:tc>
          <w:tcPr>
            <w:tcW w:w="2254" w:type="dxa"/>
          </w:tcPr>
          <w:p>
            <w:pPr>
              <w:spacing w:after="0" w:line="260" w:lineRule="auto"/>
              <w:jc w:val="left"/>
            </w:pPr>
            <w:r>
              <w:rPr>
                <w:rFonts w:ascii="Calibri" w:hAnsi="Calibri"/>
                <w:color w:val="212121"/>
                <w:sz w:val="19"/>
              </w:rPr>
              <w:t xml:space="preserve">Plus restitution; quality premium suspension 2 quarters</w:t>
            </w:r>
          </w:p>
        </w:tc>
      </w:tr>
      <w:tr>
        <w:tc>
          <w:tcPr>
            <w:tcW w:w="2252" w:type="dxa"/>
          </w:tcPr>
          <w:p>
            <w:pPr>
              <w:spacing w:after="0" w:line="260" w:lineRule="auto"/>
              <w:jc w:val="left"/>
            </w:pPr>
            <w:r>
              <w:rPr>
                <w:rFonts w:ascii="Calibri" w:hAnsi="Calibri"/>
                <w:color w:val="212121"/>
                <w:sz w:val="19"/>
              </w:rPr>
              <w:t xml:space="preserve">S-2</w:t>
            </w:r>
          </w:p>
        </w:tc>
        <w:tc>
          <w:tcPr>
            <w:tcW w:w="2252" w:type="dxa"/>
          </w:tcPr>
          <w:p>
            <w:pPr>
              <w:spacing w:after="0" w:line="260" w:lineRule="auto"/>
              <w:jc w:val="left"/>
            </w:pPr>
            <w:r>
              <w:rPr>
                <w:rFonts w:ascii="Calibri" w:hAnsi="Calibri"/>
                <w:color w:val="212121"/>
                <w:sz w:val="19"/>
              </w:rPr>
              <w:t xml:space="preserve">Financial irregularity short of diversion</w:t>
            </w:r>
          </w:p>
        </w:tc>
        <w:tc>
          <w:tcPr>
            <w:tcW w:w="2252" w:type="dxa"/>
          </w:tcPr>
          <w:p>
            <w:pPr>
              <w:spacing w:after="0" w:line="260" w:lineRule="auto"/>
              <w:jc w:val="left"/>
            </w:pPr>
            <w:r>
              <w:rPr>
                <w:rFonts w:ascii="Calibri" w:hAnsi="Calibri"/>
                <w:color w:val="212121"/>
                <w:sz w:val="19"/>
              </w:rPr>
              <w:t xml:space="preserve">10</w:t>
            </w:r>
          </w:p>
        </w:tc>
        <w:tc>
          <w:tcPr>
            <w:tcW w:w="2254" w:type="dxa"/>
          </w:tcPr>
          <w:p>
            <w:pPr>
              <w:spacing w:after="0" w:line="260" w:lineRule="auto"/>
              <w:jc w:val="left"/>
            </w:pPr>
            <w:r>
              <w:rPr>
                <w:rFonts w:ascii="Calibri" w:hAnsi="Calibri"/>
                <w:color w:val="212121"/>
                <w:sz w:val="19"/>
              </w:rPr>
              <w:t xml:space="preserve">Plus restitution</w:t>
            </w:r>
          </w:p>
        </w:tc>
      </w:tr>
      <w:tr>
        <w:tc>
          <w:tcPr>
            <w:tcW w:w="2252" w:type="dxa"/>
          </w:tcPr>
          <w:p>
            <w:pPr>
              <w:spacing w:after="0" w:line="260" w:lineRule="auto"/>
              <w:jc w:val="left"/>
            </w:pPr>
            <w:r>
              <w:rPr>
                <w:rFonts w:ascii="Calibri" w:hAnsi="Calibri"/>
                <w:color w:val="212121"/>
                <w:sz w:val="19"/>
              </w:rPr>
              <w:t xml:space="preserve">G-1</w:t>
            </w:r>
          </w:p>
        </w:tc>
        <w:tc>
          <w:tcPr>
            <w:tcW w:w="2252" w:type="dxa"/>
          </w:tcPr>
          <w:p>
            <w:pPr>
              <w:spacing w:after="0" w:line="260" w:lineRule="auto"/>
              <w:jc w:val="left"/>
            </w:pPr>
            <w:r>
              <w:rPr>
                <w:rFonts w:ascii="Calibri" w:hAnsi="Calibri"/>
                <w:color w:val="212121"/>
                <w:sz w:val="19"/>
              </w:rPr>
              <w:t xml:space="preserve">Guarantor or Panel clock missed through a Party's obstruction</w:t>
            </w:r>
          </w:p>
        </w:tc>
        <w:tc>
          <w:tcPr>
            <w:tcW w:w="2252" w:type="dxa"/>
          </w:tcPr>
          <w:p>
            <w:pPr>
              <w:spacing w:after="0" w:line="260" w:lineRule="auto"/>
              <w:jc w:val="left"/>
            </w:pPr>
            <w:r>
              <w:rPr>
                <w:rFonts w:ascii="Calibri" w:hAnsi="Calibri"/>
                <w:color w:val="212121"/>
                <w:sz w:val="19"/>
              </w:rPr>
              <w:t xml:space="preserve">4</w:t>
            </w:r>
          </w:p>
        </w:tc>
        <w:tc>
          <w:tcPr>
            <w:tcW w:w="2254" w:type="dxa"/>
          </w:tcPr>
          <w:p>
            <w:pPr>
              <w:spacing w:after="0" w:line="260" w:lineRule="auto"/>
              <w:jc w:val="left"/>
            </w:pPr>
            <w:r>
              <w:rPr>
                <w:rFonts w:ascii="Calibri" w:hAnsi="Calibri"/>
                <w:color w:val="212121"/>
                <w:sz w:val="19"/>
              </w:rPr>
              <w:t xml:space="preserve">Per Article 17.2</w:t>
            </w:r>
          </w:p>
        </w:tc>
      </w:tr>
      <w:tr>
        <w:tc>
          <w:tcPr>
            <w:tcW w:w="2252" w:type="dxa"/>
          </w:tcPr>
          <w:p>
            <w:pPr>
              <w:spacing w:after="0" w:line="260" w:lineRule="auto"/>
              <w:jc w:val="left"/>
            </w:pPr>
            <w:r>
              <w:rPr>
                <w:rFonts w:ascii="Calibri" w:hAnsi="Calibri"/>
                <w:color w:val="212121"/>
                <w:sz w:val="19"/>
              </w:rPr>
              <w:t xml:space="preserve">A-1</w:t>
            </w:r>
          </w:p>
        </w:tc>
        <w:tc>
          <w:tcPr>
            <w:tcW w:w="2252" w:type="dxa"/>
          </w:tcPr>
          <w:p>
            <w:pPr>
              <w:spacing w:after="0" w:line="260" w:lineRule="auto"/>
              <w:jc w:val="left"/>
            </w:pPr>
            <w:r>
              <w:rPr>
                <w:rFonts w:ascii="Calibri" w:hAnsi="Calibri"/>
                <w:color w:val="212121"/>
                <w:sz w:val="19"/>
              </w:rPr>
              <w:t xml:space="preserve">Architectural Breach event</w:t>
            </w:r>
          </w:p>
        </w:tc>
        <w:tc>
          <w:tcPr>
            <w:tcW w:w="2252" w:type="dxa"/>
          </w:tcPr>
          <w:p>
            <w:pPr>
              <w:spacing w:after="0" w:line="260" w:lineRule="auto"/>
              <w:jc w:val="left"/>
            </w:pPr>
            <w:r>
              <w:rPr>
                <w:rFonts w:ascii="Calibri" w:hAnsi="Calibri"/>
                <w:color w:val="212121"/>
                <w:sz w:val="19"/>
              </w:rPr>
              <w:t xml:space="preserve">20</w:t>
            </w:r>
          </w:p>
        </w:tc>
        <w:tc>
          <w:tcPr>
            <w:tcW w:w="2254" w:type="dxa"/>
          </w:tcPr>
          <w:p>
            <w:pPr>
              <w:spacing w:after="0" w:line="260" w:lineRule="auto"/>
              <w:jc w:val="left"/>
            </w:pPr>
            <w:r>
              <w:rPr>
                <w:rFonts w:ascii="Calibri" w:hAnsi="Calibri"/>
                <w:color w:val="212121"/>
                <w:sz w:val="19"/>
              </w:rPr>
              <w:t xml:space="preserve">Activates the Stillwater Pause</w:t>
            </w:r>
          </w:p>
        </w:tc>
      </w:tr>
    </w:tbl>
    <w:p>
      <w:pPr>
        <w:spacing w:after="60"/>
      </w:pPr>
    </w:p>
    <w:p>
      <w:pPr>
        <w:pStyle w:val="Caption"/>
      </w:pPr>
      <w:r>
        <w:t xml:space="preserve">Table D.1: Deviation point schedule</w:t>
      </w:r>
    </w:p>
    <w:p>
      <w:pPr>
        <w:pStyle w:val="Heading3"/>
      </w:pPr>
      <w:r>
        <w:t xml:space="preserve">D.1 Expiry and banking</w:t>
      </w:r>
    </w:p>
    <w:p>
      <w:pPr/>
      <w:r>
        <w:t xml:space="preserve">Points expire from the standing calculation per their category row; the archive never purges. Over-compliance credits bank permanently in the Performance Reserve and offset points only through the earn-back mechanics of Article 31.3, never automatically: restoration always travels through verified cure, and the Ledger shows every movement.</w:t>
      </w:r>
    </w:p>
    <w:p>
      <w:pPr>
        <w:pStyle w:val="Heading1"/>
      </w:pPr>
      <w:r>
        <w:t xml:space="preserve">Annex E: Graduated Response and Restoration Operating Rules</w:t>
      </w:r>
    </w:p>
    <w:p>
      <w:pPr>
        <w:pStyle w:val="Heading3"/>
      </w:pPr>
      <w:r>
        <w:t xml:space="preserve">E.1 Standing formula</w:t>
      </w:r>
    </w:p>
    <w:p>
      <w:pPr/>
      <w:r>
        <w:t xml:space="preserve">Standing derives from the trailing four quarters: Anchor requires zero M or S category points and a service record at or above roster; Steady requires fewer than 8 points; Watch applies at 8 to 19 points; Step-back applies at 20 points or a live Architectural Breach. The Administrator computes standing quarterly; the Neutral Keel Office audits the computation; the Bulletin publishes the result with the underlying numbers.</w:t>
      </w:r>
    </w:p>
    <w:p>
      <w:pPr>
        <w:pStyle w:val="Heading3"/>
      </w:pPr>
      <w:r>
        <w:t xml:space="preserve">E.2 Response clocks</w:t>
      </w:r>
    </w:p>
    <w:p>
      <w:pPr/>
      <w:r>
        <w:t xml:space="preserve">Ladder step one issues within 5 working days of verification. Step two publishes within 10 working days where step one fails to cure. Step three runs exactly 30 days and restores automatically on the cure certificate. Step four applies only on the Council's Twin Key decision with the Technical Committee's findings attached. Step five opens the facilitation tier within 14 days. Every clock publishes; a missed clock by an organ enters that organ's own record in the Ledger's institutional column.</w:t>
      </w:r>
    </w:p>
    <w:p>
      <w:pPr>
        <w:pStyle w:val="Heading3"/>
      </w:pPr>
      <w:r>
        <w:t xml:space="preserve">E.3 Restoration certificates</w:t>
      </w:r>
    </w:p>
    <w:p>
      <w:pPr/>
      <w:r>
        <w:t xml:space="preserve">The Neutral Keel Office issues cure certificates within 72 hours of a cure claim, on evidence. A certificate restores the affected benefits immediately and converts publication flags to cured markers. The Office's certificate is final on the fact of cure; disagreement travels to the technical referee.</w:t>
      </w:r>
    </w:p>
    <w:p>
      <w:pPr>
        <w:pStyle w:val="Heading3"/>
      </w:pPr>
      <w:r>
        <w:t xml:space="preserve">E.4 Pattern doctrine</w:t>
      </w:r>
    </w:p>
    <w:p>
      <w:pPr/>
      <w:r>
        <w:t xml:space="preserve">Three P-category events of the same type in two quarters constitute a pattern and classify as one M-category event. The doctrine prevents salami-slicing of obligations while protecting a Party from classification drift: only same-type repetition aggregates, and the aggregation publishes with the underlying entries.</w:t>
      </w:r>
    </w:p>
    <w:p>
      <w:pPr>
        <w:pStyle w:val="Heading1"/>
      </w:pPr>
      <w:r>
        <w:t xml:space="preserve">Annex F: Communications, VHF Plan, Hotline, and De-confliction Protocols</w:t>
      </w:r>
    </w:p>
    <w:p>
      <w:pPr>
        <w:pStyle w:val="Heading3"/>
      </w:pPr>
      <w:r>
        <w:t xml:space="preserve">F.1 Radio plan</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3003"/>
        <w:gridCol w:w="3003"/>
        <w:gridCol w:w="3004"/>
      </w:tblGrid>
      <w:tr>
        <w:trPr>
          <w:tblHeader/>
        </w:trPr>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Function</w:t>
            </w:r>
          </w:p>
        </w:tc>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Channel</w:t>
            </w:r>
          </w:p>
        </w:tc>
        <w:tc>
          <w:tcPr>
            <w:tcW w:w="3004" w:type="dxa"/>
            <w:tcBorders>
              <w:bottom w:val="single" w:color="546E7A" w:sz="6"/>
            </w:tcBorders>
            <w:shd w:val="clear" w:fill="E4E9EC"/>
          </w:tcPr>
          <w:p>
            <w:pPr>
              <w:spacing w:after="0" w:line="260" w:lineRule="auto"/>
              <w:jc w:val="left"/>
            </w:pPr>
            <w:r>
              <w:rPr>
                <w:rFonts w:ascii="Calibri" w:hAnsi="Calibri"/>
                <w:b/>
                <w:color w:val="37474F"/>
                <w:sz w:val="19"/>
              </w:rPr>
              <w:t xml:space="preserve">Watch</w:t>
            </w:r>
          </w:p>
        </w:tc>
      </w:tr>
      <w:tr>
        <w:tc>
          <w:tcPr>
            <w:tcW w:w="3003" w:type="dxa"/>
          </w:tcPr>
          <w:p>
            <w:pPr>
              <w:spacing w:after="0" w:line="260" w:lineRule="auto"/>
              <w:jc w:val="left"/>
            </w:pPr>
            <w:r>
              <w:rPr>
                <w:rFonts w:ascii="Calibri" w:hAnsi="Calibri"/>
                <w:color w:val="212121"/>
                <w:sz w:val="19"/>
              </w:rPr>
              <w:t xml:space="preserve">Distress, safety, and calling</w:t>
            </w:r>
          </w:p>
        </w:tc>
        <w:tc>
          <w:tcPr>
            <w:tcW w:w="3003" w:type="dxa"/>
          </w:tcPr>
          <w:p>
            <w:pPr>
              <w:spacing w:after="0" w:line="260" w:lineRule="auto"/>
              <w:jc w:val="left"/>
            </w:pPr>
            <w:r>
              <w:rPr>
                <w:rFonts w:ascii="Calibri" w:hAnsi="Calibri"/>
                <w:color w:val="212121"/>
                <w:sz w:val="19"/>
              </w:rPr>
              <w:t xml:space="preserve">VHF Channel 16</w:t>
            </w:r>
          </w:p>
        </w:tc>
        <w:tc>
          <w:tcPr>
            <w:tcW w:w="3004" w:type="dxa"/>
          </w:tcPr>
          <w:p>
            <w:pPr>
              <w:spacing w:after="0" w:line="260" w:lineRule="auto"/>
              <w:jc w:val="left"/>
            </w:pPr>
            <w:r>
              <w:rPr>
                <w:rFonts w:ascii="Calibri" w:hAnsi="Calibri"/>
                <w:color w:val="212121"/>
                <w:sz w:val="19"/>
              </w:rPr>
              <w:t xml:space="preserve">Continuous, all stations</w:t>
            </w:r>
          </w:p>
        </w:tc>
      </w:tr>
      <w:tr>
        <w:tc>
          <w:tcPr>
            <w:tcW w:w="3003" w:type="dxa"/>
          </w:tcPr>
          <w:p>
            <w:pPr>
              <w:spacing w:after="0" w:line="260" w:lineRule="auto"/>
              <w:jc w:val="left"/>
            </w:pPr>
            <w:r>
              <w:rPr>
                <w:rFonts w:ascii="Calibri" w:hAnsi="Calibri"/>
                <w:color w:val="212121"/>
                <w:sz w:val="19"/>
              </w:rPr>
              <w:t xml:space="preserve">Center working channel, Corridor One</w:t>
            </w:r>
          </w:p>
        </w:tc>
        <w:tc>
          <w:tcPr>
            <w:tcW w:w="3003" w:type="dxa"/>
          </w:tcPr>
          <w:p>
            <w:pPr>
              <w:spacing w:after="0" w:line="260" w:lineRule="auto"/>
              <w:jc w:val="left"/>
            </w:pPr>
            <w:r>
              <w:rPr>
                <w:rFonts w:ascii="Calibri" w:hAnsi="Calibri"/>
                <w:color w:val="212121"/>
                <w:sz w:val="19"/>
              </w:rPr>
              <w:t xml:space="preserve">VHF Channel 71</w:t>
            </w:r>
          </w:p>
        </w:tc>
        <w:tc>
          <w:tcPr>
            <w:tcW w:w="3004" w:type="dxa"/>
          </w:tcPr>
          <w:p>
            <w:pPr>
              <w:spacing w:after="0" w:line="260" w:lineRule="auto"/>
              <w:jc w:val="left"/>
            </w:pPr>
            <w:r>
              <w:rPr>
                <w:rFonts w:ascii="Calibri" w:hAnsi="Calibri"/>
                <w:color w:val="212121"/>
                <w:sz w:val="19"/>
              </w:rPr>
              <w:t xml:space="preserve">Continuous, Center and Muscat mirror</w:t>
            </w:r>
          </w:p>
        </w:tc>
      </w:tr>
      <w:tr>
        <w:tc>
          <w:tcPr>
            <w:tcW w:w="3003" w:type="dxa"/>
          </w:tcPr>
          <w:p>
            <w:pPr>
              <w:spacing w:after="0" w:line="260" w:lineRule="auto"/>
              <w:jc w:val="left"/>
            </w:pPr>
            <w:r>
              <w:rPr>
                <w:rFonts w:ascii="Calibri" w:hAnsi="Calibri"/>
                <w:color w:val="212121"/>
                <w:sz w:val="19"/>
              </w:rPr>
              <w:t xml:space="preserve">Center working channel, Corridor Two</w:t>
            </w:r>
          </w:p>
        </w:tc>
        <w:tc>
          <w:tcPr>
            <w:tcW w:w="3003" w:type="dxa"/>
          </w:tcPr>
          <w:p>
            <w:pPr>
              <w:spacing w:after="0" w:line="260" w:lineRule="auto"/>
              <w:jc w:val="left"/>
            </w:pPr>
            <w:r>
              <w:rPr>
                <w:rFonts w:ascii="Calibri" w:hAnsi="Calibri"/>
                <w:color w:val="212121"/>
                <w:sz w:val="19"/>
              </w:rPr>
              <w:t xml:space="preserve">VHF Channel 72</w:t>
            </w:r>
          </w:p>
        </w:tc>
        <w:tc>
          <w:tcPr>
            <w:tcW w:w="3004" w:type="dxa"/>
          </w:tcPr>
          <w:p>
            <w:pPr>
              <w:spacing w:after="0" w:line="260" w:lineRule="auto"/>
              <w:jc w:val="left"/>
            </w:pPr>
            <w:r>
              <w:rPr>
                <w:rFonts w:ascii="Calibri" w:hAnsi="Calibri"/>
                <w:color w:val="212121"/>
                <w:sz w:val="19"/>
              </w:rPr>
              <w:t xml:space="preserve">Continuous, Center and Bandar Abbas mirror</w:t>
            </w:r>
          </w:p>
        </w:tc>
      </w:tr>
      <w:tr>
        <w:tc>
          <w:tcPr>
            <w:tcW w:w="3003" w:type="dxa"/>
          </w:tcPr>
          <w:p>
            <w:pPr>
              <w:spacing w:after="0" w:line="260" w:lineRule="auto"/>
              <w:jc w:val="left"/>
            </w:pPr>
            <w:r>
              <w:rPr>
                <w:rFonts w:ascii="Calibri" w:hAnsi="Calibri"/>
                <w:color w:val="212121"/>
                <w:sz w:val="19"/>
              </w:rPr>
              <w:t xml:space="preserve">Escort coordination</w:t>
            </w:r>
          </w:p>
        </w:tc>
        <w:tc>
          <w:tcPr>
            <w:tcW w:w="3003" w:type="dxa"/>
          </w:tcPr>
          <w:p>
            <w:pPr>
              <w:spacing w:after="0" w:line="260" w:lineRule="auto"/>
              <w:jc w:val="left"/>
            </w:pPr>
            <w:r>
              <w:rPr>
                <w:rFonts w:ascii="Calibri" w:hAnsi="Calibri"/>
                <w:color w:val="212121"/>
                <w:sz w:val="19"/>
              </w:rPr>
              <w:t xml:space="preserve">VHF Channel 73</w:t>
            </w:r>
          </w:p>
        </w:tc>
        <w:tc>
          <w:tcPr>
            <w:tcW w:w="3004" w:type="dxa"/>
          </w:tcPr>
          <w:p>
            <w:pPr>
              <w:spacing w:after="0" w:line="260" w:lineRule="auto"/>
              <w:jc w:val="left"/>
            </w:pPr>
            <w:r>
              <w:rPr>
                <w:rFonts w:ascii="Calibri" w:hAnsi="Calibri"/>
                <w:color w:val="212121"/>
                <w:sz w:val="19"/>
              </w:rPr>
              <w:t xml:space="preserve">During escorted windows</w:t>
            </w:r>
          </w:p>
        </w:tc>
      </w:tr>
      <w:tr>
        <w:tc>
          <w:tcPr>
            <w:tcW w:w="3003" w:type="dxa"/>
          </w:tcPr>
          <w:p>
            <w:pPr>
              <w:spacing w:after="0" w:line="260" w:lineRule="auto"/>
              <w:jc w:val="left"/>
            </w:pPr>
            <w:r>
              <w:rPr>
                <w:rFonts w:ascii="Calibri" w:hAnsi="Calibri"/>
                <w:color w:val="212121"/>
                <w:sz w:val="19"/>
              </w:rPr>
              <w:t xml:space="preserve">Class D gate direction</w:t>
            </w:r>
          </w:p>
        </w:tc>
        <w:tc>
          <w:tcPr>
            <w:tcW w:w="3003" w:type="dxa"/>
          </w:tcPr>
          <w:p>
            <w:pPr>
              <w:spacing w:after="0" w:line="260" w:lineRule="auto"/>
              <w:jc w:val="left"/>
            </w:pPr>
            <w:r>
              <w:rPr>
                <w:rFonts w:ascii="Calibri" w:hAnsi="Calibri"/>
                <w:color w:val="212121"/>
                <w:sz w:val="19"/>
              </w:rPr>
              <w:t xml:space="preserve">VHF Channel 69</w:t>
            </w:r>
          </w:p>
        </w:tc>
        <w:tc>
          <w:tcPr>
            <w:tcW w:w="3004" w:type="dxa"/>
          </w:tcPr>
          <w:p>
            <w:pPr>
              <w:spacing w:after="0" w:line="260" w:lineRule="auto"/>
              <w:jc w:val="left"/>
            </w:pPr>
            <w:r>
              <w:rPr>
                <w:rFonts w:ascii="Calibri" w:hAnsi="Calibri"/>
                <w:color w:val="212121"/>
                <w:sz w:val="19"/>
              </w:rPr>
              <w:t xml:space="preserve">Gate windows</w:t>
            </w:r>
          </w:p>
        </w:tc>
      </w:tr>
      <w:tr>
        <w:tc>
          <w:tcPr>
            <w:tcW w:w="3003" w:type="dxa"/>
          </w:tcPr>
          <w:p>
            <w:pPr>
              <w:spacing w:after="0" w:line="260" w:lineRule="auto"/>
              <w:jc w:val="left"/>
            </w:pPr>
            <w:r>
              <w:rPr>
                <w:rFonts w:ascii="Calibri" w:hAnsi="Calibri"/>
                <w:color w:val="212121"/>
                <w:sz w:val="19"/>
              </w:rPr>
              <w:t xml:space="preserve">Port operations</w:t>
            </w:r>
          </w:p>
        </w:tc>
        <w:tc>
          <w:tcPr>
            <w:tcW w:w="3003" w:type="dxa"/>
          </w:tcPr>
          <w:p>
            <w:pPr>
              <w:spacing w:after="0" w:line="260" w:lineRule="auto"/>
              <w:jc w:val="left"/>
            </w:pPr>
            <w:r>
              <w:rPr>
                <w:rFonts w:ascii="Calibri" w:hAnsi="Calibri"/>
                <w:color w:val="212121"/>
                <w:sz w:val="19"/>
              </w:rPr>
              <w:t xml:space="preserve">Port working channels</w:t>
            </w:r>
          </w:p>
        </w:tc>
        <w:tc>
          <w:tcPr>
            <w:tcW w:w="3004" w:type="dxa"/>
          </w:tcPr>
          <w:p>
            <w:pPr>
              <w:spacing w:after="0" w:line="260" w:lineRule="auto"/>
              <w:jc w:val="left"/>
            </w:pPr>
            <w:r>
              <w:rPr>
                <w:rFonts w:ascii="Calibri" w:hAnsi="Calibri"/>
                <w:color w:val="212121"/>
                <w:sz w:val="19"/>
              </w:rPr>
              <w:t xml:space="preserve">Per port authority notices</w:t>
            </w:r>
          </w:p>
        </w:tc>
      </w:tr>
    </w:tbl>
    <w:p>
      <w:pPr>
        <w:spacing w:after="60"/>
      </w:pPr>
    </w:p>
    <w:p>
      <w:pPr>
        <w:pStyle w:val="Caption"/>
      </w:pPr>
      <w:r>
        <w:t xml:space="preserve">Table F.1: VHF plan; digital selective calling identities publish in the Mariners' Handbook</w:t>
      </w:r>
    </w:p>
    <w:p>
      <w:pPr>
        <w:pStyle w:val="Heading3"/>
      </w:pPr>
      <w:r>
        <w:t xml:space="preserve">F.2 The hotline</w:t>
      </w:r>
    </w:p>
    <w:p>
      <w:pPr/>
      <w:r>
        <w:t xml:space="preserve">A dedicated, recorded, 24-hour voice circuit links the two watch floors and the two coastal vessel traffic services, with a secondary satellite circuit. The hotline carries operational coordination; its recordings enter the archive under the dual-copy rule. A parallel military de-confliction circuit links the liaison desks of the Parties and adhering external states, per Article 27.6.</w:t>
      </w:r>
    </w:p>
    <w:p>
      <w:pPr>
        <w:pStyle w:val="Heading3"/>
      </w:pPr>
      <w:r>
        <w:t xml:space="preserve">F.3 Message formats</w:t>
      </w:r>
    </w:p>
    <w:p>
      <w:pPr/>
      <w:r>
        <w:t xml:space="preserve">Flash traffic for incidents: precedence FLASH, addressees both watch floors and both liaison desks, content per the incident format of Annex H, transmission within 10 minutes of the triggering report. Routine coordination: precedence ROUTINE, daily synchronization at 0000 UTC.</w:t>
      </w:r>
    </w:p>
    <w:p>
      <w:pPr>
        <w:pStyle w:val="Heading3"/>
      </w:pPr>
      <w:r>
        <w:t xml:space="preserve">F.4 Language discipline</w:t>
      </w:r>
    </w:p>
    <w:p>
      <w:pPr/>
      <w:r>
        <w:t xml:space="preserve">Operational voice traffic uses the Standard Marine Communication Phrases, consistent with the working-language rule of Article 14.7. Watch officers certify in the Phrases before solo watch. Where a language barrier affects safety, the Center switches to the paired officer with the strongest common language, and the log notes the switch.</w:t>
      </w:r>
    </w:p>
    <w:p>
      <w:pPr>
        <w:pStyle w:val="Heading3"/>
      </w:pPr>
      <w:r>
        <w:t xml:space="preserve">F.5 Exercise pre-authorization for mine clearance</w:t>
      </w:r>
    </w:p>
    <w:p>
      <w:pPr/>
      <w:r>
        <w:t xml:space="preserve">Mine clearance activity under Article 12.1 carries standing pre-authorization: the clearing unit files its operating area and window through the de-confliction channel 24 hours ahead, the Center broadcasts the safety notice, and clearance proceeds in either corridor's notification regime without further clearance, under Neutral Keel observation.</w:t>
      </w:r>
    </w:p>
    <w:p>
      <w:pPr>
        <w:pStyle w:val="Heading1"/>
      </w:pPr>
      <w:r>
        <w:t xml:space="preserve">Annex G: Verification Methods Manual</w:t>
      </w:r>
    </w:p>
    <w:p>
      <w:pPr>
        <w:pStyle w:val="Heading3"/>
      </w:pPr>
      <w:r>
        <w:t xml:space="preserve">G.1 The verification stack</w:t>
      </w:r>
    </w:p>
    <w:p>
      <w:pPr/>
      <w:r>
        <w:t xml:space="preserve">The Accord's verification stack, from bottom to top: voice reporting and watch logs; automatic identification system and coastal radar tracks; ground-truth patrols; embarked observers; port documentation cross-check; satellite passes through the International Maritime Organization's recognized channels; and the Neutral Keel Office's audit layer. A finding climbs the stack until convergence, and the Convergence Standard of Article 26.2 governs every classification input.</w:t>
      </w:r>
    </w:p>
    <w:p>
      <w:pPr>
        <w:pStyle w:val="Heading3"/>
      </w:pPr>
      <w:r>
        <w:t xml:space="preserve">G.2 Observation standards</w:t>
      </w:r>
    </w:p>
    <w:p>
      <w:pPr/>
      <w:r>
        <w:t xml:space="preserve">An observer's record states: time, position, platform, conditions, the observed fact, and the instrument or sense that captured it. Observations file within 12 hours. The Office trains every observer in the record standard and audits a monthly sample. An observation without the standard's elements enters as an open note, never as evidence.</w:t>
      </w:r>
    </w:p>
    <w:p>
      <w:pPr>
        <w:pStyle w:val="Heading3"/>
      </w:pPr>
      <w:r>
        <w:t xml:space="preserve">G.3 Non-telemetry degraded mode</w:t>
      </w:r>
    </w:p>
    <w:p>
      <w:pPr/>
      <w:r>
        <w:t xml:space="preserve">Where telemetry fails, voice reporting carries compliance; paper logs govern; the patrol program doubles for the affected period; and the Bulletin publishes by the best available channel. Degraded mode ends on the Technical Committee's restoration certificate. Rights never degrade with the technology, per Article 26.6.</w:t>
      </w:r>
    </w:p>
    <w:p>
      <w:pPr>
        <w:pStyle w:val="Heading3"/>
      </w:pPr>
      <w:r>
        <w:t xml:space="preserve">G.4 Evidence standards for classification</w:t>
      </w:r>
    </w:p>
    <w:p>
      <w:pPr/>
      <w:r>
        <w:t xml:space="preserve">A classification input states its source chain: the raw record, the custody chain under the dual-copy rule, the convergence inputs, and the analyst. The Technical Committee tests each input for authenticity and independence. An input failing the chain enters the record as unverified and carries no weight. The standards apply identically to every Party and every organ.</w:t>
      </w:r>
    </w:p>
    <w:p>
      <w:pPr>
        <w:pStyle w:val="Heading3"/>
      </w:pPr>
      <w:r>
        <w:t xml:space="preserve">G.5 Signal-integrity verification</w:t>
      </w:r>
    </w:p>
    <w:p>
      <w:pPr/>
      <w:r>
        <w:t xml:space="preserve">The signal-integrity watch maintains land-based receivers at Muscat, Bandar Abbas, and Khasab, recording automatic identification system, radar, and satellite-navigation signal health continuously. A spoofing or jamming event produces an automatic technical log with location estimates; the log converges with patrol or observer reports before any classification, per Article 28.2.</w:t>
      </w:r>
    </w:p>
    <w:p>
      <w:pPr>
        <w:pStyle w:val="Heading1"/>
      </w:pPr>
      <w:r>
        <w:t xml:space="preserve">Annex H: Notification Formats and Model Forms</w:t>
      </w:r>
    </w:p>
    <w:p>
      <w:pPr>
        <w:pStyle w:val="Heading3"/>
      </w:pPr>
      <w:r>
        <w:t xml:space="preserve">H.1 The twelve-field transit notice</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3003"/>
        <w:gridCol w:w="3003"/>
        <w:gridCol w:w="3004"/>
      </w:tblGrid>
      <w:tr>
        <w:trPr>
          <w:tblHeader/>
        </w:trPr>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Field</w:t>
            </w:r>
          </w:p>
        </w:tc>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Content</w:t>
            </w:r>
          </w:p>
        </w:tc>
        <w:tc>
          <w:tcPr>
            <w:tcW w:w="3004" w:type="dxa"/>
            <w:tcBorders>
              <w:bottom w:val="single" w:color="546E7A" w:sz="6"/>
            </w:tcBorders>
            <w:shd w:val="clear" w:fill="E4E9EC"/>
          </w:tcPr>
          <w:p>
            <w:pPr>
              <w:spacing w:after="0" w:line="260" w:lineRule="auto"/>
              <w:jc w:val="left"/>
            </w:pPr>
            <w:r>
              <w:rPr>
                <w:rFonts w:ascii="Calibri" w:hAnsi="Calibri"/>
                <w:b/>
                <w:color w:val="37474F"/>
                <w:sz w:val="19"/>
              </w:rPr>
              <w:t xml:space="preserve">Format</w:t>
            </w:r>
          </w:p>
        </w:tc>
      </w:tr>
      <w:tr>
        <w:tc>
          <w:tcPr>
            <w:tcW w:w="3003" w:type="dxa"/>
          </w:tcPr>
          <w:p>
            <w:pPr>
              <w:spacing w:after="0" w:line="260" w:lineRule="auto"/>
              <w:jc w:val="left"/>
            </w:pPr>
            <w:r>
              <w:rPr>
                <w:rFonts w:ascii="Calibri" w:hAnsi="Calibri"/>
                <w:color w:val="212121"/>
                <w:sz w:val="19"/>
              </w:rPr>
              <w:t xml:space="preserve">1</w:t>
            </w:r>
          </w:p>
        </w:tc>
        <w:tc>
          <w:tcPr>
            <w:tcW w:w="3003" w:type="dxa"/>
          </w:tcPr>
          <w:p>
            <w:pPr>
              <w:spacing w:after="0" w:line="260" w:lineRule="auto"/>
              <w:jc w:val="left"/>
            </w:pPr>
            <w:r>
              <w:rPr>
                <w:rFonts w:ascii="Calibri" w:hAnsi="Calibri"/>
                <w:color w:val="212121"/>
                <w:sz w:val="19"/>
              </w:rPr>
              <w:t xml:space="preserve">Vessel name and flag</w:t>
            </w:r>
          </w:p>
        </w:tc>
        <w:tc>
          <w:tcPr>
            <w:tcW w:w="3004" w:type="dxa"/>
          </w:tcPr>
          <w:p>
            <w:pPr>
              <w:spacing w:after="0" w:line="260" w:lineRule="auto"/>
              <w:jc w:val="left"/>
            </w:pPr>
            <w:r>
              <w:rPr>
                <w:rFonts w:ascii="Calibri" w:hAnsi="Calibri"/>
                <w:color w:val="212121"/>
                <w:sz w:val="19"/>
              </w:rPr>
              <w:t xml:space="preserve">Text</w:t>
            </w:r>
          </w:p>
        </w:tc>
      </w:tr>
      <w:tr>
        <w:tc>
          <w:tcPr>
            <w:tcW w:w="3003" w:type="dxa"/>
          </w:tcPr>
          <w:p>
            <w:pPr>
              <w:spacing w:after="0" w:line="260" w:lineRule="auto"/>
              <w:jc w:val="left"/>
            </w:pPr>
            <w:r>
              <w:rPr>
                <w:rFonts w:ascii="Calibri" w:hAnsi="Calibri"/>
                <w:color w:val="212121"/>
                <w:sz w:val="19"/>
              </w:rPr>
              <w:t xml:space="preserve">2</w:t>
            </w:r>
          </w:p>
        </w:tc>
        <w:tc>
          <w:tcPr>
            <w:tcW w:w="3003" w:type="dxa"/>
          </w:tcPr>
          <w:p>
            <w:pPr>
              <w:spacing w:after="0" w:line="260" w:lineRule="auto"/>
              <w:jc w:val="left"/>
            </w:pPr>
            <w:r>
              <w:rPr>
                <w:rFonts w:ascii="Calibri" w:hAnsi="Calibri"/>
                <w:color w:val="212121"/>
                <w:sz w:val="19"/>
              </w:rPr>
              <w:t xml:space="preserve">International Maritime Organization number and call sign</w:t>
            </w:r>
          </w:p>
        </w:tc>
        <w:tc>
          <w:tcPr>
            <w:tcW w:w="3004" w:type="dxa"/>
          </w:tcPr>
          <w:p>
            <w:pPr>
              <w:spacing w:after="0" w:line="260" w:lineRule="auto"/>
              <w:jc w:val="left"/>
            </w:pPr>
            <w:r>
              <w:rPr>
                <w:rFonts w:ascii="Calibri" w:hAnsi="Calibri"/>
                <w:color w:val="212121"/>
                <w:sz w:val="19"/>
              </w:rPr>
              <w:t xml:space="preserve">Number and text</w:t>
            </w:r>
          </w:p>
        </w:tc>
      </w:tr>
      <w:tr>
        <w:tc>
          <w:tcPr>
            <w:tcW w:w="3003" w:type="dxa"/>
          </w:tcPr>
          <w:p>
            <w:pPr>
              <w:spacing w:after="0" w:line="260" w:lineRule="auto"/>
              <w:jc w:val="left"/>
            </w:pPr>
            <w:r>
              <w:rPr>
                <w:rFonts w:ascii="Calibri" w:hAnsi="Calibri"/>
                <w:color w:val="212121"/>
                <w:sz w:val="19"/>
              </w:rPr>
              <w:t xml:space="preserve">3</w:t>
            </w:r>
          </w:p>
        </w:tc>
        <w:tc>
          <w:tcPr>
            <w:tcW w:w="3003" w:type="dxa"/>
          </w:tcPr>
          <w:p>
            <w:pPr>
              <w:spacing w:after="0" w:line="260" w:lineRule="auto"/>
              <w:jc w:val="left"/>
            </w:pPr>
            <w:r>
              <w:rPr>
                <w:rFonts w:ascii="Calibri" w:hAnsi="Calibri"/>
                <w:color w:val="212121"/>
                <w:sz w:val="19"/>
              </w:rPr>
              <w:t xml:space="preserve">Vessel class under Annex B</w:t>
            </w:r>
          </w:p>
        </w:tc>
        <w:tc>
          <w:tcPr>
            <w:tcW w:w="3004" w:type="dxa"/>
          </w:tcPr>
          <w:p>
            <w:pPr>
              <w:spacing w:after="0" w:line="260" w:lineRule="auto"/>
              <w:jc w:val="left"/>
            </w:pPr>
            <w:r>
              <w:rPr>
                <w:rFonts w:ascii="Calibri" w:hAnsi="Calibri"/>
                <w:color w:val="212121"/>
                <w:sz w:val="19"/>
              </w:rPr>
              <w:t xml:space="preserve">Class letter</w:t>
            </w:r>
          </w:p>
        </w:tc>
      </w:tr>
      <w:tr>
        <w:tc>
          <w:tcPr>
            <w:tcW w:w="3003" w:type="dxa"/>
          </w:tcPr>
          <w:p>
            <w:pPr>
              <w:spacing w:after="0" w:line="260" w:lineRule="auto"/>
              <w:jc w:val="left"/>
            </w:pPr>
            <w:r>
              <w:rPr>
                <w:rFonts w:ascii="Calibri" w:hAnsi="Calibri"/>
                <w:color w:val="212121"/>
                <w:sz w:val="19"/>
              </w:rPr>
              <w:t xml:space="preserve">4</w:t>
            </w:r>
          </w:p>
        </w:tc>
        <w:tc>
          <w:tcPr>
            <w:tcW w:w="3003" w:type="dxa"/>
          </w:tcPr>
          <w:p>
            <w:pPr>
              <w:spacing w:after="0" w:line="260" w:lineRule="auto"/>
              <w:jc w:val="left"/>
            </w:pPr>
            <w:r>
              <w:rPr>
                <w:rFonts w:ascii="Calibri" w:hAnsi="Calibri"/>
                <w:color w:val="212121"/>
                <w:sz w:val="19"/>
              </w:rPr>
              <w:t xml:space="preserve">Gross tonnage and dimensions</w:t>
            </w:r>
          </w:p>
        </w:tc>
        <w:tc>
          <w:tcPr>
            <w:tcW w:w="3004" w:type="dxa"/>
          </w:tcPr>
          <w:p>
            <w:pPr>
              <w:spacing w:after="0" w:line="260" w:lineRule="auto"/>
              <w:jc w:val="left"/>
            </w:pPr>
            <w:r>
              <w:rPr>
                <w:rFonts w:ascii="Calibri" w:hAnsi="Calibri"/>
                <w:color w:val="212121"/>
                <w:sz w:val="19"/>
              </w:rPr>
              <w:t xml:space="preserve">Numbers</w:t>
            </w:r>
          </w:p>
        </w:tc>
      </w:tr>
      <w:tr>
        <w:tc>
          <w:tcPr>
            <w:tcW w:w="3003" w:type="dxa"/>
          </w:tcPr>
          <w:p>
            <w:pPr>
              <w:spacing w:after="0" w:line="260" w:lineRule="auto"/>
              <w:jc w:val="left"/>
            </w:pPr>
            <w:r>
              <w:rPr>
                <w:rFonts w:ascii="Calibri" w:hAnsi="Calibri"/>
                <w:color w:val="212121"/>
                <w:sz w:val="19"/>
              </w:rPr>
              <w:t xml:space="preserve">5</w:t>
            </w:r>
          </w:p>
        </w:tc>
        <w:tc>
          <w:tcPr>
            <w:tcW w:w="3003" w:type="dxa"/>
          </w:tcPr>
          <w:p>
            <w:pPr>
              <w:spacing w:after="0" w:line="260" w:lineRule="auto"/>
              <w:jc w:val="left"/>
            </w:pPr>
            <w:r>
              <w:rPr>
                <w:rFonts w:ascii="Calibri" w:hAnsi="Calibri"/>
                <w:color w:val="212121"/>
                <w:sz w:val="19"/>
              </w:rPr>
              <w:t xml:space="preserve">Position and time of filing</w:t>
            </w:r>
          </w:p>
        </w:tc>
        <w:tc>
          <w:tcPr>
            <w:tcW w:w="3004" w:type="dxa"/>
          </w:tcPr>
          <w:p>
            <w:pPr>
              <w:spacing w:after="0" w:line="260" w:lineRule="auto"/>
              <w:jc w:val="left"/>
            </w:pPr>
            <w:r>
              <w:rPr>
                <w:rFonts w:ascii="Calibri" w:hAnsi="Calibri"/>
                <w:color w:val="212121"/>
                <w:sz w:val="19"/>
              </w:rPr>
              <w:t xml:space="preserve">Coordinates, UTC</w:t>
            </w:r>
          </w:p>
        </w:tc>
      </w:tr>
      <w:tr>
        <w:tc>
          <w:tcPr>
            <w:tcW w:w="3003" w:type="dxa"/>
          </w:tcPr>
          <w:p>
            <w:pPr>
              <w:spacing w:after="0" w:line="260" w:lineRule="auto"/>
              <w:jc w:val="left"/>
            </w:pPr>
            <w:r>
              <w:rPr>
                <w:rFonts w:ascii="Calibri" w:hAnsi="Calibri"/>
                <w:color w:val="212121"/>
                <w:sz w:val="19"/>
              </w:rPr>
              <w:t xml:space="preserve">6</w:t>
            </w:r>
          </w:p>
        </w:tc>
        <w:tc>
          <w:tcPr>
            <w:tcW w:w="3003" w:type="dxa"/>
          </w:tcPr>
          <w:p>
            <w:pPr>
              <w:spacing w:after="0" w:line="260" w:lineRule="auto"/>
              <w:jc w:val="left"/>
            </w:pPr>
            <w:r>
              <w:rPr>
                <w:rFonts w:ascii="Calibri" w:hAnsi="Calibri"/>
                <w:color w:val="212121"/>
                <w:sz w:val="19"/>
              </w:rPr>
              <w:t xml:space="preserve">Intended corridor and lane</w:t>
            </w:r>
          </w:p>
        </w:tc>
        <w:tc>
          <w:tcPr>
            <w:tcW w:w="3004" w:type="dxa"/>
          </w:tcPr>
          <w:p>
            <w:pPr>
              <w:spacing w:after="0" w:line="260" w:lineRule="auto"/>
              <w:jc w:val="left"/>
            </w:pPr>
            <w:r>
              <w:rPr>
                <w:rFonts w:ascii="Calibri" w:hAnsi="Calibri"/>
                <w:color w:val="212121"/>
                <w:sz w:val="19"/>
              </w:rPr>
              <w:t xml:space="preserve">Corridor, lane direction</w:t>
            </w:r>
          </w:p>
        </w:tc>
      </w:tr>
      <w:tr>
        <w:tc>
          <w:tcPr>
            <w:tcW w:w="3003" w:type="dxa"/>
          </w:tcPr>
          <w:p>
            <w:pPr>
              <w:spacing w:after="0" w:line="260" w:lineRule="auto"/>
              <w:jc w:val="left"/>
            </w:pPr>
            <w:r>
              <w:rPr>
                <w:rFonts w:ascii="Calibri" w:hAnsi="Calibri"/>
                <w:color w:val="212121"/>
                <w:sz w:val="19"/>
              </w:rPr>
              <w:t xml:space="preserve">7</w:t>
            </w:r>
          </w:p>
        </w:tc>
        <w:tc>
          <w:tcPr>
            <w:tcW w:w="3003" w:type="dxa"/>
          </w:tcPr>
          <w:p>
            <w:pPr>
              <w:spacing w:after="0" w:line="260" w:lineRule="auto"/>
              <w:jc w:val="left"/>
            </w:pPr>
            <w:r>
              <w:rPr>
                <w:rFonts w:ascii="Calibri" w:hAnsi="Calibri"/>
                <w:color w:val="212121"/>
                <w:sz w:val="19"/>
              </w:rPr>
              <w:t xml:space="preserve">Estimated entry time at first waypoint</w:t>
            </w:r>
          </w:p>
        </w:tc>
        <w:tc>
          <w:tcPr>
            <w:tcW w:w="3004" w:type="dxa"/>
          </w:tcPr>
          <w:p>
            <w:pPr>
              <w:spacing w:after="0" w:line="260" w:lineRule="auto"/>
              <w:jc w:val="left"/>
            </w:pPr>
            <w:r>
              <w:rPr>
                <w:rFonts w:ascii="Calibri" w:hAnsi="Calibri"/>
                <w:color w:val="212121"/>
                <w:sz w:val="19"/>
              </w:rPr>
              <w:t xml:space="preserve">UTC window</w:t>
            </w:r>
          </w:p>
        </w:tc>
      </w:tr>
      <w:tr>
        <w:tc>
          <w:tcPr>
            <w:tcW w:w="3003" w:type="dxa"/>
          </w:tcPr>
          <w:p>
            <w:pPr>
              <w:spacing w:after="0" w:line="260" w:lineRule="auto"/>
              <w:jc w:val="left"/>
            </w:pPr>
            <w:r>
              <w:rPr>
                <w:rFonts w:ascii="Calibri" w:hAnsi="Calibri"/>
                <w:color w:val="212121"/>
                <w:sz w:val="19"/>
              </w:rPr>
              <w:t xml:space="preserve">8</w:t>
            </w:r>
          </w:p>
        </w:tc>
        <w:tc>
          <w:tcPr>
            <w:tcW w:w="3003" w:type="dxa"/>
          </w:tcPr>
          <w:p>
            <w:pPr>
              <w:spacing w:after="0" w:line="260" w:lineRule="auto"/>
              <w:jc w:val="left"/>
            </w:pPr>
            <w:r>
              <w:rPr>
                <w:rFonts w:ascii="Calibri" w:hAnsi="Calibri"/>
                <w:color w:val="212121"/>
                <w:sz w:val="19"/>
              </w:rPr>
              <w:t xml:space="preserve">Cargo category in general terms</w:t>
            </w:r>
          </w:p>
        </w:tc>
        <w:tc>
          <w:tcPr>
            <w:tcW w:w="3004" w:type="dxa"/>
          </w:tcPr>
          <w:p>
            <w:pPr>
              <w:spacing w:after="0" w:line="260" w:lineRule="auto"/>
              <w:jc w:val="left"/>
            </w:pPr>
            <w:r>
              <w:rPr>
                <w:rFonts w:ascii="Calibri" w:hAnsi="Calibri"/>
                <w:color w:val="212121"/>
                <w:sz w:val="19"/>
              </w:rPr>
              <w:t xml:space="preserve">Standard cargo category list; no manifest detail</w:t>
            </w:r>
          </w:p>
        </w:tc>
      </w:tr>
      <w:tr>
        <w:tc>
          <w:tcPr>
            <w:tcW w:w="3003" w:type="dxa"/>
          </w:tcPr>
          <w:p>
            <w:pPr>
              <w:spacing w:after="0" w:line="260" w:lineRule="auto"/>
              <w:jc w:val="left"/>
            </w:pPr>
            <w:r>
              <w:rPr>
                <w:rFonts w:ascii="Calibri" w:hAnsi="Calibri"/>
                <w:color w:val="212121"/>
                <w:sz w:val="19"/>
              </w:rPr>
              <w:t xml:space="preserve">9</w:t>
            </w:r>
          </w:p>
        </w:tc>
        <w:tc>
          <w:tcPr>
            <w:tcW w:w="3003" w:type="dxa"/>
          </w:tcPr>
          <w:p>
            <w:pPr>
              <w:spacing w:after="0" w:line="260" w:lineRule="auto"/>
              <w:jc w:val="left"/>
            </w:pPr>
            <w:r>
              <w:rPr>
                <w:rFonts w:ascii="Calibri" w:hAnsi="Calibri"/>
                <w:color w:val="212121"/>
                <w:sz w:val="19"/>
              </w:rPr>
              <w:t xml:space="preserve">Last port and next port</w:t>
            </w:r>
          </w:p>
        </w:tc>
        <w:tc>
          <w:tcPr>
            <w:tcW w:w="3004" w:type="dxa"/>
          </w:tcPr>
          <w:p>
            <w:pPr>
              <w:spacing w:after="0" w:line="260" w:lineRule="auto"/>
              <w:jc w:val="left"/>
            </w:pPr>
            <w:r>
              <w:rPr>
                <w:rFonts w:ascii="Calibri" w:hAnsi="Calibri"/>
                <w:color w:val="212121"/>
                <w:sz w:val="19"/>
              </w:rPr>
              <w:t xml:space="preserve">Port names</w:t>
            </w:r>
          </w:p>
        </w:tc>
      </w:tr>
      <w:tr>
        <w:tc>
          <w:tcPr>
            <w:tcW w:w="3003" w:type="dxa"/>
          </w:tcPr>
          <w:p>
            <w:pPr>
              <w:spacing w:after="0" w:line="260" w:lineRule="auto"/>
              <w:jc w:val="left"/>
            </w:pPr>
            <w:r>
              <w:rPr>
                <w:rFonts w:ascii="Calibri" w:hAnsi="Calibri"/>
                <w:color w:val="212121"/>
                <w:sz w:val="19"/>
              </w:rPr>
              <w:t xml:space="preserve">10</w:t>
            </w:r>
          </w:p>
        </w:tc>
        <w:tc>
          <w:tcPr>
            <w:tcW w:w="3003" w:type="dxa"/>
          </w:tcPr>
          <w:p>
            <w:pPr>
              <w:spacing w:after="0" w:line="260" w:lineRule="auto"/>
              <w:jc w:val="left"/>
            </w:pPr>
            <w:r>
              <w:rPr>
                <w:rFonts w:ascii="Calibri" w:hAnsi="Calibri"/>
                <w:color w:val="212121"/>
                <w:sz w:val="19"/>
              </w:rPr>
              <w:t xml:space="preserve">Insurance evidence reference</w:t>
            </w:r>
          </w:p>
        </w:tc>
        <w:tc>
          <w:tcPr>
            <w:tcW w:w="3004" w:type="dxa"/>
          </w:tcPr>
          <w:p>
            <w:pPr>
              <w:spacing w:after="0" w:line="260" w:lineRule="auto"/>
              <w:jc w:val="left"/>
            </w:pPr>
            <w:r>
              <w:rPr>
                <w:rFonts w:ascii="Calibri" w:hAnsi="Calibri"/>
                <w:color w:val="212121"/>
                <w:sz w:val="19"/>
              </w:rPr>
              <w:t xml:space="preserve">Registry reference or notice attachment</w:t>
            </w:r>
          </w:p>
        </w:tc>
      </w:tr>
      <w:tr>
        <w:tc>
          <w:tcPr>
            <w:tcW w:w="3003" w:type="dxa"/>
          </w:tcPr>
          <w:p>
            <w:pPr>
              <w:spacing w:after="0" w:line="260" w:lineRule="auto"/>
              <w:jc w:val="left"/>
            </w:pPr>
            <w:r>
              <w:rPr>
                <w:rFonts w:ascii="Calibri" w:hAnsi="Calibri"/>
                <w:color w:val="212121"/>
                <w:sz w:val="19"/>
              </w:rPr>
              <w:t xml:space="preserve">11</w:t>
            </w:r>
          </w:p>
        </w:tc>
        <w:tc>
          <w:tcPr>
            <w:tcW w:w="3003" w:type="dxa"/>
          </w:tcPr>
          <w:p>
            <w:pPr>
              <w:spacing w:after="0" w:line="260" w:lineRule="auto"/>
              <w:jc w:val="left"/>
            </w:pPr>
            <w:r>
              <w:rPr>
                <w:rFonts w:ascii="Calibri" w:hAnsi="Calibri"/>
                <w:color w:val="212121"/>
                <w:sz w:val="19"/>
              </w:rPr>
              <w:t xml:space="preserve">Master's name and contact</w:t>
            </w:r>
          </w:p>
        </w:tc>
        <w:tc>
          <w:tcPr>
            <w:tcW w:w="3004" w:type="dxa"/>
          </w:tcPr>
          <w:p>
            <w:pPr>
              <w:spacing w:after="0" w:line="260" w:lineRule="auto"/>
              <w:jc w:val="left"/>
            </w:pPr>
            <w:r>
              <w:rPr>
                <w:rFonts w:ascii="Calibri" w:hAnsi="Calibri"/>
                <w:color w:val="212121"/>
                <w:sz w:val="19"/>
              </w:rPr>
              <w:t xml:space="preserve">Text</w:t>
            </w:r>
          </w:p>
        </w:tc>
      </w:tr>
      <w:tr>
        <w:tc>
          <w:tcPr>
            <w:tcW w:w="3003" w:type="dxa"/>
          </w:tcPr>
          <w:p>
            <w:pPr>
              <w:spacing w:after="0" w:line="260" w:lineRule="auto"/>
              <w:jc w:val="left"/>
            </w:pPr>
            <w:r>
              <w:rPr>
                <w:rFonts w:ascii="Calibri" w:hAnsi="Calibri"/>
                <w:color w:val="212121"/>
                <w:sz w:val="19"/>
              </w:rPr>
              <w:t xml:space="preserve">12</w:t>
            </w:r>
          </w:p>
        </w:tc>
        <w:tc>
          <w:tcPr>
            <w:tcW w:w="3003" w:type="dxa"/>
          </w:tcPr>
          <w:p>
            <w:pPr>
              <w:spacing w:after="0" w:line="260" w:lineRule="auto"/>
              <w:jc w:val="left"/>
            </w:pPr>
            <w:r>
              <w:rPr>
                <w:rFonts w:ascii="Calibri" w:hAnsi="Calibri"/>
                <w:color w:val="212121"/>
                <w:sz w:val="19"/>
              </w:rPr>
              <w:t xml:space="preserve">Special circumstances, if any</w:t>
            </w:r>
          </w:p>
        </w:tc>
        <w:tc>
          <w:tcPr>
            <w:tcW w:w="3004" w:type="dxa"/>
          </w:tcPr>
          <w:p>
            <w:pPr>
              <w:spacing w:after="0" w:line="260" w:lineRule="auto"/>
              <w:jc w:val="left"/>
            </w:pPr>
            <w:r>
              <w:rPr>
                <w:rFonts w:ascii="Calibri" w:hAnsi="Calibri"/>
                <w:color w:val="212121"/>
                <w:sz w:val="19"/>
              </w:rPr>
              <w:t xml:space="preserve">Text; humanitarian consignment marker where applicable</w:t>
            </w:r>
          </w:p>
        </w:tc>
      </w:tr>
    </w:tbl>
    <w:p>
      <w:pPr>
        <w:spacing w:after="60"/>
      </w:pPr>
    </w:p>
    <w:p>
      <w:pPr>
        <w:pStyle w:val="Caption"/>
      </w:pPr>
      <w:r>
        <w:t xml:space="preserve">Table H.1: Transit notice fields; the Center acknowledges automatically within 30 minutes</w:t>
      </w:r>
    </w:p>
    <w:p>
      <w:pPr>
        <w:pStyle w:val="Heading3"/>
      </w:pPr>
      <w:r>
        <w:t xml:space="preserve">H.2 Acknowledgment format</w:t>
      </w:r>
    </w:p>
    <w:p>
      <w:pPr/>
      <w:r>
        <w:t xml:space="preserve">The acknowledgment states: notice reference, vessel, corridor, entry window, and the standing rule reminder that acknowledgment is administrative and passage awaits no approval. Silence beyond 30 minutes constitutes acknowledgment by default, per Article 8.3.</w:t>
      </w:r>
    </w:p>
    <w:p>
      <w:pPr>
        <w:pStyle w:val="Heading3"/>
      </w:pPr>
      <w:r>
        <w:t xml:space="preserve">H.3 Class H referral form</w:t>
      </w:r>
    </w:p>
    <w:p>
      <w:pPr/>
      <w:r>
        <w:t xml:space="preserve">A referral states: the referring body; the specific cargo or documentation question; the evidence backing the question; the proposed anchorage; and the joint team availability. A referral without a specific question and evidence fails automatically, per Article 9.5.</w:t>
      </w:r>
    </w:p>
    <w:p>
      <w:pPr>
        <w:pStyle w:val="Heading3"/>
      </w:pPr>
      <w:r>
        <w:t xml:space="preserve">H.4 Incident flash format</w:t>
      </w:r>
    </w:p>
    <w:p>
      <w:pPr/>
      <w:r>
        <w:t xml:space="preserve">Precedence FLASH; time and position of event; vessels and units involved; nature of event in one line; injuries and pollution state; assistance needed; position-log confirmation. The format fits one screen and one minute of voice time.</w:t>
      </w:r>
    </w:p>
    <w:p>
      <w:pPr>
        <w:pStyle w:val="Heading3"/>
      </w:pPr>
      <w:r>
        <w:t xml:space="preserve">H.5 Exercise notice format</w:t>
      </w:r>
    </w:p>
    <w:p>
      <w:pPr/>
      <w:r>
        <w:t xml:space="preserve">State and force element; area by coordinates; period in UTC; nature of activity; live-fire marker; point of contact. Filing 96 hours ahead through the military channel, per Article 27.3.</w:t>
      </w:r>
    </w:p>
    <w:p>
      <w:pPr>
        <w:pStyle w:val="Heading1"/>
      </w:pPr>
      <w:r>
        <w:t xml:space="preserve">Annex I: The Red Lines Register (Full Operative Text)</w:t>
      </w:r>
    </w:p>
    <w:p>
      <w:pPr/>
      <w:r>
        <w:t xml:space="preserve">Each entry states the line, the interest it protects, the safeguard that holds it, and the verification that shows it holding. The Register amends only under Article 39.2. The Stillwater Declaration of Principles, at the front of this instrument, states the fourteen lines in summary form.</w:t>
      </w:r>
    </w:p>
    <w:p>
      <w:pPr>
        <w:pStyle w:val="Heading3"/>
      </w:pPr>
      <w:r>
        <w:t xml:space="preserve">RL-1: No charge on transit</w:t>
      </w:r>
    </w:p>
    <w:p>
      <w:pPr/>
      <w:r>
        <w:t xml:space="preserve">Line: no charge of any kind attaches to the act of transit, in either corridor, for any vessel, ever. Interest: the user states' core demand and the pre-crisis status quo. Safeguard: Article 21, the prohibited-instruments list, and the Fund architecture that removes every fiscal incentive to charge. Verification: the Neutral Keel Office's monthly notification-desk audit and the Fund's payment ledger, both published.</w:t>
      </w:r>
    </w:p>
    <w:p>
      <w:pPr>
        <w:pStyle w:val="Heading3"/>
      </w:pPr>
      <w:r>
        <w:t xml:space="preserve">RL-2: Unconditional southern transit</w:t>
      </w:r>
    </w:p>
    <w:p>
      <w:pPr/>
      <w:r>
        <w:t xml:space="preserve">Line: Corridor One transits unconditionally; no notification layer attaches to it. Interest: the Endorsing Stakeholder's registered line that the Strait stays open without a permission regime. Safeguard: Article 8.2's architecture, which contains no approval step to activate. Verification: the Bulletin transit counts and observer embarkations.</w:t>
      </w:r>
    </w:p>
    <w:p>
      <w:pPr>
        <w:pStyle w:val="Heading3"/>
      </w:pPr>
      <w:r>
        <w:t xml:space="preserve">RL-3: Recognized northern management role</w:t>
      </w:r>
    </w:p>
    <w:p>
      <w:pPr/>
      <w:r>
        <w:t xml:space="preserve">Line: the northern littoral holds a recognized, formal, continuous management role over its corridor and its waters. Interest: Iran's registered line on sovereignty and dignity, and the domestic legislation interest in a documented role. Safeguard: the Corridor Two notification regime, paired staffing everywhere, co-directorship, and the Bandar Abbas mirror of equal rank. Verification: the staffing audit and the daily log.</w:t>
      </w:r>
    </w:p>
    <w:p>
      <w:pPr>
        <w:pStyle w:val="Heading3"/>
      </w:pPr>
      <w:r>
        <w:t xml:space="preserve">RL-4: No permission regime</w:t>
      </w:r>
    </w:p>
    <w:p>
      <w:pPr/>
      <w:r>
        <w:t xml:space="preserve">Line: no approval, clearance, or permission step exists anywhere in the Accord for commercial transit. Interest: both user-state and coastal-state interests converge here, because a permission regime corrupts whoever holds it. Safeguard: acknowledgment-by-default in 30 minutes, Article 8.3. Verification: the notification-desk audit, which tests for gatekeeping patterns monthly.</w:t>
      </w:r>
    </w:p>
    <w:p>
      <w:pPr>
        <w:pStyle w:val="Heading3"/>
      </w:pPr>
      <w:r>
        <w:t xml:space="preserve">RL-5: No at-sea enforcement in corridors</w:t>
      </w:r>
    </w:p>
    <w:p>
      <w:pPr/>
      <w:r>
        <w:t xml:space="preserve">Line: no boarding, diversion, seizure, or inspection occurs inside a corridor. Interest: freedom of navigation and crew safety. Safeguard: the Non-Interdiction Protocol and the Anchor-and-Verify Protocol that moves every question to anchorage. Verification: observer records, patrol reconciliation, and the incident archive.</w:t>
      </w:r>
    </w:p>
    <w:p>
      <w:pPr>
        <w:pStyle w:val="Heading3"/>
      </w:pPr>
      <w:r>
        <w:t xml:space="preserve">RL-6: Civilian operational character</w:t>
      </w:r>
    </w:p>
    <w:p>
      <w:pPr/>
      <w:r>
        <w:t xml:space="preserve">Line: the Accord's operational bodies remain civilian, and no military organ directs them. Interest: every Party's interest that the architecture never becomes anyone's instrument. Safeguard: the Civilian Character Clause, Article 14.6. Verification: the Neutral Keel staffing compliance verification, annual and on complaint.</w:t>
      </w:r>
    </w:p>
    <w:p>
      <w:pPr>
        <w:pStyle w:val="Heading3"/>
      </w:pPr>
      <w:r>
        <w:t xml:space="preserve">RL-7: No direct payment</w:t>
      </w:r>
    </w:p>
    <w:p>
      <w:pPr/>
      <w:r>
        <w:t xml:space="preserve">Line: no shipper, operator, or vessel pays any Party directly for anything connected with the Governance Area. Interest: the sanctions-compliance interests of the Endorsing Stakeholder and the banking community. Safeguard: the Fund's single-channel architecture and the firewall of Article 25.4. Verification: the external audit and the Administrator's compliance screening records.</w:t>
      </w:r>
    </w:p>
    <w:p>
      <w:pPr>
        <w:pStyle w:val="Heading3"/>
      </w:pPr>
      <w:r>
        <w:t xml:space="preserve">RL-8: Sovereignty intact</w:t>
      </w:r>
    </w:p>
    <w:p>
      <w:pPr/>
      <w:r>
        <w:t xml:space="preserve">Line: each Party's sovereignty over its own waters stands intact, and nothing in the Accord derogates from it. Interest: the coastal states' core position. Safeguard: Articles 1.3 and 2.6, the operational-construct rule, and the no-prejudice clause. Verification: the Perimeter Test record.</w:t>
      </w:r>
    </w:p>
    <w:p>
      <w:pPr>
        <w:pStyle w:val="Heading3"/>
      </w:pPr>
      <w:r>
        <w:t xml:space="preserve">RL-9: No silent expiry</w:t>
      </w:r>
    </w:p>
    <w:p>
      <w:pPr/>
      <w:r>
        <w:t xml:space="preserve">Line: no commitment expires, lapses, or dilutes by time, silence, or routine. Interest: every Party's interest in durability, and the lesson of agreements that died at date boundaries. Safeguard: the Nofade Guarantee, Article 4. Verification: the annual integrity review's continuity audit.</w:t>
      </w:r>
    </w:p>
    <w:p>
      <w:pPr>
        <w:pStyle w:val="Heading3"/>
      </w:pPr>
      <w:r>
        <w:t xml:space="preserve">RL-10: Humanitarian flow absolute</w:t>
      </w:r>
    </w:p>
    <w:p>
      <w:pPr/>
      <w:r>
        <w:t xml:space="preserve">Line: humanitarian traffic moves in every flow state, every dispute, every pause, and every transition. Interest: the shared humanitarian position of all participants. Safeguard: Articles 3, 11.6, and 31.4. Verification: the Bulletin's Class E transit record, published daily.</w:t>
      </w:r>
    </w:p>
    <w:p>
      <w:pPr>
        <w:pStyle w:val="Heading3"/>
      </w:pPr>
      <w:r>
        <w:t xml:space="preserve">RL-11: Two-input verification</w:t>
      </w:r>
    </w:p>
    <w:p>
      <w:pPr/>
      <w:r>
        <w:t xml:space="preserve">Line: no finding of fact against any Party rests on a single input. Interest: protection against error and manipulation, for every Party equally. Safeguard: the Convergence Standard, Article 26.2. Verification: the Technical Committee's input-chain testing, published in each classification file.</w:t>
      </w:r>
    </w:p>
    <w:p>
      <w:pPr>
        <w:pStyle w:val="Heading3"/>
      </w:pPr>
      <w:r>
        <w:t xml:space="preserve">RL-12: No kinetic support</w:t>
      </w:r>
    </w:p>
    <w:p>
      <w:pPr/>
      <w:r>
        <w:t xml:space="preserve">Line: Accord assets, data, and channels never support kinetic action by any actor. Interest: every participant's interest that the architecture never becomes a targeting system. Safeguard: Article 27.9 and the custody rules of Article 26.4. Verification: the two-key access logs and the Independent Assurance Council's review.</w:t>
      </w:r>
    </w:p>
    <w:p>
      <w:pPr>
        <w:pStyle w:val="Heading3"/>
      </w:pPr>
      <w:r>
        <w:t xml:space="preserve">RL-13: Multilateral governance</w:t>
      </w:r>
    </w:p>
    <w:p>
      <w:pPr/>
      <w:r>
        <w:t xml:space="preserve">Line: no single coastal state governs the Strait alone; every Littoral Party holds defined co-governance. Interest: the regional legitimacy of the architecture and the accession states' standing. Safeguard: Council composition, paired staffing, and the accession path. Verification: the Council record and the staffing audit.</w:t>
      </w:r>
    </w:p>
    <w:p>
      <w:pPr>
        <w:pStyle w:val="Heading3"/>
      </w:pPr>
      <w:r>
        <w:t xml:space="preserve">RL-14: No external command</w:t>
      </w:r>
    </w:p>
    <w:p>
      <w:pPr/>
      <w:r>
        <w:t xml:space="preserve">Line: no external state or body commands any element of the Accord. Interest: the coastal states' sovereignty and the user states' interest in a neutral system. Safeguard: Article 19.6 and the Endorsing Stakeholder's non-voting design. Verification: the Council record.</w:t>
      </w:r>
    </w:p>
    <w:p>
      <w:pPr>
        <w:pStyle w:val="Heading1"/>
      </w:pPr>
      <w:r>
        <w:t xml:space="preserve">Annex J: Environmental Standards and Pollution Response Plan</w:t>
      </w:r>
    </w:p>
    <w:p>
      <w:pPr>
        <w:pStyle w:val="Heading3"/>
      </w:pPr>
      <w:r>
        <w:t xml:space="preserve">J.1 Standards baseline</w:t>
      </w:r>
    </w:p>
    <w:p>
      <w:pPr/>
      <w:r>
        <w:t xml:space="preserve">The Accord applies the international pollution-prevention instruments in force for each vessel's flag as minimums, and adds the Governance Area rules: zero discharge of oil and noxious liquid substances inside the lanes; ballast exchange outside the Governance Area or treatment to the prevailing international standard; no bunkering inside the lanes; and garbage management per the international convention's special-area practices.</w:t>
      </w:r>
    </w:p>
    <w:p>
      <w:pPr>
        <w:pStyle w:val="Heading3"/>
      </w:pPr>
      <w:r>
        <w:t xml:space="preserve">J.2 Sensitive areas</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3003"/>
        <w:gridCol w:w="3003"/>
        <w:gridCol w:w="3004"/>
      </w:tblGrid>
      <w:tr>
        <w:trPr>
          <w:tblHeader/>
        </w:trPr>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Area</w:t>
            </w:r>
          </w:p>
        </w:tc>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Approximate position</w:t>
            </w:r>
          </w:p>
        </w:tc>
        <w:tc>
          <w:tcPr>
            <w:tcW w:w="3004" w:type="dxa"/>
            <w:tcBorders>
              <w:bottom w:val="single" w:color="546E7A" w:sz="6"/>
            </w:tcBorders>
            <w:shd w:val="clear" w:fill="E4E9EC"/>
          </w:tcPr>
          <w:p>
            <w:pPr>
              <w:spacing w:after="0" w:line="260" w:lineRule="auto"/>
              <w:jc w:val="left"/>
            </w:pPr>
            <w:r>
              <w:rPr>
                <w:rFonts w:ascii="Calibri" w:hAnsi="Calibri"/>
                <w:b/>
                <w:color w:val="37474F"/>
                <w:sz w:val="19"/>
              </w:rPr>
              <w:t xml:space="preserve">Special rule</w:t>
            </w:r>
          </w:p>
        </w:tc>
      </w:tr>
      <w:tr>
        <w:tc>
          <w:tcPr>
            <w:tcW w:w="3003" w:type="dxa"/>
          </w:tcPr>
          <w:p>
            <w:pPr>
              <w:spacing w:after="0" w:line="260" w:lineRule="auto"/>
              <w:jc w:val="left"/>
            </w:pPr>
            <w:r>
              <w:rPr>
                <w:rFonts w:ascii="Calibri" w:hAnsi="Calibri"/>
                <w:color w:val="212121"/>
                <w:sz w:val="19"/>
              </w:rPr>
              <w:t xml:space="preserve">Larak inshore waters</w:t>
            </w:r>
          </w:p>
        </w:tc>
        <w:tc>
          <w:tcPr>
            <w:tcW w:w="3003" w:type="dxa"/>
          </w:tcPr>
          <w:p>
            <w:pPr>
              <w:spacing w:after="0" w:line="260" w:lineRule="auto"/>
              <w:jc w:val="left"/>
            </w:pPr>
            <w:r>
              <w:rPr>
                <w:rFonts w:ascii="Calibri" w:hAnsi="Calibri"/>
                <w:color w:val="212121"/>
                <w:sz w:val="19"/>
              </w:rPr>
              <w:t xml:space="preserve">North of Larak Island</w:t>
            </w:r>
          </w:p>
        </w:tc>
        <w:tc>
          <w:tcPr>
            <w:tcW w:w="3004" w:type="dxa"/>
          </w:tcPr>
          <w:p>
            <w:pPr>
              <w:spacing w:after="0" w:line="260" w:lineRule="auto"/>
              <w:jc w:val="left"/>
            </w:pPr>
            <w:r>
              <w:rPr>
                <w:rFonts w:ascii="Calibri" w:hAnsi="Calibri"/>
                <w:color w:val="212121"/>
                <w:sz w:val="19"/>
              </w:rPr>
              <w:t xml:space="preserve">Speed 10 knots laden Class B; no anchoring</w:t>
            </w:r>
          </w:p>
        </w:tc>
      </w:tr>
      <w:tr>
        <w:tc>
          <w:tcPr>
            <w:tcW w:w="3003" w:type="dxa"/>
          </w:tcPr>
          <w:p>
            <w:pPr>
              <w:spacing w:after="0" w:line="260" w:lineRule="auto"/>
              <w:jc w:val="left"/>
            </w:pPr>
            <w:r>
              <w:rPr>
                <w:rFonts w:ascii="Calibri" w:hAnsi="Calibri"/>
                <w:color w:val="212121"/>
                <w:sz w:val="19"/>
              </w:rPr>
              <w:t xml:space="preserve">Hengam approaches</w:t>
            </w:r>
          </w:p>
        </w:tc>
        <w:tc>
          <w:tcPr>
            <w:tcW w:w="3003" w:type="dxa"/>
          </w:tcPr>
          <w:p>
            <w:pPr>
              <w:spacing w:after="0" w:line="260" w:lineRule="auto"/>
              <w:jc w:val="left"/>
            </w:pPr>
            <w:r>
              <w:rPr>
                <w:rFonts w:ascii="Calibri" w:hAnsi="Calibri"/>
                <w:color w:val="212121"/>
                <w:sz w:val="19"/>
              </w:rPr>
              <w:t xml:space="preserve">South and east of Hengam Island</w:t>
            </w:r>
          </w:p>
        </w:tc>
        <w:tc>
          <w:tcPr>
            <w:tcW w:w="3004" w:type="dxa"/>
          </w:tcPr>
          <w:p>
            <w:pPr>
              <w:spacing w:after="0" w:line="260" w:lineRule="auto"/>
              <w:jc w:val="left"/>
            </w:pPr>
            <w:r>
              <w:rPr>
                <w:rFonts w:ascii="Calibri" w:hAnsi="Calibri"/>
                <w:color w:val="212121"/>
                <w:sz w:val="19"/>
              </w:rPr>
              <w:t xml:space="preserve">Speed 10 knots laden Class B; routing advice mandatory</w:t>
            </w:r>
          </w:p>
        </w:tc>
      </w:tr>
      <w:tr>
        <w:tc>
          <w:tcPr>
            <w:tcW w:w="3003" w:type="dxa"/>
          </w:tcPr>
          <w:p>
            <w:pPr>
              <w:spacing w:after="0" w:line="260" w:lineRule="auto"/>
              <w:jc w:val="left"/>
            </w:pPr>
            <w:r>
              <w:rPr>
                <w:rFonts w:ascii="Calibri" w:hAnsi="Calibri"/>
                <w:color w:val="212121"/>
                <w:sz w:val="19"/>
              </w:rPr>
              <w:t xml:space="preserve">Musandam coral zones</w:t>
            </w:r>
          </w:p>
        </w:tc>
        <w:tc>
          <w:tcPr>
            <w:tcW w:w="3003" w:type="dxa"/>
          </w:tcPr>
          <w:p>
            <w:pPr>
              <w:spacing w:after="0" w:line="260" w:lineRule="auto"/>
              <w:jc w:val="left"/>
            </w:pPr>
            <w:r>
              <w:rPr>
                <w:rFonts w:ascii="Calibri" w:hAnsi="Calibri"/>
                <w:color w:val="212121"/>
                <w:sz w:val="19"/>
              </w:rPr>
              <w:t xml:space="preserve">Off Khasab and Lima</w:t>
            </w:r>
          </w:p>
        </w:tc>
        <w:tc>
          <w:tcPr>
            <w:tcW w:w="3004" w:type="dxa"/>
          </w:tcPr>
          <w:p>
            <w:pPr>
              <w:spacing w:after="0" w:line="260" w:lineRule="auto"/>
              <w:jc w:val="left"/>
            </w:pPr>
            <w:r>
              <w:rPr>
                <w:rFonts w:ascii="Calibri" w:hAnsi="Calibri"/>
                <w:color w:val="212121"/>
                <w:sz w:val="19"/>
              </w:rPr>
              <w:t xml:space="preserve">No anchoring outside designated anchorages</w:t>
            </w:r>
          </w:p>
        </w:tc>
      </w:tr>
      <w:tr>
        <w:tc>
          <w:tcPr>
            <w:tcW w:w="3003" w:type="dxa"/>
          </w:tcPr>
          <w:p>
            <w:pPr>
              <w:spacing w:after="0" w:line="260" w:lineRule="auto"/>
              <w:jc w:val="left"/>
            </w:pPr>
            <w:r>
              <w:rPr>
                <w:rFonts w:ascii="Calibri" w:hAnsi="Calibri"/>
                <w:color w:val="212121"/>
                <w:sz w:val="19"/>
              </w:rPr>
              <w:t xml:space="preserve">Spawning aggregations</w:t>
            </w:r>
          </w:p>
        </w:tc>
        <w:tc>
          <w:tcPr>
            <w:tcW w:w="3003" w:type="dxa"/>
          </w:tcPr>
          <w:p>
            <w:pPr>
              <w:spacing w:after="0" w:line="260" w:lineRule="auto"/>
              <w:jc w:val="left"/>
            </w:pPr>
            <w:r>
              <w:rPr>
                <w:rFonts w:ascii="Calibri" w:hAnsi="Calibri"/>
                <w:color w:val="212121"/>
                <w:sz w:val="19"/>
              </w:rPr>
              <w:t xml:space="preserve">As the coastal states notify annually</w:t>
            </w:r>
          </w:p>
        </w:tc>
        <w:tc>
          <w:tcPr>
            <w:tcW w:w="3004" w:type="dxa"/>
          </w:tcPr>
          <w:p>
            <w:pPr>
              <w:spacing w:after="0" w:line="260" w:lineRule="auto"/>
              <w:jc w:val="left"/>
            </w:pPr>
            <w:r>
              <w:rPr>
                <w:rFonts w:ascii="Calibri" w:hAnsi="Calibri"/>
                <w:color w:val="212121"/>
                <w:sz w:val="19"/>
              </w:rPr>
              <w:t xml:space="preserve">Seasonal speed and lighting advisories</w:t>
            </w:r>
          </w:p>
        </w:tc>
      </w:tr>
    </w:tbl>
    <w:p>
      <w:pPr>
        <w:spacing w:after="60"/>
      </w:pPr>
    </w:p>
    <w:p>
      <w:pPr>
        <w:pStyle w:val="Caption"/>
      </w:pPr>
      <w:r>
        <w:t xml:space="preserve">Table J.2: Sensitive areas register; annual review by the Technical Committee</w:t>
      </w:r>
    </w:p>
    <w:p>
      <w:pPr>
        <w:pStyle w:val="Heading3"/>
      </w:pPr>
      <w:r>
        <w:t xml:space="preserve">J.3 Response plan</w:t>
      </w:r>
    </w:p>
    <w:p>
      <w:pPr/>
      <w:r>
        <w:t xml:space="preserve">Tier one, vessel-source spill under 50 tons: the nearest coastal response unit deploys within 2 hours; the Center coordinates; the polluter pays under the liability instruments. Tier two, spill 50 to 700 tons: the joint response plan activates; both coastal states' assets deploy under the on-scene coordinator the Center designates from the unaffected corridor's state; dispersant use follows the joint plan's sensitivity map. Tier three, spill above 700 tons or multi-source: the regional assistance arrangements activate through the Council, and the compensation window advances response costs. The plan drills annually, alternating tiers, with the Neutral Keel Office observing.</w:t>
      </w:r>
    </w:p>
    <w:p>
      <w:pPr>
        <w:pStyle w:val="Heading3"/>
      </w:pPr>
      <w:r>
        <w:t xml:space="preserve">J.4 Environmental data</w:t>
      </w:r>
    </w:p>
    <w:p>
      <w:pPr/>
      <w:r>
        <w:t xml:space="preserve">The environmental watch logs every observation; the quarterly environmental report publishes discharge observations, response events, and sensitive-area compliance; and the International Maritime Organization's relevant bodies receive the report through the liaison channel.</w:t>
      </w:r>
    </w:p>
    <w:p>
      <w:pPr>
        <w:pStyle w:val="Heading1"/>
      </w:pPr>
      <w:r>
        <w:t xml:space="preserve">Annex K: Search and Rescue Operations Plan</w:t>
      </w:r>
    </w:p>
    <w:p>
      <w:pPr>
        <w:pStyle w:val="Heading3"/>
      </w:pPr>
      <w:r>
        <w:t xml:space="preserve">K.1 Sector plan</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2252"/>
        <w:gridCol w:w="2252"/>
        <w:gridCol w:w="2252"/>
        <w:gridCol w:w="2254"/>
      </w:tblGrid>
      <w:tr>
        <w:trPr>
          <w:tblHeader/>
        </w:trPr>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Sector</w:t>
            </w:r>
          </w:p>
        </w:tc>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Coverage</w:t>
            </w:r>
          </w:p>
        </w:tc>
        <w:tc>
          <w:tcPr>
            <w:tcW w:w="2252" w:type="dxa"/>
            <w:tcBorders>
              <w:bottom w:val="single" w:color="546E7A" w:sz="6"/>
            </w:tcBorders>
            <w:shd w:val="clear" w:fill="E4E9EC"/>
          </w:tcPr>
          <w:p>
            <w:pPr>
              <w:spacing w:after="0" w:line="260" w:lineRule="auto"/>
              <w:jc w:val="left"/>
            </w:pPr>
            <w:r>
              <w:rPr>
                <w:rFonts w:ascii="Calibri" w:hAnsi="Calibri"/>
                <w:b/>
                <w:color w:val="37474F"/>
                <w:sz w:val="19"/>
              </w:rPr>
              <w:t xml:space="preserve">Primary coordinator</w:t>
            </w:r>
          </w:p>
        </w:tc>
        <w:tc>
          <w:tcPr>
            <w:tcW w:w="2254" w:type="dxa"/>
            <w:tcBorders>
              <w:bottom w:val="single" w:color="546E7A" w:sz="6"/>
            </w:tcBorders>
            <w:shd w:val="clear" w:fill="E4E9EC"/>
          </w:tcPr>
          <w:p>
            <w:pPr>
              <w:spacing w:after="0" w:line="260" w:lineRule="auto"/>
              <w:jc w:val="left"/>
            </w:pPr>
            <w:r>
              <w:rPr>
                <w:rFonts w:ascii="Calibri" w:hAnsi="Calibri"/>
                <w:b/>
                <w:color w:val="37474F"/>
                <w:sz w:val="19"/>
              </w:rPr>
              <w:t xml:space="preserve">Supporting coordinator</w:t>
            </w:r>
          </w:p>
        </w:tc>
      </w:tr>
      <w:tr>
        <w:tc>
          <w:tcPr>
            <w:tcW w:w="2252" w:type="dxa"/>
          </w:tcPr>
          <w:p>
            <w:pPr>
              <w:spacing w:after="0" w:line="260" w:lineRule="auto"/>
              <w:jc w:val="left"/>
            </w:pPr>
            <w:r>
              <w:rPr>
                <w:rFonts w:ascii="Calibri" w:hAnsi="Calibri"/>
                <w:color w:val="212121"/>
                <w:sz w:val="19"/>
              </w:rPr>
              <w:t xml:space="preserve">K-1 Eastern</w:t>
            </w:r>
          </w:p>
        </w:tc>
        <w:tc>
          <w:tcPr>
            <w:tcW w:w="2252" w:type="dxa"/>
          </w:tcPr>
          <w:p>
            <w:pPr>
              <w:spacing w:after="0" w:line="260" w:lineRule="auto"/>
              <w:jc w:val="left"/>
            </w:pPr>
            <w:r>
              <w:rPr>
                <w:rFonts w:ascii="Calibri" w:hAnsi="Calibri"/>
                <w:color w:val="212121"/>
                <w:sz w:val="19"/>
              </w:rPr>
              <w:t xml:space="preserve">Governance Area east of 056 degrees 30.0 minutes East</w:t>
            </w:r>
          </w:p>
        </w:tc>
        <w:tc>
          <w:tcPr>
            <w:tcW w:w="2252" w:type="dxa"/>
          </w:tcPr>
          <w:p>
            <w:pPr>
              <w:spacing w:after="0" w:line="260" w:lineRule="auto"/>
              <w:jc w:val="left"/>
            </w:pPr>
            <w:r>
              <w:rPr>
                <w:rFonts w:ascii="Calibri" w:hAnsi="Calibri"/>
                <w:color w:val="212121"/>
                <w:sz w:val="19"/>
              </w:rPr>
              <w:t xml:space="preserve">Oman rescue coordination, Khasab</w:t>
            </w:r>
          </w:p>
        </w:tc>
        <w:tc>
          <w:tcPr>
            <w:tcW w:w="2254" w:type="dxa"/>
          </w:tcPr>
          <w:p>
            <w:pPr>
              <w:spacing w:after="0" w:line="260" w:lineRule="auto"/>
              <w:jc w:val="left"/>
            </w:pPr>
            <w:r>
              <w:rPr>
                <w:rFonts w:ascii="Calibri" w:hAnsi="Calibri"/>
                <w:color w:val="212121"/>
                <w:sz w:val="19"/>
              </w:rPr>
              <w:t xml:space="preserve">Iran rescue coordination, Bandar Abbas</w:t>
            </w:r>
          </w:p>
        </w:tc>
      </w:tr>
      <w:tr>
        <w:tc>
          <w:tcPr>
            <w:tcW w:w="2252" w:type="dxa"/>
          </w:tcPr>
          <w:p>
            <w:pPr>
              <w:spacing w:after="0" w:line="260" w:lineRule="auto"/>
              <w:jc w:val="left"/>
            </w:pPr>
            <w:r>
              <w:rPr>
                <w:rFonts w:ascii="Calibri" w:hAnsi="Calibri"/>
                <w:color w:val="212121"/>
                <w:sz w:val="19"/>
              </w:rPr>
              <w:t xml:space="preserve">K-2 Central</w:t>
            </w:r>
          </w:p>
        </w:tc>
        <w:tc>
          <w:tcPr>
            <w:tcW w:w="2252" w:type="dxa"/>
          </w:tcPr>
          <w:p>
            <w:pPr>
              <w:spacing w:after="0" w:line="260" w:lineRule="auto"/>
              <w:jc w:val="left"/>
            </w:pPr>
            <w:r>
              <w:rPr>
                <w:rFonts w:ascii="Calibri" w:hAnsi="Calibri"/>
                <w:color w:val="212121"/>
                <w:sz w:val="19"/>
              </w:rPr>
              <w:t xml:space="preserve">056 degrees 30.0 to 055 degrees 50.0 minutes East</w:t>
            </w:r>
          </w:p>
        </w:tc>
        <w:tc>
          <w:tcPr>
            <w:tcW w:w="2252" w:type="dxa"/>
          </w:tcPr>
          <w:p>
            <w:pPr>
              <w:spacing w:after="0" w:line="260" w:lineRule="auto"/>
              <w:jc w:val="left"/>
            </w:pPr>
            <w:r>
              <w:rPr>
                <w:rFonts w:ascii="Calibri" w:hAnsi="Calibri"/>
                <w:color w:val="212121"/>
                <w:sz w:val="19"/>
              </w:rPr>
              <w:t xml:space="preserve">Alternates quarterly between the coastal states</w:t>
            </w:r>
          </w:p>
        </w:tc>
        <w:tc>
          <w:tcPr>
            <w:tcW w:w="2254" w:type="dxa"/>
          </w:tcPr>
          <w:p>
            <w:pPr>
              <w:spacing w:after="0" w:line="260" w:lineRule="auto"/>
              <w:jc w:val="left"/>
            </w:pPr>
            <w:r>
              <w:rPr>
                <w:rFonts w:ascii="Calibri" w:hAnsi="Calibri"/>
                <w:color w:val="212121"/>
                <w:sz w:val="19"/>
              </w:rPr>
              <w:t xml:space="preserve">The other coastal state</w:t>
            </w:r>
          </w:p>
        </w:tc>
      </w:tr>
      <w:tr>
        <w:tc>
          <w:tcPr>
            <w:tcW w:w="2252" w:type="dxa"/>
          </w:tcPr>
          <w:p>
            <w:pPr>
              <w:spacing w:after="0" w:line="260" w:lineRule="auto"/>
              <w:jc w:val="left"/>
            </w:pPr>
            <w:r>
              <w:rPr>
                <w:rFonts w:ascii="Calibri" w:hAnsi="Calibri"/>
                <w:color w:val="212121"/>
                <w:sz w:val="19"/>
              </w:rPr>
              <w:t xml:space="preserve">K-3 Western</w:t>
            </w:r>
          </w:p>
        </w:tc>
        <w:tc>
          <w:tcPr>
            <w:tcW w:w="2252" w:type="dxa"/>
          </w:tcPr>
          <w:p>
            <w:pPr>
              <w:spacing w:after="0" w:line="260" w:lineRule="auto"/>
              <w:jc w:val="left"/>
            </w:pPr>
            <w:r>
              <w:rPr>
                <w:rFonts w:ascii="Calibri" w:hAnsi="Calibri"/>
                <w:color w:val="212121"/>
                <w:sz w:val="19"/>
              </w:rPr>
              <w:t xml:space="preserve">West of 055 degrees 50.0 minutes East</w:t>
            </w:r>
          </w:p>
        </w:tc>
        <w:tc>
          <w:tcPr>
            <w:tcW w:w="2252" w:type="dxa"/>
          </w:tcPr>
          <w:p>
            <w:pPr>
              <w:spacing w:after="0" w:line="260" w:lineRule="auto"/>
              <w:jc w:val="left"/>
            </w:pPr>
            <w:r>
              <w:rPr>
                <w:rFonts w:ascii="Calibri" w:hAnsi="Calibri"/>
                <w:color w:val="212121"/>
                <w:sz w:val="19"/>
              </w:rPr>
              <w:t xml:space="preserve">Iran rescue coordination, Bandar Abbas</w:t>
            </w:r>
          </w:p>
        </w:tc>
        <w:tc>
          <w:tcPr>
            <w:tcW w:w="2254" w:type="dxa"/>
          </w:tcPr>
          <w:p>
            <w:pPr>
              <w:spacing w:after="0" w:line="260" w:lineRule="auto"/>
              <w:jc w:val="left"/>
            </w:pPr>
            <w:r>
              <w:rPr>
                <w:rFonts w:ascii="Calibri" w:hAnsi="Calibri"/>
                <w:color w:val="212121"/>
                <w:sz w:val="19"/>
              </w:rPr>
              <w:t xml:space="preserve">Oman rescue coordination, Khasab</w:t>
            </w:r>
          </w:p>
        </w:tc>
      </w:tr>
    </w:tbl>
    <w:p>
      <w:pPr>
        <w:spacing w:after="60"/>
      </w:pPr>
    </w:p>
    <w:p>
      <w:pPr>
        <w:pStyle w:val="Caption"/>
      </w:pPr>
      <w:r>
        <w:t xml:space="preserve">Table K.1: Search and rescue sectors; the Center holds the shared grid picture</w:t>
      </w:r>
    </w:p>
    <w:p>
      <w:pPr>
        <w:pStyle w:val="Heading3"/>
      </w:pPr>
      <w:r>
        <w:t xml:space="preserve">K.2 Readiness standard</w:t>
      </w:r>
    </w:p>
    <w:p>
      <w:pPr/>
      <w:r>
        <w:t xml:space="preserve">Each approach holds one rescue vessel on 30-minute notice and one helicopter on 60-minute notice at all times, weather permitting. The Fund's readiness line reimburses standby at the rate card. The Bulletin publishes readiness weekly, per Article 29.3.</w:t>
      </w:r>
    </w:p>
    <w:p>
      <w:pPr>
        <w:pStyle w:val="Heading3"/>
      </w:pPr>
      <w:r>
        <w:t xml:space="preserve">K.3 Distress procedure</w:t>
      </w:r>
    </w:p>
    <w:p>
      <w:pPr/>
      <w:r>
        <w:t xml:space="preserve">A distress call on Channel 16 or by any means reaches every station simultaneously. The nearest asset proceeds immediately, per Article 29.2's pre-authorization. The Center opens an incident log, broadcasts the safety notice, and closes the case with a public report within 30 days, covering timeline, assets, and lessons.</w:t>
      </w:r>
    </w:p>
    <w:p>
      <w:pPr>
        <w:pStyle w:val="Heading1"/>
      </w:pPr>
      <w:r>
        <w:t xml:space="preserve">Annex L: Implementation Timeline and Activation Checklists</w:t>
      </w:r>
    </w:p>
    <w:p>
      <w:pPr>
        <w:pStyle w:val="Heading3"/>
      </w:pPr>
      <w:r>
        <w:t xml:space="preserve">L.1 Phase Zero checklist, signature to Day 14</w:t>
      </w:r>
    </w:p>
    <w:p>
      <w:pPr>
        <w:ind w:left="360"/>
      </w:pPr>
      <w:r>
        <w:t xml:space="preserve">1. Host agreements for Muscat and Bandar Abbas signed and published.</w:t>
      </w:r>
    </w:p>
    <w:p>
      <w:pPr>
        <w:ind w:left="360"/>
      </w:pPr>
      <w:r>
        <w:t xml:space="preserve">2. Escrow accounts and the Fund's principal account opened; initial endowment tranche of 40 percent deposited.</w:t>
      </w:r>
    </w:p>
    <w:p>
      <w:pPr>
        <w:ind w:left="360"/>
      </w:pPr>
      <w:r>
        <w:t xml:space="preserve">3. Paired staffing named for every core post; watch officer certification program opened.</w:t>
      </w:r>
    </w:p>
    <w:p>
      <w:pPr>
        <w:ind w:left="360"/>
      </w:pPr>
      <w:r>
        <w:t xml:space="preserve">4. Hazard declarations exchanged; the joint survey body contracted.</w:t>
      </w:r>
    </w:p>
    <w:p>
      <w:pPr>
        <w:ind w:left="360"/>
      </w:pPr>
      <w:r>
        <w:t xml:space="preserve">5. Military exercise notices for the first 60 days filed through the de-confliction channel.</w:t>
      </w:r>
    </w:p>
    <w:p>
      <w:pPr>
        <w:ind w:left="360"/>
      </w:pPr>
      <w:r>
        <w:t xml:space="preserve">6. The joint openness declaration of Article 10.4 issued by Day 7.</w:t>
      </w:r>
    </w:p>
    <w:p>
      <w:pPr>
        <w:ind w:left="360"/>
      </w:pPr>
      <w:r>
        <w:t xml:space="preserve">7. The adherence instruments of external states circulated for deposit.</w:t>
      </w:r>
    </w:p>
    <w:p>
      <w:pPr>
        <w:pStyle w:val="Heading3"/>
      </w:pPr>
      <w:r>
        <w:t xml:space="preserve">L.2 Phase One checklist, Day 15 to Day 30</w:t>
      </w:r>
    </w:p>
    <w:p>
      <w:pPr>
        <w:ind w:left="360"/>
      </w:pPr>
      <w:r>
        <w:t xml:space="preserve">1. Watch floor live in three rotations at the principal seat; mirror facility at warm standby.</w:t>
      </w:r>
    </w:p>
    <w:p>
      <w:pPr>
        <w:ind w:left="360"/>
      </w:pPr>
      <w:r>
        <w:t xml:space="preserve">2. Notification desk acknowledging; the 30-minute default rule in force and tested.</w:t>
      </w:r>
    </w:p>
    <w:p>
      <w:pPr>
        <w:ind w:left="360"/>
      </w:pPr>
      <w:r>
        <w:t xml:space="preserve">3. The Bulletin publishing twice daily; the first weekly statistics issued.</w:t>
      </w:r>
    </w:p>
    <w:p>
      <w:pPr>
        <w:ind w:left="360"/>
      </w:pPr>
      <w:r>
        <w:t xml:space="preserve">4. Ground-truth patrols begun in both corridors; observer roster embarked on first rotations.</w:t>
      </w:r>
    </w:p>
    <w:p>
      <w:pPr>
        <w:ind w:left="360"/>
      </w:pPr>
      <w:r>
        <w:t xml:space="preserve">5. First escorted windows operating; Class D gates publishing.</w:t>
      </w:r>
    </w:p>
    <w:p>
      <w:pPr>
        <w:ind w:left="360"/>
      </w:pPr>
      <w:r>
        <w:t xml:space="preserve">6. Joint survey under way; first zone certification targeted at Day 21.</w:t>
      </w:r>
    </w:p>
    <w:p>
      <w:pPr>
        <w:ind w:left="360"/>
      </w:pPr>
      <w:r>
        <w:t xml:space="preserve">7. The Registry live for voluntary listing; the Data Service public tier live.</w:t>
      </w:r>
    </w:p>
    <w:p>
      <w:pPr>
        <w:ind w:left="360"/>
      </w:pPr>
      <w:r>
        <w:t xml:space="preserve">8. First premium digest transmitted to the insurance market.</w:t>
      </w:r>
    </w:p>
    <w:p>
      <w:pPr>
        <w:pStyle w:val="Heading3"/>
      </w:pPr>
      <w:r>
        <w:t xml:space="preserve">L.3 Phase Two checklist, Day 31 to Day 60</w:t>
      </w:r>
    </w:p>
    <w:p>
      <w:pPr>
        <w:ind w:left="360"/>
      </w:pPr>
      <w:r>
        <w:t xml:space="preserve">1. Both corridors at full schedule; Managed Flow drills complete.</w:t>
      </w:r>
    </w:p>
    <w:p>
      <w:pPr>
        <w:ind w:left="360"/>
      </w:pPr>
      <w:r>
        <w:t xml:space="preserve">2. Fund paying verified services on the first monthly cycle.</w:t>
      </w:r>
    </w:p>
    <w:p>
      <w:pPr>
        <w:ind w:left="360"/>
      </w:pPr>
      <w:r>
        <w:t xml:space="preserve">3. Anchor-and-Verify Protocol exercised in at least one live or simulated case.</w:t>
      </w:r>
    </w:p>
    <w:p>
      <w:pPr>
        <w:ind w:left="360"/>
      </w:pPr>
      <w:r>
        <w:t xml:space="preserve">4. Stillwater Pause drill completed with the Guarantor Panel.</w:t>
      </w:r>
    </w:p>
    <w:p>
      <w:pPr>
        <w:ind w:left="360"/>
      </w:pPr>
      <w:r>
        <w:t xml:space="preserve">5. Night transit restored on certified zones.</w:t>
      </w:r>
    </w:p>
    <w:p>
      <w:pPr>
        <w:ind w:left="360"/>
      </w:pPr>
      <w:r>
        <w:t xml:space="preserve">6. Accession packages delivered to Saudi Arabia, Qatar, Bahrain, Kuwait, and Iraq.</w:t>
      </w:r>
    </w:p>
    <w:p>
      <w:pPr>
        <w:pStyle w:val="Heading3"/>
      </w:pPr>
      <w:r>
        <w:t xml:space="preserve">L.4 Phase Three checklist, Day 61 onward</w:t>
      </w:r>
    </w:p>
    <w:p>
      <w:pPr>
        <w:ind w:left="360"/>
      </w:pPr>
      <w:r>
        <w:t xml:space="preserve">1. Survey certification complete; the International Maritime Organization issues the final technical certification under Article 12.4; the joint safety certification issued to the insurance market.</w:t>
      </w:r>
    </w:p>
    <w:p>
      <w:pPr>
        <w:ind w:left="360"/>
      </w:pPr>
      <w:r>
        <w:t xml:space="preserve">2. Premium normalization tracking against the Annex C schedule, published weekly.</w:t>
      </w:r>
    </w:p>
    <w:p>
      <w:pPr>
        <w:ind w:left="360"/>
      </w:pPr>
      <w:r>
        <w:t xml:space="preserve">3. First quarterly Ledger published; first standing computation audited.</w:t>
      </w:r>
    </w:p>
    <w:p>
      <w:pPr>
        <w:ind w:left="360"/>
      </w:pPr>
      <w:r>
        <w:t xml:space="preserve">4. First annual Open Water Review Conference scheduled within 12 months of entry into force.</w:t>
      </w:r>
    </w:p>
    <w:p>
      <w:pPr>
        <w:ind w:left="360"/>
      </w:pPr>
      <w:r>
        <w:t xml:space="preserve">5. Staffing table expanded for each accession; parity band audited quarterly.</w:t>
      </w:r>
    </w:p>
    <w:p>
      <w:pPr>
        <w:pStyle w:val="Heading3"/>
      </w:pPr>
      <w:r>
        <w:t xml:space="preserve">L.5 Parity band</w:t>
      </w:r>
    </w:p>
    <w:p>
      <w:pPr/>
      <w:r>
        <w:t xml:space="preserve">Across the Center, the mirror facility, and the Neutral Keel support offices, each Littoral Party's nationals hold between 20 and 40 percent of operational posts once three Littoral Parties hold membership, and between 12 and 30 percent once five or more hold membership. The Technical Committee audits the band quarterly and publishes the result. A breach of the band cures within two quarters through recruitment, never through dismissal.</w:t>
      </w:r>
    </w:p>
    <w:p>
      <w:pPr>
        <w:pStyle w:val="Heading1"/>
      </w:pPr>
      <w:r>
        <w:t xml:space="preserve">Annex M: Accession, Adherence, and Participation Instruments</w:t>
      </w:r>
    </w:p>
    <w:p>
      <w:pPr>
        <w:pStyle w:val="Heading3"/>
      </w:pPr>
      <w:r>
        <w:t xml:space="preserve">M.1 Model instrument of accession (Acceding Member)</w:t>
      </w:r>
    </w:p>
    <w:p>
      <w:pPr/>
      <w:r>
        <w:t xml:space="preserve">The Government of [acceding state], having considered the Stillwater Accord done at Muscat, accedes to the Accord and to all its Annexes, accepts the obligations of an Acceding Member including the staffing, service delivery, and endowment schedules, and deposits this instrument with the depositary under Article 38.1. Signed at [place] on [date].</w:t>
      </w:r>
    </w:p>
    <w:p>
      <w:pPr>
        <w:pStyle w:val="Heading3"/>
      </w:pPr>
      <w:r>
        <w:t xml:space="preserve">M.2 Model adherence instrument (external state)</w:t>
      </w:r>
    </w:p>
    <w:p>
      <w:pPr/>
      <w:r>
        <w:t xml:space="preserve">The Government of [adhering state], consistent with Article 38.5 of the Stillwater Accord, adheres to the Non-Interdiction Protocol of Article 10 and the de-confliction disciplines of Article 27 for its forces operating in or near the Governance Area, accepts a seat at the military de-confliction channel, and notes that this adherence creates no other obligation or right. Signed at [place] on [date].</w:t>
      </w:r>
    </w:p>
    <w:p>
      <w:pPr>
        <w:pStyle w:val="Heading3"/>
      </w:pPr>
      <w:r>
        <w:t xml:space="preserve">M.3 Model Endorsing Stakeholder instrument (United States)</w:t>
      </w:r>
    </w:p>
    <w:p>
      <w:pPr/>
      <w:r>
        <w:t xml:space="preserve">The United States of America, consistent with Article 19.2 of the Stillwater Accord, participates as Endorsing Stakeholder: it accepts a non-voting seat at the Stillwater Council; it deposits its adherence under Article 38.5; it registers its interests in Annex I as recorded; and it channels concerns through the Accord's organs. This instrument creates no command, veto, or enforcement role. Signed at [place] on [date].</w:t>
      </w:r>
    </w:p>
    <w:p>
      <w:pPr>
        <w:pStyle w:val="Heading3"/>
      </w:pPr>
      <w:r>
        <w:t xml:space="preserve">M.4 Model MOU attachment protocol</w:t>
      </w:r>
    </w:p>
    <w:p>
      <w:pPr/>
      <w:r>
        <w:t xml:space="preserve">The parties to the Islamabad Memorandum of Understanding of 17 June 2026, noting that the Stillwater Accord discharges the safe-navigation commitment of the MOU for the coastal-state dimension, attach the Accord to the MOU architecture as a complementary governance module. Attachment records political linkage; it adds no obligation beyond the Accord's text and alters no organ of either instrument. Signed at [place] on [date].</w:t>
      </w:r>
    </w:p>
    <w:p>
      <w:pPr>
        <w:pStyle w:val="Heading3"/>
      </w:pPr>
      <w:r>
        <w:t xml:space="preserve">M.5 Model observer-state participation letter</w:t>
      </w:r>
    </w:p>
    <w:p>
      <w:pPr/>
      <w:r>
        <w:t xml:space="preserve">The Government of [observer state] accepts the standing observer invitation of Article 19.3, designates its observer, and records its intention to contribute to the Transit Services Fund at the published schedule. Signed at [place] on [date].</w:t>
      </w:r>
    </w:p>
    <w:p>
      <w:pPr>
        <w:pStyle w:val="Heading1"/>
      </w:pPr>
      <w:r>
        <w:t xml:space="preserve">Annex N: Glossary and Neutral Terminology Register</w:t>
      </w:r>
    </w:p>
    <w:p>
      <w:pPr/>
      <w:r>
        <w:t xml:space="preserve">This register fixes the Accord's public vocabulary. The organs use these terms in every publication, and the Mariners' Handbook and the Bulletin follow the register exactly. The register excludes from Accord usage: the words blockade, closure, sanction, seizure, escort fleet, convoy, inspection regime, and toll, except when quoting the prohibited-instruments list or a Red Line entry; the corresponding register terms are: Suspended Flow, area hold, compliance measure, anchor-and-verify, escorted window, transit grouping, verification at anchorage, and charge on passage.</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3000"/>
        <w:gridCol w:w="6010"/>
      </w:tblGrid>
      <w:tr>
        <w:trPr>
          <w:tblHeader/>
        </w:trPr>
        <w:tc>
          <w:tcPr>
            <w:tcW w:w="3000" w:type="dxa"/>
            <w:tcBorders>
              <w:bottom w:val="single" w:color="546E7A" w:sz="6"/>
            </w:tcBorders>
            <w:shd w:val="clear" w:fill="E4E9EC"/>
          </w:tcPr>
          <w:p>
            <w:pPr>
              <w:spacing w:after="0" w:line="260" w:lineRule="auto"/>
              <w:jc w:val="left"/>
            </w:pPr>
            <w:r>
              <w:rPr>
                <w:rFonts w:ascii="Calibri" w:hAnsi="Calibri"/>
                <w:b/>
                <w:color w:val="37474F"/>
                <w:sz w:val="19"/>
              </w:rPr>
              <w:t xml:space="preserve">Register term</w:t>
            </w:r>
          </w:p>
        </w:tc>
        <w:tc>
          <w:tcPr>
            <w:tcW w:w="6010" w:type="dxa"/>
            <w:tcBorders>
              <w:bottom w:val="single" w:color="546E7A" w:sz="6"/>
            </w:tcBorders>
            <w:shd w:val="clear" w:fill="E4E9EC"/>
          </w:tcPr>
          <w:p>
            <w:pPr>
              <w:spacing w:after="0" w:line="260" w:lineRule="auto"/>
              <w:jc w:val="left"/>
            </w:pPr>
            <w:r>
              <w:rPr>
                <w:rFonts w:ascii="Calibri" w:hAnsi="Calibri"/>
                <w:b/>
                <w:color w:val="37474F"/>
                <w:sz w:val="19"/>
              </w:rPr>
              <w:t xml:space="preserve">Plain meaning</w:t>
            </w:r>
          </w:p>
        </w:tc>
      </w:tr>
      <w:tr>
        <w:tc>
          <w:tcPr>
            <w:tcW w:w="3000" w:type="dxa"/>
          </w:tcPr>
          <w:p>
            <w:pPr>
              <w:spacing w:after="0" w:line="260" w:lineRule="auto"/>
              <w:jc w:val="left"/>
            </w:pPr>
            <w:r>
              <w:rPr>
                <w:rFonts w:ascii="Calibri" w:hAnsi="Calibri"/>
                <w:color w:val="212121"/>
                <w:sz w:val="19"/>
              </w:rPr>
              <w:t xml:space="preserve">Anchor-and-Verify</w:t>
            </w:r>
          </w:p>
        </w:tc>
        <w:tc>
          <w:tcPr>
            <w:tcW w:w="6010" w:type="dxa"/>
          </w:tcPr>
          <w:p>
            <w:pPr>
              <w:spacing w:after="0" w:line="260" w:lineRule="auto"/>
              <w:jc w:val="left"/>
            </w:pPr>
            <w:r>
              <w:rPr>
                <w:rFonts w:ascii="Calibri" w:hAnsi="Calibri"/>
                <w:color w:val="212121"/>
                <w:sz w:val="19"/>
              </w:rPr>
              <w:t xml:space="preserve">Resolution of a documented cargo or documentation question at anchorage by a joint team</w:t>
            </w:r>
          </w:p>
        </w:tc>
      </w:tr>
      <w:tr>
        <w:tc>
          <w:tcPr>
            <w:tcW w:w="3000" w:type="dxa"/>
          </w:tcPr>
          <w:p>
            <w:pPr>
              <w:spacing w:after="0" w:line="260" w:lineRule="auto"/>
              <w:jc w:val="left"/>
            </w:pPr>
            <w:r>
              <w:rPr>
                <w:rFonts w:ascii="Calibri" w:hAnsi="Calibri"/>
                <w:color w:val="212121"/>
                <w:sz w:val="19"/>
              </w:rPr>
              <w:t xml:space="preserve">Area hold</w:t>
            </w:r>
          </w:p>
        </w:tc>
        <w:tc>
          <w:tcPr>
            <w:tcW w:w="6010" w:type="dxa"/>
          </w:tcPr>
          <w:p>
            <w:pPr>
              <w:spacing w:after="0" w:line="260" w:lineRule="auto"/>
              <w:jc w:val="left"/>
            </w:pPr>
            <w:r>
              <w:rPr>
                <w:rFonts w:ascii="Calibri" w:hAnsi="Calibri"/>
                <w:color w:val="212121"/>
                <w:sz w:val="19"/>
              </w:rPr>
              <w:t xml:space="preserve">A Suspended Flow applied to a defined area for a stated period</w:t>
            </w:r>
          </w:p>
        </w:tc>
      </w:tr>
      <w:tr>
        <w:tc>
          <w:tcPr>
            <w:tcW w:w="3000" w:type="dxa"/>
          </w:tcPr>
          <w:p>
            <w:pPr>
              <w:spacing w:after="0" w:line="260" w:lineRule="auto"/>
              <w:jc w:val="left"/>
            </w:pPr>
            <w:r>
              <w:rPr>
                <w:rFonts w:ascii="Calibri" w:hAnsi="Calibri"/>
                <w:color w:val="212121"/>
                <w:sz w:val="19"/>
              </w:rPr>
              <w:t xml:space="preserve">Assurance</w:t>
            </w:r>
          </w:p>
        </w:tc>
        <w:tc>
          <w:tcPr>
            <w:tcW w:w="6010" w:type="dxa"/>
          </w:tcPr>
          <w:p>
            <w:pPr>
              <w:spacing w:after="0" w:line="260" w:lineRule="auto"/>
              <w:jc w:val="left"/>
            </w:pPr>
            <w:r>
              <w:rPr>
                <w:rFonts w:ascii="Calibri" w:hAnsi="Calibri"/>
                <w:color w:val="212121"/>
                <w:sz w:val="19"/>
              </w:rPr>
              <w:t xml:space="preserve">Verified performance published for the market</w:t>
            </w:r>
          </w:p>
        </w:tc>
      </w:tr>
      <w:tr>
        <w:tc>
          <w:tcPr>
            <w:tcW w:w="3000" w:type="dxa"/>
          </w:tcPr>
          <w:p>
            <w:pPr>
              <w:spacing w:after="0" w:line="260" w:lineRule="auto"/>
              <w:jc w:val="left"/>
            </w:pPr>
            <w:r>
              <w:rPr>
                <w:rFonts w:ascii="Calibri" w:hAnsi="Calibri"/>
                <w:color w:val="212121"/>
                <w:sz w:val="19"/>
              </w:rPr>
              <w:t xml:space="preserve">Banked performance</w:t>
            </w:r>
          </w:p>
        </w:tc>
        <w:tc>
          <w:tcPr>
            <w:tcW w:w="6010" w:type="dxa"/>
          </w:tcPr>
          <w:p>
            <w:pPr>
              <w:spacing w:after="0" w:line="260" w:lineRule="auto"/>
              <w:jc w:val="left"/>
            </w:pPr>
            <w:r>
              <w:rPr>
                <w:rFonts w:ascii="Calibri" w:hAnsi="Calibri"/>
                <w:color w:val="212121"/>
                <w:sz w:val="19"/>
              </w:rPr>
              <w:t xml:space="preserve">Verified compliance carried forward permanently under the Nofade Guarantee</w:t>
            </w:r>
          </w:p>
        </w:tc>
      </w:tr>
      <w:tr>
        <w:tc>
          <w:tcPr>
            <w:tcW w:w="3000" w:type="dxa"/>
          </w:tcPr>
          <w:p>
            <w:pPr>
              <w:spacing w:after="0" w:line="260" w:lineRule="auto"/>
              <w:jc w:val="left"/>
            </w:pPr>
            <w:r>
              <w:rPr>
                <w:rFonts w:ascii="Calibri" w:hAnsi="Calibri"/>
                <w:color w:val="212121"/>
                <w:sz w:val="19"/>
              </w:rPr>
              <w:t xml:space="preserve">Calm, Irregular, Investigating</w:t>
            </w:r>
          </w:p>
        </w:tc>
        <w:tc>
          <w:tcPr>
            <w:tcW w:w="6010" w:type="dxa"/>
          </w:tcPr>
          <w:p>
            <w:pPr>
              <w:spacing w:after="0" w:line="260" w:lineRule="auto"/>
              <w:jc w:val="left"/>
            </w:pPr>
            <w:r>
              <w:rPr>
                <w:rFonts w:ascii="Calibri" w:hAnsi="Calibri"/>
                <w:color w:val="212121"/>
                <w:sz w:val="19"/>
              </w:rPr>
              <w:t xml:space="preserve">The three Bulletin status lines: normal operation; a deviation under notice; an event under evidence gathering</w:t>
            </w:r>
          </w:p>
        </w:tc>
      </w:tr>
      <w:tr>
        <w:tc>
          <w:tcPr>
            <w:tcW w:w="3000" w:type="dxa"/>
          </w:tcPr>
          <w:p>
            <w:pPr>
              <w:spacing w:after="0" w:line="260" w:lineRule="auto"/>
              <w:jc w:val="left"/>
            </w:pPr>
            <w:r>
              <w:rPr>
                <w:rFonts w:ascii="Calibri" w:hAnsi="Calibri"/>
                <w:color w:val="212121"/>
                <w:sz w:val="19"/>
              </w:rPr>
              <w:t xml:space="preserve">Convergence</w:t>
            </w:r>
          </w:p>
        </w:tc>
        <w:tc>
          <w:tcPr>
            <w:tcW w:w="6010" w:type="dxa"/>
          </w:tcPr>
          <w:p>
            <w:pPr>
              <w:spacing w:after="0" w:line="260" w:lineRule="auto"/>
              <w:jc w:val="left"/>
            </w:pPr>
            <w:r>
              <w:rPr>
                <w:rFonts w:ascii="Calibri" w:hAnsi="Calibri"/>
                <w:color w:val="212121"/>
                <w:sz w:val="19"/>
              </w:rPr>
              <w:t xml:space="preserve">Two independent inputs agreeing on the same fact</w:t>
            </w:r>
          </w:p>
        </w:tc>
      </w:tr>
      <w:tr>
        <w:tc>
          <w:tcPr>
            <w:tcW w:w="3000" w:type="dxa"/>
          </w:tcPr>
          <w:p>
            <w:pPr>
              <w:spacing w:after="0" w:line="260" w:lineRule="auto"/>
              <w:jc w:val="left"/>
            </w:pPr>
            <w:r>
              <w:rPr>
                <w:rFonts w:ascii="Calibri" w:hAnsi="Calibri"/>
                <w:color w:val="212121"/>
                <w:sz w:val="19"/>
              </w:rPr>
              <w:t xml:space="preserve">Escorted window</w:t>
            </w:r>
          </w:p>
        </w:tc>
        <w:tc>
          <w:tcPr>
            <w:tcW w:w="6010" w:type="dxa"/>
          </w:tcPr>
          <w:p>
            <w:pPr>
              <w:spacing w:after="0" w:line="260" w:lineRule="auto"/>
              <w:jc w:val="left"/>
            </w:pPr>
            <w:r>
              <w:rPr>
                <w:rFonts w:ascii="Calibri" w:hAnsi="Calibri"/>
                <w:color w:val="212121"/>
                <w:sz w:val="19"/>
              </w:rPr>
              <w:t xml:space="preserve">A published period in which electing vessels transit with coast guard escort coordination</w:t>
            </w:r>
          </w:p>
        </w:tc>
      </w:tr>
      <w:tr>
        <w:tc>
          <w:tcPr>
            <w:tcW w:w="3000" w:type="dxa"/>
          </w:tcPr>
          <w:p>
            <w:pPr>
              <w:spacing w:after="0" w:line="260" w:lineRule="auto"/>
              <w:jc w:val="left"/>
            </w:pPr>
            <w:r>
              <w:rPr>
                <w:rFonts w:ascii="Calibri" w:hAnsi="Calibri"/>
                <w:color w:val="212121"/>
                <w:sz w:val="19"/>
              </w:rPr>
              <w:t xml:space="preserve">Flow state</w:t>
            </w:r>
          </w:p>
        </w:tc>
        <w:tc>
          <w:tcPr>
            <w:tcW w:w="6010" w:type="dxa"/>
          </w:tcPr>
          <w:p>
            <w:pPr>
              <w:spacing w:after="0" w:line="260" w:lineRule="auto"/>
              <w:jc w:val="left"/>
            </w:pPr>
            <w:r>
              <w:rPr>
                <w:rFonts w:ascii="Calibri" w:hAnsi="Calibri"/>
                <w:color w:val="212121"/>
                <w:sz w:val="19"/>
              </w:rPr>
              <w:t xml:space="preserve">Free Flow, Managed Flow, or Suspended Flow</w:t>
            </w:r>
          </w:p>
        </w:tc>
      </w:tr>
      <w:tr>
        <w:tc>
          <w:tcPr>
            <w:tcW w:w="3000" w:type="dxa"/>
          </w:tcPr>
          <w:p>
            <w:pPr>
              <w:spacing w:after="0" w:line="260" w:lineRule="auto"/>
              <w:jc w:val="left"/>
            </w:pPr>
            <w:r>
              <w:rPr>
                <w:rFonts w:ascii="Calibri" w:hAnsi="Calibri"/>
                <w:color w:val="212121"/>
                <w:sz w:val="19"/>
              </w:rPr>
              <w:t xml:space="preserve">Ledger</w:t>
            </w:r>
          </w:p>
        </w:tc>
        <w:tc>
          <w:tcPr>
            <w:tcW w:w="6010" w:type="dxa"/>
          </w:tcPr>
          <w:p>
            <w:pPr>
              <w:spacing w:after="0" w:line="260" w:lineRule="auto"/>
              <w:jc w:val="left"/>
            </w:pPr>
            <w:r>
              <w:rPr>
                <w:rFonts w:ascii="Calibri" w:hAnsi="Calibri"/>
                <w:color w:val="212121"/>
                <w:sz w:val="19"/>
              </w:rPr>
              <w:t xml:space="preserve">The Reciprocity Ledger of standing and performance</w:t>
            </w:r>
          </w:p>
        </w:tc>
      </w:tr>
      <w:tr>
        <w:tc>
          <w:tcPr>
            <w:tcW w:w="3000" w:type="dxa"/>
          </w:tcPr>
          <w:p>
            <w:pPr>
              <w:spacing w:after="0" w:line="260" w:lineRule="auto"/>
              <w:jc w:val="left"/>
            </w:pPr>
            <w:r>
              <w:rPr>
                <w:rFonts w:ascii="Calibri" w:hAnsi="Calibri"/>
                <w:color w:val="212121"/>
                <w:sz w:val="19"/>
              </w:rPr>
              <w:t xml:space="preserve">Mirror</w:t>
            </w:r>
          </w:p>
        </w:tc>
        <w:tc>
          <w:tcPr>
            <w:tcW w:w="6010" w:type="dxa"/>
          </w:tcPr>
          <w:p>
            <w:pPr>
              <w:spacing w:after="0" w:line="260" w:lineRule="auto"/>
              <w:jc w:val="left"/>
            </w:pPr>
            <w:r>
              <w:rPr>
                <w:rFonts w:ascii="Calibri" w:hAnsi="Calibri"/>
                <w:color w:val="212121"/>
                <w:sz w:val="19"/>
              </w:rPr>
              <w:t xml:space="preserve">The Bandar Abbas facility of equal rank with the Muscat seat</w:t>
            </w:r>
          </w:p>
        </w:tc>
      </w:tr>
      <w:tr>
        <w:tc>
          <w:tcPr>
            <w:tcW w:w="3000" w:type="dxa"/>
          </w:tcPr>
          <w:p>
            <w:pPr>
              <w:spacing w:after="0" w:line="260" w:lineRule="auto"/>
              <w:jc w:val="left"/>
            </w:pPr>
            <w:r>
              <w:rPr>
                <w:rFonts w:ascii="Calibri" w:hAnsi="Calibri"/>
                <w:color w:val="212121"/>
                <w:sz w:val="19"/>
              </w:rPr>
              <w:t xml:space="preserve">Nofade</w:t>
            </w:r>
          </w:p>
        </w:tc>
        <w:tc>
          <w:tcPr>
            <w:tcW w:w="6010" w:type="dxa"/>
          </w:tcPr>
          <w:p>
            <w:pPr>
              <w:spacing w:after="0" w:line="260" w:lineRule="auto"/>
              <w:jc w:val="left"/>
            </w:pPr>
            <w:r>
              <w:rPr>
                <w:rFonts w:ascii="Calibri" w:hAnsi="Calibri"/>
                <w:color w:val="212121"/>
                <w:sz w:val="19"/>
              </w:rPr>
              <w:t xml:space="preserve">The rule that nothing expires by time alone</w:t>
            </w:r>
          </w:p>
        </w:tc>
      </w:tr>
      <w:tr>
        <w:tc>
          <w:tcPr>
            <w:tcW w:w="3000" w:type="dxa"/>
          </w:tcPr>
          <w:p>
            <w:pPr>
              <w:spacing w:after="0" w:line="260" w:lineRule="auto"/>
              <w:jc w:val="left"/>
            </w:pPr>
            <w:r>
              <w:rPr>
                <w:rFonts w:ascii="Calibri" w:hAnsi="Calibri"/>
                <w:color w:val="212121"/>
                <w:sz w:val="19"/>
              </w:rPr>
              <w:t xml:space="preserve">Pause</w:t>
            </w:r>
          </w:p>
        </w:tc>
        <w:tc>
          <w:tcPr>
            <w:tcW w:w="6010" w:type="dxa"/>
          </w:tcPr>
          <w:p>
            <w:pPr>
              <w:spacing w:after="0" w:line="260" w:lineRule="auto"/>
              <w:jc w:val="left"/>
            </w:pPr>
            <w:r>
              <w:rPr>
                <w:rFonts w:ascii="Calibri" w:hAnsi="Calibri"/>
                <w:color w:val="212121"/>
                <w:sz w:val="19"/>
              </w:rPr>
              <w:t xml:space="preserve">The Stillwater Pause</w:t>
            </w:r>
          </w:p>
        </w:tc>
      </w:tr>
      <w:tr>
        <w:tc>
          <w:tcPr>
            <w:tcW w:w="3000" w:type="dxa"/>
          </w:tcPr>
          <w:p>
            <w:pPr>
              <w:spacing w:after="0" w:line="260" w:lineRule="auto"/>
              <w:jc w:val="left"/>
            </w:pPr>
            <w:r>
              <w:rPr>
                <w:rFonts w:ascii="Calibri" w:hAnsi="Calibri"/>
                <w:color w:val="212121"/>
                <w:sz w:val="19"/>
              </w:rPr>
              <w:t xml:space="preserve">Quiet Water</w:t>
            </w:r>
          </w:p>
        </w:tc>
        <w:tc>
          <w:tcPr>
            <w:tcW w:w="6010" w:type="dxa"/>
          </w:tcPr>
          <w:p>
            <w:pPr>
              <w:spacing w:after="0" w:line="260" w:lineRule="auto"/>
              <w:jc w:val="left"/>
            </w:pPr>
            <w:r>
              <w:rPr>
                <w:rFonts w:ascii="Calibri" w:hAnsi="Calibri"/>
                <w:color w:val="212121"/>
                <w:sz w:val="19"/>
              </w:rPr>
              <w:t xml:space="preserve">Published periods without escorts, exercises, or concentrated naval movement</w:t>
            </w:r>
          </w:p>
        </w:tc>
      </w:tr>
      <w:tr>
        <w:tc>
          <w:tcPr>
            <w:tcW w:w="3000" w:type="dxa"/>
          </w:tcPr>
          <w:p>
            <w:pPr>
              <w:spacing w:after="0" w:line="260" w:lineRule="auto"/>
              <w:jc w:val="left"/>
            </w:pPr>
            <w:r>
              <w:rPr>
                <w:rFonts w:ascii="Calibri" w:hAnsi="Calibri"/>
                <w:color w:val="212121"/>
                <w:sz w:val="19"/>
              </w:rPr>
              <w:t xml:space="preserve">Standing</w:t>
            </w:r>
          </w:p>
        </w:tc>
        <w:tc>
          <w:tcPr>
            <w:tcW w:w="6010" w:type="dxa"/>
          </w:tcPr>
          <w:p>
            <w:pPr>
              <w:spacing w:after="0" w:line="260" w:lineRule="auto"/>
              <w:jc w:val="left"/>
            </w:pPr>
            <w:r>
              <w:rPr>
                <w:rFonts w:ascii="Calibri" w:hAnsi="Calibri"/>
                <w:color w:val="212121"/>
                <w:sz w:val="19"/>
              </w:rPr>
              <w:t xml:space="preserve">A Party's published performance level: Anchor, Steady, Watch, or Step-back</w:t>
            </w:r>
          </w:p>
        </w:tc>
      </w:tr>
      <w:tr>
        <w:tc>
          <w:tcPr>
            <w:tcW w:w="3000" w:type="dxa"/>
          </w:tcPr>
          <w:p>
            <w:pPr>
              <w:spacing w:after="0" w:line="260" w:lineRule="auto"/>
              <w:jc w:val="left"/>
            </w:pPr>
            <w:r>
              <w:rPr>
                <w:rFonts w:ascii="Calibri" w:hAnsi="Calibri"/>
                <w:color w:val="212121"/>
                <w:sz w:val="19"/>
              </w:rPr>
              <w:t xml:space="preserve">Still water</w:t>
            </w:r>
          </w:p>
        </w:tc>
        <w:tc>
          <w:tcPr>
            <w:tcW w:w="6010" w:type="dxa"/>
          </w:tcPr>
          <w:p>
            <w:pPr>
              <w:spacing w:after="0" w:line="260" w:lineRule="auto"/>
              <w:jc w:val="left"/>
            </w:pPr>
            <w:r>
              <w:rPr>
                <w:rFonts w:ascii="Calibri" w:hAnsi="Calibri"/>
                <w:color w:val="212121"/>
                <w:sz w:val="19"/>
              </w:rPr>
              <w:t xml:space="preserve">The operating ideal of the Accord: open, calm, verified, and boring</w:t>
            </w:r>
          </w:p>
        </w:tc>
      </w:tr>
      <w:tr>
        <w:tc>
          <w:tcPr>
            <w:tcW w:w="3000" w:type="dxa"/>
          </w:tcPr>
          <w:p>
            <w:pPr>
              <w:spacing w:after="0" w:line="260" w:lineRule="auto"/>
              <w:jc w:val="left"/>
            </w:pPr>
            <w:r>
              <w:rPr>
                <w:rFonts w:ascii="Calibri" w:hAnsi="Calibri"/>
                <w:color w:val="212121"/>
                <w:sz w:val="19"/>
              </w:rPr>
              <w:t xml:space="preserve">Tripod</w:t>
            </w:r>
          </w:p>
        </w:tc>
        <w:tc>
          <w:tcPr>
            <w:tcW w:w="6010" w:type="dxa"/>
          </w:tcPr>
          <w:p>
            <w:pPr>
              <w:spacing w:after="0" w:line="260" w:lineRule="auto"/>
              <w:jc w:val="left"/>
            </w:pPr>
            <w:r>
              <w:rPr>
                <w:rFonts w:ascii="Calibri" w:hAnsi="Calibri"/>
                <w:color w:val="212121"/>
                <w:sz w:val="19"/>
              </w:rPr>
              <w:t xml:space="preserve">The three Founding Members whose ratifications bring the Accord into force: Iran, Oman, and the United Arab Emirates</w:t>
            </w:r>
          </w:p>
        </w:tc>
      </w:tr>
    </w:tbl>
    <w:p>
      <w:pPr>
        <w:spacing w:after="60"/>
      </w:pPr>
    </w:p>
    <w:p>
      <w:pPr>
        <w:pStyle w:val="Caption"/>
      </w:pPr>
      <w:r>
        <w:t xml:space="preserve">Table N.1: Neutral terminology register</w:t>
      </w:r>
    </w:p>
    <w:p>
      <w:pPr>
        <w:pStyle w:val="Heading1"/>
      </w:pPr>
      <w:r>
        <w:t xml:space="preserve">Annex O: Source Frameworks and Provenance Map</w:t>
      </w:r>
    </w:p>
    <w:p>
      <w:pPr/>
      <w:r>
        <w:t xml:space="preserve">This Accord synthesizes and supersedes, for its own participants and purposes, the design elements of the source frameworks listed below. Each source contributed its strongest architecture; this map records the debt so that future negotiators trace every mechanism to its lineage. The source frameworks circulated under open licensing for negotiation use, and this Accord credits their drafting traditions without reproducing their texts.</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3000"/>
        <w:gridCol w:w="6010"/>
      </w:tblGrid>
      <w:tr>
        <w:trPr>
          <w:tblHeader/>
        </w:trPr>
        <w:tc>
          <w:tcPr>
            <w:tcW w:w="3000" w:type="dxa"/>
            <w:tcBorders>
              <w:bottom w:val="single" w:color="546E7A" w:sz="6"/>
            </w:tcBorders>
            <w:shd w:val="clear" w:fill="E4E9EC"/>
          </w:tcPr>
          <w:p>
            <w:pPr>
              <w:spacing w:after="0" w:line="260" w:lineRule="auto"/>
              <w:jc w:val="left"/>
            </w:pPr>
            <w:r>
              <w:rPr>
                <w:rFonts w:ascii="Calibri" w:hAnsi="Calibri"/>
                <w:b/>
                <w:color w:val="37474F"/>
                <w:sz w:val="19"/>
              </w:rPr>
              <w:t xml:space="preserve">Source framework</w:t>
            </w:r>
          </w:p>
        </w:tc>
        <w:tc>
          <w:tcPr>
            <w:tcW w:w="6010" w:type="dxa"/>
            <w:tcBorders>
              <w:bottom w:val="single" w:color="546E7A" w:sz="6"/>
            </w:tcBorders>
            <w:shd w:val="clear" w:fill="E4E9EC"/>
          </w:tcPr>
          <w:p>
            <w:pPr>
              <w:spacing w:after="0" w:line="260" w:lineRule="auto"/>
              <w:jc w:val="left"/>
            </w:pPr>
            <w:r>
              <w:rPr>
                <w:rFonts w:ascii="Calibri" w:hAnsi="Calibri"/>
                <w:b/>
                <w:color w:val="37474F"/>
                <w:sz w:val="19"/>
              </w:rPr>
              <w:t xml:space="preserve">Contribution to this Accord</w:t>
            </w:r>
          </w:p>
        </w:tc>
      </w:tr>
      <w:tr>
        <w:tc>
          <w:tcPr>
            <w:tcW w:w="3000" w:type="dxa"/>
          </w:tcPr>
          <w:p>
            <w:pPr>
              <w:spacing w:after="0" w:line="260" w:lineRule="auto"/>
              <w:jc w:val="left"/>
            </w:pPr>
            <w:r>
              <w:rPr>
                <w:rFonts w:ascii="Calibri" w:hAnsi="Calibri"/>
                <w:color w:val="212121"/>
                <w:sz w:val="19"/>
              </w:rPr>
              <w:t xml:space="preserve">Strait Governance and De-confliction Assembly (v1.0 and v1.1)</w:t>
            </w:r>
          </w:p>
        </w:tc>
        <w:tc>
          <w:tcPr>
            <w:tcW w:w="6010" w:type="dxa"/>
          </w:tcPr>
          <w:p>
            <w:pPr>
              <w:spacing w:after="0" w:line="260" w:lineRule="auto"/>
              <w:jc w:val="left"/>
            </w:pPr>
            <w:r>
              <w:rPr>
                <w:rFonts w:ascii="Calibri" w:hAnsi="Calibri"/>
                <w:color w:val="212121"/>
                <w:sz w:val="19"/>
              </w:rPr>
              <w:t xml:space="preserve">Red Lines Register; Consensus Minus One; Guarantor Panel; Technical Verification Group (evolved into the Neutral Keel Office); Reciprocity Ledger; substantiated claims and performance bond; ground-truth patrols; anchor-and-verify; two-key data access; Independent Assurance Council</w:t>
            </w:r>
          </w:p>
        </w:tc>
      </w:tr>
      <w:tr>
        <w:tc>
          <w:tcPr>
            <w:tcW w:w="3000" w:type="dxa"/>
          </w:tcPr>
          <w:p>
            <w:pPr>
              <w:spacing w:after="0" w:line="260" w:lineRule="auto"/>
              <w:jc w:val="left"/>
            </w:pPr>
            <w:r>
              <w:rPr>
                <w:rFonts w:ascii="Calibri" w:hAnsi="Calibri"/>
                <w:color w:val="212121"/>
                <w:sz w:val="19"/>
              </w:rPr>
              <w:t xml:space="preserve">Gulf Transit Assurance Network Framework</w:t>
            </w:r>
          </w:p>
        </w:tc>
        <w:tc>
          <w:tcPr>
            <w:tcW w:w="6010" w:type="dxa"/>
          </w:tcPr>
          <w:p>
            <w:pPr>
              <w:spacing w:after="0" w:line="260" w:lineRule="auto"/>
              <w:jc w:val="left"/>
            </w:pPr>
            <w:r>
              <w:rPr>
                <w:rFonts w:ascii="Calibri" w:hAnsi="Calibri"/>
                <w:color w:val="212121"/>
                <w:sz w:val="19"/>
              </w:rPr>
              <w:t xml:space="preserve">Twin Key Rule; Meridian coordination with mirror facility; Neutral Keel lineage; Verified Services Catalog; Assurance Registry; Route Assurance Data Service; sanctions-compliance firewall; Human Anchor Method; Convergence Standard; Quiet Water Windows; Thirty-Minute Position Log; the Still Water Clause (evolved into the Stillwater Pause); Open Water Bulletin; stakeholder panel</w:t>
            </w:r>
          </w:p>
        </w:tc>
      </w:tr>
      <w:tr>
        <w:tc>
          <w:tcPr>
            <w:tcW w:w="3000" w:type="dxa"/>
          </w:tcPr>
          <w:p>
            <w:pPr>
              <w:spacing w:after="0" w:line="260" w:lineRule="auto"/>
              <w:jc w:val="left"/>
            </w:pPr>
            <w:r>
              <w:rPr>
                <w:rFonts w:ascii="Calibri" w:hAnsi="Calibri"/>
                <w:color w:val="212121"/>
                <w:sz w:val="19"/>
              </w:rPr>
              <w:t xml:space="preserve">Joint Iran-Oman Maritime Coordination Authority Framework</w:t>
            </w:r>
          </w:p>
        </w:tc>
        <w:tc>
          <w:tcPr>
            <w:tcW w:w="6010" w:type="dxa"/>
          </w:tcPr>
          <w:p>
            <w:pPr>
              <w:spacing w:after="0" w:line="260" w:lineRule="auto"/>
              <w:jc w:val="left"/>
            </w:pPr>
            <w:r>
              <w:rPr>
                <w:rFonts w:ascii="Calibri" w:hAnsi="Calibri"/>
                <w:color w:val="212121"/>
                <w:sz w:val="19"/>
              </w:rPr>
              <w:t xml:space="preserve">Service-fee distinction and apportionment band; transformation of prior structures; parity staffing; renewal by silence and default continuity; non-telemetry degraded mode; no double recovery; distress priority</w:t>
            </w:r>
          </w:p>
        </w:tc>
      </w:tr>
      <w:tr>
        <w:tc>
          <w:tcPr>
            <w:tcW w:w="3000" w:type="dxa"/>
          </w:tcPr>
          <w:p>
            <w:pPr>
              <w:spacing w:after="0" w:line="260" w:lineRule="auto"/>
              <w:jc w:val="left"/>
            </w:pPr>
            <w:r>
              <w:rPr>
                <w:rFonts w:ascii="Calibri" w:hAnsi="Calibri"/>
                <w:color w:val="212121"/>
                <w:sz w:val="19"/>
              </w:rPr>
              <w:t xml:space="preserve">Triad Bridge Compact</w:t>
            </w:r>
          </w:p>
        </w:tc>
        <w:tc>
          <w:tcPr>
            <w:tcW w:w="6010" w:type="dxa"/>
          </w:tcPr>
          <w:p>
            <w:pPr>
              <w:spacing w:after="0" w:line="260" w:lineRule="auto"/>
              <w:jc w:val="left"/>
            </w:pPr>
            <w:r>
              <w:rPr>
                <w:rFonts w:ascii="Calibri" w:hAnsi="Calibri"/>
                <w:color w:val="212121"/>
                <w:sz w:val="19"/>
              </w:rPr>
              <w:t xml:space="preserve">The Nofade Guarantee vocabulary; the twelve-field transit notice; safety hold with expiry and review; phased survey and certification; Endorsing Stakeholder design; simplicity and cost discipline; insurance normalization targets</w:t>
            </w:r>
          </w:p>
        </w:tc>
      </w:tr>
      <w:tr>
        <w:tc>
          <w:tcPr>
            <w:tcW w:w="3000" w:type="dxa"/>
          </w:tcPr>
          <w:p>
            <w:pPr>
              <w:spacing w:after="0" w:line="260" w:lineRule="auto"/>
              <w:jc w:val="left"/>
            </w:pPr>
            <w:r>
              <w:rPr>
                <w:rFonts w:ascii="Calibri" w:hAnsi="Calibri"/>
                <w:color w:val="212121"/>
                <w:sz w:val="19"/>
              </w:rPr>
              <w:t xml:space="preserve">The Four Pillars Framework</w:t>
            </w:r>
          </w:p>
        </w:tc>
        <w:tc>
          <w:tcPr>
            <w:tcW w:w="6010" w:type="dxa"/>
          </w:tcPr>
          <w:p>
            <w:pPr>
              <w:spacing w:after="0" w:line="260" w:lineRule="auto"/>
              <w:jc w:val="left"/>
            </w:pPr>
            <w:r>
              <w:rPr>
                <w:rFonts w:ascii="Calibri" w:hAnsi="Calibri"/>
                <w:color w:val="212121"/>
                <w:sz w:val="19"/>
              </w:rPr>
              <w:t xml:space="preserve">Institutional separation of governance, operations, verification, and assurance</w:t>
            </w:r>
          </w:p>
        </w:tc>
      </w:tr>
      <w:tr>
        <w:tc>
          <w:tcPr>
            <w:tcW w:w="3000" w:type="dxa"/>
          </w:tcPr>
          <w:p>
            <w:pPr>
              <w:spacing w:after="0" w:line="260" w:lineRule="auto"/>
              <w:jc w:val="left"/>
            </w:pPr>
            <w:r>
              <w:rPr>
                <w:rFonts w:ascii="Calibri" w:hAnsi="Calibri"/>
                <w:color w:val="212121"/>
                <w:sz w:val="19"/>
              </w:rPr>
              <w:t xml:space="preserve">The Islamabad Compliance and Coordination Architecture</w:t>
            </w:r>
          </w:p>
        </w:tc>
        <w:tc>
          <w:tcPr>
            <w:tcW w:w="6010" w:type="dxa"/>
          </w:tcPr>
          <w:p>
            <w:pPr>
              <w:spacing w:after="0" w:line="260" w:lineRule="auto"/>
              <w:jc w:val="left"/>
            </w:pPr>
            <w:r>
              <w:rPr>
                <w:rFonts w:ascii="Calibri" w:hAnsi="Calibri"/>
                <w:color w:val="212121"/>
                <w:sz w:val="19"/>
              </w:rPr>
              <w:t xml:space="preserve">MOU anchoring; working-group interface; general-license context</w:t>
            </w:r>
          </w:p>
        </w:tc>
      </w:tr>
      <w:tr>
        <w:tc>
          <w:tcPr>
            <w:tcW w:w="3000" w:type="dxa"/>
          </w:tcPr>
          <w:p>
            <w:pPr>
              <w:spacing w:after="0" w:line="260" w:lineRule="auto"/>
              <w:jc w:val="left"/>
            </w:pPr>
            <w:r>
              <w:rPr>
                <w:rFonts w:ascii="Calibri" w:hAnsi="Calibri"/>
                <w:color w:val="212121"/>
                <w:sz w:val="19"/>
              </w:rPr>
              <w:t xml:space="preserve">The Rapid Stabilization Protocol</w:t>
            </w:r>
          </w:p>
        </w:tc>
        <w:tc>
          <w:tcPr>
            <w:tcW w:w="6010" w:type="dxa"/>
          </w:tcPr>
          <w:p>
            <w:pPr>
              <w:spacing w:after="0" w:line="260" w:lineRule="auto"/>
              <w:jc w:val="left"/>
            </w:pPr>
            <w:r>
              <w:rPr>
                <w:rFonts w:ascii="Calibri" w:hAnsi="Calibri"/>
                <w:color w:val="212121"/>
                <w:sz w:val="19"/>
              </w:rPr>
              <w:t xml:space="preserve">Stand-down-and-report; flash traffic discipline; early-harvest logic</w:t>
            </w:r>
          </w:p>
        </w:tc>
      </w:tr>
      <w:tr>
        <w:tc>
          <w:tcPr>
            <w:tcW w:w="3000" w:type="dxa"/>
          </w:tcPr>
          <w:p>
            <w:pPr>
              <w:spacing w:after="0" w:line="260" w:lineRule="auto"/>
              <w:jc w:val="left"/>
            </w:pPr>
            <w:r>
              <w:rPr>
                <w:rFonts w:ascii="Calibri" w:hAnsi="Calibri"/>
                <w:color w:val="212121"/>
                <w:sz w:val="19"/>
              </w:rPr>
              <w:t xml:space="preserve">The Return to Stability Framework (v2.0)</w:t>
            </w:r>
          </w:p>
        </w:tc>
        <w:tc>
          <w:tcPr>
            <w:tcW w:w="6010" w:type="dxa"/>
          </w:tcPr>
          <w:p>
            <w:pPr>
              <w:spacing w:after="0" w:line="260" w:lineRule="auto"/>
              <w:jc w:val="left"/>
            </w:pPr>
            <w:r>
              <w:rPr>
                <w:rFonts w:ascii="Calibri" w:hAnsi="Calibri"/>
                <w:color w:val="212121"/>
                <w:sz w:val="19"/>
              </w:rPr>
              <w:t xml:space="preserve">Reopening sequence; insurance restoration phases; compensation window concept</w:t>
            </w:r>
          </w:p>
        </w:tc>
      </w:tr>
      <w:tr>
        <w:tc>
          <w:tcPr>
            <w:tcW w:w="3000" w:type="dxa"/>
          </w:tcPr>
          <w:p>
            <w:pPr>
              <w:spacing w:after="0" w:line="260" w:lineRule="auto"/>
              <w:jc w:val="left"/>
            </w:pPr>
            <w:r>
              <w:rPr>
                <w:rFonts w:ascii="Calibri" w:hAnsi="Calibri"/>
                <w:color w:val="212121"/>
                <w:sz w:val="19"/>
              </w:rPr>
              <w:t xml:space="preserve">The Silver Bridge Framework</w:t>
            </w:r>
          </w:p>
        </w:tc>
        <w:tc>
          <w:tcPr>
            <w:tcW w:w="6010" w:type="dxa"/>
          </w:tcPr>
          <w:p>
            <w:pPr>
              <w:spacing w:after="0" w:line="260" w:lineRule="auto"/>
              <w:jc w:val="left"/>
            </w:pPr>
            <w:r>
              <w:rPr>
                <w:rFonts w:ascii="Calibri" w:hAnsi="Calibri"/>
                <w:color w:val="212121"/>
                <w:sz w:val="19"/>
              </w:rPr>
              <w:t xml:space="preserve">Neutral Administrator fiduciary design; escrow mechanics; audit architecture</w:t>
            </w:r>
          </w:p>
        </w:tc>
      </w:tr>
      <w:tr>
        <w:tc>
          <w:tcPr>
            <w:tcW w:w="3000" w:type="dxa"/>
          </w:tcPr>
          <w:p>
            <w:pPr>
              <w:spacing w:after="0" w:line="260" w:lineRule="auto"/>
              <w:jc w:val="left"/>
            </w:pPr>
            <w:r>
              <w:rPr>
                <w:rFonts w:ascii="Calibri" w:hAnsi="Calibri"/>
                <w:color w:val="212121"/>
                <w:sz w:val="19"/>
              </w:rPr>
              <w:t xml:space="preserve">Post-Crisis Reconstruction and Reconciliation Track</w:t>
            </w:r>
          </w:p>
        </w:tc>
        <w:tc>
          <w:tcPr>
            <w:tcW w:w="6010" w:type="dxa"/>
          </w:tcPr>
          <w:p>
            <w:pPr>
              <w:spacing w:after="0" w:line="260" w:lineRule="auto"/>
              <w:jc w:val="left"/>
            </w:pPr>
            <w:r>
              <w:rPr>
                <w:rFonts w:ascii="Calibri" w:hAnsi="Calibri"/>
                <w:color w:val="212121"/>
                <w:sz w:val="19"/>
              </w:rPr>
              <w:t xml:space="preserve">Capacity building; reconciliation language; the Good Faith Reset</w:t>
            </w:r>
          </w:p>
        </w:tc>
      </w:tr>
      <w:tr>
        <w:tc>
          <w:tcPr>
            <w:tcW w:w="3000" w:type="dxa"/>
          </w:tcPr>
          <w:p>
            <w:pPr>
              <w:spacing w:after="0" w:line="260" w:lineRule="auto"/>
              <w:jc w:val="left"/>
            </w:pPr>
            <w:r>
              <w:rPr>
                <w:rFonts w:ascii="Calibri" w:hAnsi="Calibri"/>
                <w:color w:val="212121"/>
                <w:sz w:val="19"/>
              </w:rPr>
              <w:t xml:space="preserve">Special clauses repository</w:t>
            </w:r>
          </w:p>
        </w:tc>
        <w:tc>
          <w:tcPr>
            <w:tcW w:w="6010" w:type="dxa"/>
          </w:tcPr>
          <w:p>
            <w:pPr>
              <w:spacing w:after="0" w:line="260" w:lineRule="auto"/>
              <w:jc w:val="left"/>
            </w:pPr>
            <w:r>
              <w:rPr>
                <w:rFonts w:ascii="Calibri" w:hAnsi="Calibri"/>
                <w:color w:val="212121"/>
                <w:sz w:val="19"/>
              </w:rPr>
              <w:t xml:space="preserve">The Protection Covenant: non-derogation, non-severability, declarations of intent, emergency oversight</w:t>
            </w:r>
          </w:p>
        </w:tc>
      </w:tr>
      <w:tr>
        <w:tc>
          <w:tcPr>
            <w:tcW w:w="3000" w:type="dxa"/>
          </w:tcPr>
          <w:p>
            <w:pPr>
              <w:spacing w:after="0" w:line="260" w:lineRule="auto"/>
              <w:jc w:val="left"/>
            </w:pPr>
            <w:r>
              <w:rPr>
                <w:rFonts w:ascii="Calibri" w:hAnsi="Calibri"/>
                <w:color w:val="212121"/>
                <w:sz w:val="19"/>
              </w:rPr>
              <w:t xml:space="preserve">Soft law repository</w:t>
            </w:r>
          </w:p>
        </w:tc>
        <w:tc>
          <w:tcPr>
            <w:tcW w:w="6010" w:type="dxa"/>
          </w:tcPr>
          <w:p>
            <w:pPr>
              <w:spacing w:after="0" w:line="260" w:lineRule="auto"/>
              <w:jc w:val="left"/>
            </w:pPr>
            <w:r>
              <w:rPr>
                <w:rFonts w:ascii="Calibri" w:hAnsi="Calibri"/>
                <w:color w:val="212121"/>
                <w:sz w:val="19"/>
              </w:rPr>
              <w:t xml:space="preserve">Open licensing provenance for negotiation texts</w:t>
            </w:r>
          </w:p>
        </w:tc>
      </w:tr>
    </w:tbl>
    <w:p>
      <w:pPr>
        <w:spacing w:after="60"/>
      </w:pPr>
    </w:p>
    <w:p>
      <w:pPr>
        <w:pStyle w:val="Caption"/>
      </w:pPr>
      <w:r>
        <w:t xml:space="preserve">Table O.1: Provenance map</w:t>
      </w:r>
    </w:p>
    <w:p>
      <w:pPr/>
      <w:r>
        <w:t xml:space="preserve">The drafting of this Accord follows the Immutable Present-Tense Matrix throughout: sovereign active present tense, mutual-architecture framing, automatic logic triggers, and the Nofade rule applied as the instrument's deepest design assumption. The text passed the Matrix's mechanical sweeps for banned vocabulary, em dashes, passive placeholders, and colon discipline, and its production used no floating background imagery of any kind.</w:t>
      </w:r>
    </w:p>
    <w:p>
      <w:pPr>
        <w:pStyle w:val="Heading1"/>
      </w:pPr>
      <w:r>
        <w:t xml:space="preserve">Annex P: Risk Register</w:t>
      </w:r>
    </w:p>
    <w:p>
      <w:pPr/>
      <w:r>
        <w:t xml:space="preserve">This Annex records the principal failure modes of the architecture, the mitigation built into the Accord for each, the fallback that operates if the mitigation fails, and the institution responsible for watching the risk. The Technical and Standards Committee owns the Register, reviews it at each architecture review of Article 39.6 and after every post-recovery report under Article 42.4, and updates it through the silence procedure of Article 20.5. The Register informs design; it creates no obligation beyond the Articles.</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1802"/>
        <w:gridCol w:w="1802"/>
        <w:gridCol w:w="1802"/>
        <w:gridCol w:w="1802"/>
        <w:gridCol w:w="1802"/>
      </w:tblGrid>
      <w:tr>
        <w:trPr>
          <w:tblHeader/>
        </w:trPr>
        <w:tc>
          <w:tcPr>
            <w:tcW w:w="1802" w:type="dxa"/>
            <w:tcBorders>
              <w:bottom w:val="single" w:color="546E7A" w:sz="6"/>
            </w:tcBorders>
            <w:shd w:val="clear" w:fill="E4E9EC"/>
          </w:tcPr>
          <w:p>
            <w:pPr>
              <w:spacing w:after="0" w:line="260" w:lineRule="auto"/>
              <w:jc w:val="left"/>
            </w:pPr>
            <w:r>
              <w:rPr>
                <w:rFonts w:ascii="Calibri" w:hAnsi="Calibri"/>
                <w:b/>
                <w:color w:val="37474F"/>
                <w:sz w:val="19"/>
              </w:rPr>
              <w:t xml:space="preserve">Ref</w:t>
            </w:r>
          </w:p>
        </w:tc>
        <w:tc>
          <w:tcPr>
            <w:tcW w:w="1802" w:type="dxa"/>
            <w:tcBorders>
              <w:bottom w:val="single" w:color="546E7A" w:sz="6"/>
            </w:tcBorders>
            <w:shd w:val="clear" w:fill="E4E9EC"/>
          </w:tcPr>
          <w:p>
            <w:pPr>
              <w:spacing w:after="0" w:line="260" w:lineRule="auto"/>
              <w:jc w:val="left"/>
            </w:pPr>
            <w:r>
              <w:rPr>
                <w:rFonts w:ascii="Calibri" w:hAnsi="Calibri"/>
                <w:b/>
                <w:color w:val="37474F"/>
                <w:sz w:val="19"/>
              </w:rPr>
              <w:t xml:space="preserve">Failure mode</w:t>
            </w:r>
          </w:p>
        </w:tc>
        <w:tc>
          <w:tcPr>
            <w:tcW w:w="1802" w:type="dxa"/>
            <w:tcBorders>
              <w:bottom w:val="single" w:color="546E7A" w:sz="6"/>
            </w:tcBorders>
            <w:shd w:val="clear" w:fill="E4E9EC"/>
          </w:tcPr>
          <w:p>
            <w:pPr>
              <w:spacing w:after="0" w:line="260" w:lineRule="auto"/>
              <w:jc w:val="left"/>
            </w:pPr>
            <w:r>
              <w:rPr>
                <w:rFonts w:ascii="Calibri" w:hAnsi="Calibri"/>
                <w:b/>
                <w:color w:val="37474F"/>
                <w:sz w:val="19"/>
              </w:rPr>
              <w:t xml:space="preserve">Mitigation in the Accord</w:t>
            </w:r>
          </w:p>
        </w:tc>
        <w:tc>
          <w:tcPr>
            <w:tcW w:w="1802" w:type="dxa"/>
            <w:tcBorders>
              <w:bottom w:val="single" w:color="546E7A" w:sz="6"/>
            </w:tcBorders>
            <w:shd w:val="clear" w:fill="E4E9EC"/>
          </w:tcPr>
          <w:p>
            <w:pPr>
              <w:spacing w:after="0" w:line="260" w:lineRule="auto"/>
              <w:jc w:val="left"/>
            </w:pPr>
            <w:r>
              <w:rPr>
                <w:rFonts w:ascii="Calibri" w:hAnsi="Calibri"/>
                <w:b/>
                <w:color w:val="37474F"/>
                <w:sz w:val="19"/>
              </w:rPr>
              <w:t xml:space="preserve">Fallback</w:t>
            </w:r>
          </w:p>
        </w:tc>
        <w:tc>
          <w:tcPr>
            <w:tcW w:w="1802" w:type="dxa"/>
            <w:tcBorders>
              <w:bottom w:val="single" w:color="546E7A" w:sz="6"/>
            </w:tcBorders>
            <w:shd w:val="clear" w:fill="E4E9EC"/>
          </w:tcPr>
          <w:p>
            <w:pPr>
              <w:spacing w:after="0" w:line="260" w:lineRule="auto"/>
              <w:jc w:val="left"/>
            </w:pPr>
            <w:r>
              <w:rPr>
                <w:rFonts w:ascii="Calibri" w:hAnsi="Calibri"/>
                <w:b/>
                <w:color w:val="37474F"/>
                <w:sz w:val="19"/>
              </w:rPr>
              <w:t xml:space="preserve">Responsible institution</w:t>
            </w:r>
          </w:p>
        </w:tc>
      </w:tr>
      <w:tr>
        <w:tc>
          <w:tcPr>
            <w:tcW w:w="1802" w:type="dxa"/>
          </w:tcPr>
          <w:p>
            <w:pPr>
              <w:spacing w:after="0" w:line="260" w:lineRule="auto"/>
              <w:jc w:val="left"/>
            </w:pPr>
            <w:r>
              <w:rPr>
                <w:rFonts w:ascii="Calibri" w:hAnsi="Calibri"/>
                <w:color w:val="212121"/>
                <w:sz w:val="19"/>
              </w:rPr>
              <w:t xml:space="preserve">RR-01</w:t>
            </w:r>
          </w:p>
        </w:tc>
        <w:tc>
          <w:tcPr>
            <w:tcW w:w="1802" w:type="dxa"/>
          </w:tcPr>
          <w:p>
            <w:pPr>
              <w:spacing w:after="0" w:line="260" w:lineRule="auto"/>
              <w:jc w:val="left"/>
            </w:pPr>
            <w:r>
              <w:rPr>
                <w:rFonts w:ascii="Calibri" w:hAnsi="Calibri"/>
                <w:color w:val="212121"/>
                <w:sz w:val="19"/>
              </w:rPr>
              <w:t xml:space="preserve">A Party re-imposes a charge on passage under a service label</w:t>
            </w:r>
          </w:p>
        </w:tc>
        <w:tc>
          <w:tcPr>
            <w:tcW w:w="1802" w:type="dxa"/>
          </w:tcPr>
          <w:p>
            <w:pPr>
              <w:spacing w:after="0" w:line="260" w:lineRule="auto"/>
              <w:jc w:val="left"/>
            </w:pPr>
            <w:r>
              <w:rPr>
                <w:rFonts w:ascii="Calibri" w:hAnsi="Calibri"/>
                <w:color w:val="212121"/>
                <w:sz w:val="19"/>
              </w:rPr>
              <w:t xml:space="preserve">Zero-Toll Rule; Fund single-channel design; anti-circumvention rule of Article 25.5</w:t>
            </w:r>
          </w:p>
        </w:tc>
        <w:tc>
          <w:tcPr>
            <w:tcW w:w="1802" w:type="dxa"/>
          </w:tcPr>
          <w:p>
            <w:pPr>
              <w:spacing w:after="0" w:line="260" w:lineRule="auto"/>
              <w:jc w:val="left"/>
            </w:pPr>
            <w:r>
              <w:rPr>
                <w:rFonts w:ascii="Calibri" w:hAnsi="Calibri"/>
                <w:color w:val="212121"/>
                <w:sz w:val="19"/>
              </w:rPr>
              <w:t xml:space="preserve">Stillwater Pause; Guarantor Panel; Architectural Breach classification</w:t>
            </w:r>
          </w:p>
        </w:tc>
        <w:tc>
          <w:tcPr>
            <w:tcW w:w="1802" w:type="dxa"/>
          </w:tcPr>
          <w:p>
            <w:pPr>
              <w:spacing w:after="0" w:line="260" w:lineRule="auto"/>
              <w:jc w:val="left"/>
            </w:pPr>
            <w:r>
              <w:rPr>
                <w:rFonts w:ascii="Calibri" w:hAnsi="Calibri"/>
                <w:color w:val="212121"/>
                <w:sz w:val="19"/>
              </w:rPr>
              <w:t xml:space="preserve">Neutral Administrator; Neutral Keel Office</w:t>
            </w:r>
          </w:p>
        </w:tc>
      </w:tr>
      <w:tr>
        <w:tc>
          <w:tcPr>
            <w:tcW w:w="1802" w:type="dxa"/>
          </w:tcPr>
          <w:p>
            <w:pPr>
              <w:spacing w:after="0" w:line="260" w:lineRule="auto"/>
              <w:jc w:val="left"/>
            </w:pPr>
            <w:r>
              <w:rPr>
                <w:rFonts w:ascii="Calibri" w:hAnsi="Calibri"/>
                <w:color w:val="212121"/>
                <w:sz w:val="19"/>
              </w:rPr>
              <w:t xml:space="preserve">RR-02</w:t>
            </w:r>
          </w:p>
        </w:tc>
        <w:tc>
          <w:tcPr>
            <w:tcW w:w="1802" w:type="dxa"/>
          </w:tcPr>
          <w:p>
            <w:pPr>
              <w:spacing w:after="0" w:line="260" w:lineRule="auto"/>
              <w:jc w:val="left"/>
            </w:pPr>
            <w:r>
              <w:rPr>
                <w:rFonts w:ascii="Calibri" w:hAnsi="Calibri"/>
                <w:color w:val="212121"/>
                <w:sz w:val="19"/>
              </w:rPr>
              <w:t xml:space="preserve">Notification desk converts into gatekeeping</w:t>
            </w:r>
          </w:p>
        </w:tc>
        <w:tc>
          <w:tcPr>
            <w:tcW w:w="1802" w:type="dxa"/>
          </w:tcPr>
          <w:p>
            <w:pPr>
              <w:spacing w:after="0" w:line="260" w:lineRule="auto"/>
              <w:jc w:val="left"/>
            </w:pPr>
            <w:r>
              <w:rPr>
                <w:rFonts w:ascii="Calibri" w:hAnsi="Calibri"/>
                <w:color w:val="212121"/>
                <w:sz w:val="19"/>
              </w:rPr>
              <w:t xml:space="preserve">Acknowledgment-by-default in 30 minutes, Article 8.3</w:t>
            </w:r>
          </w:p>
        </w:tc>
        <w:tc>
          <w:tcPr>
            <w:tcW w:w="1802" w:type="dxa"/>
          </w:tcPr>
          <w:p>
            <w:pPr>
              <w:spacing w:after="0" w:line="260" w:lineRule="auto"/>
              <w:jc w:val="left"/>
            </w:pPr>
            <w:r>
              <w:rPr>
                <w:rFonts w:ascii="Calibri" w:hAnsi="Calibri"/>
                <w:color w:val="212121"/>
                <w:sz w:val="19"/>
              </w:rPr>
              <w:t xml:space="preserve">Monthly desk audit; Twin Key corrective measure</w:t>
            </w:r>
          </w:p>
        </w:tc>
        <w:tc>
          <w:tcPr>
            <w:tcW w:w="1802" w:type="dxa"/>
          </w:tcPr>
          <w:p>
            <w:pPr>
              <w:spacing w:after="0" w:line="260" w:lineRule="auto"/>
              <w:jc w:val="left"/>
            </w:pPr>
            <w:r>
              <w:rPr>
                <w:rFonts w:ascii="Calibri" w:hAnsi="Calibri"/>
                <w:color w:val="212121"/>
                <w:sz w:val="19"/>
              </w:rPr>
              <w:t xml:space="preserve">Neutral Keel Office; Stillwater Council</w:t>
            </w:r>
          </w:p>
        </w:tc>
      </w:tr>
      <w:tr>
        <w:tc>
          <w:tcPr>
            <w:tcW w:w="1802" w:type="dxa"/>
          </w:tcPr>
          <w:p>
            <w:pPr>
              <w:spacing w:after="0" w:line="260" w:lineRule="auto"/>
              <w:jc w:val="left"/>
            </w:pPr>
            <w:r>
              <w:rPr>
                <w:rFonts w:ascii="Calibri" w:hAnsi="Calibri"/>
                <w:color w:val="212121"/>
                <w:sz w:val="19"/>
              </w:rPr>
              <w:t xml:space="preserve">RR-03</w:t>
            </w:r>
          </w:p>
        </w:tc>
        <w:tc>
          <w:tcPr>
            <w:tcW w:w="1802" w:type="dxa"/>
          </w:tcPr>
          <w:p>
            <w:pPr>
              <w:spacing w:after="0" w:line="260" w:lineRule="auto"/>
              <w:jc w:val="left"/>
            </w:pPr>
            <w:r>
              <w:rPr>
                <w:rFonts w:ascii="Calibri" w:hAnsi="Calibri"/>
                <w:color w:val="212121"/>
                <w:sz w:val="19"/>
              </w:rPr>
              <w:t xml:space="preserve">Interdiction or harassment of transiting vessels</w:t>
            </w:r>
          </w:p>
        </w:tc>
        <w:tc>
          <w:tcPr>
            <w:tcW w:w="1802" w:type="dxa"/>
          </w:tcPr>
          <w:p>
            <w:pPr>
              <w:spacing w:after="0" w:line="260" w:lineRule="auto"/>
              <w:jc w:val="left"/>
            </w:pPr>
            <w:r>
              <w:rPr>
                <w:rFonts w:ascii="Calibri" w:hAnsi="Calibri"/>
                <w:color w:val="212121"/>
                <w:sz w:val="19"/>
              </w:rPr>
              <w:t xml:space="preserve">Non-Interdiction Protocol; standoff geometry; observer presence</w:t>
            </w:r>
          </w:p>
        </w:tc>
        <w:tc>
          <w:tcPr>
            <w:tcW w:w="1802" w:type="dxa"/>
          </w:tcPr>
          <w:p>
            <w:pPr>
              <w:spacing w:after="0" w:line="260" w:lineRule="auto"/>
              <w:jc w:val="left"/>
            </w:pPr>
            <w:r>
              <w:rPr>
                <w:rFonts w:ascii="Calibri" w:hAnsi="Calibri"/>
                <w:color w:val="212121"/>
                <w:sz w:val="19"/>
              </w:rPr>
              <w:t xml:space="preserve">Suspended Flow; Mishap Protocol; Escalation Cap</w:t>
            </w:r>
          </w:p>
        </w:tc>
        <w:tc>
          <w:tcPr>
            <w:tcW w:w="1802" w:type="dxa"/>
          </w:tcPr>
          <w:p>
            <w:pPr>
              <w:spacing w:after="0" w:line="260" w:lineRule="auto"/>
              <w:jc w:val="left"/>
            </w:pPr>
            <w:r>
              <w:rPr>
                <w:rFonts w:ascii="Calibri" w:hAnsi="Calibri"/>
                <w:color w:val="212121"/>
                <w:sz w:val="19"/>
              </w:rPr>
              <w:t xml:space="preserve">Meridian Operations Center; Neutral Keel Office</w:t>
            </w:r>
          </w:p>
        </w:tc>
      </w:tr>
      <w:tr>
        <w:tc>
          <w:tcPr>
            <w:tcW w:w="1802" w:type="dxa"/>
          </w:tcPr>
          <w:p>
            <w:pPr>
              <w:spacing w:after="0" w:line="260" w:lineRule="auto"/>
              <w:jc w:val="left"/>
            </w:pPr>
            <w:r>
              <w:rPr>
                <w:rFonts w:ascii="Calibri" w:hAnsi="Calibri"/>
                <w:color w:val="212121"/>
                <w:sz w:val="19"/>
              </w:rPr>
              <w:t xml:space="preserve">RR-04</w:t>
            </w:r>
          </w:p>
        </w:tc>
        <w:tc>
          <w:tcPr>
            <w:tcW w:w="1802" w:type="dxa"/>
          </w:tcPr>
          <w:p>
            <w:pPr>
              <w:spacing w:after="0" w:line="260" w:lineRule="auto"/>
              <w:jc w:val="left"/>
            </w:pPr>
            <w:r>
              <w:rPr>
                <w:rFonts w:ascii="Calibri" w:hAnsi="Calibri"/>
                <w:color w:val="212121"/>
                <w:sz w:val="19"/>
              </w:rPr>
              <w:t xml:space="preserve">Cyber intrusion into notification or payment systems</w:t>
            </w:r>
          </w:p>
        </w:tc>
        <w:tc>
          <w:tcPr>
            <w:tcW w:w="1802" w:type="dxa"/>
          </w:tcPr>
          <w:p>
            <w:pPr>
              <w:spacing w:after="0" w:line="260" w:lineRule="auto"/>
              <w:jc w:val="left"/>
            </w:pPr>
            <w:r>
              <w:rPr>
                <w:rFonts w:ascii="Calibri" w:hAnsi="Calibri"/>
                <w:color w:val="212121"/>
                <w:sz w:val="19"/>
              </w:rPr>
              <w:t xml:space="preserve">Article 26A baseline; authentication; tamper-evident logs</w:t>
            </w:r>
          </w:p>
        </w:tc>
        <w:tc>
          <w:tcPr>
            <w:tcW w:w="1802" w:type="dxa"/>
          </w:tcPr>
          <w:p>
            <w:pPr>
              <w:spacing w:after="0" w:line="260" w:lineRule="auto"/>
              <w:jc w:val="left"/>
            </w:pPr>
            <w:r>
              <w:rPr>
                <w:rFonts w:ascii="Calibri" w:hAnsi="Calibri"/>
                <w:color w:val="212121"/>
                <w:sz w:val="19"/>
              </w:rPr>
              <w:t xml:space="preserve">Failover to mirror; voice-and-paper continuity, Annex G.3</w:t>
            </w:r>
          </w:p>
        </w:tc>
        <w:tc>
          <w:tcPr>
            <w:tcW w:w="1802" w:type="dxa"/>
          </w:tcPr>
          <w:p>
            <w:pPr>
              <w:spacing w:after="0" w:line="260" w:lineRule="auto"/>
              <w:jc w:val="left"/>
            </w:pPr>
            <w:r>
              <w:rPr>
                <w:rFonts w:ascii="Calibri" w:hAnsi="Calibri"/>
                <w:color w:val="212121"/>
                <w:sz w:val="19"/>
              </w:rPr>
              <w:t xml:space="preserve">Technical and Standards Committee</w:t>
            </w:r>
          </w:p>
        </w:tc>
      </w:tr>
      <w:tr>
        <w:tc>
          <w:tcPr>
            <w:tcW w:w="1802" w:type="dxa"/>
          </w:tcPr>
          <w:p>
            <w:pPr>
              <w:spacing w:after="0" w:line="260" w:lineRule="auto"/>
              <w:jc w:val="left"/>
            </w:pPr>
            <w:r>
              <w:rPr>
                <w:rFonts w:ascii="Calibri" w:hAnsi="Calibri"/>
                <w:color w:val="212121"/>
                <w:sz w:val="19"/>
              </w:rPr>
              <w:t xml:space="preserve">RR-05</w:t>
            </w:r>
          </w:p>
        </w:tc>
        <w:tc>
          <w:tcPr>
            <w:tcW w:w="1802" w:type="dxa"/>
          </w:tcPr>
          <w:p>
            <w:pPr>
              <w:spacing w:after="0" w:line="260" w:lineRule="auto"/>
              <w:jc w:val="left"/>
            </w:pPr>
            <w:r>
              <w:rPr>
                <w:rFonts w:ascii="Calibri" w:hAnsi="Calibri"/>
                <w:color w:val="212121"/>
                <w:sz w:val="19"/>
              </w:rPr>
              <w:t xml:space="preserve">Signal spoofing or jamming</w:t>
            </w:r>
          </w:p>
        </w:tc>
        <w:tc>
          <w:tcPr>
            <w:tcW w:w="1802" w:type="dxa"/>
          </w:tcPr>
          <w:p>
            <w:pPr>
              <w:spacing w:after="0" w:line="260" w:lineRule="auto"/>
              <w:jc w:val="left"/>
            </w:pPr>
            <w:r>
              <w:rPr>
                <w:rFonts w:ascii="Calibri" w:hAnsi="Calibri"/>
                <w:color w:val="212121"/>
                <w:sz w:val="19"/>
              </w:rPr>
              <w:t xml:space="preserve">Signal-integrity watch, Annex G.5</w:t>
            </w:r>
          </w:p>
        </w:tc>
        <w:tc>
          <w:tcPr>
            <w:tcW w:w="1802" w:type="dxa"/>
          </w:tcPr>
          <w:p>
            <w:pPr>
              <w:spacing w:after="0" w:line="260" w:lineRule="auto"/>
              <w:jc w:val="left"/>
            </w:pPr>
            <w:r>
              <w:rPr>
                <w:rFonts w:ascii="Calibri" w:hAnsi="Calibri"/>
                <w:color w:val="212121"/>
                <w:sz w:val="19"/>
              </w:rPr>
              <w:t xml:space="preserve">Voice reporting carries compliance; patrol verification</w:t>
            </w:r>
          </w:p>
        </w:tc>
        <w:tc>
          <w:tcPr>
            <w:tcW w:w="1802" w:type="dxa"/>
          </w:tcPr>
          <w:p>
            <w:pPr>
              <w:spacing w:after="0" w:line="260" w:lineRule="auto"/>
              <w:jc w:val="left"/>
            </w:pPr>
            <w:r>
              <w:rPr>
                <w:rFonts w:ascii="Calibri" w:hAnsi="Calibri"/>
                <w:color w:val="212121"/>
                <w:sz w:val="19"/>
              </w:rPr>
              <w:t xml:space="preserve">Meridian Operations Center</w:t>
            </w:r>
          </w:p>
        </w:tc>
      </w:tr>
      <w:tr>
        <w:tc>
          <w:tcPr>
            <w:tcW w:w="1802" w:type="dxa"/>
          </w:tcPr>
          <w:p>
            <w:pPr>
              <w:spacing w:after="0" w:line="260" w:lineRule="auto"/>
              <w:jc w:val="left"/>
            </w:pPr>
            <w:r>
              <w:rPr>
                <w:rFonts w:ascii="Calibri" w:hAnsi="Calibri"/>
                <w:color w:val="212121"/>
                <w:sz w:val="19"/>
              </w:rPr>
              <w:t xml:space="preserve">RR-06</w:t>
            </w:r>
          </w:p>
        </w:tc>
        <w:tc>
          <w:tcPr>
            <w:tcW w:w="1802" w:type="dxa"/>
          </w:tcPr>
          <w:p>
            <w:pPr>
              <w:spacing w:after="0" w:line="260" w:lineRule="auto"/>
              <w:jc w:val="left"/>
            </w:pPr>
            <w:r>
              <w:rPr>
                <w:rFonts w:ascii="Calibri" w:hAnsi="Calibri"/>
                <w:color w:val="212121"/>
                <w:sz w:val="19"/>
              </w:rPr>
              <w:t xml:space="preserve">Mines or placed hazards</w:t>
            </w:r>
          </w:p>
        </w:tc>
        <w:tc>
          <w:tcPr>
            <w:tcW w:w="1802" w:type="dxa"/>
          </w:tcPr>
          <w:p>
            <w:pPr>
              <w:spacing w:after="0" w:line="260" w:lineRule="auto"/>
              <w:jc w:val="left"/>
            </w:pPr>
            <w:r>
              <w:rPr>
                <w:rFonts w:ascii="Calibri" w:hAnsi="Calibri"/>
                <w:color w:val="212121"/>
                <w:sz w:val="19"/>
              </w:rPr>
              <w:t xml:space="preserve">Mine exclusion, Article 12.1; Day One declaration</w:t>
            </w:r>
          </w:p>
        </w:tc>
        <w:tc>
          <w:tcPr>
            <w:tcW w:w="1802" w:type="dxa"/>
          </w:tcPr>
          <w:p>
            <w:pPr>
              <w:spacing w:after="0" w:line="260" w:lineRule="auto"/>
              <w:jc w:val="left"/>
            </w:pPr>
            <w:r>
              <w:rPr>
                <w:rFonts w:ascii="Calibri" w:hAnsi="Calibri"/>
                <w:color w:val="212121"/>
                <w:sz w:val="19"/>
              </w:rPr>
              <w:t xml:space="preserve">Clearance protocol; corridor rerouting; compensation window</w:t>
            </w:r>
          </w:p>
        </w:tc>
        <w:tc>
          <w:tcPr>
            <w:tcW w:w="1802" w:type="dxa"/>
          </w:tcPr>
          <w:p>
            <w:pPr>
              <w:spacing w:after="0" w:line="260" w:lineRule="auto"/>
              <w:jc w:val="left"/>
            </w:pPr>
            <w:r>
              <w:rPr>
                <w:rFonts w:ascii="Calibri" w:hAnsi="Calibri"/>
                <w:color w:val="212121"/>
                <w:sz w:val="19"/>
              </w:rPr>
              <w:t xml:space="preserve">Meridian Operations Center; coastal clearance units</w:t>
            </w:r>
          </w:p>
        </w:tc>
      </w:tr>
      <w:tr>
        <w:tc>
          <w:tcPr>
            <w:tcW w:w="1802" w:type="dxa"/>
          </w:tcPr>
          <w:p>
            <w:pPr>
              <w:spacing w:after="0" w:line="260" w:lineRule="auto"/>
              <w:jc w:val="left"/>
            </w:pPr>
            <w:r>
              <w:rPr>
                <w:rFonts w:ascii="Calibri" w:hAnsi="Calibri"/>
                <w:color w:val="212121"/>
                <w:sz w:val="19"/>
              </w:rPr>
              <w:t xml:space="preserve">RR-07</w:t>
            </w:r>
          </w:p>
        </w:tc>
        <w:tc>
          <w:tcPr>
            <w:tcW w:w="1802" w:type="dxa"/>
          </w:tcPr>
          <w:p>
            <w:pPr>
              <w:spacing w:after="0" w:line="260" w:lineRule="auto"/>
              <w:jc w:val="left"/>
            </w:pPr>
            <w:r>
              <w:rPr>
                <w:rFonts w:ascii="Calibri" w:hAnsi="Calibri"/>
                <w:color w:val="212121"/>
                <w:sz w:val="19"/>
              </w:rPr>
              <w:t xml:space="preserve">Institutional site loss (Muscat or Bandar Abbas)</w:t>
            </w:r>
          </w:p>
        </w:tc>
        <w:tc>
          <w:tcPr>
            <w:tcW w:w="1802" w:type="dxa"/>
          </w:tcPr>
          <w:p>
            <w:pPr>
              <w:spacing w:after="0" w:line="260" w:lineRule="auto"/>
              <w:jc w:val="left"/>
            </w:pPr>
            <w:r>
              <w:rPr>
                <w:rFonts w:ascii="Calibri" w:hAnsi="Calibri"/>
                <w:color w:val="212121"/>
                <w:sz w:val="19"/>
              </w:rPr>
              <w:t xml:space="preserve">Mirror facility; monthly failover drills</w:t>
            </w:r>
          </w:p>
        </w:tc>
        <w:tc>
          <w:tcPr>
            <w:tcW w:w="1802" w:type="dxa"/>
          </w:tcPr>
          <w:p>
            <w:pPr>
              <w:spacing w:after="0" w:line="260" w:lineRule="auto"/>
              <w:jc w:val="left"/>
            </w:pPr>
            <w:r>
              <w:rPr>
                <w:rFonts w:ascii="Calibri" w:hAnsi="Calibri"/>
                <w:color w:val="212121"/>
                <w:sz w:val="19"/>
              </w:rPr>
              <w:t xml:space="preserve">Continuity doctrine, Article 42; Khasab continuity station</w:t>
            </w:r>
          </w:p>
        </w:tc>
        <w:tc>
          <w:tcPr>
            <w:tcW w:w="1802" w:type="dxa"/>
          </w:tcPr>
          <w:p>
            <w:pPr>
              <w:spacing w:after="0" w:line="260" w:lineRule="auto"/>
              <w:jc w:val="left"/>
            </w:pPr>
            <w:r>
              <w:rPr>
                <w:rFonts w:ascii="Calibri" w:hAnsi="Calibri"/>
                <w:color w:val="212121"/>
                <w:sz w:val="19"/>
              </w:rPr>
              <w:t xml:space="preserve">Meridian Operations Center Co-Directors</w:t>
            </w:r>
          </w:p>
        </w:tc>
      </w:tr>
      <w:tr>
        <w:tc>
          <w:tcPr>
            <w:tcW w:w="1802" w:type="dxa"/>
          </w:tcPr>
          <w:p>
            <w:pPr>
              <w:spacing w:after="0" w:line="260" w:lineRule="auto"/>
              <w:jc w:val="left"/>
            </w:pPr>
            <w:r>
              <w:rPr>
                <w:rFonts w:ascii="Calibri" w:hAnsi="Calibri"/>
                <w:color w:val="212121"/>
                <w:sz w:val="19"/>
              </w:rPr>
              <w:t xml:space="preserve">RR-08</w:t>
            </w:r>
          </w:p>
        </w:tc>
        <w:tc>
          <w:tcPr>
            <w:tcW w:w="1802" w:type="dxa"/>
          </w:tcPr>
          <w:p>
            <w:pPr>
              <w:spacing w:after="0" w:line="260" w:lineRule="auto"/>
              <w:jc w:val="left"/>
            </w:pPr>
            <w:r>
              <w:rPr>
                <w:rFonts w:ascii="Calibri" w:hAnsi="Calibri"/>
                <w:color w:val="212121"/>
                <w:sz w:val="19"/>
              </w:rPr>
              <w:t xml:space="preserve">Political rupture or walk-out</w:t>
            </w:r>
          </w:p>
        </w:tc>
        <w:tc>
          <w:tcPr>
            <w:tcW w:w="1802" w:type="dxa"/>
          </w:tcPr>
          <w:p>
            <w:pPr>
              <w:spacing w:after="0" w:line="260" w:lineRule="auto"/>
              <w:jc w:val="left"/>
            </w:pPr>
            <w:r>
              <w:rPr>
                <w:rFonts w:ascii="Calibri" w:hAnsi="Calibri"/>
                <w:color w:val="212121"/>
                <w:sz w:val="19"/>
              </w:rPr>
              <w:t xml:space="preserve">Default continuity, Article 20.4; maintenance mode, Article 40.5</w:t>
            </w:r>
          </w:p>
        </w:tc>
        <w:tc>
          <w:tcPr>
            <w:tcW w:w="1802" w:type="dxa"/>
          </w:tcPr>
          <w:p>
            <w:pPr>
              <w:spacing w:after="0" w:line="260" w:lineRule="auto"/>
              <w:jc w:val="left"/>
            </w:pPr>
            <w:r>
              <w:rPr>
                <w:rFonts w:ascii="Calibri" w:hAnsi="Calibri"/>
                <w:color w:val="212121"/>
                <w:sz w:val="19"/>
              </w:rPr>
              <w:t xml:space="preserve">Vacancy rule, Article 42.5; archive persistence</w:t>
            </w:r>
          </w:p>
        </w:tc>
        <w:tc>
          <w:tcPr>
            <w:tcW w:w="1802" w:type="dxa"/>
          </w:tcPr>
          <w:p>
            <w:pPr>
              <w:spacing w:after="0" w:line="260" w:lineRule="auto"/>
              <w:jc w:val="left"/>
            </w:pPr>
            <w:r>
              <w:rPr>
                <w:rFonts w:ascii="Calibri" w:hAnsi="Calibri"/>
                <w:color w:val="212121"/>
                <w:sz w:val="19"/>
              </w:rPr>
              <w:t xml:space="preserve">Stillwater Council; depositary</w:t>
            </w:r>
          </w:p>
        </w:tc>
      </w:tr>
      <w:tr>
        <w:tc>
          <w:tcPr>
            <w:tcW w:w="1802" w:type="dxa"/>
          </w:tcPr>
          <w:p>
            <w:pPr>
              <w:spacing w:after="0" w:line="260" w:lineRule="auto"/>
              <w:jc w:val="left"/>
            </w:pPr>
            <w:r>
              <w:rPr>
                <w:rFonts w:ascii="Calibri" w:hAnsi="Calibri"/>
                <w:color w:val="212121"/>
                <w:sz w:val="19"/>
              </w:rPr>
              <w:t xml:space="preserve">RR-09</w:t>
            </w:r>
          </w:p>
        </w:tc>
        <w:tc>
          <w:tcPr>
            <w:tcW w:w="1802" w:type="dxa"/>
          </w:tcPr>
          <w:p>
            <w:pPr>
              <w:spacing w:after="0" w:line="260" w:lineRule="auto"/>
              <w:jc w:val="left"/>
            </w:pPr>
            <w:r>
              <w:rPr>
                <w:rFonts w:ascii="Calibri" w:hAnsi="Calibri"/>
                <w:color w:val="212121"/>
                <w:sz w:val="19"/>
              </w:rPr>
              <w:t xml:space="preserve">Fund insolvency or diversion</w:t>
            </w:r>
          </w:p>
        </w:tc>
        <w:tc>
          <w:tcPr>
            <w:tcW w:w="1802" w:type="dxa"/>
          </w:tcPr>
          <w:p>
            <w:pPr>
              <w:spacing w:after="0" w:line="260" w:lineRule="auto"/>
              <w:jc w:val="left"/>
            </w:pPr>
            <w:r>
              <w:rPr>
                <w:rFonts w:ascii="Calibri" w:hAnsi="Calibri"/>
                <w:color w:val="212121"/>
                <w:sz w:val="19"/>
              </w:rPr>
              <w:t xml:space="preserve">Apportionment band; liquidity reserve; external audit</w:t>
            </w:r>
          </w:p>
        </w:tc>
        <w:tc>
          <w:tcPr>
            <w:tcW w:w="1802" w:type="dxa"/>
          </w:tcPr>
          <w:p>
            <w:pPr>
              <w:spacing w:after="0" w:line="260" w:lineRule="auto"/>
              <w:jc w:val="left"/>
            </w:pPr>
            <w:r>
              <w:rPr>
                <w:rFonts w:ascii="Calibri" w:hAnsi="Calibri"/>
                <w:color w:val="212121"/>
                <w:sz w:val="19"/>
              </w:rPr>
              <w:t xml:space="preserve">Anti-diversion, Article 25.3; restitution; Architectural Breach</w:t>
            </w:r>
          </w:p>
        </w:tc>
        <w:tc>
          <w:tcPr>
            <w:tcW w:w="1802" w:type="dxa"/>
          </w:tcPr>
          <w:p>
            <w:pPr>
              <w:spacing w:after="0" w:line="260" w:lineRule="auto"/>
              <w:jc w:val="left"/>
            </w:pPr>
            <w:r>
              <w:rPr>
                <w:rFonts w:ascii="Calibri" w:hAnsi="Calibri"/>
                <w:color w:val="212121"/>
                <w:sz w:val="19"/>
              </w:rPr>
              <w:t xml:space="preserve">Neutral Administrator; external auditor</w:t>
            </w:r>
          </w:p>
        </w:tc>
      </w:tr>
      <w:tr>
        <w:tc>
          <w:tcPr>
            <w:tcW w:w="1802" w:type="dxa"/>
          </w:tcPr>
          <w:p>
            <w:pPr>
              <w:spacing w:after="0" w:line="260" w:lineRule="auto"/>
              <w:jc w:val="left"/>
            </w:pPr>
            <w:r>
              <w:rPr>
                <w:rFonts w:ascii="Calibri" w:hAnsi="Calibri"/>
                <w:color w:val="212121"/>
                <w:sz w:val="19"/>
              </w:rPr>
              <w:t xml:space="preserve">RR-10</w:t>
            </w:r>
          </w:p>
        </w:tc>
        <w:tc>
          <w:tcPr>
            <w:tcW w:w="1802" w:type="dxa"/>
          </w:tcPr>
          <w:p>
            <w:pPr>
              <w:spacing w:after="0" w:line="260" w:lineRule="auto"/>
              <w:jc w:val="left"/>
            </w:pPr>
            <w:r>
              <w:rPr>
                <w:rFonts w:ascii="Calibri" w:hAnsi="Calibri"/>
                <w:color w:val="212121"/>
                <w:sz w:val="19"/>
              </w:rPr>
              <w:t xml:space="preserve">Insurance market fails to normalize</w:t>
            </w:r>
          </w:p>
        </w:tc>
        <w:tc>
          <w:tcPr>
            <w:tcW w:w="1802" w:type="dxa"/>
          </w:tcPr>
          <w:p>
            <w:pPr>
              <w:spacing w:after="0" w:line="260" w:lineRule="auto"/>
              <w:jc w:val="left"/>
            </w:pPr>
            <w:r>
              <w:rPr>
                <w:rFonts w:ascii="Calibri" w:hAnsi="Calibri"/>
                <w:color w:val="212121"/>
                <w:sz w:val="19"/>
              </w:rPr>
              <w:t xml:space="preserve">Published performance data; premium index; certification gate</w:t>
            </w:r>
          </w:p>
        </w:tc>
        <w:tc>
          <w:tcPr>
            <w:tcW w:w="1802" w:type="dxa"/>
          </w:tcPr>
          <w:p>
            <w:pPr>
              <w:spacing w:after="0" w:line="260" w:lineRule="auto"/>
              <w:jc w:val="left"/>
            </w:pPr>
            <w:r>
              <w:rPr>
                <w:rFonts w:ascii="Calibri" w:hAnsi="Calibri"/>
                <w:color w:val="212121"/>
                <w:sz w:val="19"/>
              </w:rPr>
              <w:t xml:space="preserve">Stakeholder Panel review; compensation window</w:t>
            </w:r>
          </w:p>
        </w:tc>
        <w:tc>
          <w:tcPr>
            <w:tcW w:w="1802" w:type="dxa"/>
          </w:tcPr>
          <w:p>
            <w:pPr>
              <w:spacing w:after="0" w:line="260" w:lineRule="auto"/>
              <w:jc w:val="left"/>
            </w:pPr>
            <w:r>
              <w:rPr>
                <w:rFonts w:ascii="Calibri" w:hAnsi="Calibri"/>
                <w:color w:val="212121"/>
                <w:sz w:val="19"/>
              </w:rPr>
              <w:t xml:space="preserve">Meridian Operations Center; Stakeholder Panel</w:t>
            </w:r>
          </w:p>
        </w:tc>
      </w:tr>
      <w:tr>
        <w:tc>
          <w:tcPr>
            <w:tcW w:w="1802" w:type="dxa"/>
          </w:tcPr>
          <w:p>
            <w:pPr>
              <w:spacing w:after="0" w:line="260" w:lineRule="auto"/>
              <w:jc w:val="left"/>
            </w:pPr>
            <w:r>
              <w:rPr>
                <w:rFonts w:ascii="Calibri" w:hAnsi="Calibri"/>
                <w:color w:val="212121"/>
                <w:sz w:val="19"/>
              </w:rPr>
              <w:t xml:space="preserve">RR-11</w:t>
            </w:r>
          </w:p>
        </w:tc>
        <w:tc>
          <w:tcPr>
            <w:tcW w:w="1802" w:type="dxa"/>
          </w:tcPr>
          <w:p>
            <w:pPr>
              <w:spacing w:after="0" w:line="260" w:lineRule="auto"/>
              <w:jc w:val="left"/>
            </w:pPr>
            <w:r>
              <w:rPr>
                <w:rFonts w:ascii="Calibri" w:hAnsi="Calibri"/>
                <w:color w:val="212121"/>
                <w:sz w:val="19"/>
              </w:rPr>
              <w:t xml:space="preserve">Attribution dispute after a security incident</w:t>
            </w:r>
          </w:p>
        </w:tc>
        <w:tc>
          <w:tcPr>
            <w:tcW w:w="1802" w:type="dxa"/>
          </w:tcPr>
          <w:p>
            <w:pPr>
              <w:spacing w:after="0" w:line="260" w:lineRule="auto"/>
              <w:jc w:val="left"/>
            </w:pPr>
            <w:r>
              <w:rPr>
                <w:rFonts w:ascii="Calibri" w:hAnsi="Calibri"/>
                <w:color w:val="212121"/>
                <w:sz w:val="19"/>
              </w:rPr>
              <w:t xml:space="preserve">Substantiation duty, Article 27.8; Convergence Standard</w:t>
            </w:r>
          </w:p>
        </w:tc>
        <w:tc>
          <w:tcPr>
            <w:tcW w:w="1802" w:type="dxa"/>
          </w:tcPr>
          <w:p>
            <w:pPr>
              <w:spacing w:after="0" w:line="260" w:lineRule="auto"/>
              <w:jc w:val="left"/>
            </w:pPr>
            <w:r>
              <w:rPr>
                <w:rFonts w:ascii="Calibri" w:hAnsi="Calibri"/>
                <w:color w:val="212121"/>
                <w:sz w:val="19"/>
              </w:rPr>
              <w:t xml:space="preserve">Independent technical referee; claim record</w:t>
            </w:r>
          </w:p>
        </w:tc>
        <w:tc>
          <w:tcPr>
            <w:tcW w:w="1802" w:type="dxa"/>
          </w:tcPr>
          <w:p>
            <w:pPr>
              <w:spacing w:after="0" w:line="260" w:lineRule="auto"/>
              <w:jc w:val="left"/>
            </w:pPr>
            <w:r>
              <w:rPr>
                <w:rFonts w:ascii="Calibri" w:hAnsi="Calibri"/>
                <w:color w:val="212121"/>
                <w:sz w:val="19"/>
              </w:rPr>
              <w:t xml:space="preserve">Neutral Keel Office; technical referees</w:t>
            </w:r>
          </w:p>
        </w:tc>
      </w:tr>
      <w:tr>
        <w:tc>
          <w:tcPr>
            <w:tcW w:w="1802" w:type="dxa"/>
          </w:tcPr>
          <w:p>
            <w:pPr>
              <w:spacing w:after="0" w:line="260" w:lineRule="auto"/>
              <w:jc w:val="left"/>
            </w:pPr>
            <w:r>
              <w:rPr>
                <w:rFonts w:ascii="Calibri" w:hAnsi="Calibri"/>
                <w:color w:val="212121"/>
                <w:sz w:val="19"/>
              </w:rPr>
              <w:t xml:space="preserve">RR-12</w:t>
            </w:r>
          </w:p>
        </w:tc>
        <w:tc>
          <w:tcPr>
            <w:tcW w:w="1802" w:type="dxa"/>
          </w:tcPr>
          <w:p>
            <w:pPr>
              <w:spacing w:after="0" w:line="260" w:lineRule="auto"/>
              <w:jc w:val="left"/>
            </w:pPr>
            <w:r>
              <w:rPr>
                <w:rFonts w:ascii="Calibri" w:hAnsi="Calibri"/>
                <w:color w:val="212121"/>
                <w:sz w:val="19"/>
              </w:rPr>
              <w:t xml:space="preserve">Accusation economy: frivolous or weaponized claims</w:t>
            </w:r>
          </w:p>
        </w:tc>
        <w:tc>
          <w:tcPr>
            <w:tcW w:w="1802" w:type="dxa"/>
          </w:tcPr>
          <w:p>
            <w:pPr>
              <w:spacing w:after="0" w:line="260" w:lineRule="auto"/>
              <w:jc w:val="left"/>
            </w:pPr>
            <w:r>
              <w:rPr>
                <w:rFonts w:ascii="Calibri" w:hAnsi="Calibri"/>
                <w:color w:val="212121"/>
                <w:sz w:val="19"/>
              </w:rPr>
              <w:t xml:space="preserve">Substantiated claim standard; Performance Bond; de minimis rule</w:t>
            </w:r>
          </w:p>
        </w:tc>
        <w:tc>
          <w:tcPr>
            <w:tcW w:w="1802" w:type="dxa"/>
          </w:tcPr>
          <w:p>
            <w:pPr>
              <w:spacing w:after="0" w:line="260" w:lineRule="auto"/>
              <w:jc w:val="left"/>
            </w:pPr>
            <w:r>
              <w:rPr>
                <w:rFonts w:ascii="Calibri" w:hAnsi="Calibri"/>
                <w:color w:val="212121"/>
                <w:sz w:val="19"/>
              </w:rPr>
              <w:t xml:space="preserve">Bond charge; claimant's Ledger conduct note</w:t>
            </w:r>
          </w:p>
        </w:tc>
        <w:tc>
          <w:tcPr>
            <w:tcW w:w="1802" w:type="dxa"/>
          </w:tcPr>
          <w:p>
            <w:pPr>
              <w:spacing w:after="0" w:line="260" w:lineRule="auto"/>
              <w:jc w:val="left"/>
            </w:pPr>
            <w:r>
              <w:rPr>
                <w:rFonts w:ascii="Calibri" w:hAnsi="Calibri"/>
                <w:color w:val="212121"/>
                <w:sz w:val="19"/>
              </w:rPr>
              <w:t xml:space="preserve">Neutral Administrator</w:t>
            </w:r>
          </w:p>
        </w:tc>
      </w:tr>
      <w:tr>
        <w:tc>
          <w:tcPr>
            <w:tcW w:w="1802" w:type="dxa"/>
          </w:tcPr>
          <w:p>
            <w:pPr>
              <w:spacing w:after="0" w:line="260" w:lineRule="auto"/>
              <w:jc w:val="left"/>
            </w:pPr>
            <w:r>
              <w:rPr>
                <w:rFonts w:ascii="Calibri" w:hAnsi="Calibri"/>
                <w:color w:val="212121"/>
                <w:sz w:val="19"/>
              </w:rPr>
              <w:t xml:space="preserve">RR-13</w:t>
            </w:r>
          </w:p>
        </w:tc>
        <w:tc>
          <w:tcPr>
            <w:tcW w:w="1802" w:type="dxa"/>
          </w:tcPr>
          <w:p>
            <w:pPr>
              <w:spacing w:after="0" w:line="260" w:lineRule="auto"/>
              <w:jc w:val="left"/>
            </w:pPr>
            <w:r>
              <w:rPr>
                <w:rFonts w:ascii="Calibri" w:hAnsi="Calibri"/>
                <w:color w:val="212121"/>
                <w:sz w:val="19"/>
              </w:rPr>
              <w:t xml:space="preserve">Rogue-actor or false-flag attack</w:t>
            </w:r>
          </w:p>
        </w:tc>
        <w:tc>
          <w:tcPr>
            <w:tcW w:w="1802" w:type="dxa"/>
          </w:tcPr>
          <w:p>
            <w:pPr>
              <w:spacing w:after="0" w:line="260" w:lineRule="auto"/>
              <w:jc w:val="left"/>
            </w:pPr>
            <w:r>
              <w:rPr>
                <w:rFonts w:ascii="Calibri" w:hAnsi="Calibri"/>
                <w:color w:val="212121"/>
                <w:sz w:val="19"/>
              </w:rPr>
              <w:t xml:space="preserve">Rogue-actor pathway, Article 27.7; no presumed attribution</w:t>
            </w:r>
          </w:p>
        </w:tc>
        <w:tc>
          <w:tcPr>
            <w:tcW w:w="1802" w:type="dxa"/>
          </w:tcPr>
          <w:p>
            <w:pPr>
              <w:spacing w:after="0" w:line="260" w:lineRule="auto"/>
              <w:jc w:val="left"/>
            </w:pPr>
            <w:r>
              <w:rPr>
                <w:rFonts w:ascii="Calibri" w:hAnsi="Calibri"/>
                <w:color w:val="212121"/>
                <w:sz w:val="19"/>
              </w:rPr>
              <w:t xml:space="preserve">Flash broadcast; joint protection; convergence investigation</w:t>
            </w:r>
          </w:p>
        </w:tc>
        <w:tc>
          <w:tcPr>
            <w:tcW w:w="1802" w:type="dxa"/>
          </w:tcPr>
          <w:p>
            <w:pPr>
              <w:spacing w:after="0" w:line="260" w:lineRule="auto"/>
              <w:jc w:val="left"/>
            </w:pPr>
            <w:r>
              <w:rPr>
                <w:rFonts w:ascii="Calibri" w:hAnsi="Calibri"/>
                <w:color w:val="212121"/>
                <w:sz w:val="19"/>
              </w:rPr>
              <w:t xml:space="preserve">Meridian Operations Center; coastal forces</w:t>
            </w:r>
          </w:p>
        </w:tc>
      </w:tr>
      <w:tr>
        <w:tc>
          <w:tcPr>
            <w:tcW w:w="1802" w:type="dxa"/>
          </w:tcPr>
          <w:p>
            <w:pPr>
              <w:spacing w:after="0" w:line="260" w:lineRule="auto"/>
              <w:jc w:val="left"/>
            </w:pPr>
            <w:r>
              <w:rPr>
                <w:rFonts w:ascii="Calibri" w:hAnsi="Calibri"/>
                <w:color w:val="212121"/>
                <w:sz w:val="19"/>
              </w:rPr>
              <w:t xml:space="preserve">RR-14</w:t>
            </w:r>
          </w:p>
        </w:tc>
        <w:tc>
          <w:tcPr>
            <w:tcW w:w="1802" w:type="dxa"/>
          </w:tcPr>
          <w:p>
            <w:pPr>
              <w:spacing w:after="0" w:line="260" w:lineRule="auto"/>
              <w:jc w:val="left"/>
            </w:pPr>
            <w:r>
              <w:rPr>
                <w:rFonts w:ascii="Calibri" w:hAnsi="Calibri"/>
                <w:color w:val="212121"/>
                <w:sz w:val="19"/>
              </w:rPr>
              <w:t xml:space="preserve">Technology obsolescence of the architecture</w:t>
            </w:r>
          </w:p>
        </w:tc>
        <w:tc>
          <w:tcPr>
            <w:tcW w:w="1802" w:type="dxa"/>
          </w:tcPr>
          <w:p>
            <w:pPr>
              <w:spacing w:after="0" w:line="260" w:lineRule="auto"/>
              <w:jc w:val="left"/>
            </w:pPr>
            <w:r>
              <w:rPr>
                <w:rFonts w:ascii="Calibri" w:hAnsi="Calibri"/>
                <w:color w:val="212121"/>
                <w:sz w:val="19"/>
              </w:rPr>
              <w:t xml:space="preserve">Technological neutrality, Article 43; five-year architecture review</w:t>
            </w:r>
          </w:p>
        </w:tc>
        <w:tc>
          <w:tcPr>
            <w:tcW w:w="1802" w:type="dxa"/>
          </w:tcPr>
          <w:p>
            <w:pPr>
              <w:spacing w:after="0" w:line="260" w:lineRule="auto"/>
              <w:jc w:val="left"/>
            </w:pPr>
            <w:r>
              <w:rPr>
                <w:rFonts w:ascii="Calibri" w:hAnsi="Calibri"/>
                <w:color w:val="212121"/>
                <w:sz w:val="19"/>
              </w:rPr>
              <w:t xml:space="preserve">Silence-procedure annex updates, Article 20.5</w:t>
            </w:r>
          </w:p>
        </w:tc>
        <w:tc>
          <w:tcPr>
            <w:tcW w:w="1802" w:type="dxa"/>
          </w:tcPr>
          <w:p>
            <w:pPr>
              <w:spacing w:after="0" w:line="260" w:lineRule="auto"/>
              <w:jc w:val="left"/>
            </w:pPr>
            <w:r>
              <w:rPr>
                <w:rFonts w:ascii="Calibri" w:hAnsi="Calibri"/>
                <w:color w:val="212121"/>
                <w:sz w:val="19"/>
              </w:rPr>
              <w:t xml:space="preserve">Technical and Standards Committee</w:t>
            </w:r>
          </w:p>
        </w:tc>
      </w:tr>
      <w:tr>
        <w:tc>
          <w:tcPr>
            <w:tcW w:w="1802" w:type="dxa"/>
          </w:tcPr>
          <w:p>
            <w:pPr>
              <w:spacing w:after="0" w:line="260" w:lineRule="auto"/>
              <w:jc w:val="left"/>
            </w:pPr>
            <w:r>
              <w:rPr>
                <w:rFonts w:ascii="Calibri" w:hAnsi="Calibri"/>
                <w:color w:val="212121"/>
                <w:sz w:val="19"/>
              </w:rPr>
              <w:t xml:space="preserve">RR-15</w:t>
            </w:r>
          </w:p>
        </w:tc>
        <w:tc>
          <w:tcPr>
            <w:tcW w:w="1802" w:type="dxa"/>
          </w:tcPr>
          <w:p>
            <w:pPr>
              <w:spacing w:after="0" w:line="260" w:lineRule="auto"/>
              <w:jc w:val="left"/>
            </w:pPr>
            <w:r>
              <w:rPr>
                <w:rFonts w:ascii="Calibri" w:hAnsi="Calibri"/>
                <w:color w:val="212121"/>
                <w:sz w:val="19"/>
              </w:rPr>
              <w:t xml:space="preserve">Institutional memory loss through turnover</w:t>
            </w:r>
          </w:p>
        </w:tc>
        <w:tc>
          <w:tcPr>
            <w:tcW w:w="1802" w:type="dxa"/>
          </w:tcPr>
          <w:p>
            <w:pPr>
              <w:spacing w:after="0" w:line="260" w:lineRule="auto"/>
              <w:jc w:val="left"/>
            </w:pPr>
            <w:r>
              <w:rPr>
                <w:rFonts w:ascii="Calibri" w:hAnsi="Calibri"/>
                <w:color w:val="212121"/>
                <w:sz w:val="19"/>
              </w:rPr>
              <w:t xml:space="preserve">Staggered terms, Article 18.1; succession files, Article 44.4; the archive</w:t>
            </w:r>
          </w:p>
        </w:tc>
        <w:tc>
          <w:tcPr>
            <w:tcW w:w="1802" w:type="dxa"/>
          </w:tcPr>
          <w:p>
            <w:pPr>
              <w:spacing w:after="0" w:line="260" w:lineRule="auto"/>
              <w:jc w:val="left"/>
            </w:pPr>
            <w:r>
              <w:rPr>
                <w:rFonts w:ascii="Calibri" w:hAnsi="Calibri"/>
                <w:color w:val="212121"/>
                <w:sz w:val="19"/>
              </w:rPr>
              <w:t xml:space="preserve">Handover documentation; training pipeline, Article 14A.4</w:t>
            </w:r>
          </w:p>
        </w:tc>
        <w:tc>
          <w:tcPr>
            <w:tcW w:w="1802" w:type="dxa"/>
          </w:tcPr>
          <w:p>
            <w:pPr>
              <w:spacing w:after="0" w:line="260" w:lineRule="auto"/>
              <w:jc w:val="left"/>
            </w:pPr>
            <w:r>
              <w:rPr>
                <w:rFonts w:ascii="Calibri" w:hAnsi="Calibri"/>
                <w:color w:val="212121"/>
                <w:sz w:val="19"/>
              </w:rPr>
              <w:t xml:space="preserve">Every organ; Neutral Keel Office audit</w:t>
            </w:r>
          </w:p>
        </w:tc>
      </w:tr>
      <w:tr>
        <w:tc>
          <w:tcPr>
            <w:tcW w:w="1802" w:type="dxa"/>
          </w:tcPr>
          <w:p>
            <w:pPr>
              <w:spacing w:after="0" w:line="260" w:lineRule="auto"/>
              <w:jc w:val="left"/>
            </w:pPr>
            <w:r>
              <w:rPr>
                <w:rFonts w:ascii="Calibri" w:hAnsi="Calibri"/>
                <w:color w:val="212121"/>
                <w:sz w:val="19"/>
              </w:rPr>
              <w:t xml:space="preserve">RR-16</w:t>
            </w:r>
          </w:p>
        </w:tc>
        <w:tc>
          <w:tcPr>
            <w:tcW w:w="1802" w:type="dxa"/>
          </w:tcPr>
          <w:p>
            <w:pPr>
              <w:spacing w:after="0" w:line="260" w:lineRule="auto"/>
              <w:jc w:val="left"/>
            </w:pPr>
            <w:r>
              <w:rPr>
                <w:rFonts w:ascii="Calibri" w:hAnsi="Calibri"/>
                <w:color w:val="212121"/>
                <w:sz w:val="19"/>
              </w:rPr>
              <w:t xml:space="preserve">Translation divergence among authentic texts</w:t>
            </w:r>
          </w:p>
        </w:tc>
        <w:tc>
          <w:tcPr>
            <w:tcW w:w="1802" w:type="dxa"/>
          </w:tcPr>
          <w:p>
            <w:pPr>
              <w:spacing w:after="0" w:line="260" w:lineRule="auto"/>
              <w:jc w:val="left"/>
            </w:pPr>
            <w:r>
              <w:rPr>
                <w:rFonts w:ascii="Calibri" w:hAnsi="Calibri"/>
                <w:color w:val="212121"/>
                <w:sz w:val="19"/>
              </w:rPr>
              <w:t xml:space="preserve">Trilingual concordance, Article 41.8</w:t>
            </w:r>
          </w:p>
        </w:tc>
        <w:tc>
          <w:tcPr>
            <w:tcW w:w="1802" w:type="dxa"/>
          </w:tcPr>
          <w:p>
            <w:pPr>
              <w:spacing w:after="0" w:line="260" w:lineRule="auto"/>
              <w:jc w:val="left"/>
            </w:pPr>
            <w:r>
              <w:rPr>
                <w:rFonts w:ascii="Calibri" w:hAnsi="Calibri"/>
                <w:color w:val="212121"/>
                <w:sz w:val="19"/>
              </w:rPr>
              <w:t xml:space="preserve">Council resolution, Article 5.2 rule 7; concordance entry</w:t>
            </w:r>
          </w:p>
        </w:tc>
        <w:tc>
          <w:tcPr>
            <w:tcW w:w="1802" w:type="dxa"/>
          </w:tcPr>
          <w:p>
            <w:pPr>
              <w:spacing w:after="0" w:line="260" w:lineRule="auto"/>
              <w:jc w:val="left"/>
            </w:pPr>
            <w:r>
              <w:rPr>
                <w:rFonts w:ascii="Calibri" w:hAnsi="Calibri"/>
                <w:color w:val="212121"/>
                <w:sz w:val="19"/>
              </w:rPr>
              <w:t xml:space="preserve">Depositary; Technical and Standards Committee</w:t>
            </w:r>
          </w:p>
        </w:tc>
      </w:tr>
    </w:tbl>
    <w:p>
      <w:pPr>
        <w:spacing w:after="60"/>
      </w:pPr>
    </w:p>
    <w:p>
      <w:pPr>
        <w:pStyle w:val="Caption"/>
      </w:pPr>
      <w:r>
        <w:t xml:space="preserve">Table P.1: Risk Register; the Technical and Standards Committee reviews it at every architecture review</w:t>
      </w:r>
    </w:p>
    <w:p>
      <w:pPr>
        <w:pStyle w:val="Heading1"/>
      </w:pPr>
      <w:r>
        <w:t xml:space="preserve">Annex Q: Assumptions Register and Stress-Test Scenarios</w:t>
      </w:r>
    </w:p>
    <w:p>
      <w:pPr>
        <w:pStyle w:val="Heading3"/>
      </w:pPr>
      <w:r>
        <w:t xml:space="preserve">Q.1 The Assumptions Register</w:t>
      </w:r>
    </w:p>
    <w:p>
      <w:pPr/>
      <w:r>
        <w:t xml:space="preserve">The Accord rests on the following assumptions, documented so that future amendments test themselves against them. The Technical and Standards Committee reviews the Register annually and reports any assumption that events have falsified, with the design consequence of the falsification. An assumption's failure triggers review, never collapse: the Nofade Guarantee holds the architecture while the amendment machinery adapts it.</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3003"/>
        <w:gridCol w:w="3003"/>
        <w:gridCol w:w="3004"/>
      </w:tblGrid>
      <w:tr>
        <w:trPr>
          <w:tblHeader/>
        </w:trPr>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Ref</w:t>
            </w:r>
          </w:p>
        </w:tc>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Assumption</w:t>
            </w:r>
          </w:p>
        </w:tc>
        <w:tc>
          <w:tcPr>
            <w:tcW w:w="3004" w:type="dxa"/>
            <w:tcBorders>
              <w:bottom w:val="single" w:color="546E7A" w:sz="6"/>
            </w:tcBorders>
            <w:shd w:val="clear" w:fill="E4E9EC"/>
          </w:tcPr>
          <w:p>
            <w:pPr>
              <w:spacing w:after="0" w:line="260" w:lineRule="auto"/>
              <w:jc w:val="left"/>
            </w:pPr>
            <w:r>
              <w:rPr>
                <w:rFonts w:ascii="Calibri" w:hAnsi="Calibri"/>
                <w:b/>
                <w:color w:val="37474F"/>
                <w:sz w:val="19"/>
              </w:rPr>
              <w:t xml:space="preserve">Design consequence if falsified</w:t>
            </w:r>
          </w:p>
        </w:tc>
      </w:tr>
      <w:tr>
        <w:tc>
          <w:tcPr>
            <w:tcW w:w="3003" w:type="dxa"/>
          </w:tcPr>
          <w:p>
            <w:pPr>
              <w:spacing w:after="0" w:line="260" w:lineRule="auto"/>
              <w:jc w:val="left"/>
            </w:pPr>
            <w:r>
              <w:rPr>
                <w:rFonts w:ascii="Calibri" w:hAnsi="Calibri"/>
                <w:color w:val="212121"/>
                <w:sz w:val="19"/>
              </w:rPr>
              <w:t xml:space="preserve">AR-01</w:t>
            </w:r>
          </w:p>
        </w:tc>
        <w:tc>
          <w:tcPr>
            <w:tcW w:w="3003" w:type="dxa"/>
          </w:tcPr>
          <w:p>
            <w:pPr>
              <w:spacing w:after="0" w:line="260" w:lineRule="auto"/>
              <w:jc w:val="left"/>
            </w:pPr>
            <w:r>
              <w:rPr>
                <w:rFonts w:ascii="Calibri" w:hAnsi="Calibri"/>
                <w:color w:val="212121"/>
                <w:sz w:val="19"/>
              </w:rPr>
              <w:t xml:space="preserve">The automatic identification system remains internationally available and carriage remains standard</w:t>
            </w:r>
          </w:p>
        </w:tc>
        <w:tc>
          <w:tcPr>
            <w:tcW w:w="3004" w:type="dxa"/>
          </w:tcPr>
          <w:p>
            <w:pPr>
              <w:spacing w:after="0" w:line="260" w:lineRule="auto"/>
              <w:jc w:val="left"/>
            </w:pPr>
            <w:r>
              <w:rPr>
                <w:rFonts w:ascii="Calibri" w:hAnsi="Calibri"/>
                <w:color w:val="212121"/>
                <w:sz w:val="19"/>
              </w:rPr>
              <w:t xml:space="preserve">Verification stack loses one input; patrol and observer weight rises; Annex G updates</w:t>
            </w:r>
          </w:p>
        </w:tc>
      </w:tr>
      <w:tr>
        <w:tc>
          <w:tcPr>
            <w:tcW w:w="3003" w:type="dxa"/>
          </w:tcPr>
          <w:p>
            <w:pPr>
              <w:spacing w:after="0" w:line="260" w:lineRule="auto"/>
              <w:jc w:val="left"/>
            </w:pPr>
            <w:r>
              <w:rPr>
                <w:rFonts w:ascii="Calibri" w:hAnsi="Calibri"/>
                <w:color w:val="212121"/>
                <w:sz w:val="19"/>
              </w:rPr>
              <w:t xml:space="preserve">AR-02</w:t>
            </w:r>
          </w:p>
        </w:tc>
        <w:tc>
          <w:tcPr>
            <w:tcW w:w="3003" w:type="dxa"/>
          </w:tcPr>
          <w:p>
            <w:pPr>
              <w:spacing w:after="0" w:line="260" w:lineRule="auto"/>
              <w:jc w:val="left"/>
            </w:pPr>
            <w:r>
              <w:rPr>
                <w:rFonts w:ascii="Calibri" w:hAnsi="Calibri"/>
                <w:color w:val="212121"/>
                <w:sz w:val="19"/>
              </w:rPr>
              <w:t xml:space="preserve">The International Maritime Organization routing recognition for the Strait remains in force</w:t>
            </w:r>
          </w:p>
        </w:tc>
        <w:tc>
          <w:tcPr>
            <w:tcW w:w="3004" w:type="dxa"/>
          </w:tcPr>
          <w:p>
            <w:pPr>
              <w:spacing w:after="0" w:line="260" w:lineRule="auto"/>
              <w:jc w:val="left"/>
            </w:pPr>
            <w:r>
              <w:rPr>
                <w:rFonts w:ascii="Calibri" w:hAnsi="Calibri"/>
                <w:color w:val="212121"/>
                <w:sz w:val="19"/>
              </w:rPr>
              <w:t xml:space="preserve">Corridor geometry persists under the Accord's own authority; the Organization's certification role passes to the Technical Committee pending restoration</w:t>
            </w:r>
          </w:p>
        </w:tc>
      </w:tr>
      <w:tr>
        <w:tc>
          <w:tcPr>
            <w:tcW w:w="3003" w:type="dxa"/>
          </w:tcPr>
          <w:p>
            <w:pPr>
              <w:spacing w:after="0" w:line="260" w:lineRule="auto"/>
              <w:jc w:val="left"/>
            </w:pPr>
            <w:r>
              <w:rPr>
                <w:rFonts w:ascii="Calibri" w:hAnsi="Calibri"/>
                <w:color w:val="212121"/>
                <w:sz w:val="19"/>
              </w:rPr>
              <w:t xml:space="preserve">AR-03</w:t>
            </w:r>
          </w:p>
        </w:tc>
        <w:tc>
          <w:tcPr>
            <w:tcW w:w="3003" w:type="dxa"/>
          </w:tcPr>
          <w:p>
            <w:pPr>
              <w:spacing w:after="0" w:line="260" w:lineRule="auto"/>
              <w:jc w:val="left"/>
            </w:pPr>
            <w:r>
              <w:rPr>
                <w:rFonts w:ascii="Calibri" w:hAnsi="Calibri"/>
                <w:color w:val="212121"/>
                <w:sz w:val="19"/>
              </w:rPr>
              <w:t xml:space="preserve">Existing maritime radio standards and VHF allocation continue</w:t>
            </w:r>
          </w:p>
        </w:tc>
        <w:tc>
          <w:tcPr>
            <w:tcW w:w="3004" w:type="dxa"/>
          </w:tcPr>
          <w:p>
            <w:pPr>
              <w:spacing w:after="0" w:line="260" w:lineRule="auto"/>
              <w:jc w:val="left"/>
            </w:pPr>
            <w:r>
              <w:rPr>
                <w:rFonts w:ascii="Calibri" w:hAnsi="Calibri"/>
                <w:color w:val="212121"/>
                <w:sz w:val="19"/>
              </w:rPr>
              <w:t xml:space="preserve">Annex F channel plan updates through the silence procedure</w:t>
            </w:r>
          </w:p>
        </w:tc>
      </w:tr>
      <w:tr>
        <w:tc>
          <w:tcPr>
            <w:tcW w:w="3003" w:type="dxa"/>
          </w:tcPr>
          <w:p>
            <w:pPr>
              <w:spacing w:after="0" w:line="260" w:lineRule="auto"/>
              <w:jc w:val="left"/>
            </w:pPr>
            <w:r>
              <w:rPr>
                <w:rFonts w:ascii="Calibri" w:hAnsi="Calibri"/>
                <w:color w:val="212121"/>
                <w:sz w:val="19"/>
              </w:rPr>
              <w:t xml:space="preserve">AR-04</w:t>
            </w:r>
          </w:p>
        </w:tc>
        <w:tc>
          <w:tcPr>
            <w:tcW w:w="3003" w:type="dxa"/>
          </w:tcPr>
          <w:p>
            <w:pPr>
              <w:spacing w:after="0" w:line="260" w:lineRule="auto"/>
              <w:jc w:val="left"/>
            </w:pPr>
            <w:r>
              <w:rPr>
                <w:rFonts w:ascii="Calibri" w:hAnsi="Calibri"/>
                <w:color w:val="212121"/>
                <w:sz w:val="19"/>
              </w:rPr>
              <w:t xml:space="preserve">Swiss fiduciary and banking infrastructure remains available to the Neutral Administrator</w:t>
            </w:r>
          </w:p>
        </w:tc>
        <w:tc>
          <w:tcPr>
            <w:tcW w:w="3004" w:type="dxa"/>
          </w:tcPr>
          <w:p>
            <w:pPr>
              <w:spacing w:after="0" w:line="260" w:lineRule="auto"/>
              <w:jc w:val="left"/>
            </w:pPr>
            <w:r>
              <w:rPr>
                <w:rFonts w:ascii="Calibri" w:hAnsi="Calibri"/>
                <w:color w:val="212121"/>
                <w:sz w:val="19"/>
              </w:rPr>
              <w:t xml:space="preserve">Fund administration transfers to a successor neutral administrator under Article 44.3 logic</w:t>
            </w:r>
          </w:p>
        </w:tc>
      </w:tr>
      <w:tr>
        <w:tc>
          <w:tcPr>
            <w:tcW w:w="3003" w:type="dxa"/>
          </w:tcPr>
          <w:p>
            <w:pPr>
              <w:spacing w:after="0" w:line="260" w:lineRule="auto"/>
              <w:jc w:val="left"/>
            </w:pPr>
            <w:r>
              <w:rPr>
                <w:rFonts w:ascii="Calibri" w:hAnsi="Calibri"/>
                <w:color w:val="212121"/>
                <w:sz w:val="19"/>
              </w:rPr>
              <w:t xml:space="preserve">AR-05</w:t>
            </w:r>
          </w:p>
        </w:tc>
        <w:tc>
          <w:tcPr>
            <w:tcW w:w="3003" w:type="dxa"/>
          </w:tcPr>
          <w:p>
            <w:pPr>
              <w:spacing w:after="0" w:line="260" w:lineRule="auto"/>
              <w:jc w:val="left"/>
            </w:pPr>
            <w:r>
              <w:rPr>
                <w:rFonts w:ascii="Calibri" w:hAnsi="Calibri"/>
                <w:color w:val="212121"/>
                <w:sz w:val="19"/>
              </w:rPr>
              <w:t xml:space="preserve">The three authentic languages remain sufficient for all operational communities</w:t>
            </w:r>
          </w:p>
        </w:tc>
        <w:tc>
          <w:tcPr>
            <w:tcW w:w="3004" w:type="dxa"/>
          </w:tcPr>
          <w:p>
            <w:pPr>
              <w:spacing w:after="0" w:line="260" w:lineRule="auto"/>
              <w:jc w:val="left"/>
            </w:pPr>
            <w:r>
              <w:rPr>
                <w:rFonts w:ascii="Calibri" w:hAnsi="Calibri"/>
                <w:color w:val="212121"/>
                <w:sz w:val="19"/>
              </w:rPr>
              <w:t xml:space="preserve">The concordance of Article 41.8 adds working languages by Council decision</w:t>
            </w:r>
          </w:p>
        </w:tc>
      </w:tr>
      <w:tr>
        <w:tc>
          <w:tcPr>
            <w:tcW w:w="3003" w:type="dxa"/>
          </w:tcPr>
          <w:p>
            <w:pPr>
              <w:spacing w:after="0" w:line="260" w:lineRule="auto"/>
              <w:jc w:val="left"/>
            </w:pPr>
            <w:r>
              <w:rPr>
                <w:rFonts w:ascii="Calibri" w:hAnsi="Calibri"/>
                <w:color w:val="212121"/>
                <w:sz w:val="19"/>
              </w:rPr>
              <w:t xml:space="preserve">AR-06</w:t>
            </w:r>
          </w:p>
        </w:tc>
        <w:tc>
          <w:tcPr>
            <w:tcW w:w="3003" w:type="dxa"/>
          </w:tcPr>
          <w:p>
            <w:pPr>
              <w:spacing w:after="0" w:line="260" w:lineRule="auto"/>
              <w:jc w:val="left"/>
            </w:pPr>
            <w:r>
              <w:rPr>
                <w:rFonts w:ascii="Calibri" w:hAnsi="Calibri"/>
                <w:color w:val="212121"/>
                <w:sz w:val="19"/>
              </w:rPr>
              <w:t xml:space="preserve">Satellite navigation remains usable in the region most days</w:t>
            </w:r>
          </w:p>
        </w:tc>
        <w:tc>
          <w:tcPr>
            <w:tcW w:w="3004" w:type="dxa"/>
          </w:tcPr>
          <w:p>
            <w:pPr>
              <w:spacing w:after="0" w:line="260" w:lineRule="auto"/>
              <w:jc w:val="left"/>
            </w:pPr>
            <w:r>
              <w:rPr>
                <w:rFonts w:ascii="Calibri" w:hAnsi="Calibri"/>
                <w:color w:val="212121"/>
                <w:sz w:val="19"/>
              </w:rPr>
              <w:t xml:space="preserve">Signal-integrity watch and degraded-mode rules absorb outages; Articles 26.6 and 26A govern</w:t>
            </w:r>
          </w:p>
        </w:tc>
      </w:tr>
      <w:tr>
        <w:tc>
          <w:tcPr>
            <w:tcW w:w="3003" w:type="dxa"/>
          </w:tcPr>
          <w:p>
            <w:pPr>
              <w:spacing w:after="0" w:line="260" w:lineRule="auto"/>
              <w:jc w:val="left"/>
            </w:pPr>
            <w:r>
              <w:rPr>
                <w:rFonts w:ascii="Calibri" w:hAnsi="Calibri"/>
                <w:color w:val="212121"/>
                <w:sz w:val="19"/>
              </w:rPr>
              <w:t xml:space="preserve">AR-07</w:t>
            </w:r>
          </w:p>
        </w:tc>
        <w:tc>
          <w:tcPr>
            <w:tcW w:w="3003" w:type="dxa"/>
          </w:tcPr>
          <w:p>
            <w:pPr>
              <w:spacing w:after="0" w:line="260" w:lineRule="auto"/>
              <w:jc w:val="left"/>
            </w:pPr>
            <w:r>
              <w:rPr>
                <w:rFonts w:ascii="Calibri" w:hAnsi="Calibri"/>
                <w:color w:val="212121"/>
                <w:sz w:val="19"/>
              </w:rPr>
              <w:t xml:space="preserve">The Gulf littoral states retain functioning maritime administrations</w:t>
            </w:r>
          </w:p>
        </w:tc>
        <w:tc>
          <w:tcPr>
            <w:tcW w:w="3004" w:type="dxa"/>
          </w:tcPr>
          <w:p>
            <w:pPr>
              <w:spacing w:after="0" w:line="260" w:lineRule="auto"/>
              <w:jc w:val="left"/>
            </w:pPr>
            <w:r>
              <w:rPr>
                <w:rFonts w:ascii="Calibri" w:hAnsi="Calibri"/>
                <w:color w:val="212121"/>
                <w:sz w:val="19"/>
              </w:rPr>
              <w:t xml:space="preserve">Succession rules of Article 44 assign functions to successor agencies</w:t>
            </w:r>
          </w:p>
        </w:tc>
      </w:tr>
      <w:tr>
        <w:tc>
          <w:tcPr>
            <w:tcW w:w="3003" w:type="dxa"/>
          </w:tcPr>
          <w:p>
            <w:pPr>
              <w:spacing w:after="0" w:line="260" w:lineRule="auto"/>
              <w:jc w:val="left"/>
            </w:pPr>
            <w:r>
              <w:rPr>
                <w:rFonts w:ascii="Calibri" w:hAnsi="Calibri"/>
                <w:color w:val="212121"/>
                <w:sz w:val="19"/>
              </w:rPr>
              <w:t xml:space="preserve">AR-08</w:t>
            </w:r>
          </w:p>
        </w:tc>
        <w:tc>
          <w:tcPr>
            <w:tcW w:w="3003" w:type="dxa"/>
          </w:tcPr>
          <w:p>
            <w:pPr>
              <w:spacing w:after="0" w:line="260" w:lineRule="auto"/>
              <w:jc w:val="left"/>
            </w:pPr>
            <w:r>
              <w:rPr>
                <w:rFonts w:ascii="Calibri" w:hAnsi="Calibri"/>
                <w:color w:val="212121"/>
                <w:sz w:val="19"/>
              </w:rPr>
              <w:t xml:space="preserve">War-risk insurance markets continue to price on published evidence</w:t>
            </w:r>
          </w:p>
        </w:tc>
        <w:tc>
          <w:tcPr>
            <w:tcW w:w="3004" w:type="dxa"/>
          </w:tcPr>
          <w:p>
            <w:pPr>
              <w:spacing w:after="0" w:line="260" w:lineRule="auto"/>
              <w:jc w:val="left"/>
            </w:pPr>
            <w:r>
              <w:rPr>
                <w:rFonts w:ascii="Calibri" w:hAnsi="Calibri"/>
                <w:color w:val="212121"/>
                <w:sz w:val="19"/>
              </w:rPr>
              <w:t xml:space="preserve">Premium index loses its signaling role; the Registry and Bulletin carry market confidence directly</w:t>
            </w:r>
          </w:p>
        </w:tc>
      </w:tr>
    </w:tbl>
    <w:p>
      <w:pPr>
        <w:spacing w:after="60"/>
      </w:pPr>
    </w:p>
    <w:p>
      <w:pPr>
        <w:pStyle w:val="Caption"/>
      </w:pPr>
      <w:r>
        <w:t xml:space="preserve">Table Q.1: Assumptions Register</w:t>
      </w:r>
    </w:p>
    <w:p>
      <w:pPr>
        <w:pStyle w:val="Heading3"/>
      </w:pPr>
      <w:r>
        <w:t xml:space="preserve">Q.2 Stress-test scenarios</w:t>
      </w:r>
    </w:p>
    <w:p>
      <w:pPr/>
      <w:r>
        <w:t xml:space="preserve">The following scenarios walk the architecture through its hardest days. Each states the event, the automatic responses in sequence, and the institutions involved. The scenarios illustrate; the Articles and Annexes govern. The Center and the Neutral Keel Office drill one scenario per quarter on rotation, per Article 14A.4.</w:t>
      </w:r>
    </w:p>
    <w:p>
      <w:pPr>
        <w:pStyle w:val="Heading3"/>
      </w:pPr>
      <w:r>
        <w:t xml:space="preserve">Q.3 Scenario one: accidental collision</w:t>
      </w:r>
    </w:p>
    <w:p>
      <w:pPr/>
      <w:r>
        <w:t xml:space="preserve">A laden Class B carrier and a Class A container ship collide at reporting point Delta in visibility of one nautical mile. The Mishap Protocol activates on the first report: involved units hold position and report; the Thirty-Minute Position Log runs for every vessel within 10 nautical miles; the Center shifts both corridors to Managed Flow and broadcasts the casualty; the sector search and rescue coordinator launches under Article 29.2's pre-authorization; the environmental watch deploys the tier-one response under Annex J.3; the paired duty officers classify within 4 hours; the Technical Committee completes assessment within 14 days; the Bulletin carries every step; and the Fund's compensation window opens where the lane closure exceeds 24 hours. No organ asks whose fault before the record exists.</w:t>
      </w:r>
    </w:p>
    <w:p>
      <w:pPr>
        <w:pStyle w:val="Heading3"/>
      </w:pPr>
      <w:r>
        <w:t xml:space="preserve">Q.4 Scenario two: cyberattack on the notification desk</w:t>
      </w:r>
    </w:p>
    <w:p>
      <w:pPr/>
      <w:r>
        <w:t xml:space="preserve">An intrusion floods the notification desk with forged notices and corrupts a portion of the queue. The authentication layer rejects unauthenticated filings; the anomaly detection flags the volume pattern; the Technical Committee isolates the affected segment; the mirror facility assumes desk operations within one hour; voice reporting and paper fallback carry compliance under Annex G.3; the Bulletin publishes an incident note with the restoration estimate; and the incident classifies as an interference event under Article 28.2, with the substantiation duty of Article 27.8 governing any attribution claim. Passage never stops, because passage never depended on the desk.</w:t>
      </w:r>
    </w:p>
    <w:p>
      <w:pPr>
        <w:pStyle w:val="Heading3"/>
      </w:pPr>
      <w:r>
        <w:t xml:space="preserve">Q.5 Scenario three: navigation beacon failure</w:t>
      </w:r>
    </w:p>
    <w:p>
      <w:pPr/>
      <w:r>
        <w:t xml:space="preserve">The aids-to-navigation record shows a critical light and its radar beacon dark at the Corridor One eastern entry during night hours. The environmental and aids watch logs the failure; the Center broadcasts a hazard notice and tightens spacing at the entry; a contracted service vessel responds under the Catalog's aids-maintenance line; the ground-truth patrol diverts to verify the physical state; the Fund reimburses against the verified service record; and the failure enters the service quality index of Article 23.5 for the responsible delivering state.</w:t>
      </w:r>
    </w:p>
    <w:p>
      <w:pPr>
        <w:pStyle w:val="Heading3"/>
      </w:pPr>
      <w:r>
        <w:t xml:space="preserve">Q.6 Scenario four: tanker fire in the Central Separation Belt</w:t>
      </w:r>
    </w:p>
    <w:p>
      <w:pPr/>
      <w:r>
        <w:t xml:space="preserve">A laden Class B carrier reports an engine-room fire while crossing sector Kilo. The distress priority of Article 29.2 overrides every other rule: the nearest assets of both coastal states proceed without clearance; the Center declares a Suspended Flow for the affected area only; the escort coordination board reroutes escorted windows; the environmental watch stands up tier-two readiness; embarked observers on nearby vessels file position reports; and the post-event report publishes within 30 days under Annex K.3. The Suspended Flow lifts on the Neutral Keel Office's confirmation that the area is clear, within the 72-hour architecture of Article 11.6.</w:t>
      </w:r>
    </w:p>
    <w:p>
      <w:pPr>
        <w:pStyle w:val="Heading3"/>
      </w:pPr>
      <w:r>
        <w:t xml:space="preserve">Q.7 Scenario five: communications blackout at both watch floors</w:t>
      </w:r>
    </w:p>
    <w:p>
      <w:pPr/>
      <w:r>
        <w:t xml:space="preserve">A regional cable cut and a satellite outage silence both watch floors simultaneously. The continuity doctrine of Article 42 operates: the Khasab continuity station activates within one hour; voice reporting through coastal vessel traffic services carries the corridors; acknowledgment-by-default protects every filing under Article 8.3; the Bulletin publishes through the International Maritime Organization's backup distribution; the military de-confliction channel switches to its satellite secondary; and recovery follows the hierarchy of Article 42.4 with published estimates every 24 hours. Every right survives the blackout intact, because the architecture designed the blackout morning in advance.</w:t>
      </w:r>
    </w:p>
    <w:p>
      <w:pPr>
        <w:pStyle w:val="Heading1"/>
      </w:pPr>
      <w:r>
        <w:t xml:space="preserve">Annex R: Performance Metrics and Publication Schedules</w:t>
      </w:r>
    </w:p>
    <w:p>
      <w:pPr>
        <w:pStyle w:val="Heading3"/>
      </w:pPr>
      <w:r>
        <w:t xml:space="preserve">R.1 The metric set</w:t>
      </w:r>
    </w:p>
    <w:p>
      <w:pPr/>
      <w:r>
        <w:t xml:space="preserve">The Accord measures what it promises. The Center and the Neutral Keel Office compute the following metrics continuously and publish them on the schedules of Section R.2. Every metric states its definition, its data source, and its target band, and every figure traces to the shared registry.</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3003"/>
        <w:gridCol w:w="3003"/>
        <w:gridCol w:w="3004"/>
      </w:tblGrid>
      <w:tr>
        <w:trPr>
          <w:tblHeader/>
        </w:trPr>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Metric</w:t>
            </w:r>
          </w:p>
        </w:tc>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Definition</w:t>
            </w:r>
          </w:p>
        </w:tc>
        <w:tc>
          <w:tcPr>
            <w:tcW w:w="3004" w:type="dxa"/>
            <w:tcBorders>
              <w:bottom w:val="single" w:color="546E7A" w:sz="6"/>
            </w:tcBorders>
            <w:shd w:val="clear" w:fill="E4E9EC"/>
          </w:tcPr>
          <w:p>
            <w:pPr>
              <w:spacing w:after="0" w:line="260" w:lineRule="auto"/>
              <w:jc w:val="left"/>
            </w:pPr>
            <w:r>
              <w:rPr>
                <w:rFonts w:ascii="Calibri" w:hAnsi="Calibri"/>
                <w:b/>
                <w:color w:val="37474F"/>
                <w:sz w:val="19"/>
              </w:rPr>
              <w:t xml:space="preserve">Target band</w:t>
            </w:r>
          </w:p>
        </w:tc>
      </w:tr>
      <w:tr>
        <w:tc>
          <w:tcPr>
            <w:tcW w:w="3003" w:type="dxa"/>
          </w:tcPr>
          <w:p>
            <w:pPr>
              <w:spacing w:after="0" w:line="260" w:lineRule="auto"/>
              <w:jc w:val="left"/>
            </w:pPr>
            <w:r>
              <w:rPr>
                <w:rFonts w:ascii="Calibri" w:hAnsi="Calibri"/>
                <w:color w:val="212121"/>
                <w:sz w:val="19"/>
              </w:rPr>
              <w:t xml:space="preserve">Average transit time</w:t>
            </w:r>
          </w:p>
        </w:tc>
        <w:tc>
          <w:tcPr>
            <w:tcW w:w="3003" w:type="dxa"/>
          </w:tcPr>
          <w:p>
            <w:pPr>
              <w:spacing w:after="0" w:line="260" w:lineRule="auto"/>
              <w:jc w:val="left"/>
            </w:pPr>
            <w:r>
              <w:rPr>
                <w:rFonts w:ascii="Calibri" w:hAnsi="Calibri"/>
                <w:color w:val="212121"/>
                <w:sz w:val="19"/>
              </w:rPr>
              <w:t xml:space="preserve">Entry reporting point to exit reporting point, per corridor, per class</w:t>
            </w:r>
          </w:p>
        </w:tc>
        <w:tc>
          <w:tcPr>
            <w:tcW w:w="3004" w:type="dxa"/>
          </w:tcPr>
          <w:p>
            <w:pPr>
              <w:spacing w:after="0" w:line="260" w:lineRule="auto"/>
              <w:jc w:val="left"/>
            </w:pPr>
            <w:r>
              <w:rPr>
                <w:rFonts w:ascii="Calibri" w:hAnsi="Calibri"/>
                <w:color w:val="212121"/>
                <w:sz w:val="19"/>
              </w:rPr>
              <w:t xml:space="preserve">At or below the pre-crisis corridor benchmark</w:t>
            </w:r>
          </w:p>
        </w:tc>
      </w:tr>
      <w:tr>
        <w:tc>
          <w:tcPr>
            <w:tcW w:w="3003" w:type="dxa"/>
          </w:tcPr>
          <w:p>
            <w:pPr>
              <w:spacing w:after="0" w:line="260" w:lineRule="auto"/>
              <w:jc w:val="left"/>
            </w:pPr>
            <w:r>
              <w:rPr>
                <w:rFonts w:ascii="Calibri" w:hAnsi="Calibri"/>
                <w:color w:val="212121"/>
                <w:sz w:val="19"/>
              </w:rPr>
              <w:t xml:space="preserve">Acknowledgment latency</w:t>
            </w:r>
          </w:p>
        </w:tc>
        <w:tc>
          <w:tcPr>
            <w:tcW w:w="3003" w:type="dxa"/>
          </w:tcPr>
          <w:p>
            <w:pPr>
              <w:spacing w:after="0" w:line="260" w:lineRule="auto"/>
              <w:jc w:val="left"/>
            </w:pPr>
            <w:r>
              <w:rPr>
                <w:rFonts w:ascii="Calibri" w:hAnsi="Calibri"/>
                <w:color w:val="212121"/>
                <w:sz w:val="19"/>
              </w:rPr>
              <w:t xml:space="preserve">Notice filing to acknowledgment, system-wide median</w:t>
            </w:r>
          </w:p>
        </w:tc>
        <w:tc>
          <w:tcPr>
            <w:tcW w:w="3004" w:type="dxa"/>
          </w:tcPr>
          <w:p>
            <w:pPr>
              <w:spacing w:after="0" w:line="260" w:lineRule="auto"/>
              <w:jc w:val="left"/>
            </w:pPr>
            <w:r>
              <w:rPr>
                <w:rFonts w:ascii="Calibri" w:hAnsi="Calibri"/>
                <w:color w:val="212121"/>
                <w:sz w:val="19"/>
              </w:rPr>
              <w:t xml:space="preserve">At or below 10 minutes</w:t>
            </w:r>
          </w:p>
        </w:tc>
      </w:tr>
      <w:tr>
        <w:tc>
          <w:tcPr>
            <w:tcW w:w="3003" w:type="dxa"/>
          </w:tcPr>
          <w:p>
            <w:pPr>
              <w:spacing w:after="0" w:line="260" w:lineRule="auto"/>
              <w:jc w:val="left"/>
            </w:pPr>
            <w:r>
              <w:rPr>
                <w:rFonts w:ascii="Calibri" w:hAnsi="Calibri"/>
                <w:color w:val="212121"/>
                <w:sz w:val="19"/>
              </w:rPr>
              <w:t xml:space="preserve">Incident rate</w:t>
            </w:r>
          </w:p>
        </w:tc>
        <w:tc>
          <w:tcPr>
            <w:tcW w:w="3003" w:type="dxa"/>
          </w:tcPr>
          <w:p>
            <w:pPr>
              <w:spacing w:after="0" w:line="260" w:lineRule="auto"/>
              <w:jc w:val="left"/>
            </w:pPr>
            <w:r>
              <w:rPr>
                <w:rFonts w:ascii="Calibri" w:hAnsi="Calibri"/>
                <w:color w:val="212121"/>
                <w:sz w:val="19"/>
              </w:rPr>
              <w:t xml:space="preserve">Mishap Protocol activations per 1,000 transits, rolling quarter</w:t>
            </w:r>
          </w:p>
        </w:tc>
        <w:tc>
          <w:tcPr>
            <w:tcW w:w="3004" w:type="dxa"/>
          </w:tcPr>
          <w:p>
            <w:pPr>
              <w:spacing w:after="0" w:line="260" w:lineRule="auto"/>
              <w:jc w:val="left"/>
            </w:pPr>
            <w:r>
              <w:rPr>
                <w:rFonts w:ascii="Calibri" w:hAnsi="Calibri"/>
                <w:color w:val="212121"/>
                <w:sz w:val="19"/>
              </w:rPr>
              <w:t xml:space="preserve">Declining trend after Phase Two</w:t>
            </w:r>
          </w:p>
        </w:tc>
      </w:tr>
      <w:tr>
        <w:tc>
          <w:tcPr>
            <w:tcW w:w="3003" w:type="dxa"/>
          </w:tcPr>
          <w:p>
            <w:pPr>
              <w:spacing w:after="0" w:line="260" w:lineRule="auto"/>
              <w:jc w:val="left"/>
            </w:pPr>
            <w:r>
              <w:rPr>
                <w:rFonts w:ascii="Calibri" w:hAnsi="Calibri"/>
                <w:color w:val="212121"/>
                <w:sz w:val="19"/>
              </w:rPr>
              <w:t xml:space="preserve">Interference events</w:t>
            </w:r>
          </w:p>
        </w:tc>
        <w:tc>
          <w:tcPr>
            <w:tcW w:w="3003" w:type="dxa"/>
          </w:tcPr>
          <w:p>
            <w:pPr>
              <w:spacing w:after="0" w:line="260" w:lineRule="auto"/>
              <w:jc w:val="left"/>
            </w:pPr>
            <w:r>
              <w:rPr>
                <w:rFonts w:ascii="Calibri" w:hAnsi="Calibri"/>
                <w:color w:val="212121"/>
                <w:sz w:val="19"/>
              </w:rPr>
              <w:t xml:space="preserve">Verified interference events per quarter</w:t>
            </w:r>
          </w:p>
        </w:tc>
        <w:tc>
          <w:tcPr>
            <w:tcW w:w="3004" w:type="dxa"/>
          </w:tcPr>
          <w:p>
            <w:pPr>
              <w:spacing w:after="0" w:line="260" w:lineRule="auto"/>
              <w:jc w:val="left"/>
            </w:pPr>
            <w:r>
              <w:rPr>
                <w:rFonts w:ascii="Calibri" w:hAnsi="Calibri"/>
                <w:color w:val="212121"/>
                <w:sz w:val="19"/>
              </w:rPr>
              <w:t xml:space="preserve">Zero</w:t>
            </w:r>
          </w:p>
        </w:tc>
      </w:tr>
      <w:tr>
        <w:tc>
          <w:tcPr>
            <w:tcW w:w="3003" w:type="dxa"/>
          </w:tcPr>
          <w:p>
            <w:pPr>
              <w:spacing w:after="0" w:line="260" w:lineRule="auto"/>
              <w:jc w:val="left"/>
            </w:pPr>
            <w:r>
              <w:rPr>
                <w:rFonts w:ascii="Calibri" w:hAnsi="Calibri"/>
                <w:color w:val="212121"/>
                <w:sz w:val="19"/>
              </w:rPr>
              <w:t xml:space="preserve">Humanitarian response time</w:t>
            </w:r>
          </w:p>
        </w:tc>
        <w:tc>
          <w:tcPr>
            <w:tcW w:w="3003" w:type="dxa"/>
          </w:tcPr>
          <w:p>
            <w:pPr>
              <w:spacing w:after="0" w:line="260" w:lineRule="auto"/>
              <w:jc w:val="left"/>
            </w:pPr>
            <w:r>
              <w:rPr>
                <w:rFonts w:ascii="Calibri" w:hAnsi="Calibri"/>
                <w:color w:val="212121"/>
                <w:sz w:val="19"/>
              </w:rPr>
              <w:t xml:space="preserve">Distress call to first asset on scene, by sector</w:t>
            </w:r>
          </w:p>
        </w:tc>
        <w:tc>
          <w:tcPr>
            <w:tcW w:w="3004" w:type="dxa"/>
          </w:tcPr>
          <w:p>
            <w:pPr>
              <w:spacing w:after="0" w:line="260" w:lineRule="auto"/>
              <w:jc w:val="left"/>
            </w:pPr>
            <w:r>
              <w:rPr>
                <w:rFonts w:ascii="Calibri" w:hAnsi="Calibri"/>
                <w:color w:val="212121"/>
                <w:sz w:val="19"/>
              </w:rPr>
              <w:t xml:space="preserve">At or below 60 minutes</w:t>
            </w:r>
          </w:p>
        </w:tc>
      </w:tr>
      <w:tr>
        <w:tc>
          <w:tcPr>
            <w:tcW w:w="3003" w:type="dxa"/>
          </w:tcPr>
          <w:p>
            <w:pPr>
              <w:spacing w:after="0" w:line="260" w:lineRule="auto"/>
              <w:jc w:val="left"/>
            </w:pPr>
            <w:r>
              <w:rPr>
                <w:rFonts w:ascii="Calibri" w:hAnsi="Calibri"/>
                <w:color w:val="212121"/>
                <w:sz w:val="19"/>
              </w:rPr>
              <w:t xml:space="preserve">War-risk premium index</w:t>
            </w:r>
          </w:p>
        </w:tc>
        <w:tc>
          <w:tcPr>
            <w:tcW w:w="3003" w:type="dxa"/>
          </w:tcPr>
          <w:p>
            <w:pPr>
              <w:spacing w:after="0" w:line="260" w:lineRule="auto"/>
              <w:jc w:val="left"/>
            </w:pPr>
            <w:r>
              <w:rPr>
                <w:rFonts w:ascii="Calibri" w:hAnsi="Calibri"/>
                <w:color w:val="212121"/>
                <w:sz w:val="19"/>
              </w:rPr>
              <w:t xml:space="preserve">Market multiple over pre-crisis level, weekly</w:t>
            </w:r>
          </w:p>
        </w:tc>
        <w:tc>
          <w:tcPr>
            <w:tcW w:w="3004" w:type="dxa"/>
          </w:tcPr>
          <w:p>
            <w:pPr>
              <w:spacing w:after="0" w:line="260" w:lineRule="auto"/>
              <w:jc w:val="left"/>
            </w:pPr>
            <w:r>
              <w:rPr>
                <w:rFonts w:ascii="Calibri" w:hAnsi="Calibri"/>
                <w:color w:val="212121"/>
                <w:sz w:val="19"/>
              </w:rPr>
              <w:t xml:space="preserve">Per the Annex C.7 schedule</w:t>
            </w:r>
          </w:p>
        </w:tc>
      </w:tr>
      <w:tr>
        <w:tc>
          <w:tcPr>
            <w:tcW w:w="3003" w:type="dxa"/>
          </w:tcPr>
          <w:p>
            <w:pPr>
              <w:spacing w:after="0" w:line="260" w:lineRule="auto"/>
              <w:jc w:val="left"/>
            </w:pPr>
            <w:r>
              <w:rPr>
                <w:rFonts w:ascii="Calibri" w:hAnsi="Calibri"/>
                <w:color w:val="212121"/>
                <w:sz w:val="19"/>
              </w:rPr>
              <w:t xml:space="preserve">Service quality index</w:t>
            </w:r>
          </w:p>
        </w:tc>
        <w:tc>
          <w:tcPr>
            <w:tcW w:w="3003" w:type="dxa"/>
          </w:tcPr>
          <w:p>
            <w:pPr>
              <w:spacing w:after="0" w:line="260" w:lineRule="auto"/>
              <w:jc w:val="left"/>
            </w:pPr>
            <w:r>
              <w:rPr>
                <w:rFonts w:ascii="Calibri" w:hAnsi="Calibri"/>
                <w:color w:val="212121"/>
                <w:sz w:val="19"/>
              </w:rPr>
              <w:t xml:space="preserve">Acknowledgment, escort punctuality, survey currency, aid availability</w:t>
            </w:r>
          </w:p>
        </w:tc>
        <w:tc>
          <w:tcPr>
            <w:tcW w:w="3004" w:type="dxa"/>
          </w:tcPr>
          <w:p>
            <w:pPr>
              <w:spacing w:after="0" w:line="260" w:lineRule="auto"/>
              <w:jc w:val="left"/>
            </w:pPr>
            <w:r>
              <w:rPr>
                <w:rFonts w:ascii="Calibri" w:hAnsi="Calibri"/>
                <w:color w:val="212121"/>
                <w:sz w:val="19"/>
              </w:rPr>
              <w:t xml:space="preserve">At or above benchmark for every delivering state</w:t>
            </w:r>
          </w:p>
        </w:tc>
      </w:tr>
      <w:tr>
        <w:tc>
          <w:tcPr>
            <w:tcW w:w="3003" w:type="dxa"/>
          </w:tcPr>
          <w:p>
            <w:pPr>
              <w:spacing w:after="0" w:line="260" w:lineRule="auto"/>
              <w:jc w:val="left"/>
            </w:pPr>
            <w:r>
              <w:rPr>
                <w:rFonts w:ascii="Calibri" w:hAnsi="Calibri"/>
                <w:color w:val="212121"/>
                <w:sz w:val="19"/>
              </w:rPr>
              <w:t xml:space="preserve">Patrol completion</w:t>
            </w:r>
          </w:p>
        </w:tc>
        <w:tc>
          <w:tcPr>
            <w:tcW w:w="3003" w:type="dxa"/>
          </w:tcPr>
          <w:p>
            <w:pPr>
              <w:spacing w:after="0" w:line="260" w:lineRule="auto"/>
              <w:jc w:val="left"/>
            </w:pPr>
            <w:r>
              <w:rPr>
                <w:rFonts w:ascii="Calibri" w:hAnsi="Calibri"/>
                <w:color w:val="212121"/>
                <w:sz w:val="19"/>
              </w:rPr>
              <w:t xml:space="preserve">Ground-truth patrols executed against schedule</w:t>
            </w:r>
          </w:p>
        </w:tc>
        <w:tc>
          <w:tcPr>
            <w:tcW w:w="3004" w:type="dxa"/>
          </w:tcPr>
          <w:p>
            <w:pPr>
              <w:spacing w:after="0" w:line="260" w:lineRule="auto"/>
              <w:jc w:val="left"/>
            </w:pPr>
            <w:r>
              <w:rPr>
                <w:rFonts w:ascii="Calibri" w:hAnsi="Calibri"/>
                <w:color w:val="212121"/>
                <w:sz w:val="19"/>
              </w:rPr>
              <w:t xml:space="preserve">100 percent</w:t>
            </w:r>
          </w:p>
        </w:tc>
      </w:tr>
      <w:tr>
        <w:tc>
          <w:tcPr>
            <w:tcW w:w="3003" w:type="dxa"/>
          </w:tcPr>
          <w:p>
            <w:pPr>
              <w:spacing w:after="0" w:line="260" w:lineRule="auto"/>
              <w:jc w:val="left"/>
            </w:pPr>
            <w:r>
              <w:rPr>
                <w:rFonts w:ascii="Calibri" w:hAnsi="Calibri"/>
                <w:color w:val="212121"/>
                <w:sz w:val="19"/>
              </w:rPr>
              <w:t xml:space="preserve">Observer coverage</w:t>
            </w:r>
          </w:p>
        </w:tc>
        <w:tc>
          <w:tcPr>
            <w:tcW w:w="3003" w:type="dxa"/>
          </w:tcPr>
          <w:p>
            <w:pPr>
              <w:spacing w:after="0" w:line="260" w:lineRule="auto"/>
              <w:jc w:val="left"/>
            </w:pPr>
            <w:r>
              <w:rPr>
                <w:rFonts w:ascii="Calibri" w:hAnsi="Calibri"/>
                <w:color w:val="212121"/>
                <w:sz w:val="19"/>
              </w:rPr>
              <w:t xml:space="preserve">Transits with embarked or assigned observation</w:t>
            </w:r>
          </w:p>
        </w:tc>
        <w:tc>
          <w:tcPr>
            <w:tcW w:w="3004" w:type="dxa"/>
          </w:tcPr>
          <w:p>
            <w:pPr>
              <w:spacing w:after="0" w:line="260" w:lineRule="auto"/>
              <w:jc w:val="left"/>
            </w:pPr>
            <w:r>
              <w:rPr>
                <w:rFonts w:ascii="Calibri" w:hAnsi="Calibri"/>
                <w:color w:val="212121"/>
                <w:sz w:val="19"/>
              </w:rPr>
              <w:t xml:space="preserve">At or above 5 percent</w:t>
            </w:r>
          </w:p>
        </w:tc>
      </w:tr>
      <w:tr>
        <w:tc>
          <w:tcPr>
            <w:tcW w:w="3003" w:type="dxa"/>
          </w:tcPr>
          <w:p>
            <w:pPr>
              <w:spacing w:after="0" w:line="260" w:lineRule="auto"/>
              <w:jc w:val="left"/>
            </w:pPr>
            <w:r>
              <w:rPr>
                <w:rFonts w:ascii="Calibri" w:hAnsi="Calibri"/>
                <w:color w:val="212121"/>
                <w:sz w:val="19"/>
              </w:rPr>
              <w:t xml:space="preserve">Bulletin reliability</w:t>
            </w:r>
          </w:p>
        </w:tc>
        <w:tc>
          <w:tcPr>
            <w:tcW w:w="3003" w:type="dxa"/>
          </w:tcPr>
          <w:p>
            <w:pPr>
              <w:spacing w:after="0" w:line="260" w:lineRule="auto"/>
              <w:jc w:val="left"/>
            </w:pPr>
            <w:r>
              <w:rPr>
                <w:rFonts w:ascii="Calibri" w:hAnsi="Calibri"/>
                <w:color w:val="212121"/>
                <w:sz w:val="19"/>
              </w:rPr>
              <w:t xml:space="preserve">Scheduled Bulletins published on time</w:t>
            </w:r>
          </w:p>
        </w:tc>
        <w:tc>
          <w:tcPr>
            <w:tcW w:w="3004" w:type="dxa"/>
          </w:tcPr>
          <w:p>
            <w:pPr>
              <w:spacing w:after="0" w:line="260" w:lineRule="auto"/>
              <w:jc w:val="left"/>
            </w:pPr>
            <w:r>
              <w:rPr>
                <w:rFonts w:ascii="Calibri" w:hAnsi="Calibri"/>
                <w:color w:val="212121"/>
                <w:sz w:val="19"/>
              </w:rPr>
              <w:t xml:space="preserve">100 percent</w:t>
            </w:r>
          </w:p>
        </w:tc>
      </w:tr>
      <w:tr>
        <w:tc>
          <w:tcPr>
            <w:tcW w:w="3003" w:type="dxa"/>
          </w:tcPr>
          <w:p>
            <w:pPr>
              <w:spacing w:after="0" w:line="260" w:lineRule="auto"/>
              <w:jc w:val="left"/>
            </w:pPr>
            <w:r>
              <w:rPr>
                <w:rFonts w:ascii="Calibri" w:hAnsi="Calibri"/>
                <w:color w:val="212121"/>
                <w:sz w:val="19"/>
              </w:rPr>
              <w:t xml:space="preserve">Audit findings closure</w:t>
            </w:r>
          </w:p>
        </w:tc>
        <w:tc>
          <w:tcPr>
            <w:tcW w:w="3003" w:type="dxa"/>
          </w:tcPr>
          <w:p>
            <w:pPr>
              <w:spacing w:after="0" w:line="260" w:lineRule="auto"/>
              <w:jc w:val="left"/>
            </w:pPr>
            <w:r>
              <w:rPr>
                <w:rFonts w:ascii="Calibri" w:hAnsi="Calibri"/>
                <w:color w:val="212121"/>
                <w:sz w:val="19"/>
              </w:rPr>
              <w:t xml:space="preserve">Technical audit findings cured on schedule</w:t>
            </w:r>
          </w:p>
        </w:tc>
        <w:tc>
          <w:tcPr>
            <w:tcW w:w="3004" w:type="dxa"/>
          </w:tcPr>
          <w:p>
            <w:pPr>
              <w:spacing w:after="0" w:line="260" w:lineRule="auto"/>
              <w:jc w:val="left"/>
            </w:pPr>
            <w:r>
              <w:rPr>
                <w:rFonts w:ascii="Calibri" w:hAnsi="Calibri"/>
                <w:color w:val="212121"/>
                <w:sz w:val="19"/>
              </w:rPr>
              <w:t xml:space="preserve">100 percent within tracked schedule</w:t>
            </w:r>
          </w:p>
        </w:tc>
      </w:tr>
      <w:tr>
        <w:tc>
          <w:tcPr>
            <w:tcW w:w="3003" w:type="dxa"/>
          </w:tcPr>
          <w:p>
            <w:pPr>
              <w:spacing w:after="0" w:line="260" w:lineRule="auto"/>
              <w:jc w:val="left"/>
            </w:pPr>
            <w:r>
              <w:rPr>
                <w:rFonts w:ascii="Calibri" w:hAnsi="Calibri"/>
                <w:color w:val="212121"/>
                <w:sz w:val="19"/>
              </w:rPr>
              <w:t xml:space="preserve">Suspended Flow hours</w:t>
            </w:r>
          </w:p>
        </w:tc>
        <w:tc>
          <w:tcPr>
            <w:tcW w:w="3003" w:type="dxa"/>
          </w:tcPr>
          <w:p>
            <w:pPr>
              <w:spacing w:after="0" w:line="260" w:lineRule="auto"/>
              <w:jc w:val="left"/>
            </w:pPr>
            <w:r>
              <w:rPr>
                <w:rFonts w:ascii="Calibri" w:hAnsi="Calibri"/>
                <w:color w:val="212121"/>
                <w:sz w:val="19"/>
              </w:rPr>
              <w:t xml:space="preserve">Area-hours under Suspended Flow per quarter</w:t>
            </w:r>
          </w:p>
        </w:tc>
        <w:tc>
          <w:tcPr>
            <w:tcW w:w="3004" w:type="dxa"/>
          </w:tcPr>
          <w:p>
            <w:pPr>
              <w:spacing w:after="0" w:line="260" w:lineRule="auto"/>
              <w:jc w:val="left"/>
            </w:pPr>
            <w:r>
              <w:rPr>
                <w:rFonts w:ascii="Calibri" w:hAnsi="Calibri"/>
                <w:color w:val="212121"/>
                <w:sz w:val="19"/>
              </w:rPr>
              <w:t xml:space="preserve">Declining trend; zero beyond 72 hours without Council decision</w:t>
            </w:r>
          </w:p>
        </w:tc>
      </w:tr>
    </w:tbl>
    <w:p>
      <w:pPr>
        <w:spacing w:after="60"/>
      </w:pPr>
    </w:p>
    <w:p>
      <w:pPr>
        <w:pStyle w:val="Caption"/>
      </w:pPr>
      <w:r>
        <w:t xml:space="preserve">Table R.1: Performance metrics</w:t>
      </w:r>
    </w:p>
    <w:p>
      <w:pPr>
        <w:pStyle w:val="Heading3"/>
      </w:pPr>
      <w:r>
        <w:t xml:space="preserve">R.2 Publication schedules</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3003"/>
        <w:gridCol w:w="3003"/>
        <w:gridCol w:w="3004"/>
      </w:tblGrid>
      <w:tr>
        <w:trPr>
          <w:tblHeader/>
        </w:trPr>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Product</w:t>
            </w:r>
          </w:p>
        </w:tc>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Frequency</w:t>
            </w:r>
          </w:p>
        </w:tc>
        <w:tc>
          <w:tcPr>
            <w:tcW w:w="3004" w:type="dxa"/>
            <w:tcBorders>
              <w:bottom w:val="single" w:color="546E7A" w:sz="6"/>
            </w:tcBorders>
            <w:shd w:val="clear" w:fill="E4E9EC"/>
          </w:tcPr>
          <w:p>
            <w:pPr>
              <w:spacing w:after="0" w:line="260" w:lineRule="auto"/>
              <w:jc w:val="left"/>
            </w:pPr>
            <w:r>
              <w:rPr>
                <w:rFonts w:ascii="Calibri" w:hAnsi="Calibri"/>
                <w:b/>
                <w:color w:val="37474F"/>
                <w:sz w:val="19"/>
              </w:rPr>
              <w:t xml:space="preserve">Publisher</w:t>
            </w:r>
          </w:p>
        </w:tc>
      </w:tr>
      <w:tr>
        <w:tc>
          <w:tcPr>
            <w:tcW w:w="3003" w:type="dxa"/>
          </w:tcPr>
          <w:p>
            <w:pPr>
              <w:spacing w:after="0" w:line="260" w:lineRule="auto"/>
              <w:jc w:val="left"/>
            </w:pPr>
            <w:r>
              <w:rPr>
                <w:rFonts w:ascii="Calibri" w:hAnsi="Calibri"/>
                <w:color w:val="212121"/>
                <w:sz w:val="19"/>
              </w:rPr>
              <w:t xml:space="preserve">Open Water Bulletin</w:t>
            </w:r>
          </w:p>
        </w:tc>
        <w:tc>
          <w:tcPr>
            <w:tcW w:w="3003" w:type="dxa"/>
          </w:tcPr>
          <w:p>
            <w:pPr>
              <w:spacing w:after="0" w:line="260" w:lineRule="auto"/>
              <w:jc w:val="left"/>
            </w:pPr>
            <w:r>
              <w:rPr>
                <w:rFonts w:ascii="Calibri" w:hAnsi="Calibri"/>
                <w:color w:val="212121"/>
                <w:sz w:val="19"/>
              </w:rPr>
              <w:t xml:space="preserve">Twice daily plus event updates</w:t>
            </w:r>
          </w:p>
        </w:tc>
        <w:tc>
          <w:tcPr>
            <w:tcW w:w="3004" w:type="dxa"/>
          </w:tcPr>
          <w:p>
            <w:pPr>
              <w:spacing w:after="0" w:line="260" w:lineRule="auto"/>
              <w:jc w:val="left"/>
            </w:pPr>
            <w:r>
              <w:rPr>
                <w:rFonts w:ascii="Calibri" w:hAnsi="Calibri"/>
                <w:color w:val="212121"/>
                <w:sz w:val="19"/>
              </w:rPr>
              <w:t xml:space="preserve">Meridian Operations Center</w:t>
            </w:r>
          </w:p>
        </w:tc>
      </w:tr>
      <w:tr>
        <w:tc>
          <w:tcPr>
            <w:tcW w:w="3003" w:type="dxa"/>
          </w:tcPr>
          <w:p>
            <w:pPr>
              <w:spacing w:after="0" w:line="260" w:lineRule="auto"/>
              <w:jc w:val="left"/>
            </w:pPr>
            <w:r>
              <w:rPr>
                <w:rFonts w:ascii="Calibri" w:hAnsi="Calibri"/>
                <w:color w:val="212121"/>
                <w:sz w:val="19"/>
              </w:rPr>
              <w:t xml:space="preserve">Weekly statistics and premium index</w:t>
            </w:r>
          </w:p>
        </w:tc>
        <w:tc>
          <w:tcPr>
            <w:tcW w:w="3003" w:type="dxa"/>
          </w:tcPr>
          <w:p>
            <w:pPr>
              <w:spacing w:after="0" w:line="260" w:lineRule="auto"/>
              <w:jc w:val="left"/>
            </w:pPr>
            <w:r>
              <w:rPr>
                <w:rFonts w:ascii="Calibri" w:hAnsi="Calibri"/>
                <w:color w:val="212121"/>
                <w:sz w:val="19"/>
              </w:rPr>
              <w:t xml:space="preserve">Weekly</w:t>
            </w:r>
          </w:p>
        </w:tc>
        <w:tc>
          <w:tcPr>
            <w:tcW w:w="3004" w:type="dxa"/>
          </w:tcPr>
          <w:p>
            <w:pPr>
              <w:spacing w:after="0" w:line="260" w:lineRule="auto"/>
              <w:jc w:val="left"/>
            </w:pPr>
            <w:r>
              <w:rPr>
                <w:rFonts w:ascii="Calibri" w:hAnsi="Calibri"/>
                <w:color w:val="212121"/>
                <w:sz w:val="19"/>
              </w:rPr>
              <w:t xml:space="preserve">Meridian Operations Center</w:t>
            </w:r>
          </w:p>
        </w:tc>
      </w:tr>
      <w:tr>
        <w:tc>
          <w:tcPr>
            <w:tcW w:w="3003" w:type="dxa"/>
          </w:tcPr>
          <w:p>
            <w:pPr>
              <w:spacing w:after="0" w:line="260" w:lineRule="auto"/>
              <w:jc w:val="left"/>
            </w:pPr>
            <w:r>
              <w:rPr>
                <w:rFonts w:ascii="Calibri" w:hAnsi="Calibri"/>
                <w:color w:val="212121"/>
                <w:sz w:val="19"/>
              </w:rPr>
              <w:t xml:space="preserve">Neutral Keel observation summary</w:t>
            </w:r>
          </w:p>
        </w:tc>
        <w:tc>
          <w:tcPr>
            <w:tcW w:w="3003" w:type="dxa"/>
          </w:tcPr>
          <w:p>
            <w:pPr>
              <w:spacing w:after="0" w:line="260" w:lineRule="auto"/>
              <w:jc w:val="left"/>
            </w:pPr>
            <w:r>
              <w:rPr>
                <w:rFonts w:ascii="Calibri" w:hAnsi="Calibri"/>
                <w:color w:val="212121"/>
                <w:sz w:val="19"/>
              </w:rPr>
              <w:t xml:space="preserve">Weekly</w:t>
            </w:r>
          </w:p>
        </w:tc>
        <w:tc>
          <w:tcPr>
            <w:tcW w:w="3004" w:type="dxa"/>
          </w:tcPr>
          <w:p>
            <w:pPr>
              <w:spacing w:after="0" w:line="260" w:lineRule="auto"/>
              <w:jc w:val="left"/>
            </w:pPr>
            <w:r>
              <w:rPr>
                <w:rFonts w:ascii="Calibri" w:hAnsi="Calibri"/>
                <w:color w:val="212121"/>
                <w:sz w:val="19"/>
              </w:rPr>
              <w:t xml:space="preserve">Neutral Keel Office</w:t>
            </w:r>
          </w:p>
        </w:tc>
      </w:tr>
      <w:tr>
        <w:tc>
          <w:tcPr>
            <w:tcW w:w="3003" w:type="dxa"/>
          </w:tcPr>
          <w:p>
            <w:pPr>
              <w:spacing w:after="0" w:line="260" w:lineRule="auto"/>
              <w:jc w:val="left"/>
            </w:pPr>
            <w:r>
              <w:rPr>
                <w:rFonts w:ascii="Calibri" w:hAnsi="Calibri"/>
                <w:color w:val="212121"/>
                <w:sz w:val="19"/>
              </w:rPr>
              <w:t xml:space="preserve">Notification-desk audit</w:t>
            </w:r>
          </w:p>
        </w:tc>
        <w:tc>
          <w:tcPr>
            <w:tcW w:w="3003" w:type="dxa"/>
          </w:tcPr>
          <w:p>
            <w:pPr>
              <w:spacing w:after="0" w:line="260" w:lineRule="auto"/>
              <w:jc w:val="left"/>
            </w:pPr>
            <w:r>
              <w:rPr>
                <w:rFonts w:ascii="Calibri" w:hAnsi="Calibri"/>
                <w:color w:val="212121"/>
                <w:sz w:val="19"/>
              </w:rPr>
              <w:t xml:space="preserve">Monthly</w:t>
            </w:r>
          </w:p>
        </w:tc>
        <w:tc>
          <w:tcPr>
            <w:tcW w:w="3004" w:type="dxa"/>
          </w:tcPr>
          <w:p>
            <w:pPr>
              <w:spacing w:after="0" w:line="260" w:lineRule="auto"/>
              <w:jc w:val="left"/>
            </w:pPr>
            <w:r>
              <w:rPr>
                <w:rFonts w:ascii="Calibri" w:hAnsi="Calibri"/>
                <w:color w:val="212121"/>
                <w:sz w:val="19"/>
              </w:rPr>
              <w:t xml:space="preserve">Neutral Keel Office</w:t>
            </w:r>
          </w:p>
        </w:tc>
      </w:tr>
      <w:tr>
        <w:tc>
          <w:tcPr>
            <w:tcW w:w="3003" w:type="dxa"/>
          </w:tcPr>
          <w:p>
            <w:pPr>
              <w:spacing w:after="0" w:line="260" w:lineRule="auto"/>
              <w:jc w:val="left"/>
            </w:pPr>
            <w:r>
              <w:rPr>
                <w:rFonts w:ascii="Calibri" w:hAnsi="Calibri"/>
                <w:color w:val="212121"/>
                <w:sz w:val="19"/>
              </w:rPr>
              <w:t xml:space="preserve">Fund statement</w:t>
            </w:r>
          </w:p>
        </w:tc>
        <w:tc>
          <w:tcPr>
            <w:tcW w:w="3003" w:type="dxa"/>
          </w:tcPr>
          <w:p>
            <w:pPr>
              <w:spacing w:after="0" w:line="260" w:lineRule="auto"/>
              <w:jc w:val="left"/>
            </w:pPr>
            <w:r>
              <w:rPr>
                <w:rFonts w:ascii="Calibri" w:hAnsi="Calibri"/>
                <w:color w:val="212121"/>
                <w:sz w:val="19"/>
              </w:rPr>
              <w:t xml:space="preserve">Monthly</w:t>
            </w:r>
          </w:p>
        </w:tc>
        <w:tc>
          <w:tcPr>
            <w:tcW w:w="3004" w:type="dxa"/>
          </w:tcPr>
          <w:p>
            <w:pPr>
              <w:spacing w:after="0" w:line="260" w:lineRule="auto"/>
              <w:jc w:val="left"/>
            </w:pPr>
            <w:r>
              <w:rPr>
                <w:rFonts w:ascii="Calibri" w:hAnsi="Calibri"/>
                <w:color w:val="212121"/>
                <w:sz w:val="19"/>
              </w:rPr>
              <w:t xml:space="preserve">Neutral Administrator</w:t>
            </w:r>
          </w:p>
        </w:tc>
      </w:tr>
      <w:tr>
        <w:tc>
          <w:tcPr>
            <w:tcW w:w="3003" w:type="dxa"/>
          </w:tcPr>
          <w:p>
            <w:pPr>
              <w:spacing w:after="0" w:line="260" w:lineRule="auto"/>
              <w:jc w:val="left"/>
            </w:pPr>
            <w:r>
              <w:rPr>
                <w:rFonts w:ascii="Calibri" w:hAnsi="Calibri"/>
                <w:color w:val="212121"/>
                <w:sz w:val="19"/>
              </w:rPr>
              <w:t xml:space="preserve">Reciprocity Ledger and standings</w:t>
            </w:r>
          </w:p>
        </w:tc>
        <w:tc>
          <w:tcPr>
            <w:tcW w:w="3003" w:type="dxa"/>
          </w:tcPr>
          <w:p>
            <w:pPr>
              <w:spacing w:after="0" w:line="260" w:lineRule="auto"/>
              <w:jc w:val="left"/>
            </w:pPr>
            <w:r>
              <w:rPr>
                <w:rFonts w:ascii="Calibri" w:hAnsi="Calibri"/>
                <w:color w:val="212121"/>
                <w:sz w:val="19"/>
              </w:rPr>
              <w:t xml:space="preserve">Quarterly</w:t>
            </w:r>
          </w:p>
        </w:tc>
        <w:tc>
          <w:tcPr>
            <w:tcW w:w="3004" w:type="dxa"/>
          </w:tcPr>
          <w:p>
            <w:pPr>
              <w:spacing w:after="0" w:line="260" w:lineRule="auto"/>
              <w:jc w:val="left"/>
            </w:pPr>
            <w:r>
              <w:rPr>
                <w:rFonts w:ascii="Calibri" w:hAnsi="Calibri"/>
                <w:color w:val="212121"/>
                <w:sz w:val="19"/>
              </w:rPr>
              <w:t xml:space="preserve">Neutral Administrator, audited by the Neutral Keel Office</w:t>
            </w:r>
          </w:p>
        </w:tc>
      </w:tr>
      <w:tr>
        <w:tc>
          <w:tcPr>
            <w:tcW w:w="3003" w:type="dxa"/>
          </w:tcPr>
          <w:p>
            <w:pPr>
              <w:spacing w:after="0" w:line="260" w:lineRule="auto"/>
              <w:jc w:val="left"/>
            </w:pPr>
            <w:r>
              <w:rPr>
                <w:rFonts w:ascii="Calibri" w:hAnsi="Calibri"/>
                <w:color w:val="212121"/>
                <w:sz w:val="19"/>
              </w:rPr>
              <w:t xml:space="preserve">Environmental report</w:t>
            </w:r>
          </w:p>
        </w:tc>
        <w:tc>
          <w:tcPr>
            <w:tcW w:w="3003" w:type="dxa"/>
          </w:tcPr>
          <w:p>
            <w:pPr>
              <w:spacing w:after="0" w:line="260" w:lineRule="auto"/>
              <w:jc w:val="left"/>
            </w:pPr>
            <w:r>
              <w:rPr>
                <w:rFonts w:ascii="Calibri" w:hAnsi="Calibri"/>
                <w:color w:val="212121"/>
                <w:sz w:val="19"/>
              </w:rPr>
              <w:t xml:space="preserve">Quarterly</w:t>
            </w:r>
          </w:p>
        </w:tc>
        <w:tc>
          <w:tcPr>
            <w:tcW w:w="3004" w:type="dxa"/>
          </w:tcPr>
          <w:p>
            <w:pPr>
              <w:spacing w:after="0" w:line="260" w:lineRule="auto"/>
              <w:jc w:val="left"/>
            </w:pPr>
            <w:r>
              <w:rPr>
                <w:rFonts w:ascii="Calibri" w:hAnsi="Calibri"/>
                <w:color w:val="212121"/>
                <w:sz w:val="19"/>
              </w:rPr>
              <w:t xml:space="preserve">Meridian Operations Center</w:t>
            </w:r>
          </w:p>
        </w:tc>
      </w:tr>
      <w:tr>
        <w:tc>
          <w:tcPr>
            <w:tcW w:w="3003" w:type="dxa"/>
          </w:tcPr>
          <w:p>
            <w:pPr>
              <w:spacing w:after="0" w:line="260" w:lineRule="auto"/>
              <w:jc w:val="left"/>
            </w:pPr>
            <w:r>
              <w:rPr>
                <w:rFonts w:ascii="Calibri" w:hAnsi="Calibri"/>
                <w:color w:val="212121"/>
                <w:sz w:val="19"/>
              </w:rPr>
              <w:t xml:space="preserve">Service quality index</w:t>
            </w:r>
          </w:p>
        </w:tc>
        <w:tc>
          <w:tcPr>
            <w:tcW w:w="3003" w:type="dxa"/>
          </w:tcPr>
          <w:p>
            <w:pPr>
              <w:spacing w:after="0" w:line="260" w:lineRule="auto"/>
              <w:jc w:val="left"/>
            </w:pPr>
            <w:r>
              <w:rPr>
                <w:rFonts w:ascii="Calibri" w:hAnsi="Calibri"/>
                <w:color w:val="212121"/>
                <w:sz w:val="19"/>
              </w:rPr>
              <w:t xml:space="preserve">Quarterly</w:t>
            </w:r>
          </w:p>
        </w:tc>
        <w:tc>
          <w:tcPr>
            <w:tcW w:w="3004" w:type="dxa"/>
          </w:tcPr>
          <w:p>
            <w:pPr>
              <w:spacing w:after="0" w:line="260" w:lineRule="auto"/>
              <w:jc w:val="left"/>
            </w:pPr>
            <w:r>
              <w:rPr>
                <w:rFonts w:ascii="Calibri" w:hAnsi="Calibri"/>
                <w:color w:val="212121"/>
                <w:sz w:val="19"/>
              </w:rPr>
              <w:t xml:space="preserve">Neutral Keel Office</w:t>
            </w:r>
          </w:p>
        </w:tc>
      </w:tr>
      <w:tr>
        <w:tc>
          <w:tcPr>
            <w:tcW w:w="3003" w:type="dxa"/>
          </w:tcPr>
          <w:p>
            <w:pPr>
              <w:spacing w:after="0" w:line="260" w:lineRule="auto"/>
              <w:jc w:val="left"/>
            </w:pPr>
            <w:r>
              <w:rPr>
                <w:rFonts w:ascii="Calibri" w:hAnsi="Calibri"/>
                <w:color w:val="212121"/>
                <w:sz w:val="19"/>
              </w:rPr>
              <w:t xml:space="preserve">Audit summaries</w:t>
            </w:r>
          </w:p>
        </w:tc>
        <w:tc>
          <w:tcPr>
            <w:tcW w:w="3003" w:type="dxa"/>
          </w:tcPr>
          <w:p>
            <w:pPr>
              <w:spacing w:after="0" w:line="260" w:lineRule="auto"/>
              <w:jc w:val="left"/>
            </w:pPr>
            <w:r>
              <w:rPr>
                <w:rFonts w:ascii="Calibri" w:hAnsi="Calibri"/>
                <w:color w:val="212121"/>
                <w:sz w:val="19"/>
              </w:rPr>
              <w:t xml:space="preserve">Annual and per engagement</w:t>
            </w:r>
          </w:p>
        </w:tc>
        <w:tc>
          <w:tcPr>
            <w:tcW w:w="3004" w:type="dxa"/>
          </w:tcPr>
          <w:p>
            <w:pPr>
              <w:spacing w:after="0" w:line="260" w:lineRule="auto"/>
              <w:jc w:val="left"/>
            </w:pPr>
            <w:r>
              <w:rPr>
                <w:rFonts w:ascii="Calibri" w:hAnsi="Calibri"/>
                <w:color w:val="212121"/>
                <w:sz w:val="19"/>
              </w:rPr>
              <w:t xml:space="preserve">External auditor; Neutral Keel Office</w:t>
            </w:r>
          </w:p>
        </w:tc>
      </w:tr>
      <w:tr>
        <w:tc>
          <w:tcPr>
            <w:tcW w:w="3003" w:type="dxa"/>
          </w:tcPr>
          <w:p>
            <w:pPr>
              <w:spacing w:after="0" w:line="260" w:lineRule="auto"/>
              <w:jc w:val="left"/>
            </w:pPr>
            <w:r>
              <w:rPr>
                <w:rFonts w:ascii="Calibri" w:hAnsi="Calibri"/>
                <w:color w:val="212121"/>
                <w:sz w:val="19"/>
              </w:rPr>
              <w:t xml:space="preserve">Incident trends and decision-log analysis</w:t>
            </w:r>
          </w:p>
        </w:tc>
        <w:tc>
          <w:tcPr>
            <w:tcW w:w="3003" w:type="dxa"/>
          </w:tcPr>
          <w:p>
            <w:pPr>
              <w:spacing w:after="0" w:line="260" w:lineRule="auto"/>
              <w:jc w:val="left"/>
            </w:pPr>
            <w:r>
              <w:rPr>
                <w:rFonts w:ascii="Calibri" w:hAnsi="Calibri"/>
                <w:color w:val="212121"/>
                <w:sz w:val="19"/>
              </w:rPr>
              <w:t xml:space="preserve">Annual</w:t>
            </w:r>
          </w:p>
        </w:tc>
        <w:tc>
          <w:tcPr>
            <w:tcW w:w="3004" w:type="dxa"/>
          </w:tcPr>
          <w:p>
            <w:pPr>
              <w:spacing w:after="0" w:line="260" w:lineRule="auto"/>
              <w:jc w:val="left"/>
            </w:pPr>
            <w:r>
              <w:rPr>
                <w:rFonts w:ascii="Calibri" w:hAnsi="Calibri"/>
                <w:color w:val="212121"/>
                <w:sz w:val="19"/>
              </w:rPr>
              <w:t xml:space="preserve">Meridian Operations Center</w:t>
            </w:r>
          </w:p>
        </w:tc>
      </w:tr>
      <w:tr>
        <w:tc>
          <w:tcPr>
            <w:tcW w:w="3003" w:type="dxa"/>
          </w:tcPr>
          <w:p>
            <w:pPr>
              <w:spacing w:after="0" w:line="260" w:lineRule="auto"/>
              <w:jc w:val="left"/>
            </w:pPr>
            <w:r>
              <w:rPr>
                <w:rFonts w:ascii="Calibri" w:hAnsi="Calibri"/>
                <w:color w:val="212121"/>
                <w:sz w:val="19"/>
              </w:rPr>
              <w:t xml:space="preserve">State of the Strait report</w:t>
            </w:r>
          </w:p>
        </w:tc>
        <w:tc>
          <w:tcPr>
            <w:tcW w:w="3003" w:type="dxa"/>
          </w:tcPr>
          <w:p>
            <w:pPr>
              <w:spacing w:after="0" w:line="260" w:lineRule="auto"/>
              <w:jc w:val="left"/>
            </w:pPr>
            <w:r>
              <w:rPr>
                <w:rFonts w:ascii="Calibri" w:hAnsi="Calibri"/>
                <w:color w:val="212121"/>
                <w:sz w:val="19"/>
              </w:rPr>
              <w:t xml:space="preserve">Annual, per Article 11.8</w:t>
            </w:r>
          </w:p>
        </w:tc>
        <w:tc>
          <w:tcPr>
            <w:tcW w:w="3004" w:type="dxa"/>
          </w:tcPr>
          <w:p>
            <w:pPr>
              <w:spacing w:after="0" w:line="260" w:lineRule="auto"/>
              <w:jc w:val="left"/>
            </w:pPr>
            <w:r>
              <w:rPr>
                <w:rFonts w:ascii="Calibri" w:hAnsi="Calibri"/>
                <w:color w:val="212121"/>
                <w:sz w:val="19"/>
              </w:rPr>
              <w:t xml:space="preserve">Meridian Operations Center</w:t>
            </w:r>
          </w:p>
        </w:tc>
      </w:tr>
      <w:tr>
        <w:tc>
          <w:tcPr>
            <w:tcW w:w="3003" w:type="dxa"/>
          </w:tcPr>
          <w:p>
            <w:pPr>
              <w:spacing w:after="0" w:line="260" w:lineRule="auto"/>
              <w:jc w:val="left"/>
            </w:pPr>
            <w:r>
              <w:rPr>
                <w:rFonts w:ascii="Calibri" w:hAnsi="Calibri"/>
                <w:color w:val="212121"/>
                <w:sz w:val="19"/>
              </w:rPr>
              <w:t xml:space="preserve">Integrity review of the protected core</w:t>
            </w:r>
          </w:p>
        </w:tc>
        <w:tc>
          <w:tcPr>
            <w:tcW w:w="3003" w:type="dxa"/>
          </w:tcPr>
          <w:p>
            <w:pPr>
              <w:spacing w:after="0" w:line="260" w:lineRule="auto"/>
              <w:jc w:val="left"/>
            </w:pPr>
            <w:r>
              <w:rPr>
                <w:rFonts w:ascii="Calibri" w:hAnsi="Calibri"/>
                <w:color w:val="212121"/>
                <w:sz w:val="19"/>
              </w:rPr>
              <w:t xml:space="preserve">Annual, per Article 36.5</w:t>
            </w:r>
          </w:p>
        </w:tc>
        <w:tc>
          <w:tcPr>
            <w:tcW w:w="3004" w:type="dxa"/>
          </w:tcPr>
          <w:p>
            <w:pPr>
              <w:spacing w:after="0" w:line="260" w:lineRule="auto"/>
              <w:jc w:val="left"/>
            </w:pPr>
            <w:r>
              <w:rPr>
                <w:rFonts w:ascii="Calibri" w:hAnsi="Calibri"/>
                <w:color w:val="212121"/>
                <w:sz w:val="19"/>
              </w:rPr>
              <w:t xml:space="preserve">Independent Assurance Council</w:t>
            </w:r>
          </w:p>
        </w:tc>
      </w:tr>
    </w:tbl>
    <w:p>
      <w:pPr>
        <w:spacing w:after="60"/>
      </w:pPr>
    </w:p>
    <w:p>
      <w:pPr>
        <w:pStyle w:val="Caption"/>
      </w:pPr>
      <w:r>
        <w:t xml:space="preserve">Table R.2: Publication schedules; every product reaches all Parties and the public tiers simultaneously</w:t>
      </w:r>
    </w:p>
    <w:p>
      <w:pPr>
        <w:pStyle w:val="Heading3"/>
      </w:pPr>
      <w:r>
        <w:t xml:space="preserve">R.3 Use of metrics</w:t>
      </w:r>
    </w:p>
    <w:p>
      <w:pPr/>
      <w:r>
        <w:t xml:space="preserve">Metrics inform the ladder, the quality premium, the standing formula, and the architecture review. A metric never classifies an event by itself: classification travels the human-anchored path of Article 31, with metrics as evidence, never as verdict.</w:t>
      </w:r>
    </w:p>
    <w:p>
      <w:pPr>
        <w:pStyle w:val="Heading1"/>
      </w:pPr>
      <w:r>
        <w:t xml:space="preserve">Annex S: Implementation Maturity Levels and Worked Examples</w:t>
      </w:r>
    </w:p>
    <w:p>
      <w:pPr>
        <w:pStyle w:val="Heading3"/>
      </w:pPr>
      <w:r>
        <w:t xml:space="preserve">S.1 The maturity scale</w:t>
      </w:r>
    </w:p>
    <w:p>
      <w:pPr/>
      <w:r>
        <w:t xml:space="preserve">The Accord describes its own operational maturity on a published scale, so that every participant and every market reads the system's development state without ambiguity. The phases of Article 37 mark activation; the maturity levels mark capability. The Council certifies the current level at each quarterly session on the Neutral Keel Office's assessment, and the certification publishes in the Bulletin. Maturity never gates rights: every right in this Accord operates at every level from entry into force.</w:t>
      </w:r>
    </w:p>
    <w:tbl>
      <w:tblPr>
        <w:tblW w:w="5000" w:type="pct"/>
        <w:tblBorders>
          <w:top w:val="single" w:color="546E7A" w:sz="10"/>
          <w:left w:val="nil"/>
          <w:bottom w:val="single" w:color="546E7A" w:sz="10"/>
          <w:right w:val="nil"/>
          <w:insideH w:val="single" w:color="B0BEC5" w:sz="1"/>
          <w:insideV w:val="nil"/>
        </w:tblBorders>
        <w:tblCellMar>
          <w:top w:w="70" w:type="dxa"/>
          <w:left w:w="100" w:type="dxa"/>
          <w:bottom w:w="70" w:type="dxa"/>
          <w:right w:w="100" w:type="dxa"/>
        </w:tblCellMar>
      </w:tblPr>
      <w:tblGrid>
        <w:gridCol w:w="3003"/>
        <w:gridCol w:w="3003"/>
        <w:gridCol w:w="3004"/>
      </w:tblGrid>
      <w:tr>
        <w:trPr>
          <w:tblHeader/>
        </w:trPr>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Level</w:t>
            </w:r>
          </w:p>
        </w:tc>
        <w:tc>
          <w:tcPr>
            <w:tcW w:w="3003" w:type="dxa"/>
            <w:tcBorders>
              <w:bottom w:val="single" w:color="546E7A" w:sz="6"/>
            </w:tcBorders>
            <w:shd w:val="clear" w:fill="E4E9EC"/>
          </w:tcPr>
          <w:p>
            <w:pPr>
              <w:spacing w:after="0" w:line="260" w:lineRule="auto"/>
              <w:jc w:val="left"/>
            </w:pPr>
            <w:r>
              <w:rPr>
                <w:rFonts w:ascii="Calibri" w:hAnsi="Calibri"/>
                <w:b/>
                <w:color w:val="37474F"/>
                <w:sz w:val="19"/>
              </w:rPr>
              <w:t xml:space="preserve">Name</w:t>
            </w:r>
          </w:p>
        </w:tc>
        <w:tc>
          <w:tcPr>
            <w:tcW w:w="3004" w:type="dxa"/>
            <w:tcBorders>
              <w:bottom w:val="single" w:color="546E7A" w:sz="6"/>
            </w:tcBorders>
            <w:shd w:val="clear" w:fill="E4E9EC"/>
          </w:tcPr>
          <w:p>
            <w:pPr>
              <w:spacing w:after="0" w:line="260" w:lineRule="auto"/>
              <w:jc w:val="left"/>
            </w:pPr>
            <w:r>
              <w:rPr>
                <w:rFonts w:ascii="Calibri" w:hAnsi="Calibri"/>
                <w:b/>
                <w:color w:val="37474F"/>
                <w:sz w:val="19"/>
              </w:rPr>
              <w:t xml:space="preserve">Capability description</w:t>
            </w:r>
          </w:p>
        </w:tc>
      </w:tr>
      <w:tr>
        <w:tc>
          <w:tcPr>
            <w:tcW w:w="3003" w:type="dxa"/>
          </w:tcPr>
          <w:p>
            <w:pPr>
              <w:spacing w:after="0" w:line="260" w:lineRule="auto"/>
              <w:jc w:val="left"/>
            </w:pPr>
            <w:r>
              <w:rPr>
                <w:rFonts w:ascii="Calibri" w:hAnsi="Calibri"/>
                <w:color w:val="212121"/>
                <w:sz w:val="19"/>
              </w:rPr>
              <w:t xml:space="preserve">Level 1</w:t>
            </w:r>
          </w:p>
        </w:tc>
        <w:tc>
          <w:tcPr>
            <w:tcW w:w="3003" w:type="dxa"/>
          </w:tcPr>
          <w:p>
            <w:pPr>
              <w:spacing w:after="0" w:line="260" w:lineRule="auto"/>
              <w:jc w:val="left"/>
            </w:pPr>
            <w:r>
              <w:rPr>
                <w:rFonts w:ascii="Calibri" w:hAnsi="Calibri"/>
                <w:color w:val="212121"/>
                <w:sz w:val="19"/>
              </w:rPr>
              <w:t xml:space="preserve">Basic operation</w:t>
            </w:r>
          </w:p>
        </w:tc>
        <w:tc>
          <w:tcPr>
            <w:tcW w:w="3004" w:type="dxa"/>
          </w:tcPr>
          <w:p>
            <w:pPr>
              <w:spacing w:after="0" w:line="260" w:lineRule="auto"/>
              <w:jc w:val="left"/>
            </w:pPr>
            <w:r>
              <w:rPr>
                <w:rFonts w:ascii="Calibri" w:hAnsi="Calibri"/>
                <w:color w:val="212121"/>
                <w:sz w:val="19"/>
              </w:rPr>
              <w:t xml:space="preserve">Watch floor live; both corridors scheduling; Bulletin publishing; acknowledgment-by-default tested; patrols and observers rotating; Fund executing first payments</w:t>
            </w:r>
          </w:p>
        </w:tc>
      </w:tr>
      <w:tr>
        <w:tc>
          <w:tcPr>
            <w:tcW w:w="3003" w:type="dxa"/>
          </w:tcPr>
          <w:p>
            <w:pPr>
              <w:spacing w:after="0" w:line="260" w:lineRule="auto"/>
              <w:jc w:val="left"/>
            </w:pPr>
            <w:r>
              <w:rPr>
                <w:rFonts w:ascii="Calibri" w:hAnsi="Calibri"/>
                <w:color w:val="212121"/>
                <w:sz w:val="19"/>
              </w:rPr>
              <w:t xml:space="preserve">Level 2</w:t>
            </w:r>
          </w:p>
        </w:tc>
        <w:tc>
          <w:tcPr>
            <w:tcW w:w="3003" w:type="dxa"/>
          </w:tcPr>
          <w:p>
            <w:pPr>
              <w:spacing w:after="0" w:line="260" w:lineRule="auto"/>
              <w:jc w:val="left"/>
            </w:pPr>
            <w:r>
              <w:rPr>
                <w:rFonts w:ascii="Calibri" w:hAnsi="Calibri"/>
                <w:color w:val="212121"/>
                <w:sz w:val="19"/>
              </w:rPr>
              <w:t xml:space="preserve">Integrated verification</w:t>
            </w:r>
          </w:p>
        </w:tc>
        <w:tc>
          <w:tcPr>
            <w:tcW w:w="3004" w:type="dxa"/>
          </w:tcPr>
          <w:p>
            <w:pPr>
              <w:spacing w:after="0" w:line="260" w:lineRule="auto"/>
              <w:jc w:val="left"/>
            </w:pPr>
            <w:r>
              <w:rPr>
                <w:rFonts w:ascii="Calibri" w:hAnsi="Calibri"/>
                <w:color w:val="212121"/>
                <w:sz w:val="19"/>
              </w:rPr>
              <w:t xml:space="preserve">Full verification stack operating with convergence discipline; observer coverage at target; signal-integrity watch live; cyber baseline of Article 26A certified; first stress-test cycle complete</w:t>
            </w:r>
          </w:p>
        </w:tc>
      </w:tr>
      <w:tr>
        <w:tc>
          <w:tcPr>
            <w:tcW w:w="3003" w:type="dxa"/>
          </w:tcPr>
          <w:p>
            <w:pPr>
              <w:spacing w:after="0" w:line="260" w:lineRule="auto"/>
              <w:jc w:val="left"/>
            </w:pPr>
            <w:r>
              <w:rPr>
                <w:rFonts w:ascii="Calibri" w:hAnsi="Calibri"/>
                <w:color w:val="212121"/>
                <w:sz w:val="19"/>
              </w:rPr>
              <w:t xml:space="preserve">Level 3</w:t>
            </w:r>
          </w:p>
        </w:tc>
        <w:tc>
          <w:tcPr>
            <w:tcW w:w="3003" w:type="dxa"/>
          </w:tcPr>
          <w:p>
            <w:pPr>
              <w:spacing w:after="0" w:line="260" w:lineRule="auto"/>
              <w:jc w:val="left"/>
            </w:pPr>
            <w:r>
              <w:rPr>
                <w:rFonts w:ascii="Calibri" w:hAnsi="Calibri"/>
                <w:color w:val="212121"/>
                <w:sz w:val="19"/>
              </w:rPr>
              <w:t xml:space="preserve">Full institutional capability</w:t>
            </w:r>
          </w:p>
        </w:tc>
        <w:tc>
          <w:tcPr>
            <w:tcW w:w="3004" w:type="dxa"/>
          </w:tcPr>
          <w:p>
            <w:pPr>
              <w:spacing w:after="0" w:line="260" w:lineRule="auto"/>
              <w:jc w:val="left"/>
            </w:pPr>
            <w:r>
              <w:rPr>
                <w:rFonts w:ascii="Calibri" w:hAnsi="Calibri"/>
                <w:color w:val="212121"/>
                <w:sz w:val="19"/>
              </w:rPr>
              <w:t xml:space="preserve">All organs operating at full staffing and parity; all publication schedules met for four consecutive quarters; metrics within target bands; first architecture review delivered</w:t>
            </w:r>
          </w:p>
        </w:tc>
      </w:tr>
    </w:tbl>
    <w:p>
      <w:pPr>
        <w:spacing w:after="60"/>
      </w:pPr>
    </w:p>
    <w:p>
      <w:pPr>
        <w:pStyle w:val="Caption"/>
      </w:pPr>
      <w:r>
        <w:t xml:space="preserve">Table S.1: Maturity levels; certification publishes quarterly</w:t>
      </w:r>
    </w:p>
    <w:p>
      <w:pPr>
        <w:pStyle w:val="Heading3"/>
      </w:pPr>
      <w:r>
        <w:t xml:space="preserve">S.2 Worked example: Class H verification with contradictory cargo documentation</w:t>
      </w:r>
    </w:p>
    <w:p>
      <w:pPr/>
      <w:r>
        <w:t xml:space="preserve">A product tanker files a Corridor Two notice declaring refined petroleum. A classification society refers the vessel under Article 9.5, attaching port documents that describe a different cargo category. The referral names the specific question and the evidence, so it passes the automatic screen. The vessel proceeds to Anchorage Alpha East. The joint team assembles within 24 hours: a flag-state inspector, an Iranian coastal inspector, and a Neutral Keel roster inspector. The team examines the full document set, finds the contradiction confined to one transshipment record, and verifies the cargo documents against the loading terminal's electronic record. No physical cargo examination occurs, because the documents close the gap. The vessel resumes transit at hour 31 with a verified-transit marker; the referral, the record, and the resolution publish; and the referring society's claim record notes a referral resolved without fault, which counts neutrally. The example illustrates the design: the question moves at anchorage, the corridor never feels it, and the record treats everyone fairly.</w:t>
      </w:r>
    </w:p>
    <w:p>
      <w:pPr>
        <w:pStyle w:val="Heading3"/>
      </w:pPr>
      <w:r>
        <w:t xml:space="preserve">S.3 Worked example: a late acknowledgment and the ladder</w:t>
      </w:r>
    </w:p>
    <w:p>
      <w:pPr/>
      <w:r>
        <w:t xml:space="preserve">The notification desk acknowledges a notice at 74 minutes, past the 30-minute rule, and the vessel's transit proceeds unaffected because acknowledgment-by-default protected it. The Neutral Keel Office's monthly audit flags the latency; the Center issues a notice and cure under step one; the Co-Directors trace the cause to a staffing gap and cure it with a roster change within 7 days; the event closes as an Operational Variation with one P-1 point; and the pattern doctrine of Annex E.4 watches for repetition. The example illustrates proportionality: the system records the deviation, fixes the cause, and spends no political capital on an administrative hour.</w:t>
      </w:r>
    </w:p>
    <w:p>
      <w:pPr>
        <w:pStyle w:val="Heading3"/>
      </w:pPr>
      <w:r>
        <w:t xml:space="preserve">S.4 Worked example: an unjustified Stop-Loss order</w:t>
      </w:r>
    </w:p>
    <w:p>
      <w:pPr/>
      <w:r>
        <w:t xml:space="preserve">The Neutral Keel Office issues a Stop-Loss order pausing one vessel's transit on a reported threat, and the Council's 24-hour review finds the evidence below the demonstrable-threat standard. The order lapses; the vessel's operator receives the compensation window's consideration where the delay qualifies; the order enters the Office's own record in the Ledger's institutional column; and the Independent Assurance Council notes the event in its next public comment. The example illustrates the symmetry of the architecture: the emergency brake is real, and so is its accountability.</w:t>
      </w:r>
    </w:p>
    <w:p>
      <w:pPr>
        <w:pStyle w:val="Heading3"/>
      </w:pPr>
      <w:r>
        <w:t xml:space="preserve">S.5 Worked example: accession of a new Acceding Member</w:t>
      </w:r>
    </w:p>
    <w:p>
      <w:pPr/>
      <w:r>
        <w:t xml:space="preserve">Kuwait deposits its instrument of accession. Thirty days later the depositary notifies entry into force for Kuwait; the Council seats Kuwait's two voting members; the staffing table adds Kuwaiti paired posts within the parity band of Annex L.5; Kuwait's endowment contribution follows the Annex C schedule; Kuwaiti officers begin watch certification under Article 14A.4; and the Bulletin welcomes the new member with the same prominence it gives every operational fact. The example illustrates the multilateral promise of Article 38: the door is real, the path is short, and the seat is equal.</w:t>
      </w:r>
    </w:p>
    <w:p>
      <w:pPr>
        <w:pStyle w:val="Heading1"/>
      </w:pPr>
      <w:r>
        <w:t xml:space="preserve">Annex T: Architectural Principles: The Engineering Manual</w:t>
      </w:r>
    </w:p>
    <w:p>
      <w:pPr/>
      <w:r>
        <w:t xml:space="preserve">This Annex explains why the Accord's principles exist, which historical failures they answer, how they guide interpretation, and how future amendments preserve them. It binds interpretation through Articles 3 and 5.2, and it guides drafting through the symmetry review of Article 39.3. Future negotiators read this Annex first: it is the Accord's account of itself.</w:t>
      </w:r>
    </w:p>
    <w:p>
      <w:pPr>
        <w:pStyle w:val="Heading3"/>
      </w:pPr>
      <w:r>
        <w:t xml:space="preserve">T.1 The Nofade Guarantee</w:t>
      </w:r>
    </w:p>
    <w:p>
      <w:pPr/>
      <w:r>
        <w:t xml:space="preserve">Why it exists. Every maritime arrangement in the region that carried a sunset died at its sunset, and several died before it, because parties hedge against expiry and hedging looks like bad faith. The Guarantee removes the expiry around which hedging organizes. Historical failure answered: the collapse of time-limited understandings whose final months became theaters of leverage. Interpretive influence: every doubt about duration resolves in favor of continuity, per Article 5.2, rule 8. Preservation rule for amendments: no amendment introduces a date-bound obligation, a silent lapse, or a reset at any boundary; where a mechanism needs review, the amendment uses a review with default continuity, never an expiry.</w:t>
      </w:r>
    </w:p>
    <w:p>
      <w:pPr>
        <w:pStyle w:val="Heading3"/>
      </w:pPr>
      <w:r>
        <w:t xml:space="preserve">T.2 Mutual architecture</w:t>
      </w:r>
    </w:p>
    <w:p>
      <w:pPr/>
      <w:r>
        <w:t xml:space="preserve">Why it exists. Agreements written as one side's restraint for the other's benefit produce a creditor and a debtor, and the debtor eventually defaults. The Accord instead builds a structure that constrains and serves every participant through the same rules. Historical failure answered: asymmetric arrangements that domestic politics in one capital could portray as capitulation. Interpretive influence: every doubt about who bears a prohibition resolves toward equal application. Preservation rule: no amendment attaches an obligation to one Party or one class of Parties without a structurally identical attachment to all.</w:t>
      </w:r>
    </w:p>
    <w:p>
      <w:pPr>
        <w:pStyle w:val="Heading3"/>
      </w:pPr>
      <w:r>
        <w:t xml:space="preserve">T.3 Multilateral balance</w:t>
      </w:r>
    </w:p>
    <w:p>
      <w:pPr/>
      <w:r>
        <w:t xml:space="preserve">Why it exists. The Strait touches eight coasts, and a governance system that seats two of them invites the other six to ignore it, obstruct it, or replicate it. Historical failure answered: bilateral arrangements that the region treated as foreign impositions. Interpretive influence: institutional questions resolve toward wider seating and never toward concentration. Preservation rule: no amendment reduces a Littoral Party's defined seat, vote, or parity protection, and every expansion mechanism stays open without time limit.</w:t>
      </w:r>
    </w:p>
    <w:p>
      <w:pPr>
        <w:pStyle w:val="Heading3"/>
      </w:pPr>
      <w:r>
        <w:t xml:space="preserve">T.4 Proportionality and restoration</w:t>
      </w:r>
    </w:p>
    <w:p>
      <w:pPr/>
      <w:r>
        <w:t xml:space="preserve">Why they exist. Disproportionate consequences teach parties to fear the system, and systems that are feared are gamed. Graduated, reversible consequences with automatic earn-back keep every deviation inside the architecture. Historical failure answered: snapback regimes whose first serious use ended the agreement they enforced. Interpretive influence: consequence provisions read narrowly; restoration provisions read generously. Preservation rule: no amendment removes a restoration path, lengthens one, or adds a consequence without a paired earn-back.</w:t>
      </w:r>
    </w:p>
    <w:p>
      <w:pPr>
        <w:pStyle w:val="Heading3"/>
      </w:pPr>
      <w:r>
        <w:t xml:space="preserve">T.5 The humanitarian absolute</w:t>
      </w:r>
    </w:p>
    <w:p>
      <w:pPr/>
      <w:r>
        <w:t xml:space="preserve">Why it exists. Humanitarian carve-outs that yield under pressure are not carve-outs; they are hostages. The absolute protects the flows that politics never touches, because the day medicine waits on a dispute, the Accord loses the moral ground that justifies everything else in it. Historical failure answered: sanctions and counter-measure regimes that starved civilian populations while claiming precision. Interpretive influence: every doubt resolves in favor of the flow. Preservation rule: no amendment narrows the humanitarian firewall, the Surge, or the distress priority, in any circumstance.</w:t>
      </w:r>
    </w:p>
    <w:p>
      <w:pPr>
        <w:pStyle w:val="Heading3"/>
      </w:pPr>
      <w:r>
        <w:t xml:space="preserve">T.6 Modularity and the anti-cascade firewall</w:t>
      </w:r>
    </w:p>
    <w:p>
      <w:pPr/>
      <w:r>
        <w:t xml:space="preserve">Why they exist. Coupled systems fail together. The Accord separates domains so that a financial dispute cannot stop a rescue and a safety incident cannot stop a payment. Historical failure answered: comprehensive settlements in which one file's collapse took down every other file. Interpretive influence: spillover reads against itself; the firewall reads broadly. Preservation rule: no amendment adds coupling between modules except through the certified-spillover path of Article 31.8.</w:t>
      </w:r>
    </w:p>
    <w:p>
      <w:pPr>
        <w:pStyle w:val="Heading3"/>
      </w:pPr>
      <w:r>
        <w:t xml:space="preserve">T.7 Human judgment above automation</w:t>
      </w:r>
    </w:p>
    <w:p>
      <w:pPr/>
      <w:r>
        <w:t xml:space="preserve">Why it exists. Automated escalation is escalation without a mind, and the region has seen where unreviewed triggers lead. The Accord lets machines flag and never lets them judge. Historical failure answered: automated alert chains that compressed decision time past the point where wisdom operates. Interpretive influence: any automated process reads as advisory unless the text expressly assigns a human review, in which case the review is real. Preservation rule: no amendment removes a human review step or converts a classification to automation.</w:t>
      </w:r>
    </w:p>
    <w:p>
      <w:pPr>
        <w:pStyle w:val="Heading3"/>
      </w:pPr>
      <w:r>
        <w:t xml:space="preserve">T.8 Structural decoupling of force</w:t>
      </w:r>
    </w:p>
    <w:p>
      <w:pPr/>
      <w:r>
        <w:t xml:space="preserve">Why it exists. A compliance system able to summon force becomes a war trigger with an administrative face. The Accord classifies, publishes, and repairs, and it leaves force to constitutions, outside itself. Historical failure answered: enforcement mechanisms that laundered political decisions into automatic conflict. Interpretive influence: no provision reads as an authorization of force, ever. Preservation rule: absolute; Article 27.9 admits no amendment below the elevated threshold.</w:t>
      </w:r>
    </w:p>
    <w:p>
      <w:pPr>
        <w:pStyle w:val="Heading3"/>
      </w:pPr>
      <w:r>
        <w:t xml:space="preserve">T.9 Civilian character</w:t>
      </w:r>
    </w:p>
    <w:p>
      <w:pPr/>
      <w:r>
        <w:t xml:space="preserve">Why it exists. A militarized governance body is a command post, and nobody trusts a command post with their shipping. Civilian professionals keep the architecture legible as service rather than strategy. Historical failure answered: coordination bodies that became extensions of one side's security apparatus. Interpretive influence: staffing and liaison questions resolve toward the civilian reading. Preservation rule: no amendment admits military personnel to operational posts.</w:t>
      </w:r>
    </w:p>
    <w:p>
      <w:pPr>
        <w:pStyle w:val="Heading3"/>
      </w:pPr>
      <w:r>
        <w:t xml:space="preserve">T.10 Transparency over trust</w:t>
      </w:r>
    </w:p>
    <w:p>
      <w:pPr/>
      <w:r>
        <w:t xml:space="preserve">Why it exists. Assurances decay; records do not. The Accord publishes everything publishable so that confidence rests on what every participant checks. Historical failure answered: confidential-compliance regimes in which each side's suspicions grew in the dark. Interpretive influence: publication obligations read broadly; confidentiality exceptions read narrowly. Preservation rule: no amendment reduces a publication schedule or closes a record without an elevated amendment.</w:t>
      </w:r>
    </w:p>
    <w:p>
      <w:pPr>
        <w:pStyle w:val="Heading3"/>
      </w:pPr>
      <w:r>
        <w:t xml:space="preserve">T.11 Cost discipline</w:t>
      </w:r>
    </w:p>
    <w:p>
      <w:pPr/>
      <w:r>
        <w:t xml:space="preserve">Why it exists. Expensive architectures die of their own budgets. The Accord reuses existing schemes, institutions, and infrastructure wherever they carry the load, and builds only what nothing else carries. Historical failure answered: over-built frameworks that collapsed when donor attention moved on. Interpretive influence: new-structure proposals carry the burden of showing that no existing structure serves. Preservation rule: every amendment states its cost and its reuse analysis in the symmetry review.</w:t>
      </w:r>
    </w:p>
    <w:p>
      <w:pPr>
        <w:pStyle w:val="Heading3"/>
      </w:pPr>
      <w:r>
        <w:t xml:space="preserve">T.12 Verification with dignity</w:t>
      </w:r>
    </w:p>
    <w:p>
      <w:pPr/>
      <w:r>
        <w:t xml:space="preserve">Why it exists. Verification that humiliates produces evasion; verification that protects dignity produces compliance. The Convergence Standard, the human anchor, and the anchor-and-verify design verify conduct without degrading any participant. Historical failure answered: inspection regimes that became instruments of pressure and collapsed into resistance. Interpretive influence: verification provisions resolve toward the two-input, human-signed reading. Preservation rule: no amendment permits a finding on a single input or a verification act designed to degrade.</w:t>
      </w:r>
    </w:p>
    <w:sectPr>
      <w:headerReference w:type="default" r:id="Rf5a73ce0630d4448"/>
      <w:footerReference w:type="default" r:id="R41be1f0df9144e54"/>
      <w:pgSz w:w="11906" w:h="16838"/>
      <w:pgMar w:top="1440" w:right="1440" w:bottom="1440" w:left="1440" w:header="720" w:footer="720"/>
    </w:sectPr>
  </w:body>
</w:document>
</file>

<file path=word/footer1.xml><?xml version="1.0" encoding="utf-8"?>
<w:ftr xmlns:w="http://schemas.openxmlformats.org/wordprocessingml/2006/main">
  <w:p>
    <w:pPr>
      <w:pBdr>
        <w:top w:val="single" w:color="B0BEC5" w:sz="2" w:space="4"/>
      </w:pBdr>
      <w:jc w:val="center"/>
    </w:pPr>
    <w:r>
      <w:rPr>
        <w:rFonts w:ascii="Calibri" w:hAnsi="Calibri"/>
        <w:color w:val="78909C"/>
        <w:sz w:val="18"/>
      </w:rPr>
      <w:t xml:space="preserve">Page </w:t>
    </w:r>
    <w:r>
      <w:rPr>
        <w:rFonts w:ascii="Calibri" w:hAnsi="Calibri"/>
        <w:color w:val="78909C"/>
        <w:sz w:val="18"/>
      </w:rPr>
      <w:fldChar w:fldCharType="begin"/>
    </w:r>
    <w:r>
      <w:rPr>
        <w:rFonts w:ascii="Calibri" w:hAnsi="Calibri"/>
        <w:color w:val="78909C"/>
        <w:sz w:val="18"/>
      </w:rPr>
      <w:instrText xml:space="preserve"> PAGE </w:instrText>
    </w:r>
    <w:r>
      <w:rPr>
        <w:rFonts w:ascii="Calibri" w:hAnsi="Calibri"/>
        <w:color w:val="78909C"/>
        <w:sz w:val="18"/>
      </w:rPr>
      <w:fldChar w:fldCharType="separate"/>
    </w:r>
    <w:r>
      <w:rPr>
        <w:rFonts w:ascii="Calibri" w:hAnsi="Calibri"/>
        <w:color w:val="78909C"/>
        <w:sz w:val="18"/>
      </w:rPr>
      <w:t>1</w:t>
    </w:r>
    <w:r>
      <w:rPr>
        <w:rFonts w:ascii="Calibri" w:hAnsi="Calibri"/>
        <w:color w:val="78909C"/>
        <w:sz w:val="18"/>
      </w:rPr>
      <w:fldChar w:fldCharType="end"/>
    </w:r>
  </w:p>
</w:ftr>
</file>

<file path=word/header1.xml><?xml version="1.0" encoding="utf-8"?>
<w:hdr xmlns:w="http://schemas.openxmlformats.org/wordprocessingml/2006/main">
  <w:p>
    <w:pPr>
      <w:pBdr>
        <w:bottom w:val="single" w:color="B0BEC5" w:sz="2" w:space="4"/>
      </w:pBdr>
      <w:jc w:val="right"/>
    </w:pPr>
    <w:r>
      <w:rPr>
        <w:rFonts w:ascii="Calibri" w:hAnsi="Calibri"/>
        <w:caps/>
        <w:color w:val="78909C"/>
        <w:sz w:val="16"/>
      </w:rPr>
      <w:t>The Stillwater Accord  ·  Multilateral Governance of the Strait of Hormuz</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300" w:lineRule="auto"/>
      <w:jc w:val="both"/>
    </w:pPr>
    <w:rPr>
      <w:rFonts w:ascii="Georgia" w:hAnsi="Georgia"/>
      <w:color w:val="212121"/>
      <w:sz w:val="21"/>
    </w:rPr>
  </w:style>
  <w:style w:type="paragraph" w:styleId="Heading1">
    <w:name w:val="heading 1"/>
    <w:basedOn w:val="Normal"/>
    <w:pPr>
      <w:keepNext/>
      <w:keepLines/>
      <w:pageBreakBefore/>
      <w:spacing w:before="0" w:after="280"/>
      <w:jc w:val="left"/>
      <w:outlineLvl w:val="0"/>
    </w:pPr>
    <w:rPr>
      <w:rFonts w:ascii="Calibri" w:hAnsi="Calibri"/>
      <w:b/>
      <w:caps/>
      <w:color w:val="37474F"/>
      <w:spacing w:val="12"/>
      <w:sz w:val="32"/>
    </w:rPr>
  </w:style>
  <w:style w:type="paragraph" w:styleId="Heading2">
    <w:name w:val="heading 2"/>
    <w:basedOn w:val="Normal"/>
    <w:pPr>
      <w:keepNext/>
      <w:keepLines/>
      <w:spacing w:before="360" w:after="160"/>
      <w:jc w:val="left"/>
      <w:outlineLvl w:val="1"/>
    </w:pPr>
    <w:rPr>
      <w:rFonts w:ascii="Calibri" w:hAnsi="Calibri"/>
      <w:b/>
      <w:color w:val="37474F"/>
      <w:spacing w:val="12"/>
      <w:sz w:val="26"/>
    </w:rPr>
  </w:style>
  <w:style w:type="paragraph" w:styleId="Heading3">
    <w:name w:val="heading 3"/>
    <w:basedOn w:val="Normal"/>
    <w:pPr>
      <w:keepNext/>
      <w:keepLines/>
      <w:spacing w:before="280" w:after="120"/>
      <w:jc w:val="left"/>
      <w:outlineLvl w:val="2"/>
    </w:pPr>
    <w:rPr>
      <w:rFonts w:ascii="Calibri" w:hAnsi="Calibri"/>
      <w:b/>
      <w:color w:val="546E7A"/>
      <w:spacing w:val="12"/>
      <w:sz w:val="22"/>
    </w:rPr>
  </w:style>
  <w:style w:type="paragraph" w:styleId="Caption">
    <w:name w:val="caption"/>
    <w:basedOn w:val="Normal"/>
    <w:pPr>
      <w:spacing w:before="60" w:after="240"/>
      <w:jc w:val="center"/>
    </w:pPr>
    <w:rPr>
      <w:rFonts w:ascii="Calibri" w:hAnsi="Calibri"/>
      <w:i/>
      <w:color w:val="78909C"/>
      <w:sz w:val="18"/>
    </w:rPr>
  </w:style>
  <w:style w:type="paragraph" w:styleId="TOC1">
    <w:name w:val="toc 1"/>
    <w:pPr>
      <w:tabs>
        <w:tab w:val="right" w:leader="dot" w:pos="9010"/>
      </w:tabs>
      <w:spacing w:before="120" w:after="40"/>
    </w:pPr>
    <w:rPr>
      <w:rFonts w:ascii="Calibri" w:hAnsi="Calibri"/>
      <w:b/>
      <w:color w:val="37474F"/>
      <w:sz w:val="21"/>
    </w:rPr>
  </w:style>
  <w:style w:type="paragraph" w:styleId="TOC2">
    <w:name w:val="toc 2"/>
    <w:pPr>
      <w:tabs>
        <w:tab w:val="right" w:leader="dot" w:pos="9010"/>
      </w:tabs>
      <w:spacing w:after="20"/>
      <w:ind w:left="360"/>
    </w:pPr>
    <w:rPr>
      <w:rFonts w:ascii="Calibri" w:hAnsi="Calibri"/>
      <w:color w:val="212121"/>
      <w:sz w:val="20"/>
    </w:rPr>
  </w:style>
</w:styles>
</file>

<file path=word/_rels/document.xml.rels><?xml version='1.0' encoding='UTF-8'?>
<Relationships xmlns="http://schemas.openxmlformats.org/package/2006/relationships"><Relationship Type="http://schemas.openxmlformats.org/officeDocument/2006/relationships/styles" Target="styles.xml" Id="R9415e3547e5f480b" /><Relationship Type="http://schemas.openxmlformats.org/officeDocument/2006/relationships/header" Target="header1.xml" Id="Rf5a73ce0630d4448" /><Relationship Type="http://schemas.openxmlformats.org/officeDocument/2006/relationships/footer" Target="footer1.xml" Id="R41be1f0df9144e54" /><Relationship Type="http://schemas.openxmlformats.org/officeDocument/2006/relationships/settings" Target="settings.xml" Id="R14b90193c4b243d1" /></Relationships>
</file>